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header17.xml" ContentType="application/vnd.openxmlformats-officedocument.wordprocessingml.header+xml"/>
  <Override PartName="/word/footer23.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2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3.xml" ContentType="application/vnd.openxmlformats-officedocument.wordprocessingml.header+xml"/>
  <Override PartName="/word/footer34.xml" ContentType="application/vnd.openxmlformats-officedocument.wordprocessingml.footer+xml"/>
  <Override PartName="/word/header24.xml" ContentType="application/vnd.openxmlformats-officedocument.wordprocessingml.header+xml"/>
  <Override PartName="/word/footer35.xml" ContentType="application/vnd.openxmlformats-officedocument.wordprocessingml.footer+xml"/>
  <Override PartName="/word/header25.xml" ContentType="application/vnd.openxmlformats-officedocument.wordprocessingml.header+xml"/>
  <Override PartName="/word/footer36.xml" ContentType="application/vnd.openxmlformats-officedocument.wordprocessingml.footer+xml"/>
  <Override PartName="/word/header26.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27.xml" ContentType="application/vnd.openxmlformats-officedocument.wordprocessingml.header+xml"/>
  <Override PartName="/word/footer39.xml" ContentType="application/vnd.openxmlformats-officedocument.wordprocessingml.footer+xml"/>
  <Override PartName="/word/header28.xml" ContentType="application/vnd.openxmlformats-officedocument.wordprocessingml.header+xml"/>
  <Override PartName="/word/footer40.xml" ContentType="application/vnd.openxmlformats-officedocument.wordprocessingml.footer+xml"/>
  <Override PartName="/word/header29.xml" ContentType="application/vnd.openxmlformats-officedocument.wordprocessingml.header+xml"/>
  <Override PartName="/word/footer41.xml" ContentType="application/vnd.openxmlformats-officedocument.wordprocessingml.footer+xml"/>
  <Override PartName="/word/header30.xml" ContentType="application/vnd.openxmlformats-officedocument.wordprocessingml.header+xml"/>
  <Override PartName="/word/footer4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0" w:right="977"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苏宁云商集团股份有限公司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1"/>
          <w:szCs w:val="11"/>
        </w:rPr>
      </w:pPr>
    </w:p>
    <w:p>
      <w:pPr>
        <w:spacing w:line="1335" w:lineRule="exact"/>
        <w:ind w:left="3338"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2061923" cy="84810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061923" cy="848105"/>
                    </a:xfrm>
                    <a:prstGeom prst="rect">
                      <a:avLst/>
                    </a:prstGeom>
                  </pic:spPr>
                </pic:pic>
              </a:graphicData>
            </a:graphic>
          </wp:inline>
        </w:drawing>
      </w:r>
      <w:r>
        <w:rPr>
          <w:rFonts w:ascii="宋体" w:hAnsi="宋体" w:cs="宋体" w:eastAsia="宋体" w:hint="default"/>
          <w:position w:val="-26"/>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8"/>
        <w:rPr>
          <w:rFonts w:ascii="宋体" w:hAnsi="宋体" w:cs="宋体" w:eastAsia="宋体" w:hint="default"/>
          <w:b/>
          <w:bCs/>
          <w:sz w:val="47"/>
          <w:szCs w:val="47"/>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8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108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月</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日的总</w:t>
      </w:r>
      <w:r>
        <w:rPr>
          <w:rFonts w:ascii="宋体" w:hAnsi="宋体" w:cs="宋体" w:eastAsia="宋体" w:hint="default"/>
          <w:sz w:val="28"/>
          <w:szCs w:val="28"/>
        </w:rPr>
      </w:r>
    </w:p>
    <w:p>
      <w:pPr>
        <w:spacing w:line="323" w:lineRule="exact" w:before="0"/>
        <w:ind w:left="153" w:right="1082"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股</w:t>
      </w:r>
      <w:r>
        <w:rPr>
          <w:rFonts w:ascii="宋体" w:hAnsi="宋体" w:cs="宋体" w:eastAsia="宋体" w:hint="default"/>
          <w:b/>
          <w:bCs/>
          <w:w w:val="99"/>
          <w:sz w:val="28"/>
          <w:szCs w:val="28"/>
        </w:rPr>
        <w:t>本</w:t>
      </w:r>
      <w:r>
        <w:rPr>
          <w:rFonts w:ascii="宋体" w:hAnsi="宋体" w:cs="宋体" w:eastAsia="宋体" w:hint="default"/>
          <w:b/>
          <w:bCs/>
          <w:spacing w:val="-78"/>
          <w:sz w:val="28"/>
          <w:szCs w:val="28"/>
        </w:rPr>
        <w:t> </w:t>
      </w:r>
      <w:r>
        <w:rPr>
          <w:rFonts w:ascii="Times New Roman" w:hAnsi="Times New Roman" w:cs="Times New Roman" w:eastAsia="Times New Roman" w:hint="default"/>
          <w:b/>
          <w:bCs/>
          <w:w w:val="99"/>
          <w:sz w:val="28"/>
          <w:szCs w:val="28"/>
        </w:rPr>
        <w:t>7,383,043,150</w:t>
      </w:r>
      <w:r>
        <w:rPr>
          <w:rFonts w:ascii="Times New Roman" w:hAnsi="Times New Roman" w:cs="Times New Roman" w:eastAsia="Times New Roman" w:hint="default"/>
          <w:b/>
          <w:bCs/>
          <w:spacing w:val="-8"/>
          <w:sz w:val="28"/>
          <w:szCs w:val="28"/>
        </w:rPr>
        <w:t> </w:t>
      </w: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5"/>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78"/>
          <w:sz w:val="28"/>
          <w:szCs w:val="28"/>
        </w:rPr>
        <w:t> </w:t>
      </w:r>
      <w:r>
        <w:rPr>
          <w:rFonts w:ascii="Times New Roman" w:hAnsi="Times New Roman" w:cs="Times New Roman" w:eastAsia="Times New Roman" w:hint="default"/>
          <w:b/>
          <w:bCs/>
          <w:w w:val="99"/>
          <w:sz w:val="28"/>
          <w:szCs w:val="28"/>
        </w:rPr>
        <w:t>0.60</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14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472" w:lineRule="auto" w:before="237"/>
        <w:ind w:left="715" w:right="1082" w:hanging="562"/>
        <w:jc w:val="left"/>
        <w:rPr>
          <w:rFonts w:ascii="宋体" w:hAnsi="宋体" w:cs="宋体" w:eastAsia="宋体" w:hint="default"/>
          <w:sz w:val="28"/>
          <w:szCs w:val="28"/>
        </w:rPr>
      </w:pPr>
      <w:r>
        <w:rPr>
          <w:rFonts w:ascii="宋体" w:hAnsi="宋体" w:cs="宋体" w:eastAsia="宋体" w:hint="default"/>
          <w:b/>
          <w:bCs/>
          <w:sz w:val="28"/>
          <w:szCs w:val="28"/>
        </w:rPr>
        <w:t>不送红股，不以公积金转增股本。</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公司负责人张近东先生、主管会计工作负责人肖忠祥先生及会计机构负责</w:t>
      </w:r>
      <w:r>
        <w:rPr>
          <w:rFonts w:ascii="宋体" w:hAnsi="宋体" w:cs="宋体" w:eastAsia="宋体" w:hint="default"/>
          <w:spacing w:val="3"/>
          <w:sz w:val="28"/>
          <w:szCs w:val="28"/>
        </w:rPr>
      </w:r>
    </w:p>
    <w:p>
      <w:pPr>
        <w:spacing w:line="386" w:lineRule="auto" w:before="0"/>
        <w:ind w:left="153" w:right="1082"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人</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会计主管人员</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华志松先生声明：保证年度报告中财务报告的真实、准确、完  </w:t>
      </w:r>
      <w:r>
        <w:rPr>
          <w:rFonts w:ascii="宋体" w:hAnsi="宋体" w:cs="宋体" w:eastAsia="宋体" w:hint="default"/>
          <w:b/>
          <w:bCs/>
          <w:spacing w:val="66"/>
          <w:w w:val="95"/>
          <w:sz w:val="28"/>
          <w:szCs w:val="28"/>
        </w:rPr>
        <w:t> </w:t>
      </w:r>
      <w:r>
        <w:rPr>
          <w:rFonts w:ascii="宋体" w:hAnsi="宋体" w:cs="宋体" w:eastAsia="宋体" w:hint="default"/>
          <w:b/>
          <w:bCs/>
          <w:spacing w:val="66"/>
          <w:w w:val="95"/>
          <w:sz w:val="28"/>
          <w:szCs w:val="28"/>
        </w:rPr>
      </w:r>
      <w:r>
        <w:rPr>
          <w:rFonts w:ascii="宋体" w:hAnsi="宋体" w:cs="宋体" w:eastAsia="宋体" w:hint="default"/>
          <w:b/>
          <w:bCs/>
          <w:sz w:val="28"/>
          <w:szCs w:val="28"/>
        </w:rPr>
        <w:t>整。</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72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4</w:t>
            </w:r>
            <w:r>
              <w:rPr>
                <w:rFonts w:ascii="宋体" w:hAnsi="宋体" w:cs="宋体" w:eastAsia="宋体" w:hint="default"/>
                <w:b w:val="0"/>
                <w:bCs w:val="0"/>
              </w:rPr>
            </w:r>
          </w:hyperlink>
        </w:p>
        <w:p>
          <w:pPr>
            <w:pStyle w:val="TOC1"/>
            <w:tabs>
              <w:tab w:pos="9781" w:val="right" w:leader="dot"/>
            </w:tabs>
            <w:spacing w:line="240" w:lineRule="auto" w:before="194"/>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管理层讨论与分析</w:t>
            </w:r>
            <w:r>
              <w:rPr>
                <w:rFonts w:ascii="宋体" w:hAnsi="宋体" w:cs="宋体" w:eastAsia="宋体" w:hint="default"/>
              </w:rPr>
              <w:tab/>
              <w:t>18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54</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79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86</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87</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93</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财务报告</w:t>
            </w:r>
            <w:r>
              <w:rPr>
                <w:rFonts w:ascii="宋体" w:hAnsi="宋体" w:cs="宋体" w:eastAsia="宋体" w:hint="default"/>
              </w:rPr>
              <w:tab/>
              <w:t>102</w:t>
            </w:r>
            <w:r>
              <w:rPr>
                <w:rFonts w:ascii="宋体" w:hAnsi="宋体" w:cs="宋体" w:eastAsia="宋体" w:hint="default"/>
                <w:b w:val="0"/>
                <w:bCs w:val="0"/>
              </w:rPr>
            </w:r>
          </w:hyperlink>
        </w:p>
        <w:p>
          <w:pPr>
            <w:pStyle w:val="TOC1"/>
            <w:tabs>
              <w:tab w:pos="9783" w:val="right" w:leader="dot"/>
            </w:tabs>
            <w:spacing w:line="240" w:lineRule="auto"/>
            <w:ind w:left="154" w:right="0"/>
            <w:jc w:val="left"/>
            <w:rPr>
              <w:rFonts w:ascii="宋体" w:hAnsi="宋体" w:cs="宋体" w:eastAsia="宋体" w:hint="default"/>
              <w:b w:val="0"/>
              <w:bCs w:val="0"/>
            </w:rPr>
          </w:pPr>
          <w:hyperlink w:history="true" w:anchor="_bookmark10">
            <w:r>
              <w:rPr/>
              <w:t>第十一节</w:t>
            </w:r>
            <w:r>
              <w:rPr>
                <w:spacing w:val="-2"/>
              </w:rPr>
              <w:t> </w:t>
            </w:r>
            <w:r>
              <w:rPr/>
              <w:t>备查文件目录</w:t>
            </w:r>
            <w:r>
              <w:rPr>
                <w:rFonts w:ascii="宋体" w:hAnsi="宋体" w:cs="宋体" w:eastAsia="宋体" w:hint="default"/>
              </w:rPr>
              <w:tab/>
              <w:t>280</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pStyle w:val="Heading1"/>
        <w:spacing w:line="240" w:lineRule="auto" w:before="649"/>
        <w:ind w:left="2644" w:right="1082"/>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pStyle w:val="Heading2"/>
        <w:spacing w:line="240" w:lineRule="auto" w:before="509"/>
        <w:ind w:right="1082"/>
        <w:jc w:val="left"/>
        <w:rPr>
          <w:b w:val="0"/>
          <w:bCs w:val="0"/>
        </w:rPr>
      </w:pP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239"/>
        <w:gridCol w:w="1999"/>
        <w:gridCol w:w="2133"/>
        <w:gridCol w:w="2188"/>
      </w:tblGrid>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股票简称</w:t>
            </w:r>
          </w:p>
        </w:tc>
        <w:tc>
          <w:tcPr>
            <w:tcW w:w="1999" w:type="dxa"/>
            <w:tcBorders>
              <w:top w:val="single" w:sz="4" w:space="0" w:color="000000"/>
              <w:left w:val="single" w:sz="13" w:space="0" w:color="D2D2D2"/>
              <w:bottom w:val="single" w:sz="4" w:space="0" w:color="000000"/>
              <w:right w:val="single" w:sz="13" w:space="0" w:color="D2D2D2"/>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苏宁云商</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Times New Roman" w:hAnsi="Times New Roman" w:cs="Times New Roman" w:eastAsia="Times New Roman" w:hint="default"/>
                <w:sz w:val="22"/>
                <w:szCs w:val="22"/>
              </w:rPr>
            </w:pPr>
            <w:r>
              <w:rPr>
                <w:rFonts w:ascii="Times New Roman"/>
                <w:sz w:val="22"/>
              </w:rPr>
              <w:t>002024</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股票上市证券交易所</w:t>
            </w:r>
          </w:p>
        </w:tc>
        <w:tc>
          <w:tcPr>
            <w:tcW w:w="63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4" w:right="0"/>
              <w:jc w:val="left"/>
              <w:rPr>
                <w:rFonts w:ascii="宋体" w:hAnsi="宋体" w:cs="宋体" w:eastAsia="宋体" w:hint="default"/>
                <w:sz w:val="22"/>
                <w:szCs w:val="22"/>
              </w:rPr>
            </w:pPr>
            <w:r>
              <w:rPr>
                <w:rFonts w:ascii="宋体" w:hAnsi="宋体" w:cs="宋体" w:eastAsia="宋体" w:hint="default"/>
                <w:sz w:val="22"/>
                <w:szCs w:val="22"/>
              </w:rPr>
              <w:t>深圳证券交易所</w:t>
            </w:r>
          </w:p>
        </w:tc>
      </w:tr>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公司的中文名称</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苏宁云商集团股份有限公司</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公司的中文简称</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苏宁云商</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公司的外文名称</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tabs>
                <w:tab w:pos="3180" w:val="left" w:leader="none"/>
              </w:tabs>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SUNING COMMERCE</w:t>
            </w:r>
            <w:r>
              <w:rPr>
                <w:rFonts w:ascii="Times New Roman"/>
                <w:spacing w:val="-7"/>
                <w:sz w:val="22"/>
              </w:rPr>
              <w:t> </w:t>
            </w:r>
            <w:r>
              <w:rPr>
                <w:rFonts w:ascii="Times New Roman"/>
                <w:sz w:val="22"/>
              </w:rPr>
              <w:t>GROUP</w:t>
              <w:tab/>
            </w:r>
            <w:r>
              <w:rPr>
                <w:rFonts w:ascii="Times New Roman"/>
                <w:spacing w:val="-3"/>
                <w:sz w:val="22"/>
              </w:rPr>
              <w:t>CO.,LTD.</w:t>
            </w:r>
          </w:p>
        </w:tc>
      </w:tr>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公司的外文名称缩写</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SUNING</w:t>
            </w:r>
            <w:r>
              <w:rPr>
                <w:rFonts w:ascii="Times New Roman"/>
                <w:spacing w:val="-6"/>
                <w:sz w:val="22"/>
              </w:rPr>
              <w:t> </w:t>
            </w:r>
            <w:r>
              <w:rPr>
                <w:rFonts w:ascii="Times New Roman"/>
                <w:sz w:val="22"/>
              </w:rPr>
              <w:t>COMMERCE</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公司的法定代表人</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张近东</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注册地址</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江苏省南京市山西路</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8 </w:t>
            </w:r>
            <w:r>
              <w:rPr>
                <w:rFonts w:ascii="宋体" w:hAnsi="宋体" w:cs="宋体" w:eastAsia="宋体" w:hint="default"/>
                <w:sz w:val="22"/>
                <w:szCs w:val="22"/>
              </w:rPr>
              <w:t>号金山大厦</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层</w:t>
            </w:r>
          </w:p>
        </w:tc>
      </w:tr>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注册地址的邮政编码</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210009</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办公地址</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江苏省南京市玄武区苏宁大道</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号</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办公地址的邮政编码</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210042</w:t>
            </w:r>
          </w:p>
        </w:tc>
      </w:tr>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公司网址</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hyperlink r:id="rId9">
              <w:r>
                <w:rPr>
                  <w:rFonts w:ascii="Times New Roman"/>
                  <w:sz w:val="22"/>
                </w:rPr>
                <w:t>http://www.suning.cn</w:t>
              </w:r>
            </w:hyperlink>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电子信箱</w:t>
            </w:r>
          </w:p>
        </w:tc>
        <w:tc>
          <w:tcPr>
            <w:tcW w:w="63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hyperlink r:id="rId10">
              <w:r>
                <w:rPr>
                  <w:rFonts w:ascii="Times New Roman"/>
                  <w:sz w:val="22"/>
                </w:rPr>
                <w:t>stock@cnsuning.com</w:t>
              </w:r>
            </w:hyperlink>
          </w:p>
        </w:tc>
      </w:tr>
    </w:tbl>
    <w:p>
      <w:pPr>
        <w:spacing w:line="240" w:lineRule="auto" w:before="2"/>
        <w:rPr>
          <w:rFonts w:ascii="宋体" w:hAnsi="宋体" w:cs="宋体" w:eastAsia="宋体" w:hint="default"/>
          <w:b/>
          <w:bCs/>
          <w:sz w:val="20"/>
          <w:szCs w:val="20"/>
        </w:rPr>
      </w:pPr>
    </w:p>
    <w:p>
      <w:pPr>
        <w:pStyle w:val="Heading2"/>
        <w:spacing w:line="240" w:lineRule="auto"/>
        <w:ind w:left="154" w:right="108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239"/>
        <w:gridCol w:w="3130"/>
        <w:gridCol w:w="3190"/>
      </w:tblGrid>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15" w:right="0"/>
              <w:jc w:val="left"/>
              <w:rPr>
                <w:rFonts w:ascii="宋体" w:hAnsi="宋体" w:cs="宋体" w:eastAsia="宋体" w:hint="default"/>
                <w:sz w:val="22"/>
                <w:szCs w:val="22"/>
              </w:rPr>
            </w:pPr>
            <w:r>
              <w:rPr>
                <w:rFonts w:ascii="宋体" w:hAnsi="宋体" w:cs="宋体" w:eastAsia="宋体" w:hint="default"/>
                <w:sz w:val="22"/>
                <w:szCs w:val="22"/>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930" w:right="0"/>
              <w:jc w:val="left"/>
              <w:rPr>
                <w:rFonts w:ascii="宋体" w:hAnsi="宋体" w:cs="宋体" w:eastAsia="宋体" w:hint="default"/>
                <w:sz w:val="22"/>
                <w:szCs w:val="22"/>
              </w:rPr>
            </w:pPr>
            <w:r>
              <w:rPr>
                <w:rFonts w:ascii="宋体" w:hAnsi="宋体" w:cs="宋体" w:eastAsia="宋体" w:hint="default"/>
                <w:sz w:val="22"/>
                <w:szCs w:val="22"/>
              </w:rPr>
              <w:t>证券事务代表</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任峻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韩枫</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联系地址</w:t>
            </w:r>
          </w:p>
        </w:tc>
        <w:tc>
          <w:tcPr>
            <w:tcW w:w="63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江苏省南京市玄武区苏宁大道</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号</w:t>
            </w:r>
          </w:p>
        </w:tc>
      </w:tr>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电话</w:t>
            </w:r>
          </w:p>
        </w:tc>
        <w:tc>
          <w:tcPr>
            <w:tcW w:w="63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025-84418888-888122/888480</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传真</w:t>
            </w:r>
          </w:p>
        </w:tc>
        <w:tc>
          <w:tcPr>
            <w:tcW w:w="63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025-84418888-2-888480</w:t>
            </w:r>
          </w:p>
        </w:tc>
      </w:tr>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电子信箱</w:t>
            </w:r>
          </w:p>
        </w:tc>
        <w:tc>
          <w:tcPr>
            <w:tcW w:w="63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hyperlink r:id="rId10">
              <w:r>
                <w:rPr>
                  <w:rFonts w:ascii="Times New Roman"/>
                  <w:sz w:val="22"/>
                </w:rPr>
                <w:t>stock@cnsuning.com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8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1"/>
        <w:gridCol w:w="6307"/>
      </w:tblGrid>
      <w:tr>
        <w:trPr>
          <w:trHeight w:val="32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公司选定的信息披露媒体的名称</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《证券时报</w:t>
            </w:r>
            <w:r>
              <w:rPr>
                <w:rFonts w:ascii="宋体" w:hAnsi="宋体" w:cs="宋体" w:eastAsia="宋体" w:hint="default"/>
                <w:spacing w:val="-110"/>
                <w:w w:val="99"/>
                <w:sz w:val="22"/>
                <w:szCs w:val="22"/>
              </w:rPr>
              <w:t>》</w:t>
            </w:r>
            <w:r>
              <w:rPr>
                <w:rFonts w:ascii="宋体" w:hAnsi="宋体" w:cs="宋体" w:eastAsia="宋体" w:hint="default"/>
                <w:spacing w:val="-111"/>
                <w:w w:val="99"/>
                <w:sz w:val="22"/>
                <w:szCs w:val="22"/>
              </w:rPr>
              <w:t>、</w:t>
            </w:r>
            <w:r>
              <w:rPr>
                <w:rFonts w:ascii="宋体" w:hAnsi="宋体" w:cs="宋体" w:eastAsia="宋体" w:hint="default"/>
                <w:w w:val="99"/>
                <w:sz w:val="22"/>
                <w:szCs w:val="22"/>
              </w:rPr>
              <w:t>《中国证券报</w:t>
            </w:r>
            <w:r>
              <w:rPr>
                <w:rFonts w:ascii="宋体" w:hAnsi="宋体" w:cs="宋体" w:eastAsia="宋体" w:hint="default"/>
                <w:spacing w:val="-110"/>
                <w:w w:val="99"/>
                <w:sz w:val="22"/>
                <w:szCs w:val="22"/>
              </w:rPr>
              <w:t>》</w:t>
            </w:r>
            <w:r>
              <w:rPr>
                <w:rFonts w:ascii="宋体" w:hAnsi="宋体" w:cs="宋体" w:eastAsia="宋体" w:hint="default"/>
                <w:spacing w:val="-111"/>
                <w:w w:val="99"/>
                <w:sz w:val="22"/>
                <w:szCs w:val="22"/>
              </w:rPr>
              <w:t>、</w:t>
            </w:r>
            <w:r>
              <w:rPr>
                <w:rFonts w:ascii="宋体" w:hAnsi="宋体" w:cs="宋体" w:eastAsia="宋体" w:hint="default"/>
                <w:w w:val="99"/>
                <w:sz w:val="22"/>
                <w:szCs w:val="22"/>
              </w:rPr>
              <w:t>《上海证券报</w:t>
            </w:r>
            <w:r>
              <w:rPr>
                <w:rFonts w:ascii="宋体" w:hAnsi="宋体" w:cs="宋体" w:eastAsia="宋体" w:hint="default"/>
                <w:spacing w:val="-111"/>
                <w:w w:val="99"/>
                <w:sz w:val="22"/>
                <w:szCs w:val="22"/>
              </w:rPr>
              <w:t>》</w:t>
            </w:r>
            <w:r>
              <w:rPr>
                <w:rFonts w:ascii="宋体" w:hAnsi="宋体" w:cs="宋体" w:eastAsia="宋体" w:hint="default"/>
                <w:spacing w:val="-110"/>
                <w:w w:val="99"/>
                <w:sz w:val="22"/>
                <w:szCs w:val="22"/>
              </w:rPr>
              <w:t>、</w:t>
            </w:r>
            <w:r>
              <w:rPr>
                <w:rFonts w:ascii="宋体" w:hAnsi="宋体" w:cs="宋体" w:eastAsia="宋体" w:hint="default"/>
                <w:w w:val="99"/>
                <w:sz w:val="22"/>
                <w:szCs w:val="22"/>
              </w:rPr>
              <w:t>《证券日报》</w:t>
            </w:r>
            <w:r>
              <w:rPr>
                <w:rFonts w:ascii="宋体" w:hAnsi="宋体" w:cs="宋体" w:eastAsia="宋体" w:hint="default"/>
                <w:sz w:val="22"/>
                <w:szCs w:val="22"/>
              </w:rPr>
            </w:r>
          </w:p>
        </w:tc>
      </w:tr>
      <w:tr>
        <w:trPr>
          <w:trHeight w:val="63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登载年度报告的中国证监会指定</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网站的网址</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公司年度报告备置地点</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公司董事会秘书办公室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82"/>
        <w:jc w:val="left"/>
        <w:rPr>
          <w:b w:val="0"/>
          <w:bCs w:val="0"/>
        </w:rPr>
      </w:pPr>
      <w:bookmarkStart w:name="四、注册变更情况" w:id="8"/>
      <w:bookmarkEnd w:id="8"/>
      <w:r>
        <w:rPr>
          <w:b w:val="0"/>
          <w:bCs w:val="0"/>
        </w:rPr>
      </w:r>
      <w:r>
        <w:rPr/>
        <w:t>四、注册变更情况</w:t>
      </w:r>
      <w:r>
        <w:rPr>
          <w:b w:val="0"/>
          <w:bCs w:val="0"/>
        </w:rPr>
      </w:r>
    </w:p>
    <w:p>
      <w:pPr>
        <w:spacing w:line="240" w:lineRule="auto" w:before="10"/>
        <w:rPr>
          <w:rFonts w:ascii="宋体" w:hAnsi="宋体" w:cs="宋体" w:eastAsia="宋体" w:hint="default"/>
          <w:b/>
          <w:bCs/>
          <w:sz w:val="25"/>
          <w:szCs w:val="25"/>
        </w:rPr>
      </w:pPr>
    </w:p>
    <w:p>
      <w:pPr>
        <w:pStyle w:val="BodyText"/>
        <w:spacing w:line="283" w:lineRule="auto"/>
        <w:ind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报告期内注册情况无变更。</w:t>
      </w:r>
    </w:p>
    <w:p>
      <w:pPr>
        <w:spacing w:after="0" w:line="28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82"/>
        <w:jc w:val="left"/>
        <w:rPr>
          <w:b w:val="0"/>
          <w:bCs w:val="0"/>
        </w:rPr>
      </w:pPr>
      <w:bookmarkStart w:name="五、其他有关资料" w:id="9"/>
      <w:bookmarkEnd w:id="9"/>
      <w:r>
        <w:rPr>
          <w:b w:val="0"/>
          <w:bCs w:val="0"/>
        </w:rPr>
      </w:r>
      <w:r>
        <w:rPr/>
        <w:t>五、其他有关资料</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1082"/>
        <w:jc w:val="left"/>
      </w:pPr>
      <w:r>
        <w:rPr/>
        <w:t>公司聘请的会计师事务所</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2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普华永道中天会计师事务所（特殊普通合伙）</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2" w:right="0"/>
              <w:jc w:val="left"/>
              <w:rPr>
                <w:rFonts w:ascii="宋体" w:hAnsi="宋体" w:cs="宋体" w:eastAsia="宋体" w:hint="default"/>
                <w:sz w:val="22"/>
                <w:szCs w:val="22"/>
              </w:rPr>
            </w:pPr>
            <w:r>
              <w:rPr>
                <w:rFonts w:ascii="宋体" w:hAnsi="宋体" w:cs="宋体" w:eastAsia="宋体" w:hint="default"/>
                <w:sz w:val="22"/>
                <w:szCs w:val="22"/>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3" w:right="0"/>
              <w:jc w:val="left"/>
              <w:rPr>
                <w:rFonts w:ascii="宋体" w:hAnsi="宋体" w:cs="宋体" w:eastAsia="宋体" w:hint="default"/>
                <w:sz w:val="22"/>
                <w:szCs w:val="22"/>
              </w:rPr>
            </w:pPr>
            <w:r>
              <w:rPr>
                <w:rFonts w:ascii="宋体" w:hAnsi="宋体" w:cs="宋体" w:eastAsia="宋体" w:hint="default"/>
                <w:sz w:val="22"/>
                <w:szCs w:val="22"/>
              </w:rPr>
              <w:t>中国上海市湖滨路</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号</w:t>
            </w:r>
          </w:p>
        </w:tc>
      </w:tr>
      <w:tr>
        <w:trPr>
          <w:trHeight w:val="32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钱进、郑怡㛃</w:t>
            </w:r>
          </w:p>
        </w:tc>
      </w:tr>
    </w:tbl>
    <w:p>
      <w:pPr>
        <w:spacing w:line="240" w:lineRule="auto" w:before="6"/>
        <w:rPr>
          <w:rFonts w:ascii="宋体" w:hAnsi="宋体" w:cs="宋体" w:eastAsia="宋体" w:hint="default"/>
          <w:sz w:val="21"/>
          <w:szCs w:val="21"/>
        </w:rPr>
      </w:pPr>
    </w:p>
    <w:p>
      <w:pPr>
        <w:pStyle w:val="BodyText"/>
        <w:spacing w:line="240" w:lineRule="auto" w:before="31"/>
        <w:ind w:left="154" w:right="1082"/>
        <w:jc w:val="left"/>
      </w:pPr>
      <w:r>
        <w:rPr/>
        <w:t>公司聘请的报告期内履行持续督导职责的保荐机构</w:t>
      </w:r>
    </w:p>
    <w:p>
      <w:pPr>
        <w:pStyle w:val="BodyText"/>
        <w:spacing w:line="240" w:lineRule="auto" w:before="71"/>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1"/>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694"/>
        <w:gridCol w:w="2693"/>
        <w:gridCol w:w="1790"/>
        <w:gridCol w:w="2392"/>
      </w:tblGrid>
      <w:tr>
        <w:trPr>
          <w:trHeight w:val="32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682" w:right="0"/>
              <w:jc w:val="left"/>
              <w:rPr>
                <w:rFonts w:ascii="宋体" w:hAnsi="宋体" w:cs="宋体" w:eastAsia="宋体" w:hint="default"/>
                <w:sz w:val="22"/>
                <w:szCs w:val="22"/>
              </w:rPr>
            </w:pPr>
            <w:r>
              <w:rPr>
                <w:rFonts w:ascii="宋体" w:hAnsi="宋体" w:cs="宋体" w:eastAsia="宋体" w:hint="default"/>
                <w:sz w:val="22"/>
                <w:szCs w:val="22"/>
              </w:rPr>
              <w:t>保荐机构名称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460" w:right="0"/>
              <w:jc w:val="left"/>
              <w:rPr>
                <w:rFonts w:ascii="宋体" w:hAnsi="宋体" w:cs="宋体" w:eastAsia="宋体" w:hint="default"/>
                <w:sz w:val="22"/>
                <w:szCs w:val="22"/>
              </w:rPr>
            </w:pPr>
            <w:r>
              <w:rPr>
                <w:rFonts w:ascii="宋体" w:hAnsi="宋体" w:cs="宋体" w:eastAsia="宋体" w:hint="default"/>
                <w:sz w:val="22"/>
                <w:szCs w:val="22"/>
              </w:rPr>
              <w:t>保荐机构办公地址</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8" w:right="0"/>
              <w:jc w:val="left"/>
              <w:rPr>
                <w:rFonts w:ascii="宋体" w:hAnsi="宋体" w:cs="宋体" w:eastAsia="宋体" w:hint="default"/>
                <w:sz w:val="22"/>
                <w:szCs w:val="22"/>
              </w:rPr>
            </w:pPr>
            <w:r>
              <w:rPr>
                <w:rFonts w:ascii="宋体" w:hAnsi="宋体" w:cs="宋体" w:eastAsia="宋体" w:hint="default"/>
                <w:sz w:val="22"/>
                <w:szCs w:val="22"/>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530" w:right="0"/>
              <w:jc w:val="left"/>
              <w:rPr>
                <w:rFonts w:ascii="宋体" w:hAnsi="宋体" w:cs="宋体" w:eastAsia="宋体" w:hint="default"/>
                <w:sz w:val="22"/>
                <w:szCs w:val="22"/>
              </w:rPr>
            </w:pPr>
            <w:r>
              <w:rPr>
                <w:rFonts w:ascii="宋体" w:hAnsi="宋体" w:cs="宋体" w:eastAsia="宋体" w:hint="default"/>
                <w:sz w:val="22"/>
                <w:szCs w:val="22"/>
              </w:rPr>
              <w:t>持续督导期间</w:t>
            </w:r>
          </w:p>
        </w:tc>
      </w:tr>
      <w:tr>
        <w:trPr>
          <w:trHeight w:val="125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left="22" w:right="0"/>
              <w:jc w:val="left"/>
              <w:rPr>
                <w:rFonts w:ascii="宋体" w:hAnsi="宋体" w:cs="宋体" w:eastAsia="宋体" w:hint="default"/>
                <w:sz w:val="22"/>
                <w:szCs w:val="22"/>
              </w:rPr>
            </w:pPr>
            <w:r>
              <w:rPr>
                <w:rFonts w:ascii="宋体" w:hAnsi="宋体" w:cs="宋体" w:eastAsia="宋体" w:hint="default"/>
                <w:sz w:val="22"/>
                <w:szCs w:val="22"/>
              </w:rPr>
              <w:t>招商证券股份有限公司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59" w:lineRule="auto"/>
              <w:ind w:left="22" w:right="239"/>
              <w:jc w:val="left"/>
              <w:rPr>
                <w:rFonts w:ascii="宋体" w:hAnsi="宋体" w:cs="宋体" w:eastAsia="宋体" w:hint="default"/>
                <w:sz w:val="22"/>
                <w:szCs w:val="22"/>
              </w:rPr>
            </w:pPr>
            <w:r>
              <w:rPr>
                <w:rFonts w:ascii="宋体" w:hAnsi="宋体" w:cs="宋体" w:eastAsia="宋体" w:hint="default"/>
                <w:sz w:val="22"/>
                <w:szCs w:val="22"/>
              </w:rPr>
              <w:t>中国北京市西城区金融街</w:t>
            </w:r>
            <w:r>
              <w:rPr>
                <w:rFonts w:ascii="宋体" w:hAnsi="宋体" w:cs="宋体" w:eastAsia="宋体" w:hint="default"/>
                <w:w w:val="99"/>
                <w:sz w:val="22"/>
                <w:szCs w:val="22"/>
              </w:rPr>
              <w:t> </w:t>
            </w:r>
            <w:r>
              <w:rPr>
                <w:rFonts w:ascii="宋体" w:hAnsi="宋体" w:cs="宋体" w:eastAsia="宋体" w:hint="default"/>
                <w:sz w:val="22"/>
                <w:szCs w:val="22"/>
              </w:rPr>
              <w:t>甲</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号金融街中心</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层</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left="22" w:right="0"/>
              <w:jc w:val="left"/>
              <w:rPr>
                <w:rFonts w:ascii="宋体" w:hAnsi="宋体" w:cs="宋体" w:eastAsia="宋体" w:hint="default"/>
                <w:sz w:val="22"/>
                <w:szCs w:val="22"/>
              </w:rPr>
            </w:pPr>
            <w:r>
              <w:rPr>
                <w:rFonts w:ascii="宋体" w:hAnsi="宋体" w:cs="宋体" w:eastAsia="宋体" w:hint="default"/>
                <w:sz w:val="22"/>
                <w:szCs w:val="22"/>
              </w:rPr>
              <w:t>任强伟、李恺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年非公开发行股份</w:t>
            </w:r>
          </w:p>
          <w:p>
            <w:pPr>
              <w:pStyle w:val="TableParagraph"/>
              <w:spacing w:line="259" w:lineRule="auto" w:before="7"/>
              <w:ind w:left="22" w:right="158"/>
              <w:jc w:val="both"/>
              <w:rPr>
                <w:rFonts w:ascii="宋体" w:hAnsi="宋体" w:cs="宋体" w:eastAsia="宋体" w:hint="default"/>
                <w:sz w:val="22"/>
                <w:szCs w:val="22"/>
              </w:rPr>
            </w:pPr>
            <w:r>
              <w:rPr>
                <w:rFonts w:ascii="宋体" w:hAnsi="宋体" w:cs="宋体" w:eastAsia="宋体" w:hint="default"/>
                <w:sz w:val="22"/>
                <w:szCs w:val="22"/>
              </w:rPr>
              <w:t>上市的当年剩余时间及</w:t>
            </w:r>
            <w:r>
              <w:rPr>
                <w:rFonts w:ascii="宋体" w:hAnsi="宋体" w:cs="宋体" w:eastAsia="宋体" w:hint="default"/>
                <w:w w:val="99"/>
                <w:sz w:val="22"/>
                <w:szCs w:val="22"/>
              </w:rPr>
              <w:t> </w:t>
            </w:r>
            <w:r>
              <w:rPr>
                <w:rFonts w:ascii="宋体" w:hAnsi="宋体" w:cs="宋体" w:eastAsia="宋体" w:hint="default"/>
                <w:sz w:val="22"/>
                <w:szCs w:val="22"/>
              </w:rPr>
              <w:t>其后的一个完整会计年</w:t>
            </w:r>
            <w:r>
              <w:rPr>
                <w:rFonts w:ascii="宋体" w:hAnsi="宋体" w:cs="宋体" w:eastAsia="宋体" w:hint="default"/>
                <w:w w:val="99"/>
                <w:sz w:val="22"/>
                <w:szCs w:val="22"/>
              </w:rPr>
              <w:t> </w:t>
            </w:r>
            <w:r>
              <w:rPr>
                <w:rFonts w:ascii="宋体" w:hAnsi="宋体" w:cs="宋体" w:eastAsia="宋体" w:hint="default"/>
                <w:sz w:val="22"/>
                <w:szCs w:val="22"/>
              </w:rPr>
              <w:t>度。</w:t>
            </w:r>
          </w:p>
        </w:tc>
      </w:tr>
    </w:tbl>
    <w:p>
      <w:pPr>
        <w:spacing w:line="240" w:lineRule="auto" w:before="6"/>
        <w:rPr>
          <w:rFonts w:ascii="宋体" w:hAnsi="宋体" w:cs="宋体" w:eastAsia="宋体" w:hint="default"/>
          <w:sz w:val="21"/>
          <w:szCs w:val="21"/>
        </w:rPr>
      </w:pPr>
    </w:p>
    <w:p>
      <w:pPr>
        <w:pStyle w:val="BodyText"/>
        <w:spacing w:line="240" w:lineRule="auto" w:before="31"/>
        <w:ind w:left="154" w:right="1082"/>
        <w:jc w:val="left"/>
      </w:pPr>
      <w:r>
        <w:rPr/>
        <w:t>公司聘请的报告期内履行持续督导职责的财务顾问</w:t>
      </w:r>
    </w:p>
    <w:p>
      <w:pPr>
        <w:pStyle w:val="BodyText"/>
        <w:spacing w:line="240" w:lineRule="auto" w:before="71"/>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2"/>
        <w:rPr>
          <w:rFonts w:ascii="宋体" w:hAnsi="宋体" w:cs="宋体" w:eastAsia="宋体" w:hint="default"/>
          <w:sz w:val="24"/>
          <w:szCs w:val="24"/>
        </w:rPr>
      </w:pPr>
    </w:p>
    <w:p>
      <w:pPr>
        <w:pStyle w:val="Heading2"/>
        <w:spacing w:line="240" w:lineRule="auto"/>
        <w:ind w:right="1082"/>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31"/>
        <w:ind w:right="0"/>
        <w:jc w:val="left"/>
      </w:pPr>
      <w:r>
        <w:rPr>
          <w:w w:val="95"/>
        </w:rPr>
        <w:t>公司是否因会计政策变更及会计差错更正等追溯调整或重述以前年度会计数据</w:t>
      </w:r>
      <w:r>
        <w:rPr/>
      </w:r>
    </w:p>
    <w:p>
      <w:pPr>
        <w:pStyle w:val="BodyText"/>
        <w:spacing w:line="240" w:lineRule="auto" w:before="7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4"/>
        <w:ind w:right="0"/>
        <w:jc w:val="left"/>
      </w:pPr>
      <w:r>
        <w:rPr/>
        <w:t>单位：千元</w:t>
      </w:r>
    </w:p>
    <w:p>
      <w:pPr>
        <w:spacing w:after="0" w:line="240" w:lineRule="auto"/>
        <w:jc w:val="left"/>
        <w:sectPr>
          <w:type w:val="continuous"/>
          <w:pgSz w:w="11910" w:h="16840"/>
          <w:pgMar w:top="1060" w:bottom="1160" w:left="980" w:right="0"/>
          <w:cols w:num="2" w:equalWidth="0">
            <w:col w:w="7631" w:space="908"/>
            <w:col w:w="2391"/>
          </w:cols>
        </w:sectPr>
      </w:pPr>
    </w:p>
    <w:p>
      <w:pPr>
        <w:spacing w:line="240" w:lineRule="auto" w:before="4"/>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54"/>
        <w:gridCol w:w="1571"/>
        <w:gridCol w:w="1560"/>
        <w:gridCol w:w="1842"/>
        <w:gridCol w:w="1631"/>
      </w:tblGrid>
      <w:tr>
        <w:trPr>
          <w:trHeight w:val="32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42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416"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45" w:right="0"/>
              <w:jc w:val="left"/>
              <w:rPr>
                <w:rFonts w:ascii="宋体" w:hAnsi="宋体" w:cs="宋体" w:eastAsia="宋体" w:hint="default"/>
                <w:sz w:val="22"/>
                <w:szCs w:val="22"/>
              </w:rPr>
            </w:pPr>
            <w:r>
              <w:rPr>
                <w:rFonts w:ascii="宋体" w:hAnsi="宋体" w:cs="宋体" w:eastAsia="宋体" w:hint="default"/>
                <w:sz w:val="22"/>
                <w:szCs w:val="22"/>
              </w:rPr>
              <w:t>本年比上年增减</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45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r>
      <w:tr>
        <w:trPr>
          <w:trHeight w:val="32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135,547,633</w:t>
            </w:r>
            <w:r>
              <w:rPr>
                <w:rFonts w:ascii="Times New Roman"/>
                <w:sz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108,925,296</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24.44%</w:t>
            </w:r>
            <w:r>
              <w:rPr>
                <w:rFonts w:ascii="Times New Roman"/>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105,292,229</w:t>
            </w:r>
            <w:r>
              <w:rPr>
                <w:rFonts w:ascii="Times New Roman"/>
                <w:sz w:val="22"/>
              </w:rPr>
            </w:r>
          </w:p>
        </w:tc>
      </w:tr>
      <w:tr>
        <w:trPr>
          <w:trHeight w:val="32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872,504</w:t>
            </w:r>
            <w:r>
              <w:rPr>
                <w:rFonts w:ascii="Times New Roman"/>
                <w:sz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866,915</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0.64%</w:t>
            </w:r>
            <w:r>
              <w:rPr>
                <w:rFonts w:ascii="Times New Roman"/>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371,770</w:t>
            </w:r>
            <w:r>
              <w:rPr>
                <w:rFonts w:ascii="Times New Roman"/>
                <w:sz w:val="22"/>
              </w:rPr>
            </w:r>
          </w:p>
        </w:tc>
      </w:tr>
      <w:tr>
        <w:trPr>
          <w:trHeight w:val="63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归属于上市公司股东的扣除非</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经常性损益的净利润</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6"/>
              <w:ind w:right="22"/>
              <w:jc w:val="right"/>
              <w:rPr>
                <w:rFonts w:ascii="Times New Roman" w:hAnsi="Times New Roman" w:cs="Times New Roman" w:eastAsia="Times New Roman" w:hint="default"/>
                <w:sz w:val="22"/>
                <w:szCs w:val="22"/>
              </w:rPr>
            </w:pPr>
            <w:r>
              <w:rPr>
                <w:rFonts w:ascii="Times New Roman"/>
                <w:w w:val="95"/>
                <w:sz w:val="22"/>
              </w:rPr>
              <w:t>-1,464,864</w:t>
            </w:r>
            <w:r>
              <w:rPr>
                <w:rFonts w:ascii="Times New Roman"/>
                <w:sz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1"/>
              <w:jc w:val="right"/>
              <w:rPr>
                <w:rFonts w:ascii="Times New Roman" w:hAnsi="Times New Roman" w:cs="Times New Roman" w:eastAsia="Times New Roman" w:hint="default"/>
                <w:sz w:val="22"/>
                <w:szCs w:val="22"/>
              </w:rPr>
            </w:pPr>
            <w:r>
              <w:rPr>
                <w:rFonts w:ascii="Times New Roman"/>
                <w:spacing w:val="-1"/>
                <w:sz w:val="22"/>
              </w:rPr>
              <w:t>-1,252,211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-16.98%</w:t>
            </w:r>
            <w:r>
              <w:rPr>
                <w:rFonts w:ascii="Times New Roman"/>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306,725</w:t>
            </w:r>
            <w:r>
              <w:rPr>
                <w:rFonts w:ascii="Times New Roman"/>
                <w:sz w:val="22"/>
              </w:rPr>
            </w:r>
          </w:p>
        </w:tc>
      </w:tr>
      <w:tr>
        <w:trPr>
          <w:trHeight w:val="32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1,733,339</w:t>
            </w:r>
            <w:r>
              <w:rPr>
                <w:rFonts w:ascii="Times New Roman"/>
                <w:sz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-1,381,419</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225.48%</w:t>
            </w:r>
            <w:r>
              <w:rPr>
                <w:rFonts w:ascii="Times New Roman"/>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2,238,484</w:t>
            </w:r>
            <w:r>
              <w:rPr>
                <w:rFonts w:ascii="Times New Roman"/>
                <w:sz w:val="22"/>
              </w:rPr>
            </w:r>
          </w:p>
        </w:tc>
      </w:tr>
      <w:tr>
        <w:trPr>
          <w:trHeight w:val="32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基本每股收益（元</w:t>
            </w:r>
            <w:r>
              <w:rPr>
                <w:rFonts w:ascii="Times New Roman" w:hAnsi="Times New Roman" w:cs="Times New Roman" w:eastAsia="Times New Roman" w:hint="default"/>
                <w:sz w:val="22"/>
                <w:szCs w:val="22"/>
              </w:rPr>
              <w:t>/</w:t>
            </w:r>
            <w:r>
              <w:rPr>
                <w:rFonts w:ascii="宋体" w:hAnsi="宋体" w:cs="宋体" w:eastAsia="宋体" w:hint="default"/>
                <w:sz w:val="22"/>
                <w:szCs w:val="22"/>
              </w:rPr>
              <w:t>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0.05</w:t>
            </w:r>
            <w:r>
              <w:rPr>
                <w:rFonts w:ascii="Times New Roman"/>
                <w:sz w:val="22"/>
              </w:rPr>
            </w:r>
          </w:p>
        </w:tc>
      </w:tr>
      <w:tr>
        <w:trPr>
          <w:trHeight w:val="32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11" w:right="0"/>
              <w:jc w:val="left"/>
              <w:rPr>
                <w:rFonts w:ascii="宋体" w:hAnsi="宋体" w:cs="宋体" w:eastAsia="宋体" w:hint="default"/>
                <w:sz w:val="22"/>
                <w:szCs w:val="22"/>
              </w:rPr>
            </w:pPr>
            <w:r>
              <w:rPr>
                <w:rFonts w:ascii="宋体" w:hAnsi="宋体" w:cs="宋体" w:eastAsia="宋体" w:hint="default"/>
                <w:sz w:val="22"/>
                <w:szCs w:val="22"/>
              </w:rPr>
              <w:t>稀释每股收益（元</w:t>
            </w:r>
            <w:r>
              <w:rPr>
                <w:rFonts w:ascii="Times New Roman" w:hAnsi="Times New Roman" w:cs="Times New Roman" w:eastAsia="Times New Roman" w:hint="default"/>
                <w:sz w:val="22"/>
                <w:szCs w:val="22"/>
              </w:rPr>
              <w:t>/</w:t>
            </w:r>
            <w:r>
              <w:rPr>
                <w:rFonts w:ascii="宋体" w:hAnsi="宋体" w:cs="宋体" w:eastAsia="宋体" w:hint="default"/>
                <w:sz w:val="22"/>
                <w:szCs w:val="22"/>
              </w:rPr>
              <w:t>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0.05</w:t>
            </w:r>
            <w:r>
              <w:rPr>
                <w:rFonts w:ascii="Times New Roman"/>
                <w:sz w:val="22"/>
              </w:rPr>
            </w:r>
          </w:p>
        </w:tc>
      </w:tr>
      <w:tr>
        <w:trPr>
          <w:trHeight w:val="32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加权平均净资产收益率</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2.87%</w:t>
            </w:r>
            <w:r>
              <w:rPr>
                <w:rFonts w:ascii="Times New Roman"/>
                <w:sz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3.01%</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-0.14%</w:t>
            </w:r>
            <w:r>
              <w:rPr>
                <w:rFonts w:ascii="Times New Roman"/>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1.31%</w:t>
            </w:r>
            <w:r>
              <w:rPr>
                <w:rFonts w:ascii="Times New Roman"/>
                <w:sz w:val="22"/>
              </w:rPr>
            </w:r>
          </w:p>
        </w:tc>
      </w:tr>
      <w:tr>
        <w:trPr>
          <w:trHeight w:val="161" w:hRule="exact"/>
        </w:trPr>
        <w:tc>
          <w:tcPr>
            <w:tcW w:w="29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本年末比上年末增</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减</w:t>
            </w:r>
            <w:r>
              <w:rPr>
                <w:rFonts w:ascii="宋体" w:hAnsi="宋体" w:cs="宋体" w:eastAsia="宋体" w:hint="default"/>
                <w:sz w:val="22"/>
                <w:szCs w:val="22"/>
              </w:rPr>
            </w:r>
          </w:p>
        </w:tc>
        <w:tc>
          <w:tcPr>
            <w:tcW w:w="16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2954" w:type="dxa"/>
            <w:tcBorders>
              <w:top w:val="nil" w:sz="6" w:space="0" w:color="auto"/>
              <w:left w:val="single" w:sz="4" w:space="0" w:color="000000"/>
              <w:bottom w:val="nil" w:sz="6" w:space="0" w:color="auto"/>
              <w:right w:val="single" w:sz="4" w:space="0" w:color="000000"/>
            </w:tcBorders>
            <w:shd w:val="clear" w:color="auto" w:fill="D2D2D2"/>
          </w:tcPr>
          <w:p>
            <w:pPr/>
          </w:p>
        </w:tc>
        <w:tc>
          <w:tcPr>
            <w:tcW w:w="1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2" w:lineRule="exact"/>
              <w:ind w:left="31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年末</w:t>
            </w:r>
          </w:p>
        </w:tc>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2" w:lineRule="exact"/>
              <w:ind w:left="30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年末</w:t>
            </w:r>
          </w:p>
        </w:tc>
        <w:tc>
          <w:tcPr>
            <w:tcW w:w="1842" w:type="dxa"/>
            <w:vMerge/>
            <w:tcBorders>
              <w:left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2" w:lineRule="exact"/>
              <w:ind w:left="34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年末</w:t>
            </w:r>
          </w:p>
        </w:tc>
      </w:tr>
      <w:tr>
        <w:trPr>
          <w:trHeight w:val="161" w:hRule="exact"/>
        </w:trPr>
        <w:tc>
          <w:tcPr>
            <w:tcW w:w="29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总资产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w w:val="95"/>
                <w:sz w:val="22"/>
              </w:rPr>
              <w:t>88,075,672</w:t>
            </w:r>
            <w:r>
              <w:rPr>
                <w:rFonts w:ascii="Times New Roman"/>
                <w:sz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82,193,729</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7.16%</w:t>
            </w:r>
            <w:r>
              <w:rPr>
                <w:rFonts w:ascii="Times New Roman"/>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83,043,655</w:t>
            </w:r>
            <w:r>
              <w:rPr>
                <w:rFonts w:ascii="Times New Roman"/>
                <w:sz w:val="22"/>
              </w:rPr>
            </w:r>
          </w:p>
        </w:tc>
      </w:tr>
      <w:tr>
        <w:trPr>
          <w:trHeight w:val="32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归属于上市公司股东的净资产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30,482,556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29,281,855</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4.10%</w:t>
            </w:r>
            <w:r>
              <w:rPr>
                <w:rFonts w:ascii="Times New Roman"/>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28,351,523</w:t>
            </w:r>
            <w:r>
              <w:rPr>
                <w:rFonts w:ascii="Times New Roman"/>
                <w:sz w:val="22"/>
              </w:rPr>
            </w:r>
          </w:p>
        </w:tc>
      </w:tr>
    </w:tbl>
    <w:p>
      <w:pPr>
        <w:pStyle w:val="BodyText"/>
        <w:spacing w:line="588" w:lineRule="auto" w:before="18"/>
        <w:ind w:right="1082"/>
        <w:jc w:val="left"/>
      </w:pPr>
      <w:r>
        <w:rPr/>
        <w:pict>
          <v:shape style="position:absolute;margin-left:56.459999pt;margin-top:54.867661pt;width:479.2pt;height:32.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24"/>
                    <w:gridCol w:w="5045"/>
                  </w:tblGrid>
                  <w:tr>
                    <w:trPr>
                      <w:trHeight w:val="32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截止披露前一交易日的公司总股本（千股）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7,383,043</w:t>
                        </w:r>
                        <w:r>
                          <w:rPr>
                            <w:rFonts w:ascii="Times New Roman"/>
                            <w:sz w:val="22"/>
                          </w:rPr>
                        </w:r>
                      </w:p>
                    </w:tc>
                  </w:tr>
                  <w:tr>
                    <w:trPr>
                      <w:trHeight w:val="32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用最新股本计算的全面摊薄每股收益（元</w:t>
                        </w:r>
                        <w:r>
                          <w:rPr>
                            <w:rFonts w:ascii="Times New Roman" w:hAnsi="Times New Roman" w:cs="Times New Roman" w:eastAsia="Times New Roman" w:hint="default"/>
                            <w:sz w:val="22"/>
                            <w:szCs w:val="22"/>
                          </w:rPr>
                          <w:t>/</w:t>
                        </w:r>
                        <w:r>
                          <w:rPr>
                            <w:rFonts w:ascii="宋体" w:hAnsi="宋体" w:cs="宋体" w:eastAsia="宋体" w:hint="default"/>
                            <w:sz w:val="22"/>
                            <w:szCs w:val="22"/>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r>
                </w:tbl>
                <w:p>
                  <w:pPr/>
                </w:p>
              </w:txbxContent>
            </v:textbox>
            <w10:wrap type="none"/>
          </v:shape>
        </w:pict>
      </w:r>
      <w:r>
        <w:rPr>
          <w:w w:val="95"/>
        </w:rPr>
        <w:t>注：上述基本每股收益、加权平均净资产收益率均以归属于上市公司股东的净利润计算填列。</w:t>
      </w:r>
      <w:r>
        <w:rPr>
          <w:spacing w:val="16"/>
          <w:w w:val="95"/>
        </w:rPr>
        <w:t> </w:t>
      </w:r>
      <w:r>
        <w:rPr/>
        <w:t>截止披露前一交易日的公司总股本：</w:t>
      </w:r>
    </w:p>
    <w:p>
      <w:pPr>
        <w:spacing w:after="0" w:line="588"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right="1082"/>
        <w:jc w:val="left"/>
      </w:pPr>
      <w:r>
        <w:rPr/>
        <w:t>是否存在公司债</w:t>
      </w:r>
    </w:p>
    <w:p>
      <w:pPr>
        <w:pStyle w:val="BodyText"/>
        <w:spacing w:line="276" w:lineRule="auto" w:before="65"/>
        <w:ind w:left="154" w:right="70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r>
        <w:rPr>
          <w:w w:val="99"/>
        </w:rPr>
        <w:t> </w:t>
      </w:r>
      <w:r>
        <w:rPr/>
        <w:t>公司是否存在最近两年连续亏损的情形</w:t>
      </w:r>
    </w:p>
    <w:p>
      <w:pPr>
        <w:pStyle w:val="BodyText"/>
        <w:spacing w:line="240" w:lineRule="auto" w:before="31"/>
        <w:ind w:right="10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5"/>
        <w:rPr>
          <w:rFonts w:ascii="宋体" w:hAnsi="宋体" w:cs="宋体" w:eastAsia="宋体" w:hint="default"/>
          <w:sz w:val="22"/>
          <w:szCs w:val="22"/>
        </w:rPr>
      </w:pPr>
    </w:p>
    <w:p>
      <w:pPr>
        <w:pStyle w:val="Heading2"/>
        <w:spacing w:line="240" w:lineRule="auto"/>
        <w:ind w:right="108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8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5"/>
          <w:szCs w:val="25"/>
        </w:rPr>
      </w:pPr>
    </w:p>
    <w:p>
      <w:pPr>
        <w:pStyle w:val="BodyText"/>
        <w:spacing w:line="290" w:lineRule="auto"/>
        <w:ind w:right="17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w w:val="95"/>
        </w:rPr>
        <w:t>公司报告期不存在按照国际会计准则与按照中国会计准则披露的财务报告中净利润和净资产差异情   </w:t>
      </w:r>
      <w:r>
        <w:rPr>
          <w:spacing w:val="37"/>
          <w:w w:val="95"/>
        </w:rPr>
        <w:t> </w:t>
      </w:r>
      <w:r>
        <w:rPr/>
        <w:t>况。</w:t>
      </w:r>
    </w:p>
    <w:p>
      <w:pPr>
        <w:spacing w:line="240" w:lineRule="auto" w:before="1"/>
        <w:rPr>
          <w:rFonts w:ascii="宋体" w:hAnsi="宋体" w:cs="宋体" w:eastAsia="宋体" w:hint="default"/>
          <w:sz w:val="23"/>
          <w:szCs w:val="23"/>
        </w:rPr>
      </w:pPr>
    </w:p>
    <w:p>
      <w:pPr>
        <w:pStyle w:val="Heading4"/>
        <w:spacing w:line="240" w:lineRule="auto"/>
        <w:ind w:right="108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5"/>
          <w:szCs w:val="25"/>
        </w:rPr>
      </w:pPr>
    </w:p>
    <w:p>
      <w:pPr>
        <w:pStyle w:val="BodyText"/>
        <w:spacing w:line="290" w:lineRule="auto"/>
        <w:ind w:right="17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w w:val="95"/>
        </w:rPr>
        <w:t>公司报告期不存在按照境外会计准则与按照中国会计准则披露的财务报告中净利润和净资产差异情   </w:t>
      </w:r>
      <w:r>
        <w:rPr>
          <w:spacing w:val="37"/>
          <w:w w:val="95"/>
        </w:rPr>
        <w:t> </w:t>
      </w:r>
      <w:r>
        <w:rPr/>
        <w:t>况。</w:t>
      </w:r>
    </w:p>
    <w:p>
      <w:pPr>
        <w:spacing w:line="240" w:lineRule="auto" w:before="12"/>
        <w:rPr>
          <w:rFonts w:ascii="宋体" w:hAnsi="宋体" w:cs="宋体" w:eastAsia="宋体" w:hint="default"/>
          <w:sz w:val="21"/>
          <w:szCs w:val="21"/>
        </w:rPr>
      </w:pPr>
    </w:p>
    <w:p>
      <w:pPr>
        <w:pStyle w:val="Heading2"/>
        <w:spacing w:line="240" w:lineRule="auto"/>
        <w:ind w:right="1082"/>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单位：千元</w:t>
      </w:r>
    </w:p>
    <w:p>
      <w:pPr>
        <w:spacing w:line="240" w:lineRule="auto" w:before="9"/>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85"/>
        <w:gridCol w:w="1685"/>
        <w:gridCol w:w="1672"/>
        <w:gridCol w:w="1672"/>
        <w:gridCol w:w="1670"/>
      </w:tblGrid>
      <w:tr>
        <w:trPr>
          <w:trHeight w:val="322" w:hRule="exact"/>
        </w:trPr>
        <w:tc>
          <w:tcPr>
            <w:tcW w:w="2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03" w:right="0"/>
              <w:jc w:val="left"/>
              <w:rPr>
                <w:rFonts w:ascii="宋体" w:hAnsi="宋体" w:cs="宋体" w:eastAsia="宋体" w:hint="default"/>
                <w:sz w:val="22"/>
                <w:szCs w:val="22"/>
              </w:rPr>
            </w:pPr>
            <w:r>
              <w:rPr>
                <w:rFonts w:ascii="宋体" w:hAnsi="宋体" w:cs="宋体" w:eastAsia="宋体" w:hint="default"/>
                <w:sz w:val="22"/>
                <w:szCs w:val="22"/>
              </w:rPr>
              <w:t>第一季度</w:t>
            </w:r>
          </w:p>
        </w:tc>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91" w:right="0"/>
              <w:jc w:val="left"/>
              <w:rPr>
                <w:rFonts w:ascii="宋体" w:hAnsi="宋体" w:cs="宋体" w:eastAsia="宋体" w:hint="default"/>
                <w:sz w:val="22"/>
                <w:szCs w:val="22"/>
              </w:rPr>
            </w:pPr>
            <w:r>
              <w:rPr>
                <w:rFonts w:ascii="宋体" w:hAnsi="宋体" w:cs="宋体" w:eastAsia="宋体" w:hint="default"/>
                <w:sz w:val="22"/>
                <w:szCs w:val="22"/>
              </w:rPr>
              <w:t>第二季度</w:t>
            </w:r>
          </w:p>
        </w:tc>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90" w:right="0"/>
              <w:jc w:val="left"/>
              <w:rPr>
                <w:rFonts w:ascii="宋体" w:hAnsi="宋体" w:cs="宋体" w:eastAsia="宋体" w:hint="default"/>
                <w:sz w:val="22"/>
                <w:szCs w:val="22"/>
              </w:rPr>
            </w:pPr>
            <w:r>
              <w:rPr>
                <w:rFonts w:ascii="宋体" w:hAnsi="宋体" w:cs="宋体" w:eastAsia="宋体" w:hint="default"/>
                <w:sz w:val="22"/>
                <w:szCs w:val="22"/>
              </w:rPr>
              <w:t>第三季度</w:t>
            </w:r>
          </w:p>
        </w:tc>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89" w:right="0"/>
              <w:jc w:val="left"/>
              <w:rPr>
                <w:rFonts w:ascii="宋体" w:hAnsi="宋体" w:cs="宋体" w:eastAsia="宋体" w:hint="default"/>
                <w:sz w:val="22"/>
                <w:szCs w:val="22"/>
              </w:rPr>
            </w:pPr>
            <w:r>
              <w:rPr>
                <w:rFonts w:ascii="宋体" w:hAnsi="宋体" w:cs="宋体" w:eastAsia="宋体" w:hint="default"/>
                <w:sz w:val="22"/>
                <w:szCs w:val="22"/>
              </w:rPr>
              <w:t>第四季度</w:t>
            </w:r>
          </w:p>
        </w:tc>
      </w:tr>
      <w:tr>
        <w:trPr>
          <w:trHeight w:val="323" w:hRule="exact"/>
        </w:trPr>
        <w:tc>
          <w:tcPr>
            <w:tcW w:w="2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1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29,447,743</w:t>
            </w:r>
            <w:r>
              <w:rPr>
                <w:rFonts w:ascii="Times New Roman"/>
                <w:sz w:val="22"/>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33,589,670</w:t>
            </w:r>
            <w:r>
              <w:rPr>
                <w:rFonts w:ascii="Times New Roman"/>
                <w:sz w:val="22"/>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30,532,110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spacing w:val="-1"/>
                <w:sz w:val="22"/>
              </w:rPr>
              <w:t>41,978,110</w:t>
            </w:r>
          </w:p>
        </w:tc>
      </w:tr>
      <w:tr>
        <w:trPr>
          <w:trHeight w:val="322" w:hRule="exact"/>
        </w:trPr>
        <w:tc>
          <w:tcPr>
            <w:tcW w:w="2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1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-331,923</w:t>
            </w:r>
            <w:r>
              <w:rPr>
                <w:rFonts w:ascii="Times New Roman"/>
                <w:sz w:val="22"/>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680,230</w:t>
            </w:r>
            <w:r>
              <w:rPr>
                <w:rFonts w:ascii="Times New Roman"/>
                <w:sz w:val="22"/>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-295,264</w:t>
            </w:r>
            <w:r>
              <w:rPr>
                <w:rFonts w:ascii="Times New Roman"/>
                <w:sz w:val="22"/>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819,461</w:t>
            </w:r>
            <w:r>
              <w:rPr>
                <w:rFonts w:ascii="Times New Roman"/>
                <w:sz w:val="22"/>
              </w:rPr>
            </w:r>
          </w:p>
        </w:tc>
      </w:tr>
      <w:tr>
        <w:trPr>
          <w:trHeight w:val="634" w:hRule="exact"/>
        </w:trPr>
        <w:tc>
          <w:tcPr>
            <w:tcW w:w="2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归属于上市公司股东的扣除非</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经常性损益的净利润</w:t>
            </w:r>
          </w:p>
        </w:tc>
        <w:tc>
          <w:tcPr>
            <w:tcW w:w="1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-403,516</w:t>
            </w:r>
            <w:r>
              <w:rPr>
                <w:rFonts w:ascii="Times New Roman"/>
                <w:sz w:val="22"/>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1"/>
              <w:jc w:val="right"/>
              <w:rPr>
                <w:rFonts w:ascii="Times New Roman" w:hAnsi="Times New Roman" w:cs="Times New Roman" w:eastAsia="Times New Roman" w:hint="default"/>
                <w:sz w:val="22"/>
                <w:szCs w:val="22"/>
              </w:rPr>
            </w:pPr>
            <w:r>
              <w:rPr>
                <w:rFonts w:ascii="Times New Roman"/>
                <w:w w:val="95"/>
                <w:sz w:val="22"/>
              </w:rPr>
              <w:t>-345,508</w:t>
            </w:r>
            <w:r>
              <w:rPr>
                <w:rFonts w:ascii="Times New Roman"/>
                <w:sz w:val="22"/>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3"/>
              <w:jc w:val="right"/>
              <w:rPr>
                <w:rFonts w:ascii="Times New Roman" w:hAnsi="Times New Roman" w:cs="Times New Roman" w:eastAsia="Times New Roman" w:hint="default"/>
                <w:sz w:val="22"/>
                <w:szCs w:val="22"/>
              </w:rPr>
            </w:pPr>
            <w:r>
              <w:rPr>
                <w:rFonts w:ascii="Times New Roman"/>
                <w:w w:val="95"/>
                <w:sz w:val="22"/>
              </w:rPr>
              <w:t>-331,391</w:t>
            </w:r>
            <w:r>
              <w:rPr>
                <w:rFonts w:ascii="Times New Roman"/>
                <w:sz w:val="22"/>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-384,449</w:t>
            </w:r>
            <w:r>
              <w:rPr>
                <w:rFonts w:ascii="Times New Roman"/>
                <w:sz w:val="22"/>
              </w:rPr>
            </w:r>
          </w:p>
        </w:tc>
      </w:tr>
      <w:tr>
        <w:trPr>
          <w:trHeight w:val="323" w:hRule="exact"/>
        </w:trPr>
        <w:tc>
          <w:tcPr>
            <w:tcW w:w="2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1,802,250</w:t>
            </w:r>
            <w:r>
              <w:rPr>
                <w:rFonts w:ascii="Times New Roman"/>
                <w:sz w:val="22"/>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843,998</w:t>
            </w:r>
            <w:r>
              <w:rPr>
                <w:rFonts w:ascii="Times New Roman"/>
                <w:sz w:val="22"/>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-2,287,283</w:t>
            </w:r>
            <w:r>
              <w:rPr>
                <w:rFonts w:ascii="Times New Roman"/>
                <w:sz w:val="22"/>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1,374,374</w:t>
            </w:r>
            <w:r>
              <w:rPr>
                <w:rFonts w:ascii="Times New Roman"/>
                <w:sz w:val="22"/>
              </w:rPr>
            </w:r>
          </w:p>
        </w:tc>
      </w:tr>
    </w:tbl>
    <w:p>
      <w:pPr>
        <w:spacing w:line="240" w:lineRule="auto" w:before="8"/>
        <w:rPr>
          <w:rFonts w:ascii="宋体" w:hAnsi="宋体" w:cs="宋体" w:eastAsia="宋体" w:hint="default"/>
          <w:sz w:val="9"/>
          <w:szCs w:val="9"/>
        </w:rPr>
      </w:pPr>
    </w:p>
    <w:p>
      <w:pPr>
        <w:pStyle w:val="BodyText"/>
        <w:spacing w:line="240" w:lineRule="auto" w:before="31"/>
        <w:ind w:left="154" w:right="1082"/>
        <w:jc w:val="left"/>
      </w:pPr>
      <w:r>
        <w:rPr/>
        <w:t>上述财务指标或其加总数是否与公司已披露季度报告、半年度报告相关财务指标存在重大差异</w:t>
      </w:r>
    </w:p>
    <w:p>
      <w:pPr>
        <w:pStyle w:val="BodyText"/>
        <w:spacing w:line="240" w:lineRule="auto" w:before="71"/>
        <w:ind w:left="154" w:right="10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2"/>
        <w:rPr>
          <w:rFonts w:ascii="宋体" w:hAnsi="宋体" w:cs="宋体" w:eastAsia="宋体" w:hint="default"/>
          <w:sz w:val="24"/>
          <w:szCs w:val="24"/>
        </w:rPr>
      </w:pPr>
    </w:p>
    <w:p>
      <w:pPr>
        <w:pStyle w:val="Heading2"/>
        <w:spacing w:line="240" w:lineRule="auto"/>
        <w:ind w:left="154" w:right="1082"/>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2"/>
        <w:jc w:val="right"/>
      </w:pPr>
      <w:r>
        <w:rPr>
          <w:w w:val="95"/>
        </w:rPr>
        <w:t>单位：千元</w:t>
      </w:r>
      <w:r>
        <w:rPr/>
      </w:r>
    </w:p>
    <w:p>
      <w:pPr>
        <w:spacing w:line="240" w:lineRule="auto" w:before="4"/>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4695"/>
        <w:gridCol w:w="499"/>
        <w:gridCol w:w="1163"/>
        <w:gridCol w:w="1664"/>
        <w:gridCol w:w="1663"/>
      </w:tblGrid>
      <w:tr>
        <w:trPr>
          <w:trHeight w:val="322"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0"/>
              <w:jc w:val="center"/>
              <w:rPr>
                <w:rFonts w:ascii="宋体" w:hAnsi="宋体" w:cs="宋体" w:eastAsia="宋体" w:hint="default"/>
                <w:sz w:val="22"/>
                <w:szCs w:val="22"/>
              </w:rPr>
            </w:pPr>
            <w:r>
              <w:rPr>
                <w:rFonts w:ascii="宋体" w:hAnsi="宋体" w:cs="宋体" w:eastAsia="宋体" w:hint="default"/>
                <w:sz w:val="22"/>
                <w:szCs w:val="22"/>
              </w:rPr>
              <w:t>项目</w:t>
            </w:r>
          </w:p>
        </w:tc>
        <w:tc>
          <w:tcPr>
            <w:tcW w:w="1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4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年金额</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4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年金额</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4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年金额</w:t>
            </w:r>
          </w:p>
        </w:tc>
      </w:tr>
      <w:tr>
        <w:trPr>
          <w:trHeight w:val="635"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非流动资产处置损益（包括已计提资产减值准备</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的冲销部分）</w:t>
            </w:r>
          </w:p>
        </w:tc>
        <w:tc>
          <w:tcPr>
            <w:tcW w:w="166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5"/>
              <w:ind w:left="738" w:right="0"/>
              <w:jc w:val="left"/>
              <w:rPr>
                <w:rFonts w:ascii="Times New Roman" w:hAnsi="Times New Roman" w:cs="Times New Roman" w:eastAsia="Times New Roman" w:hint="default"/>
                <w:sz w:val="22"/>
                <w:szCs w:val="22"/>
              </w:rPr>
            </w:pPr>
            <w:r>
              <w:rPr>
                <w:rFonts w:ascii="Times New Roman"/>
                <w:sz w:val="22"/>
              </w:rPr>
              <w:t>1,397,346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751" w:right="0"/>
              <w:jc w:val="left"/>
              <w:rPr>
                <w:rFonts w:ascii="Times New Roman" w:hAnsi="Times New Roman" w:cs="Times New Roman" w:eastAsia="Times New Roman" w:hint="default"/>
                <w:sz w:val="22"/>
                <w:szCs w:val="22"/>
              </w:rPr>
            </w:pPr>
            <w:r>
              <w:rPr>
                <w:rFonts w:ascii="Times New Roman"/>
                <w:sz w:val="22"/>
              </w:rPr>
              <w:t>2,420,528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951" w:right="0"/>
              <w:jc w:val="left"/>
              <w:rPr>
                <w:rFonts w:ascii="Times New Roman" w:hAnsi="Times New Roman" w:cs="Times New Roman" w:eastAsia="Times New Roman" w:hint="default"/>
                <w:sz w:val="22"/>
                <w:szCs w:val="22"/>
              </w:rPr>
            </w:pPr>
            <w:r>
              <w:rPr>
                <w:rFonts w:ascii="Times New Roman"/>
                <w:sz w:val="22"/>
              </w:rPr>
              <w:t>-20,397</w:t>
            </w:r>
          </w:p>
        </w:tc>
      </w:tr>
      <w:tr>
        <w:trPr>
          <w:trHeight w:val="146" w:hRule="exact"/>
        </w:trPr>
        <w:tc>
          <w:tcPr>
            <w:tcW w:w="4695" w:type="dxa"/>
            <w:tcBorders>
              <w:top w:val="single" w:sz="4" w:space="0" w:color="000000"/>
              <w:left w:val="single" w:sz="4" w:space="0" w:color="000000"/>
              <w:bottom w:val="nil" w:sz="6" w:space="0" w:color="auto"/>
              <w:right w:val="single" w:sz="4" w:space="0" w:color="000000"/>
            </w:tcBorders>
            <w:shd w:val="clear" w:color="auto" w:fill="D2D2D2"/>
          </w:tcPr>
          <w:p>
            <w:pPr/>
          </w:p>
        </w:tc>
        <w:tc>
          <w:tcPr>
            <w:tcW w:w="499" w:type="dxa"/>
            <w:tcBorders>
              <w:top w:val="single" w:sz="4" w:space="0" w:color="000000"/>
              <w:left w:val="single" w:sz="4" w:space="0" w:color="000000"/>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4"/>
              <w:ind w:left="924" w:right="0"/>
              <w:jc w:val="left"/>
              <w:rPr>
                <w:rFonts w:ascii="Times New Roman" w:hAnsi="Times New Roman" w:cs="Times New Roman" w:eastAsia="Times New Roman" w:hint="default"/>
                <w:sz w:val="22"/>
                <w:szCs w:val="22"/>
              </w:rPr>
            </w:pPr>
            <w:r>
              <w:rPr>
                <w:rFonts w:ascii="Times New Roman"/>
                <w:sz w:val="22"/>
              </w:rPr>
              <w:t>117,172</w:t>
            </w:r>
          </w:p>
        </w:tc>
        <w:tc>
          <w:tcPr>
            <w:tcW w:w="16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4"/>
              <w:ind w:left="914" w:right="0"/>
              <w:jc w:val="left"/>
              <w:rPr>
                <w:rFonts w:ascii="Times New Roman" w:hAnsi="Times New Roman" w:cs="Times New Roman" w:eastAsia="Times New Roman" w:hint="default"/>
                <w:sz w:val="22"/>
                <w:szCs w:val="22"/>
              </w:rPr>
            </w:pPr>
            <w:r>
              <w:rPr>
                <w:rFonts w:ascii="Times New Roman"/>
                <w:sz w:val="22"/>
              </w:rPr>
              <w:t>106,956</w:t>
            </w:r>
          </w:p>
        </w:tc>
      </w:tr>
      <w:tr>
        <w:trPr>
          <w:trHeight w:val="936" w:hRule="exact"/>
        </w:trPr>
        <w:tc>
          <w:tcPr>
            <w:tcW w:w="46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pacing w:val="-4"/>
                <w:sz w:val="22"/>
                <w:szCs w:val="22"/>
              </w:rPr>
              <w:t>计入当期损益的政府补助（与企业业务密切相关</w:t>
            </w:r>
          </w:p>
          <w:p>
            <w:pPr>
              <w:pStyle w:val="TableParagraph"/>
              <w:spacing w:line="259" w:lineRule="auto" w:before="24"/>
              <w:ind w:left="11" w:right="52"/>
              <w:jc w:val="left"/>
              <w:rPr>
                <w:rFonts w:ascii="宋体" w:hAnsi="宋体" w:cs="宋体" w:eastAsia="宋体" w:hint="default"/>
                <w:sz w:val="22"/>
                <w:szCs w:val="22"/>
              </w:rPr>
            </w:pPr>
            <w:r>
              <w:rPr>
                <w:rFonts w:ascii="宋体" w:hAnsi="宋体" w:cs="宋体" w:eastAsia="宋体" w:hint="default"/>
                <w:sz w:val="22"/>
                <w:szCs w:val="22"/>
              </w:rPr>
              <w:t>按照国家统一标准定额或定量享受的政府补助除</w:t>
            </w:r>
            <w:r>
              <w:rPr>
                <w:rFonts w:ascii="宋体" w:hAnsi="宋体" w:cs="宋体" w:eastAsia="宋体" w:hint="default"/>
                <w:w w:val="99"/>
                <w:sz w:val="22"/>
                <w:szCs w:val="22"/>
              </w:rPr>
              <w:t> </w:t>
            </w:r>
            <w:r>
              <w:rPr>
                <w:rFonts w:ascii="宋体" w:hAnsi="宋体" w:cs="宋体" w:eastAsia="宋体" w:hint="default"/>
                <w:sz w:val="22"/>
                <w:szCs w:val="22"/>
              </w:rPr>
              <w:t>外）</w:t>
            </w:r>
          </w:p>
        </w:tc>
        <w:tc>
          <w:tcPr>
            <w:tcW w:w="499" w:type="dxa"/>
            <w:tcBorders>
              <w:top w:val="nil" w:sz="6" w:space="0" w:color="auto"/>
              <w:left w:val="single" w:sz="13" w:space="0" w:color="D2D2D2"/>
              <w:bottom w:val="nil" w:sz="6" w:space="0" w:color="auto"/>
              <w:right w:val="nil" w:sz="6" w:space="0" w:color="auto"/>
            </w:tcBorders>
          </w:tcPr>
          <w:p>
            <w:pPr>
              <w:pStyle w:val="TableParagraph"/>
              <w:spacing w:line="265" w:lineRule="exact"/>
              <w:ind w:left="-157"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163"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19" w:right="0"/>
              <w:jc w:val="left"/>
              <w:rPr>
                <w:rFonts w:ascii="Times New Roman" w:hAnsi="Times New Roman" w:cs="Times New Roman" w:eastAsia="Times New Roman" w:hint="default"/>
                <w:sz w:val="22"/>
                <w:szCs w:val="22"/>
              </w:rPr>
            </w:pPr>
            <w:r>
              <w:rPr>
                <w:rFonts w:ascii="Times New Roman"/>
                <w:sz w:val="22"/>
              </w:rPr>
              <w:t>158,850</w:t>
            </w:r>
          </w:p>
        </w:tc>
        <w:tc>
          <w:tcPr>
            <w:tcW w:w="1664" w:type="dxa"/>
            <w:vMerge/>
            <w:tcBorders>
              <w:left w:val="single" w:sz="4" w:space="0" w:color="000000"/>
              <w:right w:val="single" w:sz="4" w:space="0" w:color="000000"/>
            </w:tcBorders>
          </w:tcPr>
          <w:p>
            <w:pPr/>
          </w:p>
        </w:tc>
        <w:tc>
          <w:tcPr>
            <w:tcW w:w="1663" w:type="dxa"/>
            <w:vMerge/>
            <w:tcBorders>
              <w:left w:val="single" w:sz="4" w:space="0" w:color="000000"/>
              <w:right w:val="single" w:sz="4" w:space="0" w:color="000000"/>
            </w:tcBorders>
          </w:tcPr>
          <w:p>
            <w:pPr/>
          </w:p>
        </w:tc>
      </w:tr>
      <w:tr>
        <w:trPr>
          <w:trHeight w:val="146" w:hRule="exact"/>
        </w:trPr>
        <w:tc>
          <w:tcPr>
            <w:tcW w:w="4695" w:type="dxa"/>
            <w:tcBorders>
              <w:top w:val="nil" w:sz="6" w:space="0" w:color="auto"/>
              <w:left w:val="single" w:sz="4" w:space="0" w:color="000000"/>
              <w:bottom w:val="single" w:sz="4" w:space="0" w:color="000000"/>
              <w:right w:val="single" w:sz="4" w:space="0" w:color="000000"/>
            </w:tcBorders>
            <w:shd w:val="clear" w:color="auto" w:fill="D2D2D2"/>
          </w:tcPr>
          <w:p>
            <w:pPr/>
          </w:p>
        </w:tc>
        <w:tc>
          <w:tcPr>
            <w:tcW w:w="499" w:type="dxa"/>
            <w:tcBorders>
              <w:top w:val="nil" w:sz="6" w:space="0" w:color="auto"/>
              <w:left w:val="single" w:sz="4" w:space="0" w:color="000000"/>
              <w:bottom w:val="single" w:sz="4" w:space="0" w:color="000000"/>
              <w:right w:val="nil" w:sz="6" w:space="0" w:color="auto"/>
            </w:tcBorders>
          </w:tcPr>
          <w:p>
            <w:pPr/>
          </w:p>
        </w:tc>
        <w:tc>
          <w:tcPr>
            <w:tcW w:w="1163" w:type="dxa"/>
            <w:tcBorders>
              <w:top w:val="nil" w:sz="6" w:space="0" w:color="auto"/>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66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4683"/>
        <w:gridCol w:w="511"/>
        <w:gridCol w:w="1163"/>
        <w:gridCol w:w="1664"/>
        <w:gridCol w:w="1663"/>
      </w:tblGrid>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16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6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年金额</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4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年金额</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4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年金额</w:t>
            </w:r>
          </w:p>
        </w:tc>
      </w:tr>
      <w:tr>
        <w:trPr>
          <w:trHeight w:val="1571"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除同公司正常经营业务相关的有效套期保值业务</w:t>
            </w:r>
          </w:p>
          <w:p>
            <w:pPr>
              <w:pStyle w:val="TableParagraph"/>
              <w:spacing w:line="259" w:lineRule="auto" w:before="24"/>
              <w:ind w:left="11" w:right="41"/>
              <w:jc w:val="left"/>
              <w:rPr>
                <w:rFonts w:ascii="宋体" w:hAnsi="宋体" w:cs="宋体" w:eastAsia="宋体" w:hint="default"/>
                <w:sz w:val="22"/>
                <w:szCs w:val="22"/>
              </w:rPr>
            </w:pPr>
            <w:r>
              <w:rPr>
                <w:rFonts w:ascii="宋体" w:hAnsi="宋体" w:cs="宋体" w:eastAsia="宋体" w:hint="default"/>
                <w:sz w:val="22"/>
                <w:szCs w:val="22"/>
              </w:rPr>
              <w:t>外，持有交易性金融资产、交易性金融负债产生</w:t>
            </w:r>
            <w:r>
              <w:rPr>
                <w:rFonts w:ascii="宋体" w:hAnsi="宋体" w:cs="宋体" w:eastAsia="宋体" w:hint="default"/>
                <w:w w:val="99"/>
                <w:sz w:val="22"/>
                <w:szCs w:val="22"/>
              </w:rPr>
              <w:t> </w:t>
            </w:r>
            <w:r>
              <w:rPr>
                <w:rFonts w:ascii="宋体" w:hAnsi="宋体" w:cs="宋体" w:eastAsia="宋体" w:hint="default"/>
                <w:spacing w:val="-4"/>
                <w:sz w:val="22"/>
                <w:szCs w:val="22"/>
              </w:rPr>
              <w:t>的公允价值变动损益，以及处置交易性金融资产</w:t>
            </w:r>
            <w:r>
              <w:rPr>
                <w:rFonts w:ascii="宋体" w:hAnsi="宋体" w:cs="宋体" w:eastAsia="宋体" w:hint="default"/>
                <w:w w:val="99"/>
                <w:sz w:val="22"/>
                <w:szCs w:val="22"/>
              </w:rPr>
              <w:t> </w:t>
            </w:r>
            <w:r>
              <w:rPr>
                <w:rFonts w:ascii="宋体" w:hAnsi="宋体" w:cs="宋体" w:eastAsia="宋体" w:hint="default"/>
                <w:sz w:val="22"/>
                <w:szCs w:val="22"/>
              </w:rPr>
              <w:t>交易性金融负债和可供出售金融资产取得的投资</w:t>
            </w:r>
            <w:r>
              <w:rPr>
                <w:rFonts w:ascii="宋体" w:hAnsi="宋体" w:cs="宋体" w:eastAsia="宋体" w:hint="default"/>
                <w:w w:val="99"/>
                <w:sz w:val="22"/>
                <w:szCs w:val="22"/>
              </w:rPr>
              <w:t> </w:t>
            </w:r>
            <w:r>
              <w:rPr>
                <w:rFonts w:ascii="宋体" w:hAnsi="宋体" w:cs="宋体" w:eastAsia="宋体" w:hint="default"/>
                <w:sz w:val="22"/>
                <w:szCs w:val="22"/>
              </w:rPr>
              <w:t>收益</w:t>
            </w:r>
          </w:p>
        </w:tc>
        <w:tc>
          <w:tcPr>
            <w:tcW w:w="511"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45"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419" w:right="0"/>
              <w:jc w:val="left"/>
              <w:rPr>
                <w:rFonts w:ascii="Times New Roman" w:hAnsi="Times New Roman" w:cs="Times New Roman" w:eastAsia="Times New Roman" w:hint="default"/>
                <w:sz w:val="22"/>
                <w:szCs w:val="22"/>
              </w:rPr>
            </w:pPr>
            <w:r>
              <w:rPr>
                <w:rFonts w:ascii="Times New Roman"/>
                <w:sz w:val="22"/>
              </w:rPr>
              <w:t>229,724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2"/>
                <w:szCs w:val="22"/>
              </w:rPr>
            </w:pPr>
            <w:r>
              <w:rPr>
                <w:rFonts w:ascii="Times New Roman"/>
                <w:w w:val="95"/>
                <w:sz w:val="22"/>
              </w:rPr>
              <w:t>183,635</w:t>
            </w:r>
            <w:r>
              <w:rPr>
                <w:rFonts w:ascii="Times New Roman"/>
                <w:sz w:val="22"/>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22"/>
              <w:jc w:val="right"/>
              <w:rPr>
                <w:rFonts w:ascii="Times New Roman" w:hAnsi="Times New Roman" w:cs="Times New Roman" w:eastAsia="Times New Roman" w:hint="default"/>
                <w:sz w:val="22"/>
                <w:szCs w:val="22"/>
              </w:rPr>
            </w:pPr>
            <w:r>
              <w:rPr>
                <w:rFonts w:ascii="Times New Roman"/>
                <w:spacing w:val="-2"/>
                <w:sz w:val="22"/>
              </w:rPr>
              <w:t>110,893</w:t>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67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951" w:right="0"/>
              <w:jc w:val="left"/>
              <w:rPr>
                <w:rFonts w:ascii="Times New Roman" w:hAnsi="Times New Roman" w:cs="Times New Roman" w:eastAsia="Times New Roman" w:hint="default"/>
                <w:sz w:val="22"/>
                <w:szCs w:val="22"/>
              </w:rPr>
            </w:pPr>
            <w:r>
              <w:rPr>
                <w:rFonts w:ascii="Times New Roman"/>
                <w:sz w:val="22"/>
              </w:rPr>
              <w:t>-57,218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-106,154</w:t>
            </w:r>
            <w:r>
              <w:rPr>
                <w:rFonts w:ascii="Times New Roman"/>
                <w:sz w:val="22"/>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-126,076</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处置长期股权投资产生的投资损失</w:t>
            </w:r>
          </w:p>
        </w:tc>
        <w:tc>
          <w:tcPr>
            <w:tcW w:w="167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22"/>
                <w:szCs w:val="22"/>
              </w:rPr>
            </w:pPr>
            <w:r>
              <w:rPr>
                <w:rFonts w:ascii="Times New Roman"/>
                <w:spacing w:val="-6"/>
                <w:w w:val="95"/>
                <w:sz w:val="22"/>
              </w:rPr>
              <w:t>-111</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处置子公司产生的投资收益</w:t>
            </w:r>
          </w:p>
        </w:tc>
        <w:tc>
          <w:tcPr>
            <w:tcW w:w="167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left="750" w:right="0"/>
              <w:jc w:val="left"/>
              <w:rPr>
                <w:rFonts w:ascii="Times New Roman" w:hAnsi="Times New Roman" w:cs="Times New Roman" w:eastAsia="Times New Roman" w:hint="default"/>
                <w:sz w:val="22"/>
                <w:szCs w:val="22"/>
              </w:rPr>
            </w:pPr>
            <w:r>
              <w:rPr>
                <w:rFonts w:ascii="Times New Roman"/>
                <w:sz w:val="22"/>
              </w:rPr>
              <w:t>1,447,503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tcPr>
          <w:p>
            <w:pPr/>
          </w:p>
        </w:tc>
        <w:tc>
          <w:tcPr>
            <w:tcW w:w="1673" w:type="dxa"/>
            <w:gridSpan w:val="2"/>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减：所得税影响额</w:t>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25" w:right="0"/>
              <w:jc w:val="left"/>
              <w:rPr>
                <w:rFonts w:ascii="Times New Roman" w:hAnsi="Times New Roman" w:cs="Times New Roman" w:eastAsia="Times New Roman" w:hint="default"/>
                <w:sz w:val="22"/>
                <w:szCs w:val="22"/>
              </w:rPr>
            </w:pPr>
            <w:r>
              <w:rPr>
                <w:rFonts w:ascii="Times New Roman"/>
                <w:sz w:val="22"/>
              </w:rPr>
              <w:t>789,672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492,062</w:t>
            </w:r>
            <w:r>
              <w:rPr>
                <w:rFonts w:ascii="Times New Roman"/>
                <w:sz w:val="22"/>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13,716</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450"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6" w:right="0"/>
              <w:jc w:val="left"/>
              <w:rPr>
                <w:rFonts w:ascii="Times New Roman" w:hAnsi="Times New Roman" w:cs="Times New Roman" w:eastAsia="Times New Roman" w:hint="default"/>
                <w:sz w:val="22"/>
                <w:szCs w:val="22"/>
              </w:rPr>
            </w:pPr>
            <w:r>
              <w:rPr>
                <w:rFonts w:ascii="Times New Roman"/>
                <w:sz w:val="22"/>
              </w:rPr>
              <w:t>49,165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5"/>
                <w:sz w:val="22"/>
              </w:rPr>
              <w:t>3,993</w:t>
            </w:r>
            <w:r>
              <w:rPr>
                <w:rFonts w:ascii="Times New Roman"/>
                <w:sz w:val="22"/>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5"/>
                <w:sz w:val="22"/>
              </w:rPr>
              <w:t>-7,496</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1" w:right="0"/>
              <w:jc w:val="left"/>
              <w:rPr>
                <w:rFonts w:ascii="Times New Roman" w:hAnsi="Times New Roman" w:cs="Times New Roman" w:eastAsia="Times New Roman" w:hint="default"/>
                <w:sz w:val="22"/>
                <w:szCs w:val="22"/>
              </w:rPr>
            </w:pPr>
            <w:r>
              <w:rPr>
                <w:rFonts w:ascii="Times New Roman"/>
                <w:sz w:val="22"/>
              </w:rPr>
              <w:t>2,337,368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1"/>
                <w:w w:val="95"/>
                <w:sz w:val="22"/>
              </w:rPr>
              <w:t>2,119,126</w:t>
            </w:r>
            <w:r>
              <w:rPr>
                <w:rFonts w:ascii="Times New Roman"/>
                <w:spacing w:val="-1"/>
                <w:sz w:val="22"/>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65,045</w:t>
            </w:r>
            <w:r>
              <w:rPr>
                <w:rFonts w:ascii="Times New Roman"/>
                <w:sz w:val="22"/>
              </w:rPr>
            </w:r>
          </w:p>
        </w:tc>
      </w:tr>
    </w:tbl>
    <w:p>
      <w:pPr>
        <w:pStyle w:val="BodyText"/>
        <w:spacing w:line="240" w:lineRule="auto" w:before="1"/>
        <w:ind w:left="154" w:right="1082"/>
        <w:jc w:val="left"/>
      </w:pPr>
      <w:r>
        <w:rPr/>
        <w:t>对公司根据《公开发行证券的公司信息披露解释性公告第</w:t>
      </w:r>
      <w:r>
        <w:rPr>
          <w:spacing w:val="-83"/>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非经常性损益》定义界定的非经常</w:t>
      </w:r>
    </w:p>
    <w:p>
      <w:pPr>
        <w:pStyle w:val="BodyText"/>
        <w:spacing w:line="283" w:lineRule="auto" w:before="54"/>
        <w:ind w:right="1120"/>
        <w:jc w:val="left"/>
      </w:pPr>
      <w:r>
        <w:rPr/>
        <w:t>性损益项目，以及把《公开发行证券的公司信息披露解释性公告第</w:t>
      </w:r>
      <w:r>
        <w:rPr>
          <w:spacing w:val="-78"/>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非经常性损益》中列举的</w:t>
      </w:r>
      <w:r>
        <w:rPr>
          <w:w w:val="99"/>
        </w:rPr>
        <w:t> </w:t>
      </w:r>
      <w:r>
        <w:rPr/>
        <w:t>非经常性损益项目界定为经常性损益的项目，应说明原因</w:t>
      </w:r>
    </w:p>
    <w:p>
      <w:pPr>
        <w:pStyle w:val="BodyText"/>
        <w:spacing w:line="240" w:lineRule="auto" w:before="31"/>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spacing w:line="283" w:lineRule="auto" w:before="54"/>
        <w:ind w:right="1082"/>
        <w:jc w:val="left"/>
      </w:pPr>
      <w:r>
        <w:rPr>
          <w:spacing w:val="-4"/>
          <w:w w:val="99"/>
        </w:rPr>
        <w:t>公司报告期不存在将根据《公开发行证券的公司信息披露解释性公告第</w:t>
      </w:r>
      <w:r>
        <w:rPr>
          <w:spacing w:val="-63"/>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14"/>
          <w:w w:val="99"/>
        </w:rPr>
        <w:t> </w:t>
      </w:r>
      <w:r>
        <w:rPr>
          <w:spacing w:val="-9"/>
          <w:w w:val="99"/>
        </w:rPr>
        <w:t>号</w:t>
      </w:r>
      <w:r>
        <w:rPr>
          <w:rFonts w:ascii="Times New Roman" w:hAnsi="Times New Roman" w:cs="Times New Roman" w:eastAsia="Times New Roman" w:hint="default"/>
          <w:spacing w:val="-9"/>
          <w:w w:val="99"/>
        </w:rPr>
        <w:t>——</w:t>
      </w:r>
      <w:r>
        <w:rPr>
          <w:spacing w:val="-9"/>
          <w:w w:val="99"/>
        </w:rPr>
        <w:t>非经常性损益》定义、</w:t>
      </w:r>
      <w:r>
        <w:rPr>
          <w:spacing w:val="-106"/>
          <w:w w:val="99"/>
        </w:rPr>
        <w:t> </w:t>
      </w:r>
      <w:r>
        <w:rPr>
          <w:spacing w:val="-106"/>
          <w:w w:val="99"/>
        </w:rPr>
      </w:r>
      <w:r>
        <w:rPr/>
        <w:t>列举的非经常性损益项目界定为经常性损益的项目的情形。</w:t>
      </w:r>
    </w:p>
    <w:p>
      <w:pPr>
        <w:spacing w:after="0" w:line="28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82"/>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82"/>
        <w:jc w:val="left"/>
        <w:rPr>
          <w:b w:val="0"/>
          <w:bCs w:val="0"/>
        </w:rPr>
      </w:pPr>
      <w:bookmarkStart w:name="一、 报告期内公司从事的主要业务" w:id="18"/>
      <w:bookmarkEnd w:id="18"/>
      <w:r>
        <w:rPr>
          <w:b w:val="0"/>
          <w:bCs w:val="0"/>
        </w:rPr>
      </w:r>
      <w:r>
        <w:rPr/>
        <w:t>一、</w:t>
      </w:r>
      <w:r>
        <w:rPr>
          <w:spacing w:val="-112"/>
        </w:rPr>
        <w:t> </w:t>
      </w:r>
      <w:r>
        <w:rPr/>
        <w:t>报告期内公司从事的主要业务</w:t>
      </w:r>
      <w:r>
        <w:rPr>
          <w:b w:val="0"/>
          <w:bCs w:val="0"/>
        </w:rPr>
      </w:r>
    </w:p>
    <w:p>
      <w:pPr>
        <w:spacing w:line="240" w:lineRule="auto" w:before="11"/>
        <w:rPr>
          <w:rFonts w:ascii="宋体" w:hAnsi="宋体" w:cs="宋体" w:eastAsia="宋体" w:hint="default"/>
          <w:b/>
          <w:bCs/>
          <w:sz w:val="29"/>
          <w:szCs w:val="29"/>
        </w:rPr>
      </w:pPr>
    </w:p>
    <w:p>
      <w:pPr>
        <w:pStyle w:val="Heading4"/>
        <w:spacing w:line="240" w:lineRule="auto"/>
        <w:ind w:left="595" w:right="0"/>
        <w:jc w:val="left"/>
        <w:rPr>
          <w:b w:val="0"/>
          <w:bCs w:val="0"/>
        </w:rPr>
      </w:pPr>
      <w:r>
        <w:rPr/>
        <w:t>（一）报告期内公司所从事的主要业务、主要产品及其用途、经营模式、主要的业绩驱动因素等</w:t>
      </w:r>
      <w:r>
        <w:rPr>
          <w:b w:val="0"/>
          <w:bCs w:val="0"/>
        </w:rPr>
      </w:r>
    </w:p>
    <w:p>
      <w:pPr>
        <w:pStyle w:val="Heading4"/>
        <w:spacing w:line="240" w:lineRule="auto" w:before="180"/>
        <w:ind w:right="1082"/>
        <w:jc w:val="left"/>
        <w:rPr>
          <w:b w:val="0"/>
          <w:bCs w:val="0"/>
        </w:rPr>
      </w:pPr>
      <w:r>
        <w:rPr/>
        <w:t>内容</w:t>
      </w:r>
      <w:r>
        <w:rPr>
          <w:b w:val="0"/>
          <w:bCs w:val="0"/>
        </w:rPr>
      </w:r>
    </w:p>
    <w:p>
      <w:pPr>
        <w:pStyle w:val="BodyText"/>
        <w:spacing w:line="379" w:lineRule="auto" w:before="180"/>
        <w:ind w:right="0" w:firstLine="440"/>
        <w:jc w:val="left"/>
      </w:pPr>
      <w:r>
        <w:rPr/>
        <w:t>苏宁云商是全国领先的商业服务企业，依托于覆盖全国的线下连锁网络以及线上电子商务平台，</w:t>
      </w:r>
      <w:r>
        <w:rPr>
          <w:w w:val="99"/>
        </w:rPr>
        <w:t> </w:t>
      </w:r>
      <w:r>
        <w:rPr/>
        <w:t>为广大消费者提供</w:t>
      </w:r>
      <w:r>
        <w:rPr>
          <w:rFonts w:ascii="Times New Roman" w:hAnsi="Times New Roman" w:cs="Times New Roman" w:eastAsia="Times New Roman" w:hint="default"/>
        </w:rPr>
        <w:t>“</w:t>
      </w:r>
      <w:r>
        <w:rPr/>
        <w:t>随时、随地、随需</w:t>
      </w:r>
      <w:r>
        <w:rPr>
          <w:rFonts w:ascii="Times New Roman" w:hAnsi="Times New Roman" w:cs="Times New Roman" w:eastAsia="Times New Roman" w:hint="default"/>
        </w:rPr>
        <w:t>”</w:t>
      </w:r>
      <w:r>
        <w:rPr/>
        <w:t>的品质购物体验。</w:t>
      </w:r>
      <w:r>
        <w:rPr>
          <w:rFonts w:ascii="Times New Roman" w:hAnsi="Times New Roman" w:cs="Times New Roman" w:eastAsia="Times New Roman" w:hint="default"/>
        </w:rPr>
        <w:t>2015</w:t>
      </w:r>
      <w:r>
        <w:rPr>
          <w:rFonts w:ascii="Times New Roman" w:hAnsi="Times New Roman" w:cs="Times New Roman" w:eastAsia="Times New Roman" w:hint="default"/>
          <w:spacing w:val="-28"/>
        </w:rPr>
        <w:t> </w:t>
      </w:r>
      <w:r>
        <w:rPr/>
        <w:t>年公司围绕渠道、商品、服务等零售核</w:t>
      </w:r>
      <w:r>
        <w:rPr>
          <w:w w:val="99"/>
        </w:rPr>
        <w:t> </w:t>
      </w:r>
      <w:r>
        <w:rPr/>
        <w:t>心环节，持续强化企业竞争能力，在外部市场增长放缓的情形下，各项业务均实现了高速增长。</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Heading4"/>
        <w:spacing w:line="240" w:lineRule="auto"/>
        <w:ind w:left="738" w:right="1082"/>
        <w:jc w:val="left"/>
        <w:rPr>
          <w:b w:val="0"/>
          <w:bCs w:val="0"/>
        </w:rPr>
      </w:pPr>
      <w:r>
        <w:rPr>
          <w:rFonts w:ascii="Wingdings" w:hAnsi="Wingdings" w:cs="Wingdings" w:eastAsia="Wingdings" w:hint="default"/>
          <w:b w:val="0"/>
          <w:bCs w:val="0"/>
        </w:rPr>
        <w:t></w:t>
      </w:r>
      <w:r>
        <w:rPr/>
        <w:t>以消费者为中心，践行全渠道融合发展</w:t>
      </w:r>
      <w:r>
        <w:rPr>
          <w:b w:val="0"/>
          <w:bCs w:val="0"/>
        </w:rPr>
      </w:r>
    </w:p>
    <w:p>
      <w:pPr>
        <w:pStyle w:val="Heading4"/>
        <w:spacing w:line="240" w:lineRule="auto" w:before="164"/>
        <w:ind w:left="595" w:right="1082"/>
        <w:jc w:val="left"/>
        <w:rPr>
          <w:b w:val="0"/>
          <w:bCs w:val="0"/>
        </w:rPr>
      </w:pPr>
      <w:r>
        <w:rPr>
          <w:rFonts w:ascii="Times New Roman" w:hAnsi="Times New Roman" w:cs="Times New Roman" w:eastAsia="Times New Roman" w:hint="default"/>
        </w:rPr>
        <w:t>1</w:t>
      </w:r>
      <w:r>
        <w:rPr/>
        <w:t>、店面端</w:t>
      </w:r>
      <w:r>
        <w:rPr>
          <w:rFonts w:ascii="Times New Roman" w:hAnsi="Times New Roman" w:cs="Times New Roman" w:eastAsia="Times New Roman" w:hint="default"/>
        </w:rPr>
        <w:t>—</w:t>
      </w:r>
      <w:r>
        <w:rPr/>
        <w:t>优化连锁业态布局，下沉农村市场，强化门店互联网化建设</w:t>
      </w:r>
      <w:r>
        <w:rPr>
          <w:b w:val="0"/>
          <w:bCs w:val="0"/>
        </w:rPr>
      </w:r>
    </w:p>
    <w:p>
      <w:pPr>
        <w:pStyle w:val="BodyText"/>
        <w:spacing w:line="240" w:lineRule="auto" w:before="163"/>
        <w:ind w:left="594" w:right="1082"/>
        <w:jc w:val="left"/>
      </w:pPr>
      <w:r>
        <w:rPr/>
        <w:t>（</w:t>
      </w:r>
      <w:r>
        <w:rPr>
          <w:rFonts w:ascii="Times New Roman" w:hAnsi="Times New Roman" w:cs="Times New Roman" w:eastAsia="Times New Roman" w:hint="default"/>
        </w:rPr>
        <w:t>1</w:t>
      </w:r>
      <w:r>
        <w:rPr/>
        <w:t>）连锁网络建设情况</w:t>
      </w:r>
    </w:p>
    <w:p>
      <w:pPr>
        <w:pStyle w:val="BodyText"/>
        <w:spacing w:line="369" w:lineRule="auto" w:before="163"/>
        <w:ind w:right="0" w:firstLine="440"/>
        <w:jc w:val="left"/>
      </w:pPr>
      <w:r>
        <w:rPr>
          <w:rFonts w:ascii="Wingdings" w:hAnsi="Wingdings" w:cs="Wingdings" w:eastAsia="Wingdings" w:hint="default"/>
        </w:rPr>
        <w:t></w:t>
      </w:r>
      <w:r>
        <w:rPr/>
        <w:t>大陆市场，报告期内公司持续推进店面网络多业态布局，加快红孩子店、超市店的开设。</w:t>
      </w:r>
      <w:r>
        <w:rPr>
          <w:rFonts w:ascii="Times New Roman" w:hAnsi="Times New Roman" w:cs="Times New Roman" w:eastAsia="Times New Roman" w:hint="default"/>
        </w:rPr>
        <w:t>2015</w:t>
      </w:r>
      <w:r>
        <w:rPr>
          <w:rFonts w:ascii="Times New Roman" w:hAnsi="Times New Roman" w:cs="Times New Roman" w:eastAsia="Times New Roman" w:hint="default"/>
          <w:w w:val="99"/>
        </w:rPr>
        <w:t> </w:t>
      </w:r>
      <w:r>
        <w:rPr/>
        <w:t>年全年公司新开常规店</w:t>
      </w:r>
      <w:r>
        <w:rPr>
          <w:rFonts w:ascii="Times New Roman" w:hAnsi="Times New Roman" w:cs="Times New Roman" w:eastAsia="Times New Roman" w:hint="default"/>
        </w:rPr>
        <w:t>74</w:t>
      </w:r>
      <w:r>
        <w:rPr/>
        <w:t>家，红孩子店</w:t>
      </w:r>
      <w:r>
        <w:rPr>
          <w:rFonts w:ascii="Times New Roman" w:hAnsi="Times New Roman" w:cs="Times New Roman" w:eastAsia="Times New Roman" w:hint="default"/>
        </w:rPr>
        <w:t>23</w:t>
      </w:r>
      <w:r>
        <w:rPr/>
        <w:t>家，超市店</w:t>
      </w:r>
      <w:r>
        <w:rPr>
          <w:rFonts w:ascii="Times New Roman" w:hAnsi="Times New Roman" w:cs="Times New Roman" w:eastAsia="Times New Roman" w:hint="default"/>
        </w:rPr>
        <w:t>37</w:t>
      </w:r>
      <w:r>
        <w:rPr/>
        <w:t>家，红孩子、苏宁超市品牌形象进一步提升；</w:t>
      </w:r>
      <w:r>
        <w:rPr>
          <w:spacing w:val="-72"/>
        </w:rPr>
        <w:t> </w:t>
      </w:r>
      <w:r>
        <w:rPr>
          <w:spacing w:val="-72"/>
        </w:rPr>
      </w:r>
      <w:r>
        <w:rPr/>
        <w:t>云店作为公司互联网转型在线下的固化，公司持续探索完善云店模式，全年新开云店</w:t>
      </w:r>
      <w:r>
        <w:rPr>
          <w:rFonts w:ascii="Times New Roman" w:hAnsi="Times New Roman" w:cs="Times New Roman" w:eastAsia="Times New Roman" w:hint="default"/>
        </w:rPr>
        <w:t>10</w:t>
      </w:r>
      <w:r>
        <w:rPr/>
        <w:t>家，改造升级</w:t>
      </w:r>
      <w:r>
        <w:rPr>
          <w:w w:val="99"/>
        </w:rPr>
        <w:t> </w:t>
      </w:r>
      <w:r>
        <w:rPr/>
        <w:t>云店</w:t>
      </w:r>
      <w:r>
        <w:rPr>
          <w:rFonts w:ascii="Times New Roman" w:hAnsi="Times New Roman" w:cs="Times New Roman" w:eastAsia="Times New Roman" w:hint="default"/>
        </w:rPr>
        <w:t>32</w:t>
      </w:r>
      <w:r>
        <w:rPr/>
        <w:t>家；一二级市场结合消费者需求的变化，推进互联网</w:t>
      </w:r>
      <w:r>
        <w:rPr>
          <w:rFonts w:ascii="Times New Roman" w:hAnsi="Times New Roman" w:cs="Times New Roman" w:eastAsia="Times New Roman" w:hint="default"/>
        </w:rPr>
        <w:t>+</w:t>
      </w:r>
      <w:r>
        <w:rPr/>
        <w:t>云店模式，继续调整关闭社区店，同时</w:t>
      </w:r>
      <w:r>
        <w:rPr>
          <w:spacing w:val="-86"/>
        </w:rPr>
        <w:t> </w:t>
      </w:r>
      <w:r>
        <w:rPr>
          <w:spacing w:val="-86"/>
        </w:rPr>
      </w:r>
      <w:r>
        <w:rPr/>
        <w:t>优化超市店、红孩子店运营模式，</w:t>
      </w:r>
      <w:r>
        <w:rPr>
          <w:rFonts w:ascii="Times New Roman" w:hAnsi="Times New Roman" w:cs="Times New Roman" w:eastAsia="Times New Roman" w:hint="default"/>
        </w:rPr>
        <w:t>2015</w:t>
      </w:r>
      <w:r>
        <w:rPr/>
        <w:t>年公司置换</w:t>
      </w:r>
      <w:r>
        <w:rPr>
          <w:rFonts w:ascii="Times New Roman" w:hAnsi="Times New Roman" w:cs="Times New Roman" w:eastAsia="Times New Roman" w:hint="default"/>
        </w:rPr>
        <w:t>/</w:t>
      </w:r>
      <w:r>
        <w:rPr/>
        <w:t>关闭各类型店面</w:t>
      </w:r>
      <w:r>
        <w:rPr>
          <w:rFonts w:ascii="Times New Roman" w:hAnsi="Times New Roman" w:cs="Times New Roman" w:eastAsia="Times New Roman" w:hint="default"/>
        </w:rPr>
        <w:t>217</w:t>
      </w:r>
      <w:r>
        <w:rPr/>
        <w:t>家。</w:t>
      </w:r>
    </w:p>
    <w:p>
      <w:pPr>
        <w:pStyle w:val="BodyText"/>
        <w:spacing w:line="369" w:lineRule="auto" w:before="32"/>
        <w:ind w:right="0" w:firstLine="440"/>
        <w:jc w:val="left"/>
      </w:pPr>
      <w:r>
        <w:rPr>
          <w:spacing w:val="-4"/>
        </w:rPr>
        <w:t>截至报告期末，公司在大陆市场进入地级以上城市</w:t>
      </w:r>
      <w:r>
        <w:rPr>
          <w:rFonts w:ascii="Times New Roman" w:hAnsi="Times New Roman" w:cs="Times New Roman" w:eastAsia="Times New Roman" w:hint="default"/>
          <w:spacing w:val="-4"/>
        </w:rPr>
        <w:t>297</w:t>
      </w:r>
      <w:r>
        <w:rPr>
          <w:spacing w:val="-4"/>
        </w:rPr>
        <w:t>个，拥有连锁店面</w:t>
      </w:r>
      <w:r>
        <w:rPr>
          <w:rFonts w:ascii="Times New Roman" w:hAnsi="Times New Roman" w:cs="Times New Roman" w:eastAsia="Times New Roman" w:hint="default"/>
          <w:spacing w:val="-4"/>
        </w:rPr>
        <w:t>1577</w:t>
      </w:r>
      <w:r>
        <w:rPr>
          <w:spacing w:val="-4"/>
        </w:rPr>
        <w:t>家，其中云店</w:t>
      </w:r>
      <w:r>
        <w:rPr>
          <w:rFonts w:ascii="Times New Roman" w:hAnsi="Times New Roman" w:cs="Times New Roman" w:eastAsia="Times New Roman" w:hint="default"/>
          <w:spacing w:val="-4"/>
        </w:rPr>
        <w:t>42</w:t>
      </w:r>
      <w:r>
        <w:rPr>
          <w:spacing w:val="-4"/>
        </w:rPr>
        <w:t>家、</w:t>
      </w:r>
      <w:r>
        <w:rPr>
          <w:w w:val="99"/>
        </w:rPr>
        <w:t> </w:t>
      </w:r>
      <w:r>
        <w:rPr/>
        <w:t>常规店</w:t>
      </w:r>
      <w:r>
        <w:rPr>
          <w:rFonts w:ascii="Times New Roman" w:hAnsi="Times New Roman" w:cs="Times New Roman" w:eastAsia="Times New Roman" w:hint="default"/>
        </w:rPr>
        <w:t>1425</w:t>
      </w:r>
      <w:r>
        <w:rPr/>
        <w:t>家（旗舰店</w:t>
      </w:r>
      <w:r>
        <w:rPr>
          <w:rFonts w:ascii="Times New Roman" w:hAnsi="Times New Roman" w:cs="Times New Roman" w:eastAsia="Times New Roman" w:hint="default"/>
        </w:rPr>
        <w:t>298</w:t>
      </w:r>
      <w:r>
        <w:rPr/>
        <w:t>家、中心店</w:t>
      </w:r>
      <w:r>
        <w:rPr>
          <w:rFonts w:ascii="Times New Roman" w:hAnsi="Times New Roman" w:cs="Times New Roman" w:eastAsia="Times New Roman" w:hint="default"/>
        </w:rPr>
        <w:t>406</w:t>
      </w:r>
      <w:r>
        <w:rPr/>
        <w:t>家、社区店</w:t>
      </w:r>
      <w:r>
        <w:rPr>
          <w:rFonts w:ascii="Times New Roman" w:hAnsi="Times New Roman" w:cs="Times New Roman" w:eastAsia="Times New Roman" w:hint="default"/>
        </w:rPr>
        <w:t>721</w:t>
      </w:r>
      <w:r>
        <w:rPr/>
        <w:t>家）、县镇店</w:t>
      </w:r>
      <w:r>
        <w:rPr>
          <w:rFonts w:ascii="Times New Roman" w:hAnsi="Times New Roman" w:cs="Times New Roman" w:eastAsia="Times New Roman" w:hint="default"/>
        </w:rPr>
        <w:t>43</w:t>
      </w:r>
      <w:r>
        <w:rPr/>
        <w:t>家、乐购仕店</w:t>
      </w:r>
      <w:r>
        <w:rPr>
          <w:rFonts w:ascii="Times New Roman" w:hAnsi="Times New Roman" w:cs="Times New Roman" w:eastAsia="Times New Roman" w:hint="default"/>
        </w:rPr>
        <w:t>3</w:t>
      </w:r>
      <w:r>
        <w:rPr/>
        <w:t>家，此外红孩</w:t>
      </w:r>
      <w:r>
        <w:rPr>
          <w:w w:val="99"/>
        </w:rPr>
        <w:t> </w:t>
      </w:r>
      <w:r>
        <w:rPr/>
        <w:t>子店</w:t>
      </w:r>
      <w:r>
        <w:rPr>
          <w:rFonts w:ascii="Times New Roman" w:hAnsi="Times New Roman" w:cs="Times New Roman" w:eastAsia="Times New Roman" w:hint="default"/>
        </w:rPr>
        <w:t>27</w:t>
      </w:r>
      <w:r>
        <w:rPr/>
        <w:t>家、超市店</w:t>
      </w:r>
      <w:r>
        <w:rPr>
          <w:rFonts w:ascii="Times New Roman" w:hAnsi="Times New Roman" w:cs="Times New Roman" w:eastAsia="Times New Roman" w:hint="default"/>
        </w:rPr>
        <w:t>37</w:t>
      </w:r>
      <w:r>
        <w:rPr/>
        <w:t>家；同时，公司通过购置、自建以及合作等多种方式获取优质稳定的物业资源，</w:t>
      </w:r>
      <w:r>
        <w:rPr>
          <w:spacing w:val="-73"/>
        </w:rPr>
        <w:t> </w:t>
      </w:r>
      <w:r>
        <w:rPr>
          <w:spacing w:val="-73"/>
        </w:rPr>
      </w:r>
      <w:r>
        <w:rPr>
          <w:spacing w:val="-3"/>
        </w:rPr>
        <w:t>截至</w:t>
      </w:r>
      <w:r>
        <w:rPr>
          <w:rFonts w:ascii="Times New Roman" w:hAnsi="Times New Roman" w:cs="Times New Roman" w:eastAsia="Times New Roman" w:hint="default"/>
          <w:spacing w:val="-3"/>
        </w:rPr>
        <w:t>2015</w:t>
      </w:r>
      <w:r>
        <w:rPr>
          <w:spacing w:val="-3"/>
        </w:rPr>
        <w:t>年末，公司共拥有自有物业</w:t>
      </w:r>
      <w:r>
        <w:rPr>
          <w:rFonts w:ascii="Times New Roman" w:hAnsi="Times New Roman" w:cs="Times New Roman" w:eastAsia="Times New Roman" w:hint="default"/>
          <w:spacing w:val="-3"/>
        </w:rPr>
        <w:t>25</w:t>
      </w:r>
      <w:r>
        <w:rPr>
          <w:spacing w:val="-3"/>
        </w:rPr>
        <w:t>处，通过与苏宁电器集团</w:t>
      </w:r>
      <w:r>
        <w:rPr>
          <w:rFonts w:ascii="Times New Roman" w:hAnsi="Times New Roman" w:cs="Times New Roman" w:eastAsia="Times New Roman" w:hint="default"/>
          <w:spacing w:val="-3"/>
        </w:rPr>
        <w:t>/</w:t>
      </w:r>
      <w:r>
        <w:rPr>
          <w:spacing w:val="-3"/>
        </w:rPr>
        <w:t>苏宁置业集团等全国性房地产商合作</w:t>
      </w:r>
      <w:r>
        <w:rPr>
          <w:spacing w:val="-87"/>
        </w:rPr>
        <w:t> </w:t>
      </w:r>
      <w:r>
        <w:rPr>
          <w:spacing w:val="-87"/>
        </w:rPr>
      </w:r>
      <w:r>
        <w:rPr/>
        <w:t>租赁店面</w:t>
      </w:r>
      <w:r>
        <w:rPr>
          <w:rFonts w:ascii="Times New Roman" w:hAnsi="Times New Roman" w:cs="Times New Roman" w:eastAsia="Times New Roman" w:hint="default"/>
        </w:rPr>
        <w:t>18</w:t>
      </w:r>
      <w:r>
        <w:rPr/>
        <w:t>家，此外，通过实施门店资产创新运作获得长期稳定的店面</w:t>
      </w:r>
      <w:r>
        <w:rPr>
          <w:rFonts w:ascii="Times New Roman" w:hAnsi="Times New Roman" w:cs="Times New Roman" w:eastAsia="Times New Roman" w:hint="default"/>
        </w:rPr>
        <w:t>25</w:t>
      </w:r>
      <w:r>
        <w:rPr/>
        <w:t>家。</w:t>
      </w:r>
    </w:p>
    <w:p>
      <w:pPr>
        <w:pStyle w:val="BodyText"/>
        <w:spacing w:line="369" w:lineRule="auto" w:before="32"/>
        <w:ind w:right="1130" w:firstLine="440"/>
        <w:jc w:val="both"/>
      </w:pPr>
      <w:r>
        <w:rPr>
          <w:rFonts w:ascii="Wingdings" w:hAnsi="Wingdings" w:cs="Wingdings" w:eastAsia="Wingdings" w:hint="default"/>
        </w:rPr>
        <w:t></w:t>
      </w:r>
      <w:r>
        <w:rPr/>
        <w:t>国际市场，</w:t>
      </w:r>
      <w:r>
        <w:rPr>
          <w:rFonts w:ascii="Times New Roman" w:hAnsi="Times New Roman" w:cs="Times New Roman" w:eastAsia="Times New Roman" w:hint="default"/>
        </w:rPr>
        <w:t>2015</w:t>
      </w:r>
      <w:r>
        <w:rPr/>
        <w:t>年，公司在香港地区新开店面</w:t>
      </w:r>
      <w:r>
        <w:rPr>
          <w:rFonts w:ascii="Times New Roman" w:hAnsi="Times New Roman" w:cs="Times New Roman" w:eastAsia="Times New Roman" w:hint="default"/>
        </w:rPr>
        <w:t>5</w:t>
      </w:r>
      <w:r>
        <w:rPr/>
        <w:t>家，关闭店面</w:t>
      </w:r>
      <w:r>
        <w:rPr>
          <w:rFonts w:ascii="Times New Roman" w:hAnsi="Times New Roman" w:cs="Times New Roman" w:eastAsia="Times New Roman" w:hint="default"/>
        </w:rPr>
        <w:t>6</w:t>
      </w:r>
      <w:r>
        <w:rPr/>
        <w:t>家，截至期末公司在香港、澳门</w:t>
      </w:r>
      <w:r>
        <w:rPr>
          <w:w w:val="99"/>
        </w:rPr>
        <w:t> </w:t>
      </w:r>
      <w:r>
        <w:rPr>
          <w:spacing w:val="-1"/>
        </w:rPr>
        <w:t>地区已拥有门店</w:t>
      </w:r>
      <w:r>
        <w:rPr>
          <w:rFonts w:ascii="Times New Roman" w:hAnsi="Times New Roman" w:cs="Times New Roman" w:eastAsia="Times New Roman" w:hint="default"/>
          <w:spacing w:val="-1"/>
        </w:rPr>
        <w:t>28</w:t>
      </w:r>
      <w:r>
        <w:rPr>
          <w:spacing w:val="-1"/>
        </w:rPr>
        <w:t>家，自</w:t>
      </w:r>
      <w:r>
        <w:rPr>
          <w:rFonts w:ascii="Times New Roman" w:hAnsi="Times New Roman" w:cs="Times New Roman" w:eastAsia="Times New Roman" w:hint="default"/>
          <w:spacing w:val="-1"/>
        </w:rPr>
        <w:t>2009</w:t>
      </w:r>
      <w:r>
        <w:rPr>
          <w:spacing w:val="-1"/>
        </w:rPr>
        <w:t>年公司进入香港地区以来，苏宁连锁品牌在香港地区已拥有了较高知名</w:t>
      </w:r>
      <w:r>
        <w:rPr>
          <w:w w:val="99"/>
        </w:rPr>
        <w:t> </w:t>
      </w:r>
      <w:r>
        <w:rPr>
          <w:spacing w:val="-5"/>
        </w:rPr>
        <w:t>度；日本</w:t>
      </w:r>
      <w:r>
        <w:rPr>
          <w:rFonts w:ascii="Times New Roman" w:hAnsi="Times New Roman" w:cs="Times New Roman" w:eastAsia="Times New Roman" w:hint="default"/>
          <w:spacing w:val="-5"/>
        </w:rPr>
        <w:t>LAOX</w:t>
      </w:r>
      <w:r>
        <w:rPr>
          <w:spacing w:val="-5"/>
        </w:rPr>
        <w:t>抓住赴日购物人群迅速增加的市场机会，继续加快市场拓展步伐，全年新开店面</w:t>
      </w:r>
      <w:r>
        <w:rPr>
          <w:rFonts w:ascii="Times New Roman" w:hAnsi="Times New Roman" w:cs="Times New Roman" w:eastAsia="Times New Roman" w:hint="default"/>
          <w:spacing w:val="-5"/>
        </w:rPr>
        <w:t>18</w:t>
      </w:r>
      <w:r>
        <w:rPr>
          <w:spacing w:val="-5"/>
        </w:rPr>
        <w:t>家，</w:t>
      </w:r>
      <w:r>
        <w:rPr>
          <w:spacing w:val="-101"/>
        </w:rPr>
        <w:t> </w:t>
      </w:r>
      <w:r>
        <w:rPr/>
        <w:t>关闭店面</w:t>
      </w:r>
      <w:r>
        <w:rPr>
          <w:rFonts w:ascii="Times New Roman" w:hAnsi="Times New Roman" w:cs="Times New Roman" w:eastAsia="Times New Roman" w:hint="default"/>
        </w:rPr>
        <w:t>2</w:t>
      </w:r>
      <w:r>
        <w:rPr/>
        <w:t>家，期末日本市场拥有店面</w:t>
      </w:r>
      <w:r>
        <w:rPr>
          <w:rFonts w:ascii="Times New Roman" w:hAnsi="Times New Roman" w:cs="Times New Roman" w:eastAsia="Times New Roman" w:hint="default"/>
        </w:rPr>
        <w:t>33</w:t>
      </w:r>
      <w:r>
        <w:rPr/>
        <w:t>家，</w:t>
      </w:r>
      <w:r>
        <w:rPr>
          <w:rFonts w:ascii="Times New Roman" w:hAnsi="Times New Roman" w:cs="Times New Roman" w:eastAsia="Times New Roman" w:hint="default"/>
        </w:rPr>
        <w:t>LAOX</w:t>
      </w:r>
      <w:r>
        <w:rPr/>
        <w:t>已成为日本最大的免税消费渠道。</w:t>
      </w:r>
    </w:p>
    <w:p>
      <w:pPr>
        <w:pStyle w:val="BodyText"/>
        <w:spacing w:line="240" w:lineRule="auto" w:before="32"/>
        <w:ind w:left="594" w:right="1082"/>
        <w:jc w:val="left"/>
      </w:pPr>
      <w:r>
        <w:rPr/>
        <w:t>综上所述，截至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日公司合计拥有店面</w:t>
      </w:r>
      <w:r>
        <w:rPr>
          <w:rFonts w:ascii="Times New Roman" w:hAnsi="Times New Roman" w:cs="Times New Roman" w:eastAsia="Times New Roman" w:hint="default"/>
        </w:rPr>
        <w:t>1638</w:t>
      </w:r>
      <w:r>
        <w:rPr/>
        <w:t>家。</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69" w:lineRule="auto" w:before="166"/>
        <w:ind w:left="213" w:right="1019" w:firstLine="440"/>
        <w:jc w:val="left"/>
      </w:pPr>
      <w:r>
        <w:rPr>
          <w:rFonts w:ascii="Wingdings" w:hAnsi="Wingdings" w:cs="Wingdings" w:eastAsia="Wingdings" w:hint="default"/>
          <w:spacing w:val="-3"/>
          <w:w w:val="99"/>
        </w:rPr>
        <w:t></w:t>
      </w:r>
      <w:r>
        <w:rPr>
          <w:spacing w:val="-3"/>
          <w:w w:val="99"/>
        </w:rPr>
        <w:t>苏宁易购服务站是</w:t>
      </w:r>
      <w:r>
        <w:rPr>
          <w:rFonts w:ascii="Times New Roman" w:hAnsi="Times New Roman" w:cs="Times New Roman" w:eastAsia="Times New Roman" w:hint="default"/>
          <w:spacing w:val="-3"/>
          <w:w w:val="99"/>
        </w:rPr>
        <w:t>O2O</w:t>
      </w:r>
      <w:r>
        <w:rPr>
          <w:spacing w:val="-3"/>
          <w:w w:val="99"/>
        </w:rPr>
        <w:t>模式在三四级市场落地的载体，为苏宁互联网门店渠道下沉的重要举措，</w:t>
      </w:r>
      <w:r>
        <w:rPr>
          <w:w w:val="99"/>
        </w:rPr>
        <w:t> </w:t>
      </w:r>
      <w:r>
        <w:rPr>
          <w:rFonts w:ascii="Times New Roman" w:hAnsi="Times New Roman" w:cs="Times New Roman" w:eastAsia="Times New Roman" w:hint="default"/>
        </w:rPr>
        <w:t>2015</w:t>
      </w:r>
      <w:r>
        <w:rPr/>
        <w:t>年公司建立并完善了易购服务站的管理运营体系，并实现了快速的拓展。公司以自营、加盟、合</w:t>
      </w:r>
      <w:r>
        <w:rPr>
          <w:w w:val="99"/>
        </w:rPr>
        <w:t> </w:t>
      </w:r>
      <w:r>
        <w:rPr/>
        <w:t>作网点与代理的方式全面推进易购服务站的开设，有效提升三四级市场</w:t>
      </w:r>
      <w:r>
        <w:rPr>
          <w:rFonts w:ascii="Times New Roman" w:hAnsi="Times New Roman" w:cs="Times New Roman" w:eastAsia="Times New Roman" w:hint="default"/>
        </w:rPr>
        <w:t>“</w:t>
      </w:r>
      <w:r>
        <w:rPr/>
        <w:t>苏宁易购</w:t>
      </w:r>
      <w:r>
        <w:rPr>
          <w:rFonts w:ascii="Times New Roman" w:hAnsi="Times New Roman" w:cs="Times New Roman" w:eastAsia="Times New Roman" w:hint="default"/>
        </w:rPr>
        <w:t>”</w:t>
      </w:r>
      <w:r>
        <w:rPr/>
        <w:t>的品牌认知度，</w:t>
      </w:r>
      <w:r>
        <w:rPr>
          <w:spacing w:val="-85"/>
        </w:rPr>
        <w:t> </w:t>
      </w:r>
      <w:r>
        <w:rPr/>
        <w:t>实</w:t>
      </w:r>
      <w:r>
        <w:rPr>
          <w:w w:val="99"/>
        </w:rPr>
        <w:t> </w:t>
      </w:r>
      <w:r>
        <w:rPr/>
        <w:t>现了用户拓展、服务体验以及物流效率的提升。截至</w:t>
      </w:r>
      <w:r>
        <w:rPr>
          <w:rFonts w:ascii="Times New Roman" w:hAnsi="Times New Roman" w:cs="Times New Roman" w:eastAsia="Times New Roman" w:hint="default"/>
        </w:rPr>
        <w:t>2015</w:t>
      </w:r>
      <w:r>
        <w:rPr/>
        <w:t>年末，苏宁易购直营服务站数量</w:t>
      </w:r>
      <w:r>
        <w:rPr>
          <w:rFonts w:ascii="Times New Roman" w:hAnsi="Times New Roman" w:cs="Times New Roman" w:eastAsia="Times New Roman" w:hint="default"/>
        </w:rPr>
        <w:t>1011</w:t>
      </w:r>
      <w:r>
        <w:rPr/>
        <w:t>家，苏</w:t>
      </w:r>
      <w:r>
        <w:rPr>
          <w:w w:val="99"/>
        </w:rPr>
        <w:t> </w:t>
      </w:r>
      <w:r>
        <w:rPr/>
        <w:t>宁易购加盟服务站数量</w:t>
      </w:r>
      <w:r>
        <w:rPr>
          <w:rFonts w:ascii="Times New Roman" w:hAnsi="Times New Roman" w:cs="Times New Roman" w:eastAsia="Times New Roman" w:hint="default"/>
        </w:rPr>
        <w:t>1430</w:t>
      </w:r>
      <w:r>
        <w:rPr/>
        <w:t>家。</w:t>
      </w:r>
    </w:p>
    <w:p>
      <w:pPr>
        <w:pStyle w:val="BodyText"/>
        <w:tabs>
          <w:tab w:pos="1205" w:val="left" w:leader="none"/>
          <w:tab w:pos="7476" w:val="left" w:leader="none"/>
        </w:tabs>
        <w:spacing w:line="240" w:lineRule="auto" w:before="32"/>
        <w:ind w:left="654" w:right="1019"/>
        <w:jc w:val="left"/>
      </w:pPr>
      <w:r>
        <w:rPr>
          <w:w w:val="95"/>
        </w:rPr>
        <w:t>表</w:t>
      </w:r>
      <w:r>
        <w:rPr>
          <w:rFonts w:ascii="Times New Roman" w:hAnsi="Times New Roman" w:cs="Times New Roman" w:eastAsia="Times New Roman" w:hint="default"/>
          <w:w w:val="95"/>
        </w:rPr>
        <w:t>1</w:t>
        <w:tab/>
      </w:r>
      <w:r>
        <w:rPr>
          <w:w w:val="95"/>
        </w:rPr>
        <w:t>大陆地区按照店面类型分布情况</w:t>
        <w:tab/>
      </w:r>
      <w:r>
        <w:rPr/>
        <w:t>（单位：家）</w:t>
      </w:r>
    </w:p>
    <w:p>
      <w:pPr>
        <w:spacing w:line="240" w:lineRule="auto" w:before="9"/>
        <w:rPr>
          <w:rFonts w:ascii="宋体" w:hAnsi="宋体" w:cs="宋体" w:eastAsia="宋体" w:hint="default"/>
          <w:sz w:val="8"/>
          <w:szCs w:val="8"/>
        </w:rPr>
      </w:pPr>
    </w:p>
    <w:tbl>
      <w:tblPr>
        <w:tblW w:w="0" w:type="auto"/>
        <w:jc w:val="left"/>
        <w:tblInd w:w="314" w:type="dxa"/>
        <w:tblLayout w:type="fixed"/>
        <w:tblCellMar>
          <w:top w:w="0" w:type="dxa"/>
          <w:left w:w="0" w:type="dxa"/>
          <w:bottom w:w="0" w:type="dxa"/>
          <w:right w:w="0" w:type="dxa"/>
        </w:tblCellMar>
        <w:tblLook w:val="01E0"/>
      </w:tblPr>
      <w:tblGrid>
        <w:gridCol w:w="1581"/>
        <w:gridCol w:w="1402"/>
        <w:gridCol w:w="1420"/>
        <w:gridCol w:w="1109"/>
        <w:gridCol w:w="1160"/>
        <w:gridCol w:w="1134"/>
        <w:gridCol w:w="1624"/>
      </w:tblGrid>
      <w:tr>
        <w:trPr>
          <w:trHeight w:val="310" w:hRule="exact"/>
        </w:trPr>
        <w:tc>
          <w:tcPr>
            <w:tcW w:w="1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344" w:right="0"/>
              <w:jc w:val="left"/>
              <w:rPr>
                <w:rFonts w:ascii="宋体" w:hAnsi="宋体" w:cs="宋体" w:eastAsia="宋体" w:hint="default"/>
                <w:sz w:val="22"/>
                <w:szCs w:val="22"/>
              </w:rPr>
            </w:pPr>
            <w:r>
              <w:rPr>
                <w:rFonts w:ascii="宋体" w:hAnsi="宋体" w:cs="宋体" w:eastAsia="宋体" w:hint="default"/>
                <w:sz w:val="22"/>
                <w:szCs w:val="22"/>
              </w:rPr>
              <w:t>店面类型</w:t>
            </w:r>
          </w:p>
        </w:tc>
        <w:tc>
          <w:tcPr>
            <w:tcW w:w="28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63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35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tc>
        <w:tc>
          <w:tcPr>
            <w:tcW w:w="27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right="1"/>
              <w:jc w:val="center"/>
              <w:rPr>
                <w:rFonts w:ascii="宋体" w:hAnsi="宋体" w:cs="宋体" w:eastAsia="宋体" w:hint="default"/>
                <w:sz w:val="22"/>
                <w:szCs w:val="22"/>
              </w:rPr>
            </w:pPr>
            <w:r>
              <w:rPr>
                <w:rFonts w:ascii="宋体" w:hAnsi="宋体" w:cs="宋体" w:eastAsia="宋体" w:hint="default"/>
                <w:sz w:val="22"/>
                <w:szCs w:val="22"/>
              </w:rPr>
              <w:t>增减变化</w:t>
            </w:r>
          </w:p>
        </w:tc>
      </w:tr>
      <w:tr>
        <w:trPr>
          <w:trHeight w:val="314" w:hRule="exact"/>
        </w:trPr>
        <w:tc>
          <w:tcPr>
            <w:tcW w:w="1581" w:type="dxa"/>
            <w:vMerge/>
            <w:tcBorders>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72" w:right="0"/>
              <w:jc w:val="left"/>
              <w:rPr>
                <w:rFonts w:ascii="宋体" w:hAnsi="宋体" w:cs="宋体" w:eastAsia="宋体" w:hint="default"/>
                <w:sz w:val="22"/>
                <w:szCs w:val="22"/>
              </w:rPr>
            </w:pPr>
            <w:r>
              <w:rPr>
                <w:rFonts w:ascii="宋体" w:hAnsi="宋体" w:cs="宋体" w:eastAsia="宋体" w:hint="default"/>
                <w:sz w:val="22"/>
                <w:szCs w:val="22"/>
              </w:rPr>
              <w:t>占比（</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28"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43"/>
              <w:jc w:val="right"/>
              <w:rPr>
                <w:rFonts w:ascii="宋体" w:hAnsi="宋体" w:cs="宋体" w:eastAsia="宋体" w:hint="default"/>
                <w:sz w:val="22"/>
                <w:szCs w:val="22"/>
              </w:rPr>
            </w:pPr>
            <w:r>
              <w:rPr>
                <w:rFonts w:ascii="宋体" w:hAnsi="宋体" w:cs="宋体" w:eastAsia="宋体" w:hint="default"/>
                <w:w w:val="95"/>
                <w:sz w:val="22"/>
                <w:szCs w:val="22"/>
              </w:rPr>
              <w:t>占比（</w:t>
            </w:r>
            <w:r>
              <w:rPr>
                <w:rFonts w:ascii="Times New Roman" w:hAnsi="Times New Roman" w:cs="Times New Roman" w:eastAsia="Times New Roman" w:hint="default"/>
                <w:w w:val="95"/>
                <w:sz w:val="22"/>
                <w:szCs w:val="22"/>
              </w:rPr>
              <w:t>%</w:t>
            </w:r>
            <w:r>
              <w:rPr>
                <w:rFonts w:ascii="宋体" w:hAnsi="宋体" w:cs="宋体" w:eastAsia="宋体" w:hint="default"/>
                <w:w w:val="95"/>
                <w:sz w:val="22"/>
                <w:szCs w:val="22"/>
              </w:rPr>
              <w:t>）</w:t>
            </w:r>
            <w:r>
              <w:rPr>
                <w:rFonts w:ascii="宋体" w:hAnsi="宋体" w:cs="宋体" w:eastAsia="宋体" w:hint="default"/>
                <w:sz w:val="22"/>
                <w:szCs w:val="22"/>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21" w:right="0"/>
              <w:jc w:val="left"/>
              <w:rPr>
                <w:rFonts w:ascii="宋体" w:hAnsi="宋体" w:cs="宋体" w:eastAsia="宋体" w:hint="default"/>
                <w:sz w:val="22"/>
                <w:szCs w:val="22"/>
              </w:rPr>
            </w:pPr>
            <w:r>
              <w:rPr>
                <w:rFonts w:ascii="宋体" w:hAnsi="宋体" w:cs="宋体" w:eastAsia="宋体" w:hint="default"/>
                <w:sz w:val="22"/>
                <w:szCs w:val="22"/>
              </w:rPr>
              <w:t>数量变化</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0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占比变化</w:t>
            </w:r>
            <w:r>
              <w:rPr>
                <w:rFonts w:ascii="Times New Roman" w:hAnsi="Times New Roman" w:cs="Times New Roman" w:eastAsia="Times New Roman" w:hint="default"/>
                <w:sz w:val="22"/>
                <w:szCs w:val="22"/>
              </w:rPr>
              <w:t>(%)</w:t>
            </w:r>
          </w:p>
        </w:tc>
      </w:tr>
      <w:tr>
        <w:trPr>
          <w:trHeight w:val="316" w:hRule="exact"/>
        </w:trPr>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left"/>
              <w:rPr>
                <w:rFonts w:ascii="宋体" w:hAnsi="宋体" w:cs="宋体" w:eastAsia="宋体" w:hint="default"/>
                <w:sz w:val="22"/>
                <w:szCs w:val="22"/>
              </w:rPr>
            </w:pPr>
            <w:r>
              <w:rPr>
                <w:rFonts w:ascii="宋体" w:hAnsi="宋体" w:cs="宋体" w:eastAsia="宋体" w:hint="default"/>
                <w:sz w:val="22"/>
                <w:szCs w:val="22"/>
              </w:rPr>
              <w:t>云店</w:t>
            </w:r>
          </w:p>
        </w:tc>
        <w:tc>
          <w:tcPr>
            <w:tcW w:w="14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Times New Roman" w:hAnsi="Times New Roman" w:cs="Times New Roman" w:eastAsia="Times New Roman" w:hint="default"/>
                <w:sz w:val="22"/>
                <w:szCs w:val="22"/>
              </w:rPr>
            </w:pPr>
            <w:r>
              <w:rPr>
                <w:rFonts w:ascii="Times New Roman"/>
                <w:w w:val="95"/>
                <w:sz w:val="22"/>
              </w:rPr>
              <w:t>42</w:t>
            </w:r>
            <w:r>
              <w:rPr>
                <w:rFonts w:ascii="Times New Roman"/>
                <w:sz w:val="22"/>
              </w:rPr>
            </w:r>
          </w:p>
        </w:tc>
        <w:tc>
          <w:tcPr>
            <w:tcW w:w="14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4"/>
              <w:jc w:val="right"/>
              <w:rPr>
                <w:rFonts w:ascii="Times New Roman" w:hAnsi="Times New Roman" w:cs="Times New Roman" w:eastAsia="Times New Roman" w:hint="default"/>
                <w:sz w:val="22"/>
                <w:szCs w:val="22"/>
              </w:rPr>
            </w:pPr>
            <w:r>
              <w:rPr>
                <w:rFonts w:ascii="Times New Roman"/>
                <w:w w:val="95"/>
                <w:sz w:val="22"/>
              </w:rPr>
              <w:t>2.66%</w:t>
            </w:r>
            <w:r>
              <w:rPr>
                <w:rFonts w:ascii="Times New Roman"/>
                <w:sz w:val="22"/>
              </w:rPr>
            </w:r>
          </w:p>
        </w:tc>
        <w:tc>
          <w:tcPr>
            <w:tcW w:w="110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9"/>
              <w:ind w:right="4"/>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9"/>
              <w:ind w:right="4"/>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2"/>
              <w:jc w:val="right"/>
              <w:rPr>
                <w:rFonts w:ascii="Times New Roman" w:hAnsi="Times New Roman" w:cs="Times New Roman" w:eastAsia="Times New Roman" w:hint="default"/>
                <w:sz w:val="22"/>
                <w:szCs w:val="22"/>
              </w:rPr>
            </w:pPr>
            <w:r>
              <w:rPr>
                <w:rFonts w:ascii="Times New Roman"/>
                <w:w w:val="95"/>
                <w:sz w:val="22"/>
              </w:rPr>
              <w:t>42</w:t>
            </w:r>
            <w:r>
              <w:rPr>
                <w:rFonts w:ascii="Times New Roman"/>
                <w:sz w:val="22"/>
              </w:rPr>
            </w:r>
          </w:p>
        </w:tc>
        <w:tc>
          <w:tcPr>
            <w:tcW w:w="162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2"/>
              <w:jc w:val="right"/>
              <w:rPr>
                <w:rFonts w:ascii="Times New Roman" w:hAnsi="Times New Roman" w:cs="Times New Roman" w:eastAsia="Times New Roman" w:hint="default"/>
                <w:sz w:val="22"/>
                <w:szCs w:val="22"/>
              </w:rPr>
            </w:pPr>
            <w:r>
              <w:rPr>
                <w:rFonts w:ascii="Times New Roman"/>
                <w:w w:val="95"/>
                <w:sz w:val="22"/>
              </w:rPr>
              <w:t>2.66%</w:t>
            </w:r>
            <w:r>
              <w:rPr>
                <w:rFonts w:ascii="Times New Roman"/>
                <w:sz w:val="22"/>
              </w:rPr>
            </w:r>
          </w:p>
        </w:tc>
      </w:tr>
      <w:tr>
        <w:trPr>
          <w:trHeight w:val="316" w:hRule="exact"/>
        </w:trPr>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 w:right="0"/>
              <w:jc w:val="left"/>
              <w:rPr>
                <w:rFonts w:ascii="宋体" w:hAnsi="宋体" w:cs="宋体" w:eastAsia="宋体" w:hint="default"/>
                <w:sz w:val="22"/>
                <w:szCs w:val="22"/>
              </w:rPr>
            </w:pPr>
            <w:r>
              <w:rPr>
                <w:rFonts w:ascii="宋体" w:hAnsi="宋体" w:cs="宋体" w:eastAsia="宋体" w:hint="default"/>
                <w:sz w:val="22"/>
                <w:szCs w:val="22"/>
              </w:rPr>
              <w:t>旗舰店（注</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298</w:t>
            </w:r>
            <w:r>
              <w:rPr>
                <w:rFonts w:ascii="Times New Roman"/>
                <w:sz w:val="22"/>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22"/>
                <w:szCs w:val="22"/>
              </w:rPr>
            </w:pPr>
            <w:r>
              <w:rPr>
                <w:rFonts w:ascii="Times New Roman"/>
                <w:w w:val="95"/>
                <w:sz w:val="22"/>
              </w:rPr>
              <w:t>18.90%</w:t>
            </w:r>
            <w:r>
              <w:rPr>
                <w:rFonts w:ascii="Times New Roman"/>
                <w:sz w:val="22"/>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339</w:t>
            </w:r>
            <w:r>
              <w:rPr>
                <w:rFonts w:ascii="Times New Roman"/>
                <w:sz w:val="22"/>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5"/>
                <w:sz w:val="22"/>
              </w:rPr>
              <w:t>20.55%</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-41</w:t>
            </w:r>
            <w:r>
              <w:rPr>
                <w:rFonts w:ascii="Times New Roman"/>
                <w:sz w:val="22"/>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-1.65%</w:t>
            </w:r>
            <w:r>
              <w:rPr>
                <w:rFonts w:ascii="Times New Roman"/>
                <w:sz w:val="22"/>
              </w:rPr>
            </w:r>
          </w:p>
        </w:tc>
      </w:tr>
      <w:tr>
        <w:trPr>
          <w:trHeight w:val="316" w:hRule="exact"/>
        </w:trPr>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left"/>
              <w:rPr>
                <w:rFonts w:ascii="宋体" w:hAnsi="宋体" w:cs="宋体" w:eastAsia="宋体" w:hint="default"/>
                <w:sz w:val="22"/>
                <w:szCs w:val="22"/>
              </w:rPr>
            </w:pPr>
            <w:r>
              <w:rPr>
                <w:rFonts w:ascii="宋体" w:hAnsi="宋体" w:cs="宋体" w:eastAsia="宋体" w:hint="default"/>
                <w:sz w:val="22"/>
                <w:szCs w:val="22"/>
              </w:rPr>
              <w:t>中心店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406</w:t>
            </w:r>
            <w:r>
              <w:rPr>
                <w:rFonts w:ascii="Times New Roman"/>
                <w:sz w:val="22"/>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2"/>
                <w:szCs w:val="22"/>
              </w:rPr>
            </w:pPr>
            <w:r>
              <w:rPr>
                <w:rFonts w:ascii="Times New Roman"/>
                <w:w w:val="95"/>
                <w:sz w:val="22"/>
              </w:rPr>
              <w:t>25.74%</w:t>
            </w:r>
            <w:r>
              <w:rPr>
                <w:rFonts w:ascii="Times New Roman"/>
                <w:sz w:val="22"/>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438</w:t>
            </w:r>
            <w:r>
              <w:rPr>
                <w:rFonts w:ascii="Times New Roman"/>
                <w:sz w:val="22"/>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5"/>
                <w:sz w:val="22"/>
              </w:rPr>
              <w:t>26.55%</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-32</w:t>
            </w:r>
            <w:r>
              <w:rPr>
                <w:rFonts w:ascii="Times New Roman"/>
                <w:sz w:val="22"/>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-0.81%</w:t>
            </w:r>
            <w:r>
              <w:rPr>
                <w:rFonts w:ascii="Times New Roman"/>
                <w:sz w:val="22"/>
              </w:rPr>
            </w:r>
          </w:p>
        </w:tc>
      </w:tr>
      <w:tr>
        <w:trPr>
          <w:trHeight w:val="316" w:hRule="exact"/>
        </w:trPr>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 w:right="0"/>
              <w:jc w:val="left"/>
              <w:rPr>
                <w:rFonts w:ascii="宋体" w:hAnsi="宋体" w:cs="宋体" w:eastAsia="宋体" w:hint="default"/>
                <w:sz w:val="22"/>
                <w:szCs w:val="22"/>
              </w:rPr>
            </w:pPr>
            <w:r>
              <w:rPr>
                <w:rFonts w:ascii="宋体" w:hAnsi="宋体" w:cs="宋体" w:eastAsia="宋体" w:hint="default"/>
                <w:sz w:val="22"/>
                <w:szCs w:val="22"/>
              </w:rPr>
              <w:t>社区店（注</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721</w:t>
            </w:r>
            <w:r>
              <w:rPr>
                <w:rFonts w:ascii="Times New Roman"/>
                <w:sz w:val="22"/>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right"/>
              <w:rPr>
                <w:rFonts w:ascii="Times New Roman" w:hAnsi="Times New Roman" w:cs="Times New Roman" w:eastAsia="Times New Roman" w:hint="default"/>
                <w:sz w:val="22"/>
                <w:szCs w:val="22"/>
              </w:rPr>
            </w:pPr>
            <w:r>
              <w:rPr>
                <w:rFonts w:ascii="Times New Roman"/>
                <w:w w:val="95"/>
                <w:sz w:val="22"/>
              </w:rPr>
              <w:t>45.72%</w:t>
            </w:r>
            <w:r>
              <w:rPr>
                <w:rFonts w:ascii="Times New Roman"/>
                <w:sz w:val="22"/>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797</w:t>
            </w:r>
            <w:r>
              <w:rPr>
                <w:rFonts w:ascii="Times New Roman"/>
                <w:sz w:val="22"/>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5"/>
                <w:sz w:val="22"/>
              </w:rPr>
              <w:t>48.30%</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2"/>
                <w:szCs w:val="22"/>
              </w:rPr>
            </w:pPr>
            <w:r>
              <w:rPr>
                <w:rFonts w:ascii="Times New Roman"/>
                <w:w w:val="95"/>
                <w:sz w:val="22"/>
              </w:rPr>
              <w:t>-76</w:t>
            </w:r>
            <w:r>
              <w:rPr>
                <w:rFonts w:ascii="Times New Roman"/>
                <w:sz w:val="22"/>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2"/>
                <w:szCs w:val="22"/>
              </w:rPr>
            </w:pPr>
            <w:r>
              <w:rPr>
                <w:rFonts w:ascii="Times New Roman"/>
                <w:w w:val="95"/>
                <w:sz w:val="22"/>
              </w:rPr>
              <w:t>-2.58%</w:t>
            </w:r>
            <w:r>
              <w:rPr>
                <w:rFonts w:ascii="Times New Roman"/>
                <w:sz w:val="22"/>
              </w:rPr>
            </w:r>
          </w:p>
        </w:tc>
      </w:tr>
      <w:tr>
        <w:trPr>
          <w:trHeight w:val="314" w:hRule="exact"/>
        </w:trPr>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 w:right="0"/>
              <w:jc w:val="left"/>
              <w:rPr>
                <w:rFonts w:ascii="宋体" w:hAnsi="宋体" w:cs="宋体" w:eastAsia="宋体" w:hint="default"/>
                <w:sz w:val="22"/>
                <w:szCs w:val="22"/>
              </w:rPr>
            </w:pPr>
            <w:r>
              <w:rPr>
                <w:rFonts w:ascii="宋体" w:hAnsi="宋体" w:cs="宋体" w:eastAsia="宋体" w:hint="default"/>
                <w:sz w:val="22"/>
                <w:szCs w:val="22"/>
              </w:rPr>
              <w:t>县镇店（注</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43</w:t>
            </w:r>
            <w:r>
              <w:rPr>
                <w:rFonts w:ascii="Times New Roman"/>
                <w:sz w:val="22"/>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right"/>
              <w:rPr>
                <w:rFonts w:ascii="Times New Roman" w:hAnsi="Times New Roman" w:cs="Times New Roman" w:eastAsia="Times New Roman" w:hint="default"/>
                <w:sz w:val="22"/>
                <w:szCs w:val="22"/>
              </w:rPr>
            </w:pPr>
            <w:r>
              <w:rPr>
                <w:rFonts w:ascii="Times New Roman"/>
                <w:w w:val="95"/>
                <w:sz w:val="22"/>
              </w:rPr>
              <w:t>2.73%</w:t>
            </w:r>
            <w:r>
              <w:rPr>
                <w:rFonts w:ascii="Times New Roman"/>
                <w:sz w:val="22"/>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61</w:t>
            </w:r>
            <w:r>
              <w:rPr>
                <w:rFonts w:ascii="Times New Roman"/>
                <w:sz w:val="22"/>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5"/>
                <w:sz w:val="22"/>
              </w:rPr>
              <w:t>3.70%</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2"/>
                <w:szCs w:val="22"/>
              </w:rPr>
            </w:pPr>
            <w:r>
              <w:rPr>
                <w:rFonts w:ascii="Times New Roman"/>
                <w:w w:val="95"/>
                <w:sz w:val="22"/>
              </w:rPr>
              <w:t>-18</w:t>
            </w:r>
            <w:r>
              <w:rPr>
                <w:rFonts w:ascii="Times New Roman"/>
                <w:sz w:val="22"/>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2"/>
                <w:szCs w:val="22"/>
              </w:rPr>
            </w:pPr>
            <w:r>
              <w:rPr>
                <w:rFonts w:ascii="Times New Roman"/>
                <w:w w:val="95"/>
                <w:sz w:val="22"/>
              </w:rPr>
              <w:t>-0.97%</w:t>
            </w:r>
            <w:r>
              <w:rPr>
                <w:rFonts w:ascii="Times New Roman"/>
                <w:sz w:val="22"/>
              </w:rPr>
            </w:r>
          </w:p>
        </w:tc>
      </w:tr>
      <w:tr>
        <w:trPr>
          <w:trHeight w:val="316" w:hRule="exact"/>
        </w:trPr>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left"/>
              <w:rPr>
                <w:rFonts w:ascii="宋体" w:hAnsi="宋体" w:cs="宋体" w:eastAsia="宋体" w:hint="default"/>
                <w:sz w:val="22"/>
                <w:szCs w:val="22"/>
              </w:rPr>
            </w:pPr>
            <w:r>
              <w:rPr>
                <w:rFonts w:ascii="宋体" w:hAnsi="宋体" w:cs="宋体" w:eastAsia="宋体" w:hint="default"/>
                <w:sz w:val="22"/>
                <w:szCs w:val="22"/>
              </w:rPr>
              <w:t>红孩子店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27</w:t>
            </w:r>
            <w:r>
              <w:rPr>
                <w:rFonts w:ascii="Times New Roman"/>
                <w:sz w:val="22"/>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22"/>
                <w:szCs w:val="22"/>
              </w:rPr>
            </w:pPr>
            <w:r>
              <w:rPr>
                <w:rFonts w:ascii="Times New Roman"/>
                <w:w w:val="95"/>
                <w:sz w:val="22"/>
              </w:rPr>
              <w:t>1.71%</w:t>
            </w:r>
            <w:r>
              <w:rPr>
                <w:rFonts w:ascii="Times New Roman"/>
                <w:sz w:val="22"/>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5"/>
                <w:sz w:val="22"/>
              </w:rPr>
              <w:t>0.48%</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19</w:t>
            </w:r>
            <w:r>
              <w:rPr>
                <w:rFonts w:ascii="Times New Roman"/>
                <w:sz w:val="22"/>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1.23%</w:t>
            </w:r>
            <w:r>
              <w:rPr>
                <w:rFonts w:ascii="Times New Roman"/>
                <w:sz w:val="22"/>
              </w:rPr>
            </w:r>
          </w:p>
        </w:tc>
      </w:tr>
      <w:tr>
        <w:trPr>
          <w:trHeight w:val="316" w:hRule="exact"/>
        </w:trPr>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left"/>
              <w:rPr>
                <w:rFonts w:ascii="宋体" w:hAnsi="宋体" w:cs="宋体" w:eastAsia="宋体" w:hint="default"/>
                <w:sz w:val="22"/>
                <w:szCs w:val="22"/>
              </w:rPr>
            </w:pPr>
            <w:r>
              <w:rPr>
                <w:rFonts w:ascii="宋体" w:hAnsi="宋体" w:cs="宋体" w:eastAsia="宋体" w:hint="default"/>
                <w:sz w:val="22"/>
                <w:szCs w:val="22"/>
              </w:rPr>
              <w:t>超市店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37</w:t>
            </w:r>
            <w:r>
              <w:rPr>
                <w:rFonts w:ascii="Times New Roman"/>
                <w:sz w:val="22"/>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22"/>
                <w:szCs w:val="22"/>
              </w:rPr>
            </w:pPr>
            <w:r>
              <w:rPr>
                <w:rFonts w:ascii="Times New Roman"/>
                <w:w w:val="95"/>
                <w:sz w:val="22"/>
              </w:rPr>
              <w:t>2.35%</w:t>
            </w:r>
            <w:r>
              <w:rPr>
                <w:rFonts w:ascii="Times New Roman"/>
                <w:sz w:val="22"/>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5"/>
                <w:sz w:val="22"/>
              </w:rPr>
              <w:t>0.24%</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33</w:t>
            </w:r>
            <w:r>
              <w:rPr>
                <w:rFonts w:ascii="Times New Roman"/>
                <w:sz w:val="22"/>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2.11%</w:t>
            </w:r>
            <w:r>
              <w:rPr>
                <w:rFonts w:ascii="Times New Roman"/>
                <w:sz w:val="22"/>
              </w:rPr>
            </w:r>
          </w:p>
        </w:tc>
      </w:tr>
      <w:tr>
        <w:trPr>
          <w:trHeight w:val="316" w:hRule="exact"/>
        </w:trPr>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 w:right="0"/>
              <w:jc w:val="left"/>
              <w:rPr>
                <w:rFonts w:ascii="宋体" w:hAnsi="宋体" w:cs="宋体" w:eastAsia="宋体" w:hint="default"/>
                <w:sz w:val="22"/>
                <w:szCs w:val="22"/>
              </w:rPr>
            </w:pPr>
            <w:r>
              <w:rPr>
                <w:rFonts w:ascii="宋体" w:hAnsi="宋体" w:cs="宋体" w:eastAsia="宋体" w:hint="default"/>
                <w:sz w:val="22"/>
                <w:szCs w:val="22"/>
              </w:rPr>
              <w:t>乐购仕店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right"/>
              <w:rPr>
                <w:rFonts w:ascii="Times New Roman" w:hAnsi="Times New Roman" w:cs="Times New Roman" w:eastAsia="Times New Roman" w:hint="default"/>
                <w:sz w:val="22"/>
                <w:szCs w:val="22"/>
              </w:rPr>
            </w:pPr>
            <w:r>
              <w:rPr>
                <w:rFonts w:ascii="Times New Roman"/>
                <w:w w:val="95"/>
                <w:sz w:val="22"/>
              </w:rPr>
              <w:t>0.19%</w:t>
            </w:r>
            <w:r>
              <w:rPr>
                <w:rFonts w:ascii="Times New Roman"/>
                <w:sz w:val="22"/>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5"/>
                <w:sz w:val="22"/>
              </w:rPr>
              <w:t>0.18%</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2"/>
                <w:szCs w:val="22"/>
              </w:rPr>
            </w:pPr>
            <w:r>
              <w:rPr>
                <w:rFonts w:ascii="Times New Roman"/>
                <w:w w:val="95"/>
                <w:sz w:val="22"/>
              </w:rPr>
              <w:t>0.01%</w:t>
            </w:r>
            <w:r>
              <w:rPr>
                <w:rFonts w:ascii="Times New Roman"/>
                <w:sz w:val="22"/>
              </w:rPr>
            </w:r>
          </w:p>
        </w:tc>
      </w:tr>
      <w:tr>
        <w:trPr>
          <w:trHeight w:val="316" w:hRule="exact"/>
        </w:trPr>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1577</w:t>
            </w:r>
            <w:r>
              <w:rPr>
                <w:rFonts w:ascii="Times New Roman"/>
                <w:sz w:val="22"/>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1650</w:t>
            </w:r>
            <w:r>
              <w:rPr>
                <w:rFonts w:ascii="Times New Roman"/>
                <w:sz w:val="22"/>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2"/>
                <w:szCs w:val="22"/>
              </w:rPr>
            </w:pPr>
            <w:r>
              <w:rPr>
                <w:rFonts w:ascii="Times New Roman"/>
                <w:w w:val="95"/>
                <w:sz w:val="22"/>
              </w:rPr>
              <w:t>-73</w:t>
            </w:r>
            <w:r>
              <w:rPr>
                <w:rFonts w:ascii="Times New Roman"/>
                <w:sz w:val="22"/>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bl>
    <w:p>
      <w:pPr>
        <w:spacing w:line="386" w:lineRule="auto" w:before="63"/>
        <w:ind w:left="633" w:right="101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：报告期内，公司</w:t>
      </w:r>
      <w:r>
        <w:rPr>
          <w:rFonts w:ascii="Times New Roman" w:hAnsi="Times New Roman" w:cs="Times New Roman" w:eastAsia="Times New Roman" w:hint="default"/>
          <w:sz w:val="21"/>
          <w:szCs w:val="21"/>
        </w:rPr>
        <w:t>32</w:t>
      </w:r>
      <w:r>
        <w:rPr>
          <w:rFonts w:ascii="宋体" w:hAnsi="宋体" w:cs="宋体" w:eastAsia="宋体" w:hint="default"/>
          <w:sz w:val="21"/>
          <w:szCs w:val="21"/>
        </w:rPr>
        <w:t>家旗舰店改造为云店。 注</w:t>
      </w:r>
      <w:r>
        <w:rPr>
          <w:rFonts w:ascii="Times New Roman" w:hAnsi="Times New Roman" w:cs="Times New Roman" w:eastAsia="Times New Roman" w:hint="default"/>
          <w:sz w:val="21"/>
          <w:szCs w:val="21"/>
        </w:rPr>
        <w:t>2</w:t>
      </w:r>
      <w:r>
        <w:rPr>
          <w:rFonts w:ascii="宋体" w:hAnsi="宋体" w:cs="宋体" w:eastAsia="宋体" w:hint="default"/>
          <w:sz w:val="21"/>
          <w:szCs w:val="21"/>
        </w:rPr>
        <w:t>：社区店除了包括在一、二级市场社区商圈开设的店面以外，也包括在县级市场开设的</w:t>
      </w:r>
      <w:r>
        <w:rPr>
          <w:rFonts w:ascii="Times New Roman" w:hAnsi="Times New Roman" w:cs="Times New Roman" w:eastAsia="Times New Roman" w:hint="default"/>
          <w:sz w:val="21"/>
          <w:szCs w:val="21"/>
        </w:rPr>
        <w:t>3000</w:t>
      </w:r>
      <w:r>
        <w:rPr>
          <w:rFonts w:ascii="宋体" w:hAnsi="宋体" w:cs="宋体" w:eastAsia="宋体" w:hint="default"/>
          <w:sz w:val="21"/>
          <w:szCs w:val="21"/>
        </w:rPr>
        <w:t>平米</w:t>
      </w:r>
    </w:p>
    <w:p>
      <w:pPr>
        <w:spacing w:before="35"/>
        <w:ind w:left="213" w:right="1019" w:firstLine="0"/>
        <w:jc w:val="left"/>
        <w:rPr>
          <w:rFonts w:ascii="宋体" w:hAnsi="宋体" w:cs="宋体" w:eastAsia="宋体" w:hint="default"/>
          <w:sz w:val="21"/>
          <w:szCs w:val="21"/>
        </w:rPr>
      </w:pPr>
      <w:r>
        <w:rPr>
          <w:rFonts w:ascii="宋体" w:hAnsi="宋体" w:cs="宋体" w:eastAsia="宋体" w:hint="default"/>
          <w:sz w:val="21"/>
          <w:szCs w:val="21"/>
        </w:rPr>
        <w:t>左右的标准店；县镇店指在欠发达的县级市场与镇级市场开设的</w:t>
      </w:r>
      <w:r>
        <w:rPr>
          <w:rFonts w:ascii="Times New Roman" w:hAnsi="Times New Roman" w:cs="Times New Roman" w:eastAsia="Times New Roman" w:hint="default"/>
          <w:sz w:val="21"/>
          <w:szCs w:val="21"/>
        </w:rPr>
        <w:t>800-1500</w:t>
      </w:r>
      <w:r>
        <w:rPr>
          <w:rFonts w:ascii="宋体" w:hAnsi="宋体" w:cs="宋体" w:eastAsia="宋体" w:hint="default"/>
          <w:sz w:val="21"/>
          <w:szCs w:val="21"/>
        </w:rPr>
        <w:t>平米的店面。</w:t>
      </w:r>
    </w:p>
    <w:p>
      <w:pPr>
        <w:pStyle w:val="BodyText"/>
        <w:tabs>
          <w:tab w:pos="1205" w:val="left" w:leader="none"/>
          <w:tab w:pos="7476" w:val="left" w:leader="none"/>
        </w:tabs>
        <w:spacing w:line="240" w:lineRule="auto" w:before="169"/>
        <w:ind w:left="654" w:right="1019"/>
        <w:jc w:val="left"/>
      </w:pPr>
      <w:r>
        <w:rPr>
          <w:w w:val="95"/>
        </w:rPr>
        <w:t>表</w:t>
      </w:r>
      <w:r>
        <w:rPr>
          <w:rFonts w:ascii="Times New Roman" w:hAnsi="Times New Roman" w:cs="Times New Roman" w:eastAsia="Times New Roman" w:hint="default"/>
          <w:w w:val="95"/>
        </w:rPr>
        <w:t>2</w:t>
        <w:tab/>
      </w:r>
      <w:r>
        <w:rPr>
          <w:w w:val="95"/>
        </w:rPr>
        <w:t>大陆地区按照市场级别店面分布情况</w:t>
        <w:tab/>
      </w:r>
      <w:r>
        <w:rPr/>
        <w:t>（单位：家）</w:t>
      </w:r>
    </w:p>
    <w:p>
      <w:pPr>
        <w:spacing w:line="240" w:lineRule="auto" w:before="9"/>
        <w:rPr>
          <w:rFonts w:ascii="宋体" w:hAnsi="宋体" w:cs="宋体" w:eastAsia="宋体" w:hint="default"/>
          <w:sz w:val="8"/>
          <w:szCs w:val="8"/>
        </w:rPr>
      </w:pPr>
    </w:p>
    <w:tbl>
      <w:tblPr>
        <w:tblW w:w="0" w:type="auto"/>
        <w:jc w:val="left"/>
        <w:tblInd w:w="202" w:type="dxa"/>
        <w:tblLayout w:type="fixed"/>
        <w:tblCellMar>
          <w:top w:w="0" w:type="dxa"/>
          <w:left w:w="0" w:type="dxa"/>
          <w:bottom w:w="0" w:type="dxa"/>
          <w:right w:w="0" w:type="dxa"/>
        </w:tblCellMar>
        <w:tblLook w:val="01E0"/>
      </w:tblPr>
      <w:tblGrid>
        <w:gridCol w:w="1655"/>
        <w:gridCol w:w="1316"/>
        <w:gridCol w:w="1318"/>
        <w:gridCol w:w="1316"/>
        <w:gridCol w:w="1150"/>
        <w:gridCol w:w="1313"/>
        <w:gridCol w:w="1436"/>
      </w:tblGrid>
      <w:tr>
        <w:trPr>
          <w:trHeight w:val="309" w:hRule="exact"/>
        </w:trPr>
        <w:tc>
          <w:tcPr>
            <w:tcW w:w="1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382" w:right="0"/>
              <w:jc w:val="left"/>
              <w:rPr>
                <w:rFonts w:ascii="宋体" w:hAnsi="宋体" w:cs="宋体" w:eastAsia="宋体" w:hint="default"/>
                <w:sz w:val="22"/>
                <w:szCs w:val="22"/>
              </w:rPr>
            </w:pPr>
            <w:r>
              <w:rPr>
                <w:rFonts w:ascii="宋体" w:hAnsi="宋体" w:cs="宋体" w:eastAsia="宋体" w:hint="default"/>
                <w:sz w:val="22"/>
                <w:szCs w:val="22"/>
              </w:rPr>
              <w:t>市场级别</w:t>
            </w:r>
          </w:p>
        </w:tc>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exact"/>
              <w:ind w:left="54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tc>
        <w:tc>
          <w:tcPr>
            <w:tcW w:w="24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exact"/>
              <w:ind w:left="45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710" w:right="0"/>
              <w:jc w:val="left"/>
              <w:rPr>
                <w:rFonts w:ascii="宋体" w:hAnsi="宋体" w:cs="宋体" w:eastAsia="宋体" w:hint="default"/>
                <w:sz w:val="22"/>
                <w:szCs w:val="22"/>
              </w:rPr>
            </w:pPr>
            <w:r>
              <w:rPr>
                <w:rFonts w:ascii="宋体" w:hAnsi="宋体" w:cs="宋体" w:eastAsia="宋体" w:hint="default"/>
                <w:sz w:val="22"/>
                <w:szCs w:val="22"/>
              </w:rPr>
              <w:t>增减变化情况</w:t>
            </w:r>
          </w:p>
        </w:tc>
      </w:tr>
      <w:tr>
        <w:trPr>
          <w:trHeight w:val="316" w:hRule="exact"/>
        </w:trPr>
        <w:tc>
          <w:tcPr>
            <w:tcW w:w="1655"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3"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3" w:right="0"/>
              <w:jc w:val="left"/>
              <w:rPr>
                <w:rFonts w:ascii="宋体" w:hAnsi="宋体" w:cs="宋体" w:eastAsia="宋体" w:hint="default"/>
                <w:sz w:val="22"/>
                <w:szCs w:val="22"/>
              </w:rPr>
            </w:pPr>
            <w:r>
              <w:rPr>
                <w:rFonts w:ascii="宋体" w:hAnsi="宋体" w:cs="宋体" w:eastAsia="宋体" w:hint="default"/>
                <w:sz w:val="22"/>
                <w:szCs w:val="22"/>
              </w:rPr>
              <w:t>占比</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3"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349" w:right="0"/>
              <w:jc w:val="left"/>
              <w:rPr>
                <w:rFonts w:ascii="宋体" w:hAnsi="宋体" w:cs="宋体" w:eastAsia="宋体" w:hint="default"/>
                <w:sz w:val="22"/>
                <w:szCs w:val="22"/>
              </w:rPr>
            </w:pPr>
            <w:r>
              <w:rPr>
                <w:rFonts w:ascii="宋体" w:hAnsi="宋体" w:cs="宋体" w:eastAsia="宋体" w:hint="default"/>
                <w:sz w:val="22"/>
                <w:szCs w:val="22"/>
              </w:rPr>
              <w:t>占比</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12" w:right="0"/>
              <w:jc w:val="left"/>
              <w:rPr>
                <w:rFonts w:ascii="宋体" w:hAnsi="宋体" w:cs="宋体" w:eastAsia="宋体" w:hint="default"/>
                <w:sz w:val="22"/>
                <w:szCs w:val="22"/>
              </w:rPr>
            </w:pPr>
            <w:r>
              <w:rPr>
                <w:rFonts w:ascii="宋体" w:hAnsi="宋体" w:cs="宋体" w:eastAsia="宋体" w:hint="default"/>
                <w:sz w:val="22"/>
                <w:szCs w:val="22"/>
              </w:rPr>
              <w:t>数量变化</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107"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占比变化</w:t>
            </w:r>
            <w:r>
              <w:rPr>
                <w:rFonts w:ascii="Times New Roman" w:hAnsi="Times New Roman" w:cs="Times New Roman" w:eastAsia="Times New Roman" w:hint="default"/>
                <w:sz w:val="22"/>
                <w:szCs w:val="22"/>
              </w:rPr>
              <w:t>(%)</w:t>
            </w:r>
          </w:p>
        </w:tc>
      </w:tr>
      <w:tr>
        <w:trPr>
          <w:trHeight w:val="316" w:hRule="exact"/>
        </w:trPr>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2"/>
                <w:szCs w:val="22"/>
              </w:rPr>
            </w:pPr>
            <w:r>
              <w:rPr>
                <w:rFonts w:ascii="宋体" w:hAnsi="宋体" w:cs="宋体" w:eastAsia="宋体" w:hint="default"/>
                <w:sz w:val="22"/>
                <w:szCs w:val="22"/>
              </w:rPr>
              <w:t>一级市场</w:t>
            </w:r>
          </w:p>
        </w:tc>
        <w:tc>
          <w:tcPr>
            <w:tcW w:w="13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22"/>
                <w:szCs w:val="22"/>
              </w:rPr>
            </w:pPr>
            <w:r>
              <w:rPr>
                <w:rFonts w:ascii="Times New Roman"/>
                <w:w w:val="95"/>
                <w:sz w:val="22"/>
              </w:rPr>
              <w:t>512</w:t>
            </w:r>
            <w:r>
              <w:rPr>
                <w:rFonts w:ascii="Times New Roman"/>
                <w:sz w:val="22"/>
              </w:rPr>
            </w:r>
          </w:p>
        </w:tc>
        <w:tc>
          <w:tcPr>
            <w:tcW w:w="13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3"/>
              <w:jc w:val="right"/>
              <w:rPr>
                <w:rFonts w:ascii="Times New Roman" w:hAnsi="Times New Roman" w:cs="Times New Roman" w:eastAsia="Times New Roman" w:hint="default"/>
                <w:sz w:val="22"/>
                <w:szCs w:val="22"/>
              </w:rPr>
            </w:pPr>
            <w:r>
              <w:rPr>
                <w:rFonts w:ascii="Times New Roman"/>
                <w:w w:val="95"/>
                <w:sz w:val="22"/>
              </w:rPr>
              <w:t>32.47%</w:t>
            </w:r>
            <w:r>
              <w:rPr>
                <w:rFonts w:ascii="Times New Roman"/>
                <w:sz w:val="22"/>
              </w:rPr>
            </w:r>
          </w:p>
        </w:tc>
        <w:tc>
          <w:tcPr>
            <w:tcW w:w="13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Times New Roman" w:hAnsi="Times New Roman" w:cs="Times New Roman" w:eastAsia="Times New Roman" w:hint="default"/>
                <w:sz w:val="22"/>
                <w:szCs w:val="22"/>
              </w:rPr>
            </w:pPr>
            <w:r>
              <w:rPr>
                <w:rFonts w:ascii="Times New Roman"/>
                <w:w w:val="95"/>
                <w:sz w:val="22"/>
              </w:rPr>
              <w:t>496</w:t>
            </w:r>
            <w:r>
              <w:rPr>
                <w:rFonts w:ascii="Times New Roman"/>
                <w:sz w:val="22"/>
              </w:rPr>
            </w:r>
          </w:p>
        </w:tc>
        <w:tc>
          <w:tcPr>
            <w:tcW w:w="11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22"/>
                <w:szCs w:val="22"/>
              </w:rPr>
            </w:pPr>
            <w:r>
              <w:rPr>
                <w:rFonts w:ascii="Times New Roman"/>
                <w:w w:val="95"/>
                <w:sz w:val="22"/>
              </w:rPr>
              <w:t>30.06%</w:t>
            </w:r>
            <w:r>
              <w:rPr>
                <w:rFonts w:ascii="Times New Roman"/>
                <w:sz w:val="22"/>
              </w:rPr>
            </w:r>
          </w:p>
        </w:tc>
        <w:tc>
          <w:tcPr>
            <w:tcW w:w="131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1"/>
              <w:jc w:val="right"/>
              <w:rPr>
                <w:rFonts w:ascii="Times New Roman" w:hAnsi="Times New Roman" w:cs="Times New Roman" w:eastAsia="Times New Roman" w:hint="default"/>
                <w:sz w:val="22"/>
                <w:szCs w:val="22"/>
              </w:rPr>
            </w:pPr>
            <w:r>
              <w:rPr>
                <w:rFonts w:ascii="Times New Roman"/>
                <w:w w:val="95"/>
                <w:sz w:val="22"/>
              </w:rPr>
              <w:t>16</w:t>
            </w:r>
            <w:r>
              <w:rPr>
                <w:rFonts w:ascii="Times New Roman"/>
                <w:sz w:val="22"/>
              </w:rPr>
            </w:r>
          </w:p>
        </w:tc>
        <w:tc>
          <w:tcPr>
            <w:tcW w:w="14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2"/>
              <w:jc w:val="right"/>
              <w:rPr>
                <w:rFonts w:ascii="Times New Roman" w:hAnsi="Times New Roman" w:cs="Times New Roman" w:eastAsia="Times New Roman" w:hint="default"/>
                <w:sz w:val="22"/>
                <w:szCs w:val="22"/>
              </w:rPr>
            </w:pPr>
            <w:r>
              <w:rPr>
                <w:rFonts w:ascii="Times New Roman"/>
                <w:w w:val="95"/>
                <w:sz w:val="22"/>
              </w:rPr>
              <w:t>2.41%</w:t>
            </w:r>
            <w:r>
              <w:rPr>
                <w:rFonts w:ascii="Times New Roman"/>
                <w:sz w:val="22"/>
              </w:rPr>
            </w:r>
          </w:p>
        </w:tc>
      </w:tr>
      <w:tr>
        <w:trPr>
          <w:trHeight w:val="316" w:hRule="exact"/>
        </w:trPr>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2"/>
                <w:szCs w:val="22"/>
              </w:rPr>
            </w:pPr>
            <w:r>
              <w:rPr>
                <w:rFonts w:ascii="宋体" w:hAnsi="宋体" w:cs="宋体" w:eastAsia="宋体" w:hint="default"/>
                <w:sz w:val="22"/>
                <w:szCs w:val="22"/>
              </w:rPr>
              <w:t>二级市场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447</w:t>
            </w:r>
            <w:r>
              <w:rPr>
                <w:rFonts w:ascii="Times New Roman"/>
                <w:sz w:val="22"/>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2"/>
                <w:szCs w:val="22"/>
              </w:rPr>
            </w:pPr>
            <w:r>
              <w:rPr>
                <w:rFonts w:ascii="Times New Roman"/>
                <w:w w:val="95"/>
                <w:sz w:val="22"/>
              </w:rPr>
              <w:t>28.34%</w:t>
            </w:r>
            <w:r>
              <w:rPr>
                <w:rFonts w:ascii="Times New Roman"/>
                <w:sz w:val="22"/>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474</w:t>
            </w:r>
            <w:r>
              <w:rPr>
                <w:rFonts w:ascii="Times New Roman"/>
                <w:sz w:val="22"/>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28.73%</w:t>
            </w:r>
            <w:r>
              <w:rPr>
                <w:rFonts w:ascii="Times New Roman"/>
                <w:sz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2"/>
                <w:szCs w:val="22"/>
              </w:rPr>
            </w:pPr>
            <w:r>
              <w:rPr>
                <w:rFonts w:ascii="Times New Roman"/>
                <w:w w:val="95"/>
                <w:sz w:val="22"/>
              </w:rPr>
              <w:t>-27</w:t>
            </w:r>
            <w:r>
              <w:rPr>
                <w:rFonts w:ascii="Times New Roman"/>
                <w:sz w:val="22"/>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-0.39%</w:t>
            </w:r>
            <w:r>
              <w:rPr>
                <w:rFonts w:ascii="Times New Roman"/>
                <w:sz w:val="22"/>
              </w:rPr>
            </w:r>
          </w:p>
        </w:tc>
      </w:tr>
      <w:tr>
        <w:trPr>
          <w:trHeight w:val="314" w:hRule="exact"/>
        </w:trPr>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2"/>
                <w:szCs w:val="22"/>
              </w:rPr>
            </w:pPr>
            <w:r>
              <w:rPr>
                <w:rFonts w:ascii="宋体" w:hAnsi="宋体" w:cs="宋体" w:eastAsia="宋体" w:hint="default"/>
                <w:sz w:val="22"/>
                <w:szCs w:val="22"/>
              </w:rPr>
              <w:t>三级市场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546</w:t>
            </w:r>
            <w:r>
              <w:rPr>
                <w:rFonts w:ascii="Times New Roman"/>
                <w:sz w:val="22"/>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22"/>
                <w:szCs w:val="22"/>
              </w:rPr>
            </w:pPr>
            <w:r>
              <w:rPr>
                <w:rFonts w:ascii="Times New Roman"/>
                <w:w w:val="95"/>
                <w:sz w:val="22"/>
              </w:rPr>
              <w:t>34.62%</w:t>
            </w:r>
            <w:r>
              <w:rPr>
                <w:rFonts w:ascii="Times New Roman"/>
                <w:sz w:val="22"/>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591</w:t>
            </w:r>
            <w:r>
              <w:rPr>
                <w:rFonts w:ascii="Times New Roman"/>
                <w:sz w:val="22"/>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35.82%</w:t>
            </w:r>
            <w:r>
              <w:rPr>
                <w:rFonts w:ascii="Times New Roman"/>
                <w:sz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right"/>
              <w:rPr>
                <w:rFonts w:ascii="Times New Roman" w:hAnsi="Times New Roman" w:cs="Times New Roman" w:eastAsia="Times New Roman" w:hint="default"/>
                <w:sz w:val="22"/>
                <w:szCs w:val="22"/>
              </w:rPr>
            </w:pPr>
            <w:r>
              <w:rPr>
                <w:rFonts w:ascii="Times New Roman"/>
                <w:w w:val="95"/>
                <w:sz w:val="22"/>
              </w:rPr>
              <w:t>-45</w:t>
            </w:r>
            <w:r>
              <w:rPr>
                <w:rFonts w:ascii="Times New Roman"/>
                <w:sz w:val="22"/>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2"/>
                <w:szCs w:val="22"/>
              </w:rPr>
            </w:pPr>
            <w:r>
              <w:rPr>
                <w:rFonts w:ascii="Times New Roman"/>
                <w:w w:val="95"/>
                <w:sz w:val="22"/>
              </w:rPr>
              <w:t>-1.20%</w:t>
            </w:r>
            <w:r>
              <w:rPr>
                <w:rFonts w:ascii="Times New Roman"/>
                <w:sz w:val="22"/>
              </w:rPr>
            </w:r>
          </w:p>
        </w:tc>
      </w:tr>
      <w:tr>
        <w:trPr>
          <w:trHeight w:val="316" w:hRule="exact"/>
        </w:trPr>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2"/>
                <w:szCs w:val="22"/>
              </w:rPr>
            </w:pPr>
            <w:r>
              <w:rPr>
                <w:rFonts w:ascii="宋体" w:hAnsi="宋体" w:cs="宋体" w:eastAsia="宋体" w:hint="default"/>
                <w:sz w:val="22"/>
                <w:szCs w:val="22"/>
              </w:rPr>
              <w:t>四级市场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Times New Roman" w:hAnsi="Times New Roman" w:cs="Times New Roman" w:eastAsia="Times New Roman" w:hint="default"/>
                <w:sz w:val="22"/>
                <w:szCs w:val="22"/>
              </w:rPr>
            </w:pPr>
            <w:r>
              <w:rPr>
                <w:rFonts w:ascii="Times New Roman"/>
                <w:w w:val="95"/>
                <w:sz w:val="22"/>
              </w:rPr>
              <w:t>72</w:t>
            </w:r>
            <w:r>
              <w:rPr>
                <w:rFonts w:ascii="Times New Roman"/>
                <w:sz w:val="22"/>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2"/>
                <w:szCs w:val="22"/>
              </w:rPr>
            </w:pPr>
            <w:r>
              <w:rPr>
                <w:rFonts w:ascii="Times New Roman"/>
                <w:w w:val="95"/>
                <w:sz w:val="22"/>
              </w:rPr>
              <w:t>4.57%</w:t>
            </w:r>
            <w:r>
              <w:rPr>
                <w:rFonts w:ascii="Times New Roman"/>
                <w:sz w:val="22"/>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Times New Roman" w:hAnsi="Times New Roman" w:cs="Times New Roman" w:eastAsia="Times New Roman" w:hint="default"/>
                <w:sz w:val="22"/>
                <w:szCs w:val="22"/>
              </w:rPr>
            </w:pPr>
            <w:r>
              <w:rPr>
                <w:rFonts w:ascii="Times New Roman"/>
                <w:w w:val="95"/>
                <w:sz w:val="22"/>
              </w:rPr>
              <w:t>89</w:t>
            </w:r>
            <w:r>
              <w:rPr>
                <w:rFonts w:ascii="Times New Roman"/>
                <w:sz w:val="22"/>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Times New Roman" w:hAnsi="Times New Roman" w:cs="Times New Roman" w:eastAsia="Times New Roman" w:hint="default"/>
                <w:sz w:val="22"/>
                <w:szCs w:val="22"/>
              </w:rPr>
            </w:pPr>
            <w:r>
              <w:rPr>
                <w:rFonts w:ascii="Times New Roman"/>
                <w:w w:val="95"/>
                <w:sz w:val="22"/>
              </w:rPr>
              <w:t>5.39%</w:t>
            </w:r>
            <w:r>
              <w:rPr>
                <w:rFonts w:ascii="Times New Roman"/>
                <w:sz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2"/>
                <w:szCs w:val="22"/>
              </w:rPr>
            </w:pPr>
            <w:r>
              <w:rPr>
                <w:rFonts w:ascii="Times New Roman"/>
                <w:w w:val="95"/>
                <w:sz w:val="22"/>
              </w:rPr>
              <w:t>-17</w:t>
            </w:r>
            <w:r>
              <w:rPr>
                <w:rFonts w:ascii="Times New Roman"/>
                <w:sz w:val="22"/>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2"/>
                <w:szCs w:val="22"/>
              </w:rPr>
            </w:pPr>
            <w:r>
              <w:rPr>
                <w:rFonts w:ascii="Times New Roman"/>
                <w:w w:val="95"/>
                <w:sz w:val="22"/>
              </w:rPr>
              <w:t>-0.82%</w:t>
            </w:r>
            <w:r>
              <w:rPr>
                <w:rFonts w:ascii="Times New Roman"/>
                <w:sz w:val="22"/>
              </w:rPr>
            </w:r>
          </w:p>
        </w:tc>
      </w:tr>
      <w:tr>
        <w:trPr>
          <w:trHeight w:val="316" w:hRule="exact"/>
        </w:trPr>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5"/>
                <w:sz w:val="22"/>
              </w:rPr>
              <w:t>1577</w:t>
            </w:r>
            <w:r>
              <w:rPr>
                <w:rFonts w:ascii="Times New Roman"/>
                <w:sz w:val="22"/>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1650</w:t>
            </w:r>
            <w:r>
              <w:rPr>
                <w:rFonts w:ascii="Times New Roman"/>
                <w:sz w:val="22"/>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2"/>
                <w:szCs w:val="22"/>
              </w:rPr>
            </w:pPr>
            <w:r>
              <w:rPr>
                <w:rFonts w:ascii="Times New Roman"/>
                <w:w w:val="95"/>
                <w:sz w:val="22"/>
              </w:rPr>
              <w:t>-73</w:t>
            </w:r>
            <w:r>
              <w:rPr>
                <w:rFonts w:ascii="Times New Roman"/>
                <w:sz w:val="22"/>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bl>
    <w:p>
      <w:pPr>
        <w:spacing w:line="408" w:lineRule="auto" w:before="63"/>
        <w:ind w:left="214" w:right="1019" w:firstLine="420"/>
        <w:jc w:val="left"/>
        <w:rPr>
          <w:rFonts w:ascii="宋体" w:hAnsi="宋体" w:cs="宋体" w:eastAsia="宋体" w:hint="default"/>
          <w:sz w:val="21"/>
          <w:szCs w:val="21"/>
        </w:rPr>
      </w:pPr>
      <w:r>
        <w:rPr>
          <w:rFonts w:ascii="宋体" w:hAnsi="宋体" w:cs="宋体" w:eastAsia="宋体" w:hint="default"/>
          <w:spacing w:val="-1"/>
          <w:sz w:val="21"/>
          <w:szCs w:val="21"/>
        </w:rPr>
        <w:t>注：一级市场指副省级以上城市；二级市场指一级市场以外的地级市；三级市场指一二级市场下辖的</w:t>
      </w:r>
      <w:r>
        <w:rPr>
          <w:rFonts w:ascii="宋体" w:hAnsi="宋体" w:cs="宋体" w:eastAsia="宋体" w:hint="default"/>
          <w:sz w:val="21"/>
          <w:szCs w:val="21"/>
        </w:rPr>
        <w:t> 县、县级市或远郊区；四级市场主要指镇级城市。</w:t>
      </w:r>
    </w:p>
    <w:p>
      <w:pPr>
        <w:pStyle w:val="BodyText"/>
        <w:tabs>
          <w:tab w:pos="1205" w:val="left" w:leader="none"/>
          <w:tab w:pos="7476" w:val="left" w:leader="none"/>
        </w:tabs>
        <w:spacing w:line="240" w:lineRule="auto" w:before="38"/>
        <w:ind w:left="654" w:right="1019"/>
        <w:jc w:val="left"/>
      </w:pPr>
      <w:r>
        <w:rPr>
          <w:w w:val="95"/>
        </w:rPr>
        <w:t>表</w:t>
      </w:r>
      <w:r>
        <w:rPr>
          <w:rFonts w:ascii="Times New Roman" w:hAnsi="Times New Roman" w:cs="Times New Roman" w:eastAsia="Times New Roman" w:hint="default"/>
          <w:w w:val="95"/>
        </w:rPr>
        <w:t>3</w:t>
        <w:tab/>
      </w:r>
      <w:r>
        <w:rPr>
          <w:w w:val="95"/>
        </w:rPr>
        <w:t>截至</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日苏宁易购服务站（直营）分布情况</w:t>
        <w:tab/>
      </w:r>
      <w:r>
        <w:rPr/>
        <w:t>（单位：家）</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27"/>
        <w:gridCol w:w="991"/>
        <w:gridCol w:w="994"/>
        <w:gridCol w:w="992"/>
        <w:gridCol w:w="943"/>
        <w:gridCol w:w="1042"/>
        <w:gridCol w:w="851"/>
        <w:gridCol w:w="851"/>
        <w:gridCol w:w="850"/>
        <w:gridCol w:w="816"/>
      </w:tblGrid>
      <w:tr>
        <w:trPr>
          <w:trHeight w:val="580"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71" w:right="0"/>
              <w:jc w:val="left"/>
              <w:rPr>
                <w:rFonts w:ascii="宋体" w:hAnsi="宋体" w:cs="宋体" w:eastAsia="宋体" w:hint="default"/>
                <w:sz w:val="22"/>
                <w:szCs w:val="22"/>
              </w:rPr>
            </w:pPr>
            <w:r>
              <w:rPr>
                <w:rFonts w:ascii="宋体" w:hAnsi="宋体" w:cs="宋体" w:eastAsia="宋体" w:hint="default"/>
                <w:sz w:val="22"/>
                <w:szCs w:val="22"/>
              </w:rPr>
              <w:t>华东</w:t>
            </w:r>
          </w:p>
          <w:p>
            <w:pPr>
              <w:pStyle w:val="TableParagraph"/>
              <w:spacing w:line="286" w:lineRule="exact"/>
              <w:ind w:left="271" w:right="0"/>
              <w:jc w:val="left"/>
              <w:rPr>
                <w:rFonts w:ascii="宋体" w:hAnsi="宋体" w:cs="宋体" w:eastAsia="宋体" w:hint="default"/>
                <w:sz w:val="22"/>
                <w:szCs w:val="22"/>
              </w:rPr>
            </w:pPr>
            <w:r>
              <w:rPr>
                <w:rFonts w:ascii="宋体" w:hAnsi="宋体" w:cs="宋体" w:eastAsia="宋体" w:hint="default"/>
                <w:sz w:val="22"/>
                <w:szCs w:val="22"/>
              </w:rPr>
              <w:t>一区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71" w:right="0"/>
              <w:jc w:val="left"/>
              <w:rPr>
                <w:rFonts w:ascii="宋体" w:hAnsi="宋体" w:cs="宋体" w:eastAsia="宋体" w:hint="default"/>
                <w:sz w:val="22"/>
                <w:szCs w:val="22"/>
              </w:rPr>
            </w:pPr>
            <w:r>
              <w:rPr>
                <w:rFonts w:ascii="宋体" w:hAnsi="宋体" w:cs="宋体" w:eastAsia="宋体" w:hint="default"/>
                <w:sz w:val="22"/>
                <w:szCs w:val="22"/>
              </w:rPr>
              <w:t>华东</w:t>
            </w:r>
          </w:p>
          <w:p>
            <w:pPr>
              <w:pStyle w:val="TableParagraph"/>
              <w:spacing w:line="286" w:lineRule="exact"/>
              <w:ind w:left="271" w:right="0"/>
              <w:jc w:val="left"/>
              <w:rPr>
                <w:rFonts w:ascii="宋体" w:hAnsi="宋体" w:cs="宋体" w:eastAsia="宋体" w:hint="default"/>
                <w:sz w:val="22"/>
                <w:szCs w:val="22"/>
              </w:rPr>
            </w:pPr>
            <w:r>
              <w:rPr>
                <w:rFonts w:ascii="宋体" w:hAnsi="宋体" w:cs="宋体" w:eastAsia="宋体" w:hint="default"/>
                <w:sz w:val="22"/>
                <w:szCs w:val="22"/>
              </w:rPr>
              <w:t>二区</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70" w:right="0"/>
              <w:jc w:val="left"/>
              <w:rPr>
                <w:rFonts w:ascii="宋体" w:hAnsi="宋体" w:cs="宋体" w:eastAsia="宋体" w:hint="default"/>
                <w:sz w:val="22"/>
                <w:szCs w:val="22"/>
              </w:rPr>
            </w:pPr>
            <w:r>
              <w:rPr>
                <w:rFonts w:ascii="宋体" w:hAnsi="宋体" w:cs="宋体" w:eastAsia="宋体" w:hint="default"/>
                <w:sz w:val="22"/>
                <w:szCs w:val="22"/>
              </w:rPr>
              <w:t>华南</w:t>
            </w:r>
          </w:p>
          <w:p>
            <w:pPr>
              <w:pStyle w:val="TableParagraph"/>
              <w:spacing w:line="286" w:lineRule="exact"/>
              <w:ind w:left="270" w:right="0"/>
              <w:jc w:val="left"/>
              <w:rPr>
                <w:rFonts w:ascii="宋体" w:hAnsi="宋体" w:cs="宋体" w:eastAsia="宋体" w:hint="default"/>
                <w:sz w:val="22"/>
                <w:szCs w:val="22"/>
              </w:rPr>
            </w:pPr>
            <w:r>
              <w:rPr>
                <w:rFonts w:ascii="宋体" w:hAnsi="宋体" w:cs="宋体" w:eastAsia="宋体" w:hint="default"/>
                <w:sz w:val="22"/>
                <w:szCs w:val="22"/>
              </w:rPr>
              <w:t>地区</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47" w:right="0"/>
              <w:jc w:val="left"/>
              <w:rPr>
                <w:rFonts w:ascii="宋体" w:hAnsi="宋体" w:cs="宋体" w:eastAsia="宋体" w:hint="default"/>
                <w:sz w:val="22"/>
                <w:szCs w:val="22"/>
              </w:rPr>
            </w:pPr>
            <w:r>
              <w:rPr>
                <w:rFonts w:ascii="宋体" w:hAnsi="宋体" w:cs="宋体" w:eastAsia="宋体" w:hint="default"/>
                <w:sz w:val="22"/>
                <w:szCs w:val="22"/>
              </w:rPr>
              <w:t>华中</w:t>
            </w:r>
          </w:p>
          <w:p>
            <w:pPr>
              <w:pStyle w:val="TableParagraph"/>
              <w:spacing w:line="286" w:lineRule="exact"/>
              <w:ind w:left="247" w:right="0"/>
              <w:jc w:val="left"/>
              <w:rPr>
                <w:rFonts w:ascii="宋体" w:hAnsi="宋体" w:cs="宋体" w:eastAsia="宋体" w:hint="default"/>
                <w:sz w:val="22"/>
                <w:szCs w:val="22"/>
              </w:rPr>
            </w:pPr>
            <w:r>
              <w:rPr>
                <w:rFonts w:ascii="宋体" w:hAnsi="宋体" w:cs="宋体" w:eastAsia="宋体" w:hint="default"/>
                <w:sz w:val="22"/>
                <w:szCs w:val="22"/>
              </w:rPr>
              <w:t>地区</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95" w:right="0"/>
              <w:jc w:val="left"/>
              <w:rPr>
                <w:rFonts w:ascii="宋体" w:hAnsi="宋体" w:cs="宋体" w:eastAsia="宋体" w:hint="default"/>
                <w:sz w:val="22"/>
                <w:szCs w:val="22"/>
              </w:rPr>
            </w:pPr>
            <w:r>
              <w:rPr>
                <w:rFonts w:ascii="宋体" w:hAnsi="宋体" w:cs="宋体" w:eastAsia="宋体" w:hint="default"/>
                <w:sz w:val="22"/>
                <w:szCs w:val="22"/>
              </w:rPr>
              <w:t>华北</w:t>
            </w:r>
          </w:p>
          <w:p>
            <w:pPr>
              <w:pStyle w:val="TableParagraph"/>
              <w:spacing w:line="286" w:lineRule="exact"/>
              <w:ind w:left="295" w:right="0"/>
              <w:jc w:val="left"/>
              <w:rPr>
                <w:rFonts w:ascii="宋体" w:hAnsi="宋体" w:cs="宋体" w:eastAsia="宋体" w:hint="default"/>
                <w:sz w:val="22"/>
                <w:szCs w:val="22"/>
              </w:rPr>
            </w:pPr>
            <w:r>
              <w:rPr>
                <w:rFonts w:ascii="宋体" w:hAnsi="宋体" w:cs="宋体" w:eastAsia="宋体" w:hint="default"/>
                <w:sz w:val="22"/>
                <w:szCs w:val="22"/>
              </w:rPr>
              <w:t>地区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00" w:right="0"/>
              <w:jc w:val="left"/>
              <w:rPr>
                <w:rFonts w:ascii="宋体" w:hAnsi="宋体" w:cs="宋体" w:eastAsia="宋体" w:hint="default"/>
                <w:sz w:val="22"/>
                <w:szCs w:val="22"/>
              </w:rPr>
            </w:pPr>
            <w:r>
              <w:rPr>
                <w:rFonts w:ascii="宋体" w:hAnsi="宋体" w:cs="宋体" w:eastAsia="宋体" w:hint="default"/>
                <w:sz w:val="22"/>
                <w:szCs w:val="22"/>
              </w:rPr>
              <w:t>西北</w:t>
            </w:r>
          </w:p>
          <w:p>
            <w:pPr>
              <w:pStyle w:val="TableParagraph"/>
              <w:spacing w:line="286" w:lineRule="exact"/>
              <w:ind w:left="200" w:right="0"/>
              <w:jc w:val="left"/>
              <w:rPr>
                <w:rFonts w:ascii="宋体" w:hAnsi="宋体" w:cs="宋体" w:eastAsia="宋体" w:hint="default"/>
                <w:sz w:val="22"/>
                <w:szCs w:val="22"/>
              </w:rPr>
            </w:pPr>
            <w:r>
              <w:rPr>
                <w:rFonts w:ascii="宋体" w:hAnsi="宋体" w:cs="宋体" w:eastAsia="宋体" w:hint="default"/>
                <w:sz w:val="22"/>
                <w:szCs w:val="22"/>
              </w:rPr>
              <w:t>地区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00" w:right="0"/>
              <w:jc w:val="left"/>
              <w:rPr>
                <w:rFonts w:ascii="宋体" w:hAnsi="宋体" w:cs="宋体" w:eastAsia="宋体" w:hint="default"/>
                <w:sz w:val="22"/>
                <w:szCs w:val="22"/>
              </w:rPr>
            </w:pPr>
            <w:r>
              <w:rPr>
                <w:rFonts w:ascii="宋体" w:hAnsi="宋体" w:cs="宋体" w:eastAsia="宋体" w:hint="default"/>
                <w:sz w:val="22"/>
                <w:szCs w:val="22"/>
              </w:rPr>
              <w:t>西南</w:t>
            </w:r>
          </w:p>
          <w:p>
            <w:pPr>
              <w:pStyle w:val="TableParagraph"/>
              <w:spacing w:line="286" w:lineRule="exact"/>
              <w:ind w:left="200" w:right="0"/>
              <w:jc w:val="left"/>
              <w:rPr>
                <w:rFonts w:ascii="宋体" w:hAnsi="宋体" w:cs="宋体" w:eastAsia="宋体" w:hint="default"/>
                <w:sz w:val="22"/>
                <w:szCs w:val="22"/>
              </w:rPr>
            </w:pPr>
            <w:r>
              <w:rPr>
                <w:rFonts w:ascii="宋体" w:hAnsi="宋体" w:cs="宋体" w:eastAsia="宋体" w:hint="default"/>
                <w:sz w:val="22"/>
                <w:szCs w:val="22"/>
              </w:rPr>
              <w:t>地区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199" w:right="0"/>
              <w:jc w:val="left"/>
              <w:rPr>
                <w:rFonts w:ascii="宋体" w:hAnsi="宋体" w:cs="宋体" w:eastAsia="宋体" w:hint="default"/>
                <w:sz w:val="22"/>
                <w:szCs w:val="22"/>
              </w:rPr>
            </w:pPr>
            <w:r>
              <w:rPr>
                <w:rFonts w:ascii="宋体" w:hAnsi="宋体" w:cs="宋体" w:eastAsia="宋体" w:hint="default"/>
                <w:sz w:val="22"/>
                <w:szCs w:val="22"/>
              </w:rPr>
              <w:t>东北</w:t>
            </w:r>
          </w:p>
          <w:p>
            <w:pPr>
              <w:pStyle w:val="TableParagraph"/>
              <w:spacing w:line="286" w:lineRule="exact"/>
              <w:ind w:left="199" w:right="0"/>
              <w:jc w:val="left"/>
              <w:rPr>
                <w:rFonts w:ascii="宋体" w:hAnsi="宋体" w:cs="宋体" w:eastAsia="宋体" w:hint="default"/>
                <w:sz w:val="22"/>
                <w:szCs w:val="22"/>
              </w:rPr>
            </w:pPr>
            <w:r>
              <w:rPr>
                <w:rFonts w:ascii="宋体" w:hAnsi="宋体" w:cs="宋体" w:eastAsia="宋体" w:hint="default"/>
                <w:sz w:val="22"/>
                <w:szCs w:val="22"/>
              </w:rPr>
              <w:t>地区</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82" w:right="0"/>
              <w:jc w:val="left"/>
              <w:rPr>
                <w:rFonts w:ascii="宋体" w:hAnsi="宋体" w:cs="宋体" w:eastAsia="宋体" w:hint="default"/>
                <w:sz w:val="22"/>
                <w:szCs w:val="22"/>
              </w:rPr>
            </w:pPr>
            <w:r>
              <w:rPr>
                <w:rFonts w:ascii="宋体" w:hAnsi="宋体" w:cs="宋体" w:eastAsia="宋体" w:hint="default"/>
                <w:sz w:val="22"/>
                <w:szCs w:val="22"/>
              </w:rPr>
              <w:t>小计</w:t>
            </w:r>
          </w:p>
        </w:tc>
      </w:tr>
      <w:tr>
        <w:trPr>
          <w:trHeight w:val="867"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sz w:val="22"/>
                <w:szCs w:val="22"/>
              </w:rPr>
              <w:t>苏宁易购服</w:t>
            </w:r>
          </w:p>
          <w:p>
            <w:pPr>
              <w:pStyle w:val="TableParagraph"/>
              <w:spacing w:line="286" w:lineRule="exact" w:before="27"/>
              <w:ind w:left="103" w:right="92"/>
              <w:jc w:val="center"/>
              <w:rPr>
                <w:rFonts w:ascii="宋体" w:hAnsi="宋体" w:cs="宋体" w:eastAsia="宋体" w:hint="default"/>
                <w:sz w:val="22"/>
                <w:szCs w:val="22"/>
              </w:rPr>
            </w:pPr>
            <w:r>
              <w:rPr>
                <w:rFonts w:ascii="宋体" w:hAnsi="宋体" w:cs="宋体" w:eastAsia="宋体" w:hint="default"/>
                <w:sz w:val="22"/>
                <w:szCs w:val="22"/>
              </w:rPr>
              <w:t>务站（直营）</w:t>
            </w:r>
            <w:r>
              <w:rPr>
                <w:rFonts w:ascii="宋体" w:hAnsi="宋体" w:cs="宋体" w:eastAsia="宋体" w:hint="default"/>
                <w:w w:val="99"/>
                <w:sz w:val="22"/>
                <w:szCs w:val="22"/>
              </w:rPr>
              <w:t> </w:t>
            </w:r>
            <w:r>
              <w:rPr>
                <w:rFonts w:ascii="宋体" w:hAnsi="宋体" w:cs="宋体" w:eastAsia="宋体" w:hint="default"/>
                <w:sz w:val="22"/>
                <w:szCs w:val="22"/>
              </w:rPr>
              <w:t>数量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w w:val="95"/>
                <w:sz w:val="22"/>
              </w:rPr>
              <w:t>234</w:t>
            </w:r>
            <w:r>
              <w:rPr>
                <w:rFonts w:ascii="Times New Roman"/>
                <w:sz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w w:val="95"/>
                <w:sz w:val="22"/>
              </w:rPr>
              <w:t>187</w:t>
            </w:r>
            <w:r>
              <w:rPr>
                <w:rFonts w:ascii="Times New Roman"/>
                <w:sz w:val="22"/>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w w:val="95"/>
                <w:sz w:val="22"/>
              </w:rPr>
              <w:t>122</w:t>
            </w:r>
            <w:r>
              <w:rPr>
                <w:rFonts w:ascii="Times New Roman"/>
                <w:sz w:val="22"/>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w w:val="95"/>
                <w:sz w:val="22"/>
              </w:rPr>
              <w:t>128</w:t>
            </w:r>
            <w:r>
              <w:rPr>
                <w:rFonts w:ascii="Times New Roman"/>
                <w:sz w:val="22"/>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w w:val="95"/>
                <w:sz w:val="22"/>
              </w:rPr>
              <w:t>111</w:t>
            </w:r>
            <w:r>
              <w:rPr>
                <w:rFonts w:ascii="Times New Roman"/>
                <w:sz w:val="22"/>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2"/>
                <w:szCs w:val="22"/>
              </w:rPr>
            </w:pPr>
            <w:r>
              <w:rPr>
                <w:rFonts w:ascii="Times New Roman"/>
                <w:w w:val="95"/>
                <w:sz w:val="22"/>
              </w:rPr>
              <w:t>88</w:t>
            </w:r>
            <w:r>
              <w:rPr>
                <w:rFonts w:ascii="Times New Roman"/>
                <w:sz w:val="22"/>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w w:val="95"/>
                <w:sz w:val="22"/>
              </w:rPr>
              <w:t>95</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w w:val="95"/>
                <w:sz w:val="22"/>
              </w:rPr>
              <w:t>46</w:t>
            </w:r>
            <w:r>
              <w:rPr>
                <w:rFonts w:ascii="Times New Roman"/>
                <w:sz w:val="22"/>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w w:val="95"/>
                <w:sz w:val="22"/>
              </w:rPr>
              <w:t>1011</w:t>
            </w:r>
            <w:r>
              <w:rPr>
                <w:rFonts w:ascii="Times New Roman"/>
                <w:sz w:val="22"/>
              </w:rPr>
            </w:r>
          </w:p>
        </w:tc>
      </w:tr>
      <w:tr>
        <w:trPr>
          <w:trHeight w:val="29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占比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2"/>
                <w:szCs w:val="22"/>
              </w:rPr>
            </w:pPr>
            <w:r>
              <w:rPr>
                <w:rFonts w:ascii="Times New Roman"/>
                <w:w w:val="95"/>
                <w:sz w:val="22"/>
              </w:rPr>
              <w:t>23.14%</w:t>
            </w:r>
            <w:r>
              <w:rPr>
                <w:rFonts w:ascii="Times New Roman"/>
                <w:sz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2"/>
                <w:szCs w:val="22"/>
              </w:rPr>
            </w:pPr>
            <w:r>
              <w:rPr>
                <w:rFonts w:ascii="Times New Roman"/>
                <w:w w:val="95"/>
                <w:sz w:val="22"/>
              </w:rPr>
              <w:t>18.50%</w:t>
            </w:r>
            <w:r>
              <w:rPr>
                <w:rFonts w:ascii="Times New Roman"/>
                <w:sz w:val="22"/>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2"/>
                <w:szCs w:val="22"/>
              </w:rPr>
            </w:pPr>
            <w:r>
              <w:rPr>
                <w:rFonts w:ascii="Times New Roman"/>
                <w:w w:val="95"/>
                <w:sz w:val="22"/>
              </w:rPr>
              <w:t>12.07%</w:t>
            </w:r>
            <w:r>
              <w:rPr>
                <w:rFonts w:ascii="Times New Roman"/>
                <w:sz w:val="22"/>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2"/>
                <w:szCs w:val="22"/>
              </w:rPr>
            </w:pPr>
            <w:r>
              <w:rPr>
                <w:rFonts w:ascii="Times New Roman"/>
                <w:w w:val="95"/>
                <w:sz w:val="22"/>
              </w:rPr>
              <w:t>12.66%</w:t>
            </w:r>
            <w:r>
              <w:rPr>
                <w:rFonts w:ascii="Times New Roman"/>
                <w:sz w:val="22"/>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2"/>
                <w:szCs w:val="22"/>
              </w:rPr>
            </w:pPr>
            <w:r>
              <w:rPr>
                <w:rFonts w:ascii="Times New Roman"/>
                <w:w w:val="95"/>
                <w:sz w:val="22"/>
              </w:rPr>
              <w:t>10.98%</w:t>
            </w:r>
            <w:r>
              <w:rPr>
                <w:rFonts w:ascii="Times New Roman"/>
                <w:sz w:val="22"/>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2"/>
                <w:szCs w:val="22"/>
              </w:rPr>
            </w:pPr>
            <w:r>
              <w:rPr>
                <w:rFonts w:ascii="Times New Roman"/>
                <w:w w:val="95"/>
                <w:sz w:val="22"/>
              </w:rPr>
              <w:t>8.70%</w:t>
            </w:r>
            <w:r>
              <w:rPr>
                <w:rFonts w:ascii="Times New Roman"/>
                <w:sz w:val="22"/>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2"/>
                <w:szCs w:val="22"/>
              </w:rPr>
            </w:pPr>
            <w:r>
              <w:rPr>
                <w:rFonts w:ascii="Times New Roman"/>
                <w:w w:val="95"/>
                <w:sz w:val="22"/>
              </w:rPr>
              <w:t>9.40%</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2"/>
                <w:szCs w:val="22"/>
              </w:rPr>
            </w:pPr>
            <w:r>
              <w:rPr>
                <w:rFonts w:ascii="Times New Roman"/>
                <w:w w:val="95"/>
                <w:sz w:val="22"/>
              </w:rPr>
              <w:t>4.55%</w:t>
            </w:r>
            <w:r>
              <w:rPr>
                <w:rFonts w:ascii="Times New Roman"/>
                <w:sz w:val="22"/>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bl>
    <w:p>
      <w:pPr>
        <w:tabs>
          <w:tab w:pos="5044" w:val="left" w:leader="none"/>
        </w:tabs>
        <w:spacing w:before="9"/>
        <w:ind w:left="214" w:right="1019" w:firstLine="0"/>
        <w:jc w:val="left"/>
        <w:rPr>
          <w:rFonts w:ascii="宋体" w:hAnsi="宋体" w:cs="宋体" w:eastAsia="宋体" w:hint="default"/>
          <w:sz w:val="21"/>
          <w:szCs w:val="21"/>
        </w:rPr>
      </w:pPr>
      <w:r>
        <w:rPr>
          <w:rFonts w:ascii="宋体" w:hAnsi="宋体" w:cs="宋体" w:eastAsia="宋体" w:hint="default"/>
          <w:sz w:val="21"/>
          <w:szCs w:val="21"/>
        </w:rPr>
        <w:t>注：华东一区江苏、安徽、山东；</w:t>
        <w:tab/>
        <w:t>华东二区上海、福建、浙江、江西；</w:t>
      </w:r>
    </w:p>
    <w:p>
      <w:pPr>
        <w:spacing w:after="0"/>
        <w:jc w:val="left"/>
        <w:rPr>
          <w:rFonts w:ascii="宋体" w:hAnsi="宋体" w:cs="宋体" w:eastAsia="宋体" w:hint="default"/>
          <w:sz w:val="21"/>
          <w:szCs w:val="21"/>
        </w:rPr>
        <w:sectPr>
          <w:pgSz w:w="11910" w:h="16840"/>
          <w:pgMar w:header="747" w:footer="979" w:top="1060" w:bottom="1160" w:left="920" w:right="0"/>
        </w:sectPr>
      </w:pPr>
    </w:p>
    <w:p>
      <w:pPr>
        <w:spacing w:line="240" w:lineRule="auto" w:before="7"/>
        <w:rPr>
          <w:rFonts w:ascii="宋体" w:hAnsi="宋体" w:cs="宋体" w:eastAsia="宋体" w:hint="default"/>
          <w:sz w:val="26"/>
          <w:szCs w:val="26"/>
        </w:rPr>
      </w:pPr>
    </w:p>
    <w:p>
      <w:pPr>
        <w:tabs>
          <w:tab w:pos="4670" w:val="left" w:leader="none"/>
          <w:tab w:pos="4983" w:val="left" w:leader="none"/>
        </w:tabs>
        <w:spacing w:line="314" w:lineRule="auto" w:before="35"/>
        <w:ind w:left="574" w:right="1950" w:firstLine="0"/>
        <w:jc w:val="left"/>
        <w:rPr>
          <w:rFonts w:ascii="宋体" w:hAnsi="宋体" w:cs="宋体" w:eastAsia="宋体" w:hint="default"/>
          <w:sz w:val="21"/>
          <w:szCs w:val="21"/>
        </w:rPr>
      </w:pPr>
      <w:r>
        <w:rPr>
          <w:rFonts w:ascii="宋体" w:hAnsi="宋体" w:cs="宋体" w:eastAsia="宋体" w:hint="default"/>
          <w:sz w:val="21"/>
          <w:szCs w:val="21"/>
        </w:rPr>
        <w:t>华南地区广东、广西、海南；</w:t>
        <w:tab/>
        <w:tab/>
        <w:t>华北地区北京、天津、河北、山西、内蒙； 西南地区四川、重庆、云南、贵州、西藏；</w:t>
        <w:tab/>
        <w:tab/>
        <w:t>华中地区湖北、湖南、河南； 东北地区辽宁、黑龙江、吉林；</w:t>
        <w:tab/>
        <w:t>西北地区陕西、甘肃、青海、新疆、宁夏。</w:t>
      </w:r>
    </w:p>
    <w:p>
      <w:pPr>
        <w:pStyle w:val="BodyText"/>
        <w:spacing w:line="240" w:lineRule="auto" w:before="65"/>
        <w:ind w:left="574" w:right="1082"/>
        <w:jc w:val="left"/>
      </w:pPr>
      <w:r>
        <w:rPr/>
        <w:t>（</w:t>
      </w:r>
      <w:r>
        <w:rPr>
          <w:rFonts w:ascii="Times New Roman" w:hAnsi="Times New Roman" w:cs="Times New Roman" w:eastAsia="Times New Roman" w:hint="default"/>
        </w:rPr>
        <w:t>2</w:t>
      </w:r>
      <w:r>
        <w:rPr/>
        <w:t>）门店互联网化建设情况</w:t>
      </w:r>
    </w:p>
    <w:p>
      <w:pPr>
        <w:pStyle w:val="BodyText"/>
        <w:spacing w:line="369" w:lineRule="auto" w:before="163"/>
        <w:ind w:right="1130" w:firstLine="440"/>
        <w:jc w:val="both"/>
      </w:pPr>
      <w:r>
        <w:rPr/>
        <w:t>云店是公司门店互联网化的代表产品，</w:t>
      </w: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spacing w:val="-3"/>
        </w:rPr>
        <w:t>年云店经历了试点开设、迭代升级到全国推广，报告</w:t>
      </w:r>
      <w:r>
        <w:rPr>
          <w:w w:val="99"/>
        </w:rPr>
        <w:t> </w:t>
      </w:r>
      <w:r>
        <w:rPr/>
        <w:t>期末，公司已经拥有苏宁易购云店 </w:t>
      </w:r>
      <w:r>
        <w:rPr>
          <w:rFonts w:ascii="Times New Roman" w:hAnsi="Times New Roman" w:cs="Times New Roman" w:eastAsia="Times New Roman" w:hint="default"/>
        </w:rPr>
        <w:t>42 </w:t>
      </w:r>
      <w:r>
        <w:rPr/>
        <w:t>家。通过加大移动端、</w:t>
      </w:r>
      <w:r>
        <w:rPr>
          <w:rFonts w:ascii="Times New Roman" w:hAnsi="Times New Roman" w:cs="Times New Roman" w:eastAsia="Times New Roman" w:hint="default"/>
        </w:rPr>
        <w:t>PC </w:t>
      </w:r>
      <w:r>
        <w:rPr/>
        <w:t>端、</w:t>
      </w:r>
      <w:r>
        <w:rPr>
          <w:rFonts w:ascii="Times New Roman" w:hAnsi="Times New Roman" w:cs="Times New Roman" w:eastAsia="Times New Roman" w:hint="default"/>
        </w:rPr>
        <w:t>TV</w:t>
      </w:r>
      <w:r>
        <w:rPr>
          <w:rFonts w:ascii="Times New Roman" w:hAnsi="Times New Roman" w:cs="Times New Roman" w:eastAsia="Times New Roman" w:hint="default"/>
          <w:spacing w:val="-13"/>
        </w:rPr>
        <w:t> </w:t>
      </w:r>
      <w:r>
        <w:rPr/>
        <w:t>端在门店的运用，云店实现</w:t>
      </w:r>
      <w:r>
        <w:rPr>
          <w:w w:val="99"/>
        </w:rPr>
        <w:t> </w:t>
      </w:r>
      <w:r>
        <w:rPr>
          <w:spacing w:val="-6"/>
        </w:rPr>
        <w:t>了</w:t>
      </w:r>
      <w:r>
        <w:rPr>
          <w:rFonts w:ascii="Times New Roman" w:hAnsi="Times New Roman" w:cs="Times New Roman" w:eastAsia="Times New Roman" w:hint="default"/>
          <w:spacing w:val="-6"/>
        </w:rPr>
        <w:t>“</w:t>
      </w:r>
      <w:r>
        <w:rPr>
          <w:spacing w:val="-6"/>
        </w:rPr>
        <w:t>电器、超市、母婴、物流、售后、金融</w:t>
      </w:r>
      <w:r>
        <w:rPr>
          <w:rFonts w:ascii="Times New Roman" w:hAnsi="Times New Roman" w:cs="Times New Roman" w:eastAsia="Times New Roman" w:hint="default"/>
          <w:spacing w:val="-6"/>
        </w:rPr>
        <w:t>”</w:t>
      </w:r>
      <w:r>
        <w:rPr>
          <w:spacing w:val="-6"/>
        </w:rPr>
        <w:t>等全商品和服务业态的集中呈现，并且全面打通支付环节，</w:t>
      </w:r>
      <w:r>
        <w:rPr>
          <w:spacing w:val="-87"/>
        </w:rPr>
        <w:t> </w:t>
      </w:r>
      <w:r>
        <w:rPr>
          <w:spacing w:val="-87"/>
        </w:rPr>
      </w:r>
      <w:r>
        <w:rPr/>
        <w:t>满足了消费者一站式的购物体验需求。</w:t>
      </w:r>
    </w:p>
    <w:p>
      <w:pPr>
        <w:pStyle w:val="BodyText"/>
        <w:spacing w:line="369" w:lineRule="auto" w:before="61"/>
        <w:ind w:left="594" w:right="0" w:hanging="21"/>
        <w:jc w:val="left"/>
      </w:pPr>
      <w:r>
        <w:rPr/>
        <w:t>（</w:t>
      </w:r>
      <w:r>
        <w:rPr>
          <w:rFonts w:ascii="Times New Roman" w:hAnsi="Times New Roman" w:cs="Times New Roman" w:eastAsia="Times New Roman" w:hint="default"/>
        </w:rPr>
        <w:t>3</w:t>
      </w:r>
      <w:r>
        <w:rPr/>
        <w:t>）门店经营质量</w:t>
      </w:r>
      <w:r>
        <w:rPr>
          <w:w w:val="99"/>
        </w:rPr>
        <w:t> </w:t>
      </w:r>
      <w:r>
        <w:rPr/>
        <w:t>报告期内，随着云店规模增加和</w:t>
      </w:r>
      <w:r>
        <w:rPr>
          <w:rFonts w:ascii="Times New Roman" w:hAnsi="Times New Roman" w:cs="Times New Roman" w:eastAsia="Times New Roman" w:hint="default"/>
        </w:rPr>
        <w:t>O2O</w:t>
      </w:r>
      <w:r>
        <w:rPr/>
        <w:t>运营的成熟，以及线上线下联动促销，同店销售得到提升，</w:t>
      </w:r>
    </w:p>
    <w:p>
      <w:pPr>
        <w:pStyle w:val="BodyText"/>
        <w:spacing w:line="369" w:lineRule="auto" w:before="32"/>
        <w:ind w:right="1131"/>
        <w:jc w:val="both"/>
      </w:pPr>
      <w:r>
        <w:rPr>
          <w:spacing w:val="-1"/>
        </w:rPr>
        <w:t>单店经营质量走向良性发展道路。报告期内，公司大陆地区可比店面（指</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日及之前开设的</w:t>
      </w:r>
      <w:r>
        <w:rPr>
          <w:w w:val="99"/>
        </w:rPr>
        <w:t> </w:t>
      </w:r>
      <w:r>
        <w:rPr/>
        <w:t>店面）销售收入同比增长</w:t>
      </w:r>
      <w:r>
        <w:rPr>
          <w:rFonts w:ascii="Times New Roman" w:hAnsi="Times New Roman" w:cs="Times New Roman" w:eastAsia="Times New Roman" w:hint="default"/>
        </w:rPr>
        <w:t>4.50%</w:t>
      </w:r>
      <w:r>
        <w:rPr/>
        <w:t>，红孩子店作为公司母婴及周边产品的综合性服务平台，其在规划标</w:t>
      </w:r>
      <w:r>
        <w:rPr>
          <w:spacing w:val="-93"/>
        </w:rPr>
        <w:t> </w:t>
      </w:r>
      <w:r>
        <w:rPr>
          <w:spacing w:val="-93"/>
        </w:rPr>
      </w:r>
      <w:r>
        <w:rPr>
          <w:spacing w:val="-1"/>
        </w:rPr>
        <w:t>准、运营模式等方面正在不断予以完善，因此同店增速低于平均。随着母婴</w:t>
      </w:r>
      <w:r>
        <w:rPr>
          <w:rFonts w:ascii="Times New Roman" w:hAnsi="Times New Roman" w:cs="Times New Roman" w:eastAsia="Times New Roman" w:hint="default"/>
          <w:spacing w:val="-1"/>
        </w:rPr>
        <w:t>O2O</w:t>
      </w:r>
      <w:r>
        <w:rPr>
          <w:spacing w:val="-1"/>
        </w:rPr>
        <w:t>运营的不断成熟，店</w:t>
      </w:r>
      <w:r>
        <w:rPr>
          <w:w w:val="99"/>
        </w:rPr>
        <w:t> </w:t>
      </w:r>
      <w:r>
        <w:rPr/>
        <w:t>面规划日趋完善，会员需求的深度挖掘，红孩子实体店的发展空间巨大。</w:t>
      </w:r>
    </w:p>
    <w:p>
      <w:pPr>
        <w:pStyle w:val="BodyText"/>
        <w:tabs>
          <w:tab w:pos="1145" w:val="left" w:leader="none"/>
        </w:tabs>
        <w:spacing w:line="240" w:lineRule="auto" w:before="61"/>
        <w:ind w:left="594" w:right="1082"/>
        <w:jc w:val="left"/>
      </w:pPr>
      <w:r>
        <w:rPr>
          <w:w w:val="95"/>
        </w:rPr>
        <w:t>表</w:t>
      </w:r>
      <w:r>
        <w:rPr>
          <w:rFonts w:ascii="Times New Roman" w:hAnsi="Times New Roman" w:cs="Times New Roman" w:eastAsia="Times New Roman" w:hint="default"/>
          <w:w w:val="95"/>
        </w:rPr>
        <w:t>1</w:t>
        <w:tab/>
      </w:r>
      <w:r>
        <w:rPr/>
        <w:t>大陆地区可比店面按店面类型分布经营质量情况</w:t>
      </w:r>
    </w:p>
    <w:p>
      <w:pPr>
        <w:spacing w:line="240" w:lineRule="auto" w:before="9"/>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2238"/>
        <w:gridCol w:w="1238"/>
        <w:gridCol w:w="1239"/>
        <w:gridCol w:w="1237"/>
        <w:gridCol w:w="1239"/>
        <w:gridCol w:w="1234"/>
        <w:gridCol w:w="1232"/>
      </w:tblGrid>
      <w:tr>
        <w:trPr>
          <w:trHeight w:val="337" w:hRule="exact"/>
        </w:trPr>
        <w:tc>
          <w:tcPr>
            <w:tcW w:w="2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4"/>
              <w:jc w:val="center"/>
              <w:rPr>
                <w:rFonts w:ascii="宋体" w:hAnsi="宋体" w:cs="宋体" w:eastAsia="宋体" w:hint="default"/>
                <w:sz w:val="22"/>
                <w:szCs w:val="22"/>
              </w:rPr>
            </w:pPr>
            <w:r>
              <w:rPr>
                <w:rFonts w:ascii="宋体" w:hAnsi="宋体" w:cs="宋体" w:eastAsia="宋体" w:hint="default"/>
                <w:sz w:val="22"/>
                <w:szCs w:val="22"/>
              </w:rPr>
              <w:t>店面类型</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83" w:right="0"/>
              <w:jc w:val="left"/>
              <w:rPr>
                <w:rFonts w:ascii="宋体" w:hAnsi="宋体" w:cs="宋体" w:eastAsia="宋体" w:hint="default"/>
                <w:sz w:val="22"/>
                <w:szCs w:val="22"/>
              </w:rPr>
            </w:pPr>
            <w:r>
              <w:rPr>
                <w:rFonts w:ascii="宋体" w:hAnsi="宋体" w:cs="宋体" w:eastAsia="宋体" w:hint="default"/>
                <w:sz w:val="22"/>
                <w:szCs w:val="22"/>
              </w:rPr>
              <w:t>旗舰店</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83" w:right="0"/>
              <w:jc w:val="left"/>
              <w:rPr>
                <w:rFonts w:ascii="宋体" w:hAnsi="宋体" w:cs="宋体" w:eastAsia="宋体" w:hint="default"/>
                <w:sz w:val="22"/>
                <w:szCs w:val="22"/>
              </w:rPr>
            </w:pPr>
            <w:r>
              <w:rPr>
                <w:rFonts w:ascii="宋体" w:hAnsi="宋体" w:cs="宋体" w:eastAsia="宋体" w:hint="default"/>
                <w:sz w:val="22"/>
                <w:szCs w:val="22"/>
              </w:rPr>
              <w:t>中心店</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2"/>
                <w:szCs w:val="22"/>
              </w:rPr>
            </w:pPr>
            <w:r>
              <w:rPr>
                <w:rFonts w:ascii="宋体" w:hAnsi="宋体" w:cs="宋体" w:eastAsia="宋体" w:hint="default"/>
                <w:sz w:val="22"/>
                <w:szCs w:val="22"/>
              </w:rPr>
              <w:t>社区店</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1"/>
              <w:jc w:val="center"/>
              <w:rPr>
                <w:rFonts w:ascii="宋体" w:hAnsi="宋体" w:cs="宋体" w:eastAsia="宋体" w:hint="default"/>
                <w:sz w:val="22"/>
                <w:szCs w:val="22"/>
              </w:rPr>
            </w:pPr>
            <w:r>
              <w:rPr>
                <w:rFonts w:ascii="宋体" w:hAnsi="宋体" w:cs="宋体" w:eastAsia="宋体" w:hint="default"/>
                <w:sz w:val="22"/>
                <w:szCs w:val="22"/>
              </w:rPr>
              <w:t>县镇店</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2"/>
                <w:szCs w:val="22"/>
              </w:rPr>
            </w:pPr>
            <w:r>
              <w:rPr>
                <w:rFonts w:ascii="宋体" w:hAnsi="宋体" w:cs="宋体" w:eastAsia="宋体" w:hint="default"/>
                <w:sz w:val="22"/>
                <w:szCs w:val="22"/>
              </w:rPr>
              <w:t>乐购仕店</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1"/>
              <w:jc w:val="center"/>
              <w:rPr>
                <w:rFonts w:ascii="宋体" w:hAnsi="宋体" w:cs="宋体" w:eastAsia="宋体" w:hint="default"/>
                <w:sz w:val="22"/>
                <w:szCs w:val="22"/>
              </w:rPr>
            </w:pPr>
            <w:r>
              <w:rPr>
                <w:rFonts w:ascii="宋体" w:hAnsi="宋体" w:cs="宋体" w:eastAsia="宋体" w:hint="default"/>
                <w:sz w:val="22"/>
                <w:szCs w:val="22"/>
              </w:rPr>
              <w:t>红孩子店</w:t>
            </w:r>
          </w:p>
        </w:tc>
      </w:tr>
      <w:tr>
        <w:trPr>
          <w:trHeight w:val="342" w:hRule="exact"/>
        </w:trPr>
        <w:tc>
          <w:tcPr>
            <w:tcW w:w="2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sz w:val="22"/>
                <w:szCs w:val="22"/>
              </w:rPr>
              <w:t>可比店面销售收入同比</w:t>
            </w:r>
          </w:p>
        </w:tc>
        <w:tc>
          <w:tcPr>
            <w:tcW w:w="123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left="329" w:right="0"/>
              <w:jc w:val="left"/>
              <w:rPr>
                <w:rFonts w:ascii="Times New Roman" w:hAnsi="Times New Roman" w:cs="Times New Roman" w:eastAsia="Times New Roman" w:hint="default"/>
                <w:sz w:val="22"/>
                <w:szCs w:val="22"/>
              </w:rPr>
            </w:pPr>
            <w:r>
              <w:rPr>
                <w:rFonts w:ascii="Times New Roman"/>
                <w:sz w:val="22"/>
              </w:rPr>
              <w:t>5.22%</w:t>
            </w:r>
          </w:p>
        </w:tc>
        <w:tc>
          <w:tcPr>
            <w:tcW w:w="12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left="329" w:right="0"/>
              <w:jc w:val="left"/>
              <w:rPr>
                <w:rFonts w:ascii="Times New Roman" w:hAnsi="Times New Roman" w:cs="Times New Roman" w:eastAsia="Times New Roman" w:hint="default"/>
                <w:sz w:val="22"/>
                <w:szCs w:val="22"/>
              </w:rPr>
            </w:pPr>
            <w:r>
              <w:rPr>
                <w:rFonts w:ascii="Times New Roman"/>
                <w:sz w:val="22"/>
              </w:rPr>
              <w:t>2.18%</w:t>
            </w:r>
          </w:p>
        </w:tc>
        <w:tc>
          <w:tcPr>
            <w:tcW w:w="123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2"/>
                <w:szCs w:val="22"/>
              </w:rPr>
            </w:pPr>
            <w:r>
              <w:rPr>
                <w:rFonts w:ascii="Times New Roman"/>
                <w:sz w:val="22"/>
              </w:rPr>
              <w:t>5.56%</w:t>
            </w:r>
          </w:p>
        </w:tc>
        <w:tc>
          <w:tcPr>
            <w:tcW w:w="12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2"/>
                <w:szCs w:val="22"/>
              </w:rPr>
            </w:pPr>
            <w:r>
              <w:rPr>
                <w:rFonts w:ascii="Times New Roman"/>
                <w:sz w:val="22"/>
              </w:rPr>
              <w:t>8.07%</w:t>
            </w:r>
          </w:p>
        </w:tc>
        <w:tc>
          <w:tcPr>
            <w:tcW w:w="12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2"/>
                <w:szCs w:val="22"/>
              </w:rPr>
            </w:pPr>
            <w:r>
              <w:rPr>
                <w:rFonts w:ascii="Times New Roman"/>
                <w:sz w:val="22"/>
              </w:rPr>
              <w:t>-12.37%</w:t>
            </w:r>
          </w:p>
        </w:tc>
        <w:tc>
          <w:tcPr>
            <w:tcW w:w="12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2"/>
                <w:szCs w:val="22"/>
              </w:rPr>
            </w:pPr>
            <w:r>
              <w:rPr>
                <w:rFonts w:ascii="Times New Roman"/>
                <w:sz w:val="22"/>
              </w:rPr>
              <w:t>2.14%</w:t>
            </w:r>
          </w:p>
        </w:tc>
      </w:tr>
    </w:tbl>
    <w:p>
      <w:pPr>
        <w:pStyle w:val="BodyText"/>
        <w:tabs>
          <w:tab w:pos="1200" w:val="left" w:leader="none"/>
        </w:tabs>
        <w:spacing w:line="240" w:lineRule="auto" w:before="55"/>
        <w:ind w:left="594" w:right="1082"/>
        <w:jc w:val="left"/>
      </w:pPr>
      <w:r>
        <w:rPr/>
        <w:t>表</w:t>
      </w:r>
      <w:r>
        <w:rPr>
          <w:spacing w:val="-56"/>
        </w:rPr>
        <w:t> </w:t>
      </w:r>
      <w:r>
        <w:rPr>
          <w:rFonts w:ascii="Times New Roman" w:hAnsi="Times New Roman" w:cs="Times New Roman" w:eastAsia="Times New Roman" w:hint="default"/>
        </w:rPr>
        <w:t>2</w:t>
        <w:tab/>
      </w:r>
      <w:r>
        <w:rPr/>
        <w:t>大陆地区可比店面按市场类型分布经营质量情况</w:t>
      </w:r>
    </w:p>
    <w:p>
      <w:pPr>
        <w:spacing w:line="240" w:lineRule="auto" w:before="1"/>
        <w:rPr>
          <w:rFonts w:ascii="宋体" w:hAnsi="宋体" w:cs="宋体" w:eastAsia="宋体"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2579"/>
        <w:gridCol w:w="1771"/>
        <w:gridCol w:w="1771"/>
        <w:gridCol w:w="1772"/>
        <w:gridCol w:w="1764"/>
      </w:tblGrid>
      <w:tr>
        <w:trPr>
          <w:trHeight w:val="332"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4"/>
              <w:jc w:val="center"/>
              <w:rPr>
                <w:rFonts w:ascii="宋体" w:hAnsi="宋体" w:cs="宋体" w:eastAsia="宋体" w:hint="default"/>
                <w:sz w:val="22"/>
                <w:szCs w:val="22"/>
              </w:rPr>
            </w:pPr>
            <w:r>
              <w:rPr>
                <w:rFonts w:ascii="宋体" w:hAnsi="宋体" w:cs="宋体" w:eastAsia="宋体" w:hint="default"/>
                <w:sz w:val="22"/>
                <w:szCs w:val="22"/>
              </w:rPr>
              <w:t>市场级别</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一级市场</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二级市场</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三级市场</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四级市场</w:t>
            </w:r>
          </w:p>
        </w:tc>
      </w:tr>
      <w:tr>
        <w:trPr>
          <w:trHeight w:val="343"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sz w:val="22"/>
                <w:szCs w:val="22"/>
              </w:rPr>
              <w:t>可比店面销售收入同比</w:t>
            </w:r>
          </w:p>
        </w:tc>
        <w:tc>
          <w:tcPr>
            <w:tcW w:w="1771"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2"/>
                <w:szCs w:val="22"/>
              </w:rPr>
            </w:pPr>
            <w:r>
              <w:rPr>
                <w:rFonts w:ascii="Times New Roman"/>
                <w:sz w:val="22"/>
              </w:rPr>
              <w:t>4.95%</w:t>
            </w:r>
          </w:p>
        </w:tc>
        <w:tc>
          <w:tcPr>
            <w:tcW w:w="17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2"/>
                <w:szCs w:val="22"/>
              </w:rPr>
            </w:pPr>
            <w:r>
              <w:rPr>
                <w:rFonts w:ascii="Times New Roman"/>
                <w:sz w:val="22"/>
              </w:rPr>
              <w:t>4.03%</w:t>
            </w:r>
          </w:p>
        </w:tc>
        <w:tc>
          <w:tcPr>
            <w:tcW w:w="177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2"/>
                <w:szCs w:val="22"/>
              </w:rPr>
            </w:pPr>
            <w:r>
              <w:rPr>
                <w:rFonts w:ascii="Times New Roman"/>
                <w:sz w:val="22"/>
              </w:rPr>
              <w:t>4.48%</w:t>
            </w:r>
          </w:p>
        </w:tc>
        <w:tc>
          <w:tcPr>
            <w:tcW w:w="17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2"/>
                <w:szCs w:val="22"/>
              </w:rPr>
            </w:pPr>
            <w:r>
              <w:rPr>
                <w:rFonts w:ascii="Times New Roman"/>
                <w:sz w:val="22"/>
              </w:rPr>
              <w:t>-1.90%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369" w:lineRule="auto" w:before="31"/>
        <w:ind w:left="594" w:right="0" w:firstLine="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PC</w:t>
      </w:r>
      <w:r>
        <w:rPr>
          <w:rFonts w:ascii="Times New Roman" w:hAnsi="Times New Roman" w:cs="Times New Roman" w:eastAsia="Times New Roman" w:hint="default"/>
          <w:b/>
          <w:bCs/>
          <w:spacing w:val="-1"/>
          <w:sz w:val="22"/>
          <w:szCs w:val="22"/>
        </w:rPr>
        <w:t> </w:t>
      </w:r>
      <w:r>
        <w:rPr>
          <w:rFonts w:ascii="宋体" w:hAnsi="宋体" w:cs="宋体" w:eastAsia="宋体" w:hint="default"/>
          <w:b/>
          <w:bCs/>
          <w:sz w:val="22"/>
          <w:szCs w:val="22"/>
        </w:rPr>
        <w:t>端、移动端</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平台化、数据化、会员化运营，提升消费者规模及购买频率</w:t>
      </w:r>
      <w:r>
        <w:rPr>
          <w:rFonts w:ascii="宋体" w:hAnsi="宋体" w:cs="宋体" w:eastAsia="宋体" w:hint="default"/>
          <w:b/>
          <w:bCs/>
          <w:spacing w:val="1"/>
          <w:w w:val="99"/>
          <w:sz w:val="22"/>
          <w:szCs w:val="22"/>
        </w:rPr>
        <w:t> </w:t>
      </w:r>
      <w:r>
        <w:rPr>
          <w:rFonts w:ascii="宋体" w:hAnsi="宋体" w:cs="宋体" w:eastAsia="宋体" w:hint="default"/>
          <w:sz w:val="22"/>
          <w:szCs w:val="22"/>
        </w:rPr>
        <w:t>公司将优化购物流程、智能搜索及推荐引导作为长期工作持续予以推进；充分运用大数据工具，</w:t>
      </w:r>
    </w:p>
    <w:p>
      <w:pPr>
        <w:pStyle w:val="BodyText"/>
        <w:spacing w:line="379" w:lineRule="auto" w:before="61"/>
        <w:ind w:right="1129"/>
        <w:jc w:val="both"/>
      </w:pPr>
      <w:r>
        <w:rPr>
          <w:spacing w:val="-2"/>
        </w:rPr>
        <w:t>聚焦会员需求，提升精准营销执行能力；运用新品首发、大聚惠折扣促销、</w:t>
      </w:r>
      <w:r>
        <w:rPr>
          <w:rFonts w:ascii="Times New Roman" w:hAnsi="Times New Roman" w:cs="Times New Roman" w:eastAsia="Times New Roman" w:hint="default"/>
          <w:spacing w:val="-2"/>
        </w:rPr>
        <w:t>C2B </w:t>
      </w:r>
      <w:r>
        <w:rPr/>
        <w:t>反向定制等特色营销</w:t>
      </w:r>
      <w:r>
        <w:rPr>
          <w:w w:val="99"/>
        </w:rPr>
        <w:t> </w:t>
      </w:r>
      <w:r>
        <w:rPr>
          <w:spacing w:val="-2"/>
        </w:rPr>
        <w:t>产品体系，以及聚焦超市、母婴等特色频道的运营，有效提升了消费者、商家对苏宁易购全品类、专</w:t>
      </w:r>
      <w:r>
        <w:rPr>
          <w:spacing w:val="-85"/>
        </w:rPr>
        <w:t> </w:t>
      </w:r>
      <w:r>
        <w:rPr>
          <w:spacing w:val="-85"/>
        </w:rPr>
      </w:r>
      <w:r>
        <w:rPr>
          <w:spacing w:val="-1"/>
        </w:rPr>
        <w:t>业化的品牌内涵的认识，用户规模与购买频率提升；移动端方面，有效把握用户迁移趋势，重点推动</w:t>
      </w:r>
      <w:r>
        <w:rPr>
          <w:w w:val="99"/>
        </w:rPr>
        <w:t> </w:t>
      </w:r>
      <w:r>
        <w:rPr/>
        <w:t>移动端的迭代升级、新技术应用，强化提升用户体验，</w:t>
      </w:r>
      <w:r>
        <w:rPr>
          <w:rFonts w:ascii="Times New Roman" w:hAnsi="Times New Roman" w:cs="Times New Roman" w:eastAsia="Times New Roman" w:hint="default"/>
        </w:rPr>
        <w:t>2015 </w:t>
      </w:r>
      <w:r>
        <w:rPr/>
        <w:t>年移动端增速和占比持续提升，</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w w:val="99"/>
        </w:rPr>
        <w:t> </w:t>
      </w:r>
      <w:r>
        <w:rPr>
          <w:rFonts w:ascii="Times New Roman" w:hAnsi="Times New Roman" w:cs="Times New Roman" w:eastAsia="Times New Roman" w:hint="default"/>
        </w:rPr>
        <w:t>12 </w:t>
      </w:r>
      <w:r>
        <w:rPr/>
        <w:t>月移动端订单数量占线上整体比例提升至</w:t>
      </w:r>
      <w:r>
        <w:rPr>
          <w:spacing w:val="-63"/>
        </w:rPr>
        <w:t> </w:t>
      </w:r>
      <w:r>
        <w:rPr>
          <w:rFonts w:ascii="Times New Roman" w:hAnsi="Times New Roman" w:cs="Times New Roman" w:eastAsia="Times New Roman" w:hint="default"/>
        </w:rPr>
        <w:t>60%</w:t>
      </w:r>
      <w:r>
        <w:rPr/>
        <w:t>。</w:t>
      </w:r>
    </w:p>
    <w:p>
      <w:pPr>
        <w:pStyle w:val="BodyText"/>
        <w:spacing w:line="240" w:lineRule="auto" w:before="22"/>
        <w:ind w:left="594" w:right="0"/>
        <w:jc w:val="left"/>
      </w:pPr>
      <w:r>
        <w:rPr/>
        <w:t>截至</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 </w:t>
      </w:r>
      <w:r>
        <w:rPr/>
        <w:t>月末，公司零售体系会员总数达到</w:t>
      </w:r>
      <w:r>
        <w:rPr>
          <w:spacing w:val="-54"/>
        </w:rPr>
        <w:t> </w:t>
      </w:r>
      <w:r>
        <w:rPr>
          <w:rFonts w:ascii="Times New Roman" w:hAnsi="Times New Roman" w:cs="Times New Roman" w:eastAsia="Times New Roman" w:hint="default"/>
        </w:rPr>
        <w:t>2.50 </w:t>
      </w:r>
      <w:r>
        <w:rPr/>
        <w:t>亿，年度活跃用户数</w:t>
      </w:r>
      <w:r>
        <w:rPr>
          <w:spacing w:val="-55"/>
        </w:rPr>
        <w:t> </w:t>
      </w:r>
      <w:r>
        <w:rPr>
          <w:rFonts w:ascii="Times New Roman" w:hAnsi="Times New Roman" w:cs="Times New Roman" w:eastAsia="Times New Roman" w:hint="default"/>
        </w:rPr>
        <w:t>5,078 </w:t>
      </w:r>
      <w:r>
        <w:rPr/>
        <w:t>万。</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p>
    <w:p>
      <w:pPr>
        <w:pStyle w:val="BodyText"/>
        <w:spacing w:line="240" w:lineRule="auto" w:before="163"/>
        <w:ind w:right="0"/>
        <w:jc w:val="both"/>
      </w:pPr>
      <w:r>
        <w:rPr>
          <w:w w:val="99"/>
        </w:rPr>
        <w:t>公司线上业务实现自营商品销售收入</w:t>
      </w:r>
      <w:r>
        <w:rPr>
          <w:spacing w:val="-47"/>
        </w:rPr>
        <w:t> </w:t>
      </w:r>
      <w:r>
        <w:rPr>
          <w:rFonts w:ascii="Times New Roman" w:hAnsi="Times New Roman" w:cs="Times New Roman" w:eastAsia="Times New Roman" w:hint="default"/>
          <w:w w:val="99"/>
        </w:rPr>
        <w:t>402.93</w:t>
      </w:r>
      <w:r>
        <w:rPr>
          <w:rFonts w:ascii="Times New Roman" w:hAnsi="Times New Roman" w:cs="Times New Roman" w:eastAsia="Times New Roman" w:hint="default"/>
          <w:spacing w:val="8"/>
        </w:rPr>
        <w:t> </w:t>
      </w:r>
      <w:r>
        <w:rPr>
          <w:spacing w:val="-2"/>
          <w:w w:val="99"/>
        </w:rPr>
        <w:t>亿</w:t>
      </w:r>
      <w:r>
        <w:rPr>
          <w:w w:val="99"/>
        </w:rPr>
        <w:t>元（含税</w:t>
      </w:r>
      <w:r>
        <w:rPr>
          <w:spacing w:val="-111"/>
          <w:w w:val="99"/>
        </w:rPr>
        <w:t>）</w:t>
      </w:r>
      <w:r>
        <w:rPr>
          <w:w w:val="99"/>
        </w:rPr>
        <w:t>，开放平台实现商品交易规模（指完成收款</w:t>
      </w:r>
      <w:r>
        <w:rPr/>
      </w:r>
    </w:p>
    <w:p>
      <w:pPr>
        <w:pStyle w:val="BodyText"/>
        <w:spacing w:line="240" w:lineRule="auto" w:before="163"/>
        <w:ind w:right="0"/>
        <w:jc w:val="both"/>
      </w:pPr>
      <w:r>
        <w:rPr>
          <w:w w:val="99"/>
        </w:rPr>
        <w:t>及配送服务的订单金额</w:t>
      </w:r>
      <w:r>
        <w:rPr>
          <w:spacing w:val="-24"/>
          <w:w w:val="99"/>
        </w:rPr>
        <w:t>，</w:t>
      </w:r>
      <w:r>
        <w:rPr>
          <w:w w:val="99"/>
        </w:rPr>
        <w:t>并剔除退货影响</w:t>
      </w:r>
      <w:r>
        <w:rPr>
          <w:spacing w:val="-24"/>
          <w:w w:val="99"/>
        </w:rPr>
        <w:t>）</w:t>
      </w:r>
      <w:r>
        <w:rPr>
          <w:w w:val="99"/>
        </w:rPr>
        <w:t>为</w:t>
      </w:r>
      <w:r>
        <w:rPr>
          <w:spacing w:val="-52"/>
        </w:rPr>
        <w:t> </w:t>
      </w:r>
      <w:r>
        <w:rPr>
          <w:rFonts w:ascii="Times New Roman" w:hAnsi="Times New Roman" w:cs="Times New Roman" w:eastAsia="Times New Roman" w:hint="default"/>
          <w:w w:val="99"/>
        </w:rPr>
        <w:t>99.82</w:t>
      </w:r>
      <w:r>
        <w:rPr>
          <w:rFonts w:ascii="Times New Roman" w:hAnsi="Times New Roman" w:cs="Times New Roman" w:eastAsia="Times New Roman" w:hint="default"/>
        </w:rPr>
        <w:t> </w:t>
      </w:r>
      <w:r>
        <w:rPr>
          <w:w w:val="99"/>
        </w:rPr>
        <w:t>亿</w:t>
      </w:r>
      <w:r>
        <w:rPr>
          <w:spacing w:val="-24"/>
          <w:w w:val="99"/>
        </w:rPr>
        <w:t>元</w:t>
      </w:r>
      <w:r>
        <w:rPr>
          <w:w w:val="99"/>
        </w:rPr>
        <w:t>（含税</w:t>
      </w:r>
      <w:r>
        <w:rPr>
          <w:spacing w:val="-111"/>
          <w:w w:val="99"/>
        </w:rPr>
        <w:t>）</w:t>
      </w:r>
      <w:r>
        <w:rPr>
          <w:spacing w:val="-23"/>
          <w:w w:val="99"/>
        </w:rPr>
        <w:t>，</w:t>
      </w:r>
      <w:r>
        <w:rPr>
          <w:w w:val="99"/>
        </w:rPr>
        <w:t>公司线上平台实体商品交易总规模</w:t>
      </w:r>
      <w:r>
        <w:rPr/>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6"/>
        <w:ind w:right="0"/>
        <w:jc w:val="both"/>
      </w:pPr>
      <w:r>
        <w:rPr>
          <w:w w:val="99"/>
        </w:rPr>
        <w:t>为</w:t>
      </w:r>
      <w:r>
        <w:rPr>
          <w:spacing w:val="-55"/>
        </w:rPr>
        <w:t> </w:t>
      </w:r>
      <w:r>
        <w:rPr>
          <w:rFonts w:ascii="Times New Roman" w:hAnsi="Times New Roman" w:cs="Times New Roman" w:eastAsia="Times New Roman" w:hint="default"/>
          <w:w w:val="99"/>
        </w:rPr>
        <w:t>502.75</w:t>
      </w:r>
      <w:r>
        <w:rPr>
          <w:rFonts w:ascii="Times New Roman" w:hAnsi="Times New Roman" w:cs="Times New Roman" w:eastAsia="Times New Roman" w:hint="default"/>
          <w:spacing w:val="1"/>
        </w:rPr>
        <w:t> </w:t>
      </w:r>
      <w:r>
        <w:rPr>
          <w:spacing w:val="-2"/>
          <w:w w:val="99"/>
        </w:rPr>
        <w:t>亿</w:t>
      </w:r>
      <w:r>
        <w:rPr>
          <w:w w:val="99"/>
        </w:rPr>
        <w:t>元（含税</w:t>
      </w:r>
      <w:r>
        <w:rPr>
          <w:spacing w:val="-111"/>
          <w:w w:val="99"/>
        </w:rPr>
        <w:t>）</w:t>
      </w:r>
      <w:r>
        <w:rPr>
          <w:w w:val="99"/>
        </w:rPr>
        <w:t>，同比增长</w:t>
      </w:r>
      <w:r>
        <w:rPr>
          <w:spacing w:val="-55"/>
        </w:rPr>
        <w:t> </w:t>
      </w:r>
      <w:r>
        <w:rPr>
          <w:rFonts w:ascii="Times New Roman" w:hAnsi="Times New Roman" w:cs="Times New Roman" w:eastAsia="Times New Roman" w:hint="default"/>
          <w:w w:val="99"/>
        </w:rPr>
        <w:t>94.93</w:t>
      </w:r>
      <w:r>
        <w:rPr>
          <w:rFonts w:ascii="Times New Roman" w:hAnsi="Times New Roman" w:cs="Times New Roman" w:eastAsia="Times New Roman" w:hint="default"/>
          <w:spacing w:val="1"/>
          <w:w w:val="99"/>
        </w:rPr>
        <w:t>%</w:t>
      </w:r>
      <w:r>
        <w:rPr>
          <w:w w:val="99"/>
        </w:rPr>
        <w:t>。</w:t>
      </w:r>
      <w:r>
        <w:rPr/>
      </w:r>
    </w:p>
    <w:p>
      <w:pPr>
        <w:pStyle w:val="Heading4"/>
        <w:spacing w:line="240" w:lineRule="auto" w:before="163"/>
        <w:ind w:left="595" w:right="1082"/>
        <w:jc w:val="left"/>
        <w:rPr>
          <w:b w:val="0"/>
          <w:bCs w:val="0"/>
        </w:rPr>
      </w:pPr>
      <w:r>
        <w:rPr>
          <w:rFonts w:ascii="Times New Roman" w:hAnsi="Times New Roman" w:cs="Times New Roman" w:eastAsia="Times New Roman" w:hint="default"/>
        </w:rPr>
        <w:t>3</w:t>
      </w:r>
      <w:r>
        <w:rPr/>
        <w:t>、家庭端</w:t>
      </w:r>
      <w:r>
        <w:rPr>
          <w:rFonts w:ascii="Times New Roman" w:hAnsi="Times New Roman" w:cs="Times New Roman" w:eastAsia="Times New Roman" w:hint="default"/>
        </w:rPr>
        <w:t>——</w:t>
      </w:r>
      <w:r>
        <w:rPr>
          <w:rFonts w:ascii="Times New Roman" w:hAnsi="Times New Roman" w:cs="Times New Roman" w:eastAsia="Times New Roman" w:hint="default"/>
        </w:rPr>
        <w:t>PPTV</w:t>
      </w:r>
      <w:r>
        <w:rPr>
          <w:rFonts w:ascii="Times New Roman" w:hAnsi="Times New Roman" w:cs="Times New Roman" w:eastAsia="Times New Roman" w:hint="default"/>
          <w:spacing w:val="-12"/>
        </w:rPr>
        <w:t> </w:t>
      </w:r>
      <w:r>
        <w:rPr/>
        <w:t>业务全面发展，构建内容、终端、平台为一体的生态平台</w:t>
      </w:r>
      <w:r>
        <w:rPr>
          <w:b w:val="0"/>
          <w:bCs w:val="0"/>
        </w:rPr>
      </w:r>
    </w:p>
    <w:p>
      <w:pPr>
        <w:pStyle w:val="BodyText"/>
        <w:spacing w:line="372" w:lineRule="auto" w:before="163"/>
        <w:ind w:right="896" w:firstLine="440"/>
        <w:jc w:val="left"/>
      </w:pPr>
      <w:r>
        <w:rPr>
          <w:rFonts w:ascii="Times New Roman" w:hAnsi="Times New Roman" w:cs="Times New Roman" w:eastAsia="Times New Roman" w:hint="default"/>
        </w:rPr>
        <w:t>PPTV </w:t>
      </w:r>
      <w:r>
        <w:rPr/>
        <w:t>作为公司家庭端的载体和家庭用户统一认知界面，</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年其围绕在线视频、家庭互联网应</w:t>
      </w:r>
      <w:r>
        <w:rPr>
          <w:w w:val="99"/>
        </w:rPr>
        <w:t> </w:t>
      </w:r>
      <w:r>
        <w:rPr/>
        <w:t>用、</w:t>
      </w:r>
      <w:r>
        <w:rPr>
          <w:rFonts w:ascii="Times New Roman" w:hAnsi="Times New Roman" w:cs="Times New Roman" w:eastAsia="Times New Roman" w:hint="default"/>
        </w:rPr>
        <w:t>PP</w:t>
      </w:r>
      <w:r>
        <w:rPr>
          <w:rFonts w:ascii="Times New Roman" w:hAnsi="Times New Roman" w:cs="Times New Roman" w:eastAsia="Times New Roman" w:hint="default"/>
          <w:spacing w:val="-7"/>
        </w:rPr>
        <w:t> </w:t>
      </w:r>
      <w:r>
        <w:rPr/>
        <w:t>云业务和</w:t>
      </w:r>
      <w:r>
        <w:rPr>
          <w:spacing w:val="-62"/>
        </w:rPr>
        <w:t> </w:t>
      </w:r>
      <w:r>
        <w:rPr>
          <w:rFonts w:ascii="Times New Roman" w:hAnsi="Times New Roman" w:cs="Times New Roman" w:eastAsia="Times New Roman" w:hint="default"/>
        </w:rPr>
        <w:t>PP</w:t>
      </w:r>
      <w:r>
        <w:rPr>
          <w:rFonts w:ascii="Times New Roman" w:hAnsi="Times New Roman" w:cs="Times New Roman" w:eastAsia="Times New Roman" w:hint="default"/>
          <w:spacing w:val="-7"/>
        </w:rPr>
        <w:t> </w:t>
      </w:r>
      <w:r>
        <w:rPr/>
        <w:t>体育四个板块逐次发力，构建集内容、终端、平台为一体的生态平台。在线视频</w:t>
      </w:r>
      <w:r>
        <w:rPr>
          <w:w w:val="99"/>
        </w:rPr>
        <w:t> </w:t>
      </w:r>
      <w:r>
        <w:rPr/>
        <w:t>方面加强内容布局，创新内容模式，多部自制剧进入网剧排行榜的前列，自制综艺节目《一唱成名》</w:t>
      </w:r>
      <w:r>
        <w:rPr>
          <w:spacing w:val="-66"/>
        </w:rPr>
        <w:t> </w:t>
      </w:r>
      <w:r>
        <w:rPr>
          <w:spacing w:val="-66"/>
        </w:rPr>
      </w:r>
      <w:r>
        <w:rPr>
          <w:spacing w:val="-8"/>
          <w:w w:val="99"/>
        </w:rPr>
        <w:t>也成为网络明星节目；</w:t>
      </w:r>
      <w:r>
        <w:rPr>
          <w:rFonts w:ascii="Times New Roman" w:hAnsi="Times New Roman" w:cs="Times New Roman" w:eastAsia="Times New Roman" w:hint="default"/>
          <w:spacing w:val="-8"/>
          <w:w w:val="99"/>
        </w:rPr>
        <w:t>PPTV</w:t>
      </w:r>
      <w:r>
        <w:rPr>
          <w:rFonts w:ascii="Times New Roman" w:hAnsi="Times New Roman" w:cs="Times New Roman" w:eastAsia="Times New Roman" w:hint="default"/>
          <w:spacing w:val="3"/>
          <w:w w:val="99"/>
        </w:rPr>
        <w:t> </w:t>
      </w:r>
      <w:r>
        <w:rPr>
          <w:w w:val="99"/>
        </w:rPr>
        <w:t>的操作系统</w:t>
      </w:r>
      <w:r>
        <w:rPr>
          <w:spacing w:val="-52"/>
          <w:w w:val="99"/>
        </w:rPr>
        <w:t> </w:t>
      </w:r>
      <w:r>
        <w:rPr>
          <w:rFonts w:ascii="Times New Roman" w:hAnsi="Times New Roman" w:cs="Times New Roman" w:eastAsia="Times New Roman" w:hint="default"/>
          <w:w w:val="99"/>
        </w:rPr>
        <w:t>PPOS</w:t>
      </w:r>
      <w:r>
        <w:rPr>
          <w:rFonts w:ascii="Times New Roman" w:hAnsi="Times New Roman" w:cs="Times New Roman" w:eastAsia="Times New Roman" w:hint="default"/>
          <w:spacing w:val="3"/>
          <w:w w:val="99"/>
        </w:rPr>
        <w:t> </w:t>
      </w:r>
      <w:r>
        <w:rPr>
          <w:spacing w:val="-6"/>
          <w:w w:val="99"/>
        </w:rPr>
        <w:t>和智能硬件产品陆续面世，推出了高端电视产品</w:t>
      </w:r>
      <w:r>
        <w:rPr>
          <w:spacing w:val="-50"/>
          <w:w w:val="99"/>
        </w:rPr>
        <w:t> </w:t>
      </w:r>
      <w:r>
        <w:rPr>
          <w:rFonts w:ascii="Times New Roman" w:hAnsi="Times New Roman" w:cs="Times New Roman" w:eastAsia="Times New Roman" w:hint="default"/>
          <w:w w:val="99"/>
        </w:rPr>
        <w:t>PP-43P</w:t>
      </w:r>
      <w:r>
        <w:rPr>
          <w:w w:val="99"/>
        </w:rPr>
        <w:t>、</w:t>
      </w:r>
      <w:r>
        <w:rPr>
          <w:w w:val="99"/>
        </w:rPr>
        <w:t> </w:t>
      </w:r>
      <w:r>
        <w:rPr>
          <w:rFonts w:ascii="Times New Roman" w:hAnsi="Times New Roman" w:cs="Times New Roman" w:eastAsia="Times New Roman" w:hint="default"/>
        </w:rPr>
        <w:t>55P</w:t>
      </w:r>
      <w:r>
        <w:rPr/>
        <w:t>、</w:t>
      </w:r>
      <w:r>
        <w:rPr>
          <w:rFonts w:ascii="Times New Roman" w:hAnsi="Times New Roman" w:cs="Times New Roman" w:eastAsia="Times New Roman" w:hint="default"/>
        </w:rPr>
        <w:t>55T</w:t>
      </w:r>
      <w:r>
        <w:rPr/>
        <w:t>，实现了客厅布局流量入口的落地，依托苏宁渠道优势以及</w:t>
      </w:r>
      <w:r>
        <w:rPr>
          <w:spacing w:val="-66"/>
        </w:rPr>
        <w:t> </w:t>
      </w:r>
      <w:r>
        <w:rPr>
          <w:rFonts w:ascii="Times New Roman" w:hAnsi="Times New Roman" w:cs="Times New Roman" w:eastAsia="Times New Roman" w:hint="default"/>
        </w:rPr>
        <w:t>PPTV</w:t>
      </w:r>
      <w:r>
        <w:rPr>
          <w:rFonts w:ascii="Times New Roman" w:hAnsi="Times New Roman" w:cs="Times New Roman" w:eastAsia="Times New Roman" w:hint="default"/>
          <w:spacing w:val="-14"/>
        </w:rPr>
        <w:t> </w:t>
      </w:r>
      <w:r>
        <w:rPr/>
        <w:t>内容优势，互联网终端产</w:t>
      </w:r>
      <w:r>
        <w:rPr>
          <w:w w:val="99"/>
        </w:rPr>
        <w:t> </w:t>
      </w:r>
      <w:r>
        <w:rPr>
          <w:spacing w:val="-5"/>
        </w:rPr>
        <w:t>品取得了较好的市场口碑；</w:t>
      </w:r>
      <w:r>
        <w:rPr>
          <w:rFonts w:ascii="Times New Roman" w:hAnsi="Times New Roman" w:cs="Times New Roman" w:eastAsia="Times New Roman" w:hint="default"/>
          <w:spacing w:val="-5"/>
        </w:rPr>
        <w:t>PPTV </w:t>
      </w:r>
      <w:r>
        <w:rPr>
          <w:spacing w:val="-5"/>
        </w:rPr>
        <w:t>第一体育独立运营，是全球首款专业体育的视频客户端，拥有西甲、</w:t>
      </w:r>
      <w:r>
        <w:rPr>
          <w:spacing w:val="-87"/>
        </w:rPr>
        <w:t> </w:t>
      </w:r>
      <w:r>
        <w:rPr>
          <w:spacing w:val="-87"/>
        </w:rPr>
      </w:r>
      <w:r>
        <w:rPr/>
        <w:t>德甲、欧冠等众多顶级体育赛事的直播权，还加强赛事运营、尝试体育电商，转型体育全产业链。</w:t>
      </w:r>
    </w:p>
    <w:p>
      <w:pPr>
        <w:pStyle w:val="BodyText"/>
        <w:spacing w:line="374" w:lineRule="auto" w:before="59"/>
        <w:ind w:right="1130" w:firstLine="440"/>
        <w:jc w:val="both"/>
      </w:pPr>
      <w:r>
        <w:rPr/>
        <w:t>报告期内，</w:t>
      </w:r>
      <w:r>
        <w:rPr>
          <w:rFonts w:ascii="Times New Roman" w:hAnsi="Times New Roman" w:cs="Times New Roman" w:eastAsia="Times New Roman" w:hint="default"/>
        </w:rPr>
        <w:t>PPTV</w:t>
      </w:r>
      <w:r>
        <w:rPr>
          <w:rFonts w:ascii="Times New Roman" w:hAnsi="Times New Roman" w:cs="Times New Roman" w:eastAsia="Times New Roman" w:hint="default"/>
          <w:spacing w:val="-30"/>
        </w:rPr>
        <w:t> </w:t>
      </w:r>
      <w:r>
        <w:rPr/>
        <w:t>仍处于阶段性的战略投入阶段，在</w:t>
      </w:r>
      <w:r>
        <w:rPr>
          <w:spacing w:val="-84"/>
        </w:rPr>
        <w:t> </w:t>
      </w:r>
      <w:r>
        <w:rPr>
          <w:rFonts w:ascii="Times New Roman" w:hAnsi="Times New Roman" w:cs="Times New Roman" w:eastAsia="Times New Roman" w:hint="default"/>
        </w:rPr>
        <w:t>CDN</w:t>
      </w:r>
      <w:r>
        <w:rPr/>
        <w:t>、版权采购以及研发、人才等方面投入</w:t>
      </w:r>
      <w:r>
        <w:rPr>
          <w:w w:val="99"/>
        </w:rPr>
        <w:t> </w:t>
      </w:r>
      <w:r>
        <w:rPr>
          <w:spacing w:val="-12"/>
        </w:rPr>
        <w:t>较大，</w:t>
      </w:r>
      <w:r>
        <w:rPr>
          <w:rFonts w:ascii="Times New Roman" w:hAnsi="Times New Roman" w:cs="Times New Roman" w:eastAsia="Times New Roman" w:hint="default"/>
          <w:spacing w:val="-12"/>
        </w:rPr>
        <w:t>2015</w:t>
      </w:r>
      <w:r>
        <w:rPr>
          <w:rFonts w:ascii="Times New Roman" w:hAnsi="Times New Roman" w:cs="Times New Roman" w:eastAsia="Times New Roman" w:hint="default"/>
          <w:spacing w:val="-3"/>
        </w:rPr>
        <w:t> </w:t>
      </w:r>
      <w:r>
        <w:rPr/>
        <w:t>年实现净利润亏损</w:t>
      </w:r>
      <w:r>
        <w:rPr>
          <w:spacing w:val="-57"/>
        </w:rPr>
        <w:t> </w:t>
      </w:r>
      <w:r>
        <w:rPr>
          <w:rFonts w:ascii="Times New Roman" w:hAnsi="Times New Roman" w:cs="Times New Roman" w:eastAsia="Times New Roman" w:hint="default"/>
        </w:rPr>
        <w:t>11.61</w:t>
      </w:r>
      <w:r>
        <w:rPr>
          <w:rFonts w:ascii="Times New Roman" w:hAnsi="Times New Roman" w:cs="Times New Roman" w:eastAsia="Times New Roman" w:hint="default"/>
          <w:spacing w:val="-1"/>
        </w:rPr>
        <w:t> </w:t>
      </w:r>
      <w:r>
        <w:rPr>
          <w:spacing w:val="-16"/>
        </w:rPr>
        <w:t>亿元。公司</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5"/>
        </w:rPr>
        <w:t>年第三次临时股东大会审议通过，公司向</w:t>
      </w:r>
      <w:r>
        <w:rPr>
          <w:spacing w:val="-55"/>
        </w:rPr>
        <w:t> </w:t>
      </w:r>
      <w:r>
        <w:rPr>
          <w:rFonts w:ascii="Times New Roman" w:hAnsi="Times New Roman" w:cs="Times New Roman" w:eastAsia="Times New Roman" w:hint="default"/>
        </w:rPr>
        <w:t>Alibaba</w:t>
      </w:r>
      <w:r>
        <w:rPr>
          <w:rFonts w:ascii="Times New Roman" w:hAnsi="Times New Roman" w:cs="Times New Roman" w:eastAsia="Times New Roman" w:hint="default"/>
          <w:w w:val="99"/>
        </w:rPr>
        <w:t> Group</w:t>
      </w:r>
      <w:r>
        <w:rPr>
          <w:rFonts w:ascii="Times New Roman" w:hAnsi="Times New Roman" w:cs="Times New Roman" w:eastAsia="Times New Roman" w:hint="default"/>
          <w:spacing w:val="8"/>
          <w:w w:val="99"/>
        </w:rPr>
        <w:t> </w:t>
      </w:r>
      <w:r>
        <w:rPr>
          <w:rFonts w:ascii="Times New Roman" w:hAnsi="Times New Roman" w:cs="Times New Roman" w:eastAsia="Times New Roman" w:hint="default"/>
          <w:spacing w:val="-1"/>
          <w:w w:val="99"/>
        </w:rPr>
        <w:t>Holding</w:t>
      </w:r>
      <w:r>
        <w:rPr>
          <w:rFonts w:ascii="Times New Roman" w:hAnsi="Times New Roman" w:cs="Times New Roman" w:eastAsia="Times New Roman" w:hint="default"/>
          <w:spacing w:val="8"/>
          <w:w w:val="99"/>
        </w:rPr>
        <w:t> </w:t>
      </w:r>
      <w:r>
        <w:rPr>
          <w:rFonts w:ascii="Times New Roman" w:hAnsi="Times New Roman" w:cs="Times New Roman" w:eastAsia="Times New Roman" w:hint="default"/>
          <w:spacing w:val="-4"/>
          <w:w w:val="99"/>
        </w:rPr>
        <w:t>Limited</w:t>
      </w:r>
      <w:r>
        <w:rPr>
          <w:spacing w:val="-4"/>
          <w:w w:val="99"/>
        </w:rPr>
        <w:t>（以下简称“阿里巴巴集团”）境内全资子公司淘宝（中国）软件有限公司非公</w:t>
      </w:r>
      <w:r>
        <w:rPr>
          <w:spacing w:val="-106"/>
          <w:w w:val="99"/>
        </w:rPr>
        <w:t> </w:t>
      </w:r>
      <w:r>
        <w:rPr>
          <w:spacing w:val="-106"/>
          <w:w w:val="99"/>
        </w:rPr>
      </w:r>
      <w:r>
        <w:rPr>
          <w:spacing w:val="-1"/>
        </w:rPr>
        <w:t>开发行股份，拟引进阿里巴巴集团作为公司的战略投资者，若交易完成，公司股份中将出现间接的外</w:t>
      </w:r>
      <w:r>
        <w:rPr>
          <w:w w:val="99"/>
        </w:rPr>
        <w:t> </w:t>
      </w:r>
      <w:r>
        <w:rPr/>
        <w:t>资持股，为避免外商投资产业政策对 </w:t>
      </w:r>
      <w:r>
        <w:rPr>
          <w:rFonts w:ascii="Times New Roman" w:hAnsi="Times New Roman" w:cs="Times New Roman" w:eastAsia="Times New Roman" w:hint="default"/>
        </w:rPr>
        <w:t>PPTV </w:t>
      </w:r>
      <w:r>
        <w:rPr/>
        <w:t>后续业务发展可能造成的影响和限制，公司拟出售</w:t>
      </w:r>
      <w:r>
        <w:rPr>
          <w:spacing w:val="-85"/>
        </w:rPr>
        <w:t> </w:t>
      </w:r>
      <w:r>
        <w:rPr>
          <w:rFonts w:ascii="Times New Roman" w:hAnsi="Times New Roman" w:cs="Times New Roman" w:eastAsia="Times New Roman" w:hint="default"/>
        </w:rPr>
        <w:t>PPTV</w:t>
      </w:r>
      <w:r>
        <w:rPr>
          <w:rFonts w:ascii="Times New Roman" w:hAnsi="Times New Roman" w:cs="Times New Roman" w:eastAsia="Times New Roman" w:hint="default"/>
          <w:w w:val="99"/>
        </w:rPr>
        <w:t> </w:t>
      </w:r>
      <w:r>
        <w:rPr>
          <w:spacing w:val="-4"/>
        </w:rPr>
        <w:t>股权。</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月，公司下属境外子公司</w:t>
      </w:r>
      <w:r>
        <w:rPr>
          <w:spacing w:val="-55"/>
        </w:rPr>
        <w:t> </w:t>
      </w:r>
      <w:r>
        <w:rPr>
          <w:rFonts w:ascii="Times New Roman" w:hAnsi="Times New Roman" w:cs="Times New Roman" w:eastAsia="Times New Roman" w:hint="default"/>
        </w:rPr>
        <w:t>Great</w:t>
      </w:r>
      <w:r>
        <w:rPr>
          <w:rFonts w:ascii="Times New Roman" w:hAnsi="Times New Roman" w:cs="Times New Roman" w:eastAsia="Times New Roman" w:hint="default"/>
          <w:spacing w:val="-1"/>
        </w:rPr>
        <w:t> </w:t>
      </w:r>
      <w:r>
        <w:rPr>
          <w:rFonts w:ascii="Times New Roman" w:hAnsi="Times New Roman" w:cs="Times New Roman" w:eastAsia="Times New Roman" w:hint="default"/>
        </w:rPr>
        <w:t>Universe</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 </w:t>
      </w:r>
      <w:r>
        <w:rPr/>
        <w:t>将其持有的</w:t>
      </w:r>
      <w:r>
        <w:rPr>
          <w:spacing w:val="-56"/>
        </w:rPr>
        <w:t> </w:t>
      </w:r>
      <w:r>
        <w:rPr>
          <w:rFonts w:ascii="Times New Roman" w:hAnsi="Times New Roman" w:cs="Times New Roman" w:eastAsia="Times New Roman" w:hint="default"/>
        </w:rPr>
        <w:t>PPTV </w:t>
      </w:r>
      <w:r>
        <w:rPr/>
        <w:t>公司</w:t>
      </w:r>
      <w:r>
        <w:rPr>
          <w:spacing w:val="-56"/>
        </w:rPr>
        <w:t> </w:t>
      </w:r>
      <w:r>
        <w:rPr>
          <w:rFonts w:ascii="Times New Roman" w:hAnsi="Times New Roman" w:cs="Times New Roman" w:eastAsia="Times New Roman" w:hint="default"/>
        </w:rPr>
        <w:t>68.08%</w:t>
      </w:r>
      <w:r>
        <w:rPr/>
        <w:t>的股</w:t>
      </w:r>
      <w:r>
        <w:rPr>
          <w:w w:val="99"/>
        </w:rPr>
        <w:t> </w:t>
      </w:r>
      <w:r>
        <w:rPr>
          <w:spacing w:val="-6"/>
          <w:w w:val="99"/>
        </w:rPr>
        <w:t>权全部转让于苏宁文化投资管理有限公司的境外子公司。转让后，</w:t>
      </w:r>
      <w:r>
        <w:rPr>
          <w:rFonts w:ascii="Times New Roman" w:hAnsi="Times New Roman" w:cs="Times New Roman" w:eastAsia="Times New Roman" w:hint="default"/>
          <w:spacing w:val="-6"/>
          <w:w w:val="99"/>
        </w:rPr>
        <w:t>PPTV</w:t>
      </w:r>
      <w:r>
        <w:rPr>
          <w:rFonts w:ascii="Times New Roman" w:hAnsi="Times New Roman" w:cs="Times New Roman" w:eastAsia="Times New Roman" w:hint="default"/>
          <w:spacing w:val="15"/>
          <w:w w:val="99"/>
        </w:rPr>
        <w:t> </w:t>
      </w:r>
      <w:r>
        <w:rPr>
          <w:spacing w:val="-1"/>
          <w:w w:val="99"/>
        </w:rPr>
        <w:t>与公司仍将在会员数据共享、</w:t>
      </w:r>
      <w:r>
        <w:rPr>
          <w:spacing w:val="-105"/>
          <w:w w:val="99"/>
        </w:rPr>
        <w:t> </w:t>
      </w:r>
      <w:r>
        <w:rPr>
          <w:spacing w:val="-105"/>
          <w:w w:val="99"/>
        </w:rPr>
      </w:r>
      <w:r>
        <w:rPr>
          <w:spacing w:val="-1"/>
        </w:rPr>
        <w:t>智能硬件、智能家居、视频电商融合等方面进行积极探索，开展深层次的战略合作，推进公司在家庭</w:t>
      </w:r>
      <w:r>
        <w:rPr>
          <w:w w:val="99"/>
        </w:rPr>
        <w:t> </w:t>
      </w:r>
      <w:r>
        <w:rPr/>
        <w:t>端的建设。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8"/>
          <w:szCs w:val="18"/>
        </w:rPr>
      </w:pPr>
    </w:p>
    <w:p>
      <w:pPr>
        <w:spacing w:line="369" w:lineRule="auto" w:before="0"/>
        <w:ind w:left="594" w:right="1082" w:firstLine="144"/>
        <w:jc w:val="left"/>
        <w:rPr>
          <w:rFonts w:ascii="宋体" w:hAnsi="宋体" w:cs="宋体" w:eastAsia="宋体" w:hint="default"/>
          <w:sz w:val="22"/>
          <w:szCs w:val="22"/>
        </w:rPr>
      </w:pPr>
      <w:r>
        <w:rPr>
          <w:rFonts w:ascii="Wingdings" w:hAnsi="Wingdings" w:cs="Wingdings" w:eastAsia="Wingdings" w:hint="default"/>
          <w:sz w:val="22"/>
          <w:szCs w:val="22"/>
        </w:rPr>
        <w:t></w:t>
      </w:r>
      <w:r>
        <w:rPr>
          <w:rFonts w:ascii="宋体" w:hAnsi="宋体" w:cs="宋体" w:eastAsia="宋体" w:hint="default"/>
          <w:b/>
          <w:bCs/>
          <w:sz w:val="22"/>
          <w:szCs w:val="22"/>
        </w:rPr>
        <w:t>变革供应链，打造全品类、专业化的商品运营平台</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商品的丰富度是企业发展的基础，丰富的商品是激活用户粘性和提升平台流量最有效、最直接的</w:t>
      </w:r>
    </w:p>
    <w:p>
      <w:pPr>
        <w:pStyle w:val="BodyText"/>
        <w:spacing w:line="369" w:lineRule="auto" w:before="61"/>
        <w:ind w:right="1132"/>
        <w:jc w:val="both"/>
      </w:pPr>
      <w:r>
        <w:rPr/>
        <w:t>手段。因此</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年，公司继续坚持</w:t>
      </w:r>
      <w:r>
        <w:rPr>
          <w:rFonts w:ascii="Times New Roman" w:hAnsi="Times New Roman" w:cs="Times New Roman" w:eastAsia="Times New Roman" w:hint="default"/>
        </w:rPr>
        <w:t>“</w:t>
      </w:r>
      <w:r>
        <w:rPr/>
        <w:t>巩固家电、凸显</w:t>
      </w:r>
      <w:r>
        <w:rPr>
          <w:spacing w:val="-60"/>
        </w:rPr>
        <w:t> </w:t>
      </w:r>
      <w:r>
        <w:rPr>
          <w:rFonts w:ascii="Times New Roman" w:hAnsi="Times New Roman" w:cs="Times New Roman" w:eastAsia="Times New Roman" w:hint="default"/>
        </w:rPr>
        <w:t>3C</w:t>
      </w:r>
      <w:r>
        <w:rPr/>
        <w:t>、培育母婴超市</w:t>
      </w:r>
      <w:r>
        <w:rPr>
          <w:rFonts w:ascii="Times New Roman" w:hAnsi="Times New Roman" w:cs="Times New Roman" w:eastAsia="Times New Roman" w:hint="default"/>
        </w:rPr>
        <w:t>”</w:t>
      </w:r>
      <w:r>
        <w:rPr/>
        <w:t>的全品类发展战略，创新变</w:t>
      </w:r>
      <w:r>
        <w:rPr>
          <w:w w:val="99"/>
        </w:rPr>
        <w:t> </w:t>
      </w:r>
      <w:r>
        <w:rPr/>
        <w:t>革供应链，深度协同零供关系，加强商品运营及供应商服务能力，提升苏宁平台价值。</w:t>
      </w:r>
    </w:p>
    <w:p>
      <w:pPr>
        <w:spacing w:line="369" w:lineRule="auto" w:before="61"/>
        <w:ind w:left="703" w:right="1082" w:hanging="109"/>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、全品类、专业化的商品运营</w:t>
      </w:r>
      <w:r>
        <w:rPr>
          <w:rFonts w:ascii="宋体" w:hAnsi="宋体" w:cs="宋体" w:eastAsia="宋体" w:hint="default"/>
          <w:b/>
          <w:bCs/>
          <w:spacing w:val="1"/>
          <w:w w:val="99"/>
          <w:sz w:val="22"/>
          <w:szCs w:val="22"/>
        </w:rPr>
        <w:t> </w:t>
      </w:r>
      <w:r>
        <w:rPr>
          <w:rFonts w:ascii="宋体" w:hAnsi="宋体" w:cs="宋体" w:eastAsia="宋体" w:hint="default"/>
          <w:sz w:val="22"/>
          <w:szCs w:val="22"/>
        </w:rPr>
        <w:t>公司持续巩固大家电的传统优势，通过品牌战略合作，深挖三四级市场等举措加强家电运营能</w:t>
      </w:r>
    </w:p>
    <w:p>
      <w:pPr>
        <w:pStyle w:val="BodyText"/>
        <w:spacing w:line="391" w:lineRule="auto" w:before="61"/>
        <w:ind w:right="1135"/>
        <w:jc w:val="both"/>
      </w:pPr>
      <w:r>
        <w:rPr>
          <w:spacing w:val="-2"/>
        </w:rPr>
        <w:t>力；通讯品类以公司化体系运作，聚焦核心单品，加强互联网品牌运营，与小米、华为、魅族等品牌</w:t>
      </w:r>
      <w:r>
        <w:rPr>
          <w:spacing w:val="-86"/>
        </w:rPr>
        <w:t> </w:t>
      </w:r>
      <w:r>
        <w:rPr>
          <w:spacing w:val="-86"/>
        </w:rPr>
      </w:r>
      <w:r>
        <w:rPr>
          <w:spacing w:val="-1"/>
          <w:w w:val="95"/>
        </w:rPr>
        <w:t>深度融合实现突破，产品销售实现了快速增长，有效提升了市场竞争力。通过加强商品规划、库存部</w:t>
      </w:r>
      <w:r>
        <w:rPr>
          <w:spacing w:val="50"/>
          <w:w w:val="95"/>
        </w:rPr>
        <w:t> </w:t>
      </w:r>
      <w:r>
        <w:rPr>
          <w:spacing w:val="50"/>
          <w:w w:val="95"/>
        </w:rPr>
      </w:r>
      <w:r>
        <w:rPr/>
        <w:t>署优化，零供双方专业化对接，进一步加快了库存周转，提升供应链效率。</w:t>
      </w:r>
    </w:p>
    <w:p>
      <w:pPr>
        <w:pStyle w:val="BodyText"/>
        <w:spacing w:line="369" w:lineRule="auto" w:before="41"/>
        <w:ind w:left="154" w:right="1123" w:firstLine="550"/>
        <w:jc w:val="left"/>
      </w:pPr>
      <w:r>
        <w:rPr/>
        <w:t>母婴方面，致力于打造</w:t>
      </w:r>
      <w:r>
        <w:rPr>
          <w:spacing w:val="-74"/>
        </w:rPr>
        <w:t> </w:t>
      </w:r>
      <w:r>
        <w:rPr>
          <w:rFonts w:ascii="Times New Roman" w:hAnsi="Times New Roman" w:cs="Times New Roman" w:eastAsia="Times New Roman" w:hint="default"/>
        </w:rPr>
        <w:t>O2O</w:t>
      </w:r>
      <w:r>
        <w:rPr>
          <w:rFonts w:ascii="Times New Roman" w:hAnsi="Times New Roman" w:cs="Times New Roman" w:eastAsia="Times New Roman" w:hint="default"/>
          <w:spacing w:val="-20"/>
        </w:rPr>
        <w:t> </w:t>
      </w:r>
      <w:r>
        <w:rPr/>
        <w:t>模式，一方面延展线上产品的广度和深度，获得众多海外品牌授权</w:t>
      </w:r>
      <w:r>
        <w:rPr>
          <w:w w:val="99"/>
        </w:rPr>
        <w:t> </w:t>
      </w:r>
      <w:r>
        <w:rPr>
          <w:spacing w:val="-1"/>
          <w:w w:val="95"/>
        </w:rPr>
        <w:t>直供；另一方面积极建设线下红孩子实体店，打造融线上购物、线下消费指导和体验为一体的全方位</w:t>
      </w:r>
      <w:r>
        <w:rPr>
          <w:spacing w:val="-1"/>
        </w:rPr>
      </w:r>
    </w:p>
    <w:p>
      <w:pPr>
        <w:spacing w:after="0" w:line="36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1" w:lineRule="auto" w:before="166"/>
        <w:ind w:left="703" w:right="1082" w:hanging="550"/>
        <w:jc w:val="left"/>
      </w:pPr>
      <w:r>
        <w:rPr/>
        <w:t>服务平台，红孩子“全方位可信赖的母婴专家”的形象逐步凸显。</w:t>
      </w:r>
      <w:r>
        <w:rPr>
          <w:w w:val="99"/>
        </w:rPr>
        <w:t> </w:t>
      </w:r>
      <w:r>
        <w:rPr/>
        <w:t>超市方面，线上以自营精选畅销商品和品牌旗舰店，线下以广场主力店、苏宁超市店和服务站</w:t>
      </w:r>
    </w:p>
    <w:p>
      <w:pPr>
        <w:pStyle w:val="BodyText"/>
        <w:spacing w:line="391" w:lineRule="auto" w:before="41"/>
        <w:ind w:right="1082"/>
        <w:jc w:val="left"/>
      </w:pPr>
      <w:r>
        <w:rPr>
          <w:spacing w:val="-1"/>
          <w:w w:val="95"/>
        </w:rPr>
        <w:t>的模式，重点突破生鲜电商、地方特色、进口食品与定制包销产品，并大力发展农村电商以及通过现</w:t>
      </w:r>
      <w:r>
        <w:rPr>
          <w:spacing w:val="51"/>
          <w:w w:val="95"/>
        </w:rPr>
        <w:t> </w:t>
      </w:r>
      <w:r>
        <w:rPr>
          <w:spacing w:val="51"/>
          <w:w w:val="95"/>
        </w:rPr>
      </w:r>
      <w:r>
        <w:rPr/>
        <w:t>有门店构建虚拟超市，苏宁超市品牌逐步提高认知度。</w:t>
      </w:r>
    </w:p>
    <w:p>
      <w:pPr>
        <w:pStyle w:val="BodyText"/>
        <w:spacing w:line="384" w:lineRule="auto" w:before="41"/>
        <w:ind w:right="1130" w:firstLine="550"/>
        <w:jc w:val="right"/>
      </w:pPr>
      <w:r>
        <w:rPr/>
        <w:t>跨境电商业务方面，充分发挥公司在日本、美国、香港地区的供应链优势，加强自营采购以及</w:t>
      </w:r>
      <w:r>
        <w:rPr>
          <w:w w:val="99"/>
        </w:rPr>
        <w:t> </w:t>
      </w:r>
      <w:r>
        <w:rPr>
          <w:spacing w:val="-6"/>
          <w:w w:val="95"/>
        </w:rPr>
        <w:t>招商，进一步丰富商品，打造苏宁海外购旗舰群。进一步加强保税区物流建设，提升消费者购物体验。</w:t>
      </w:r>
      <w:r>
        <w:rPr>
          <w:spacing w:val="65"/>
          <w:w w:val="95"/>
        </w:rPr>
        <w:t> </w:t>
      </w:r>
      <w:r>
        <w:rPr>
          <w:spacing w:val="65"/>
          <w:w w:val="95"/>
        </w:rPr>
      </w:r>
      <w:r>
        <w:rPr/>
        <w:t>开放平台方面，进一步强化品牌商户招商的机制，聚焦核心 </w:t>
      </w:r>
      <w:r>
        <w:rPr>
          <w:rFonts w:ascii="Times New Roman" w:hAnsi="Times New Roman" w:cs="Times New Roman" w:eastAsia="Times New Roman" w:hint="default"/>
        </w:rPr>
        <w:t>KA</w:t>
      </w:r>
      <w:r>
        <w:rPr>
          <w:rFonts w:ascii="Times New Roman" w:hAnsi="Times New Roman" w:cs="Times New Roman" w:eastAsia="Times New Roman" w:hint="default"/>
          <w:spacing w:val="11"/>
        </w:rPr>
        <w:t> </w:t>
      </w:r>
      <w:r>
        <w:rPr/>
        <w:t>商户、重点商户等目标商户的</w:t>
      </w:r>
      <w:r>
        <w:rPr>
          <w:w w:val="99"/>
        </w:rPr>
        <w:t> </w:t>
      </w:r>
      <w:r>
        <w:rPr/>
        <w:t>引进，开放平台 </w:t>
      </w:r>
      <w:r>
        <w:rPr>
          <w:rFonts w:ascii="Times New Roman" w:hAnsi="Times New Roman" w:cs="Times New Roman" w:eastAsia="Times New Roman" w:hint="default"/>
        </w:rPr>
        <w:t>SKU</w:t>
      </w:r>
      <w:r>
        <w:rPr>
          <w:rFonts w:ascii="Times New Roman" w:hAnsi="Times New Roman" w:cs="Times New Roman" w:eastAsia="Times New Roman" w:hint="default"/>
          <w:spacing w:val="23"/>
        </w:rPr>
        <w:t> </w:t>
      </w:r>
      <w:r>
        <w:rPr/>
        <w:t>数量极大丰富。同时，公司还积极扶持农村电商发展，上线</w:t>
      </w:r>
      <w:r>
        <w:rPr>
          <w:rFonts w:ascii="Times New Roman" w:hAnsi="Times New Roman" w:cs="Times New Roman" w:eastAsia="Times New Roman" w:hint="default"/>
        </w:rPr>
        <w:t>“</w:t>
      </w:r>
      <w:r>
        <w:rPr/>
        <w:t>中华特色馆</w:t>
      </w:r>
      <w:r>
        <w:rPr>
          <w:rFonts w:ascii="Times New Roman" w:hAnsi="Times New Roman" w:cs="Times New Roman" w:eastAsia="Times New Roman" w:hint="default"/>
        </w:rPr>
        <w:t>”</w:t>
      </w:r>
      <w:r>
        <w:rPr/>
        <w:t>频道</w:t>
      </w:r>
    </w:p>
    <w:p>
      <w:pPr>
        <w:pStyle w:val="BodyText"/>
        <w:spacing w:line="240" w:lineRule="auto" w:before="17"/>
        <w:ind w:right="1082"/>
        <w:jc w:val="left"/>
      </w:pPr>
      <w:r>
        <w:rPr/>
        <w:t>为众多地区的农产品搭建了特色营销平台，至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年末共有</w:t>
      </w:r>
      <w:r>
        <w:rPr>
          <w:spacing w:val="-58"/>
        </w:rPr>
        <w:t> </w:t>
      </w:r>
      <w:r>
        <w:rPr>
          <w:rFonts w:ascii="Times New Roman" w:hAnsi="Times New Roman" w:cs="Times New Roman" w:eastAsia="Times New Roman" w:hint="default"/>
        </w:rPr>
        <w:t>145</w:t>
      </w:r>
      <w:r>
        <w:rPr>
          <w:rFonts w:ascii="Times New Roman" w:hAnsi="Times New Roman" w:cs="Times New Roman" w:eastAsia="Times New Roman" w:hint="default"/>
          <w:spacing w:val="-3"/>
        </w:rPr>
        <w:t> </w:t>
      </w:r>
      <w:r>
        <w:rPr/>
        <w:t>个市县上线开馆，遍及</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个省。</w:t>
      </w:r>
    </w:p>
    <w:p>
      <w:pPr>
        <w:pStyle w:val="BodyText"/>
        <w:spacing w:line="369" w:lineRule="auto" w:before="163"/>
        <w:ind w:right="1129" w:firstLine="440"/>
        <w:jc w:val="both"/>
      </w:pPr>
      <w:r>
        <w:rPr>
          <w:spacing w:val="-9"/>
          <w:w w:val="99"/>
        </w:rPr>
        <w:t>通过自营与平台的发展，公司商品丰富度得到提高，截至</w:t>
      </w:r>
      <w:r>
        <w:rPr>
          <w:spacing w:val="-48"/>
          <w:w w:val="99"/>
        </w:rPr>
        <w:t> </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3"/>
          <w:w w:val="99"/>
        </w:rPr>
        <w:t> </w:t>
      </w:r>
      <w:r>
        <w:rPr>
          <w:spacing w:val="-16"/>
          <w:w w:val="99"/>
        </w:rPr>
        <w:t>年末，公司商品</w:t>
      </w:r>
      <w:r>
        <w:rPr>
          <w:spacing w:val="-52"/>
          <w:w w:val="99"/>
        </w:rPr>
        <w:t> </w:t>
      </w:r>
      <w:r>
        <w:rPr>
          <w:rFonts w:ascii="Times New Roman" w:hAnsi="Times New Roman" w:cs="Times New Roman" w:eastAsia="Times New Roman" w:hint="default"/>
          <w:w w:val="99"/>
        </w:rPr>
        <w:t>SKU</w:t>
      </w:r>
      <w:r>
        <w:rPr>
          <w:rFonts w:ascii="Times New Roman" w:hAnsi="Times New Roman" w:cs="Times New Roman" w:eastAsia="Times New Roman" w:hint="default"/>
          <w:spacing w:val="3"/>
          <w:w w:val="99"/>
        </w:rPr>
        <w:t> </w:t>
      </w:r>
      <w:r>
        <w:rPr>
          <w:w w:val="99"/>
        </w:rPr>
        <w:t>数量达到</w:t>
      </w:r>
      <w:r>
        <w:rPr>
          <w:spacing w:val="-52"/>
          <w:w w:val="99"/>
        </w:rPr>
        <w:t> </w:t>
      </w:r>
      <w:r>
        <w:rPr>
          <w:rFonts w:ascii="Times New Roman" w:hAnsi="Times New Roman" w:cs="Times New Roman" w:eastAsia="Times New Roman" w:hint="default"/>
          <w:w w:val="99"/>
        </w:rPr>
        <w:t>2000 </w:t>
      </w:r>
      <w:r>
        <w:rPr>
          <w:w w:val="99"/>
        </w:rPr>
        <w:t>万（同一商品来自不同供应商、同一商品被公司和开放平台第三方商户销售均计为同一个</w:t>
      </w:r>
      <w:r>
        <w:rPr>
          <w:spacing w:val="-35"/>
          <w:w w:val="99"/>
        </w:rPr>
        <w:t> </w:t>
      </w:r>
      <w:r>
        <w:rPr>
          <w:rFonts w:ascii="Times New Roman" w:hAnsi="Times New Roman" w:cs="Times New Roman" w:eastAsia="Times New Roman" w:hint="default"/>
          <w:spacing w:val="-19"/>
          <w:w w:val="99"/>
        </w:rPr>
        <w:t>SKU</w:t>
      </w:r>
      <w:r>
        <w:rPr>
          <w:spacing w:val="-19"/>
          <w:w w:val="99"/>
        </w:rPr>
        <w:t>），开</w:t>
      </w:r>
      <w:r>
        <w:rPr>
          <w:w w:val="99"/>
        </w:rPr>
        <w:t> </w:t>
      </w:r>
      <w:r>
        <w:rPr/>
        <w:t>放平台商户数</w:t>
      </w:r>
      <w:r>
        <w:rPr>
          <w:spacing w:val="-58"/>
        </w:rPr>
        <w:t> </w:t>
      </w:r>
      <w:r>
        <w:rPr>
          <w:rFonts w:ascii="Times New Roman" w:hAnsi="Times New Roman" w:cs="Times New Roman" w:eastAsia="Times New Roman" w:hint="default"/>
        </w:rPr>
        <w:t>26,000</w:t>
      </w:r>
      <w:r>
        <w:rPr>
          <w:rFonts w:ascii="Times New Roman" w:hAnsi="Times New Roman" w:cs="Times New Roman" w:eastAsia="Times New Roman" w:hint="default"/>
          <w:spacing w:val="-4"/>
        </w:rPr>
        <w:t> </w:t>
      </w:r>
      <w:r>
        <w:rPr/>
        <w:t>家。</w:t>
      </w:r>
    </w:p>
    <w:p>
      <w:pPr>
        <w:pStyle w:val="Heading4"/>
        <w:spacing w:line="240" w:lineRule="auto" w:before="32"/>
        <w:ind w:left="706" w:right="1082"/>
        <w:jc w:val="left"/>
        <w:rPr>
          <w:b w:val="0"/>
          <w:bCs w:val="0"/>
        </w:rPr>
      </w:pPr>
      <w:r>
        <w:rPr>
          <w:rFonts w:ascii="Times New Roman" w:hAnsi="Times New Roman" w:cs="Times New Roman" w:eastAsia="Times New Roman" w:hint="default"/>
        </w:rPr>
        <w:t>2</w:t>
      </w:r>
      <w:r>
        <w:rPr/>
        <w:t>、重塑供应链，零供关系高效协同</w:t>
      </w:r>
      <w:r>
        <w:rPr>
          <w:b w:val="0"/>
          <w:bCs w:val="0"/>
        </w:rPr>
      </w:r>
    </w:p>
    <w:p>
      <w:pPr>
        <w:pStyle w:val="BodyText"/>
        <w:spacing w:line="369" w:lineRule="auto" w:before="163"/>
        <w:ind w:right="1018" w:firstLine="550"/>
        <w:jc w:val="left"/>
      </w:pPr>
      <w:r>
        <w:rPr/>
        <w:t>通过</w:t>
      </w:r>
      <w:r>
        <w:rPr>
          <w:spacing w:val="-60"/>
        </w:rPr>
        <w:t> </w:t>
      </w:r>
      <w:r>
        <w:rPr>
          <w:rFonts w:ascii="Times New Roman" w:hAnsi="Times New Roman" w:cs="Times New Roman" w:eastAsia="Times New Roman" w:hint="default"/>
        </w:rPr>
        <w:t>C2B</w:t>
      </w:r>
      <w:r>
        <w:rPr>
          <w:rFonts w:ascii="Times New Roman" w:hAnsi="Times New Roman" w:cs="Times New Roman" w:eastAsia="Times New Roman" w:hint="default"/>
          <w:spacing w:val="-5"/>
        </w:rPr>
        <w:t> </w:t>
      </w:r>
      <w:r>
        <w:rPr/>
        <w:t>反向定制能力的打造，推动上游新产品的研发能力不断增强。公司借助对大数据的分</w:t>
      </w:r>
      <w:r>
        <w:rPr>
          <w:w w:val="99"/>
        </w:rPr>
        <w:t> </w:t>
      </w:r>
      <w:r>
        <w:rPr/>
        <w:t>析与应用，联合上游品牌商推行了</w:t>
      </w:r>
      <w:r>
        <w:rPr>
          <w:spacing w:val="-55"/>
        </w:rPr>
        <w:t> </w:t>
      </w:r>
      <w:r>
        <w:rPr>
          <w:rFonts w:ascii="Times New Roman" w:hAnsi="Times New Roman" w:cs="Times New Roman" w:eastAsia="Times New Roman" w:hint="default"/>
        </w:rPr>
        <w:t>C2B</w:t>
      </w:r>
      <w:r>
        <w:rPr>
          <w:rFonts w:ascii="Times New Roman" w:hAnsi="Times New Roman" w:cs="Times New Roman" w:eastAsia="Times New Roman" w:hint="default"/>
          <w:spacing w:val="-2"/>
        </w:rPr>
        <w:t> </w:t>
      </w:r>
      <w:r>
        <w:rPr/>
        <w:t>反向定制和独家包销、新品首销等模式，推出了</w:t>
      </w:r>
      <w:r>
        <w:rPr>
          <w:spacing w:val="-57"/>
        </w:rPr>
        <w:t> </w:t>
      </w:r>
      <w:r>
        <w:rPr>
          <w:rFonts w:ascii="Times New Roman" w:hAnsi="Times New Roman" w:cs="Times New Roman" w:eastAsia="Times New Roman" w:hint="default"/>
        </w:rPr>
        <w:t>PPTV</w:t>
      </w:r>
      <w:r>
        <w:rPr>
          <w:rFonts w:ascii="Times New Roman" w:hAnsi="Times New Roman" w:cs="Times New Roman" w:eastAsia="Times New Roman" w:hint="default"/>
          <w:spacing w:val="-3"/>
        </w:rPr>
        <w:t> </w:t>
      </w:r>
      <w:r>
        <w:rPr/>
        <w:t>电视、</w:t>
      </w:r>
      <w:r>
        <w:rPr>
          <w:w w:val="99"/>
        </w:rPr>
        <w:t> </w:t>
      </w:r>
      <w:r>
        <w:rPr/>
        <w:t>博伦博格冰箱、伊莱克斯大白冰箱，奥林巴斯超级微单</w:t>
      </w:r>
      <w:r>
        <w:rPr>
          <w:spacing w:val="-59"/>
        </w:rPr>
        <w:t> </w:t>
      </w:r>
      <w:r>
        <w:rPr>
          <w:rFonts w:ascii="Times New Roman" w:hAnsi="Times New Roman" w:cs="Times New Roman" w:eastAsia="Times New Roman" w:hint="default"/>
        </w:rPr>
        <w:t>EP5</w:t>
      </w:r>
      <w:r>
        <w:rPr/>
        <w:t>、三星</w:t>
      </w:r>
      <w:r>
        <w:rPr>
          <w:spacing w:val="-59"/>
        </w:rPr>
        <w:t> </w:t>
      </w:r>
      <w:r>
        <w:rPr>
          <w:rFonts w:ascii="Times New Roman" w:hAnsi="Times New Roman" w:cs="Times New Roman" w:eastAsia="Times New Roman" w:hint="default"/>
        </w:rPr>
        <w:t>S6</w:t>
      </w:r>
      <w:r>
        <w:rPr/>
        <w:t>、</w:t>
      </w:r>
      <w:r>
        <w:rPr>
          <w:rFonts w:ascii="Times New Roman" w:hAnsi="Times New Roman" w:cs="Times New Roman" w:eastAsia="Times New Roman" w:hint="default"/>
        </w:rPr>
        <w:t>TCL</w:t>
      </w:r>
      <w:r>
        <w:rPr>
          <w:rFonts w:ascii="Times New Roman" w:hAnsi="Times New Roman" w:cs="Times New Roman" w:eastAsia="Times New Roman" w:hint="default"/>
          <w:spacing w:val="-4"/>
        </w:rPr>
        <w:t> </w:t>
      </w:r>
      <w:r>
        <w:rPr/>
        <w:t>么么哒</w:t>
      </w:r>
      <w:r>
        <w:rPr>
          <w:spacing w:val="-59"/>
        </w:rPr>
        <w:t> </w:t>
      </w:r>
      <w:r>
        <w:rPr>
          <w:rFonts w:ascii="Times New Roman" w:hAnsi="Times New Roman" w:cs="Times New Roman" w:eastAsia="Times New Roman" w:hint="default"/>
        </w:rPr>
        <w:t>3</w:t>
      </w:r>
      <w:r>
        <w:rPr/>
        <w:t>、美图</w:t>
      </w:r>
      <w:r>
        <w:rPr>
          <w:spacing w:val="-59"/>
        </w:rPr>
        <w:t> </w:t>
      </w:r>
      <w:r>
        <w:rPr>
          <w:rFonts w:ascii="Times New Roman" w:hAnsi="Times New Roman" w:cs="Times New Roman" w:eastAsia="Times New Roman" w:hint="default"/>
        </w:rPr>
        <w:t>2</w:t>
      </w:r>
      <w:r>
        <w:rPr/>
        <w:t>、华为</w:t>
      </w:r>
      <w:r>
        <w:rPr>
          <w:w w:val="99"/>
        </w:rPr>
        <w:t> </w:t>
      </w:r>
      <w:r>
        <w:rPr>
          <w:rFonts w:ascii="Times New Roman" w:hAnsi="Times New Roman" w:cs="Times New Roman" w:eastAsia="Times New Roman" w:hint="default"/>
        </w:rPr>
        <w:t>P8</w:t>
      </w:r>
      <w:r>
        <w:rPr/>
        <w:t>、魅族</w:t>
      </w:r>
      <w:r>
        <w:rPr>
          <w:spacing w:val="-58"/>
        </w:rPr>
        <w:t> </w:t>
      </w:r>
      <w:r>
        <w:rPr>
          <w:rFonts w:ascii="Times New Roman" w:hAnsi="Times New Roman" w:cs="Times New Roman" w:eastAsia="Times New Roman" w:hint="default"/>
        </w:rPr>
        <w:t>MX5</w:t>
      </w:r>
      <w:r>
        <w:rPr>
          <w:rFonts w:ascii="Times New Roman" w:hAnsi="Times New Roman" w:cs="Times New Roman" w:eastAsia="Times New Roman" w:hint="default"/>
          <w:spacing w:val="-2"/>
        </w:rPr>
        <w:t> </w:t>
      </w:r>
      <w:r>
        <w:rPr/>
        <w:t>等单品的运营。</w:t>
      </w:r>
    </w:p>
    <w:p>
      <w:pPr>
        <w:pStyle w:val="BodyText"/>
        <w:spacing w:line="391" w:lineRule="auto" w:before="32"/>
        <w:ind w:right="1131" w:firstLine="550"/>
        <w:jc w:val="both"/>
      </w:pPr>
      <w:r>
        <w:rPr/>
        <w:t>通过供应链推广运营能力的打造，建立起产品全生命周期的解决方案。公司推出众筹、预售、</w:t>
      </w:r>
      <w:r>
        <w:rPr>
          <w:w w:val="99"/>
        </w:rPr>
        <w:t> </w:t>
      </w:r>
      <w:r>
        <w:rPr>
          <w:spacing w:val="-1"/>
        </w:rPr>
        <w:t>大聚惠、特卖等一系列互联网运营产品，为供应商打造了在产品研发、新品上市、尾货销售，全流程</w:t>
      </w:r>
      <w:r>
        <w:rPr>
          <w:w w:val="99"/>
        </w:rPr>
        <w:t> </w:t>
      </w:r>
      <w:r>
        <w:rPr>
          <w:spacing w:val="-6"/>
        </w:rPr>
        <w:t>的一揽子解决方案；开展品牌日、精准推广等一系列品牌化、特色化的营销活动，提升合作伙伴销售。</w:t>
      </w:r>
    </w:p>
    <w:p>
      <w:pPr>
        <w:pStyle w:val="BodyText"/>
        <w:spacing w:line="369" w:lineRule="auto" w:before="41"/>
        <w:ind w:right="1016" w:firstLine="550"/>
        <w:jc w:val="left"/>
      </w:pPr>
      <w:r>
        <w:rPr/>
        <w:t>通过互联网零售能力的输出，为平台商户和供应商提供的 </w:t>
      </w:r>
      <w:r>
        <w:rPr>
          <w:rFonts w:ascii="Times New Roman" w:hAnsi="Times New Roman" w:cs="Times New Roman" w:eastAsia="Times New Roman" w:hint="default"/>
        </w:rPr>
        <w:t>O2O</w:t>
      </w:r>
      <w:r>
        <w:rPr>
          <w:rFonts w:ascii="Times New Roman" w:hAnsi="Times New Roman" w:cs="Times New Roman" w:eastAsia="Times New Roman" w:hint="default"/>
          <w:spacing w:val="14"/>
        </w:rPr>
        <w:t> </w:t>
      </w:r>
      <w:r>
        <w:rPr/>
        <w:t>综合运营服务的能力不断增强。</w:t>
      </w:r>
      <w:r>
        <w:rPr>
          <w:w w:val="99"/>
        </w:rPr>
        <w:t> </w:t>
      </w:r>
      <w:r>
        <w:rPr>
          <w:rFonts w:ascii="Times New Roman" w:hAnsi="Times New Roman" w:cs="Times New Roman" w:eastAsia="Times New Roman" w:hint="default"/>
        </w:rPr>
        <w:t>2015 </w:t>
      </w:r>
      <w:r>
        <w:rPr>
          <w:spacing w:val="-3"/>
        </w:rPr>
        <w:t>年，通过对开放平台在店铺运营、会员营销、经营分析等方面的服务能力的不断迭代升级，让商</w:t>
      </w:r>
      <w:r>
        <w:rPr>
          <w:spacing w:val="-98"/>
        </w:rPr>
        <w:t> </w:t>
      </w:r>
      <w:r>
        <w:rPr>
          <w:spacing w:val="-98"/>
        </w:rPr>
      </w:r>
      <w:r>
        <w:rPr/>
        <w:t>户的运营体验得到极大的提高，服务用户的能力不断增强，增强了平台商户的经营能力。</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Heading4"/>
        <w:spacing w:line="240" w:lineRule="auto"/>
        <w:ind w:left="738" w:right="1082"/>
        <w:jc w:val="left"/>
        <w:rPr>
          <w:b w:val="0"/>
          <w:bCs w:val="0"/>
        </w:rPr>
      </w:pPr>
      <w:r>
        <w:rPr>
          <w:rFonts w:ascii="Wingdings" w:hAnsi="Wingdings" w:cs="Wingdings" w:eastAsia="Wingdings" w:hint="default"/>
          <w:b w:val="0"/>
          <w:bCs w:val="0"/>
        </w:rPr>
        <w:t></w:t>
      </w:r>
      <w:r>
        <w:rPr/>
        <w:t>物流云、金融云和数据云等增值服务能力日益完善，全面对外开放</w:t>
      </w:r>
      <w:r>
        <w:rPr>
          <w:b w:val="0"/>
          <w:bCs w:val="0"/>
        </w:rPr>
      </w:r>
    </w:p>
    <w:p>
      <w:pPr>
        <w:pStyle w:val="Heading4"/>
        <w:spacing w:line="240" w:lineRule="auto" w:before="164"/>
        <w:ind w:left="595" w:right="1082"/>
        <w:jc w:val="left"/>
        <w:rPr>
          <w:b w:val="0"/>
          <w:bCs w:val="0"/>
        </w:rPr>
      </w:pPr>
      <w:r>
        <w:rPr>
          <w:rFonts w:ascii="Times New Roman" w:hAnsi="Times New Roman" w:cs="Times New Roman" w:eastAsia="Times New Roman" w:hint="default"/>
        </w:rPr>
        <w:t>1</w:t>
      </w:r>
      <w:r>
        <w:rPr/>
        <w:t>、物流方面</w:t>
      </w:r>
      <w:r>
        <w:rPr>
          <w:b w:val="0"/>
          <w:bCs w:val="0"/>
        </w:rPr>
      </w:r>
    </w:p>
    <w:p>
      <w:pPr>
        <w:pStyle w:val="BodyText"/>
        <w:spacing w:line="369" w:lineRule="auto" w:before="163"/>
        <w:ind w:right="1134" w:firstLine="44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spacing w:val="-3"/>
        </w:rPr>
        <w:t>年，苏宁物流以公司化模式独立运营，物流基础设施建设、物流运营效率以及社会化运作在</w:t>
      </w:r>
      <w:r>
        <w:rPr>
          <w:w w:val="99"/>
        </w:rPr>
        <w:t> </w:t>
      </w:r>
      <w:r>
        <w:rPr/>
        <w:t>行业全面凸显，在跨境物流、农村电商物流等新业务领域快速完成系统化的布局建设工作。</w:t>
      </w:r>
    </w:p>
    <w:p>
      <w:pPr>
        <w:pStyle w:val="BodyText"/>
        <w:spacing w:line="369" w:lineRule="auto" w:before="61"/>
        <w:ind w:left="594" w:right="1082"/>
        <w:jc w:val="left"/>
      </w:pPr>
      <w:r>
        <w:rPr>
          <w:rFonts w:ascii="Wingdings" w:hAnsi="Wingdings" w:cs="Wingdings" w:eastAsia="Wingdings" w:hint="default"/>
        </w:rPr>
        <w:t></w:t>
      </w:r>
      <w:r>
        <w:rPr/>
        <w:t>物流建设方面</w:t>
      </w:r>
      <w:r>
        <w:rPr>
          <w:w w:val="99"/>
        </w:rPr>
        <w:t> </w:t>
      </w:r>
      <w:r>
        <w:rPr>
          <w:spacing w:val="-2"/>
        </w:rPr>
        <w:t>物流设施建设方面，报告期内公司持续推进物流基地建设，加速自动化项目的建设和升级。截至</w:t>
      </w:r>
    </w:p>
    <w:p>
      <w:pPr>
        <w:spacing w:after="0" w:line="36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69" w:lineRule="auto" w:before="166"/>
        <w:ind w:right="1131"/>
        <w:jc w:val="both"/>
      </w:pPr>
      <w:r>
        <w:rPr>
          <w:rFonts w:ascii="Times New Roman" w:hAnsi="Times New Roman" w:cs="Times New Roman" w:eastAsia="Times New Roman" w:hint="default"/>
        </w:rPr>
        <w:t>2015 </w:t>
      </w:r>
      <w:r>
        <w:rPr>
          <w:spacing w:val="-3"/>
        </w:rPr>
        <w:t>年末，北京、广州、南京一期三个自动化仓库改造投产，南京二期、上海、沈阳自动化拣选中心</w:t>
      </w:r>
      <w:r>
        <w:rPr>
          <w:spacing w:val="-97"/>
        </w:rPr>
        <w:t> </w:t>
      </w:r>
      <w:r>
        <w:rPr>
          <w:spacing w:val="-97"/>
        </w:rPr>
      </w:r>
      <w:r>
        <w:rPr>
          <w:spacing w:val="-5"/>
        </w:rPr>
        <w:t>建成投入使用，西安、杭州、武汉、成都等</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个自动化拣选中心在建；</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个物流区域配送中心建成投</w:t>
      </w:r>
      <w:r>
        <w:rPr>
          <w:w w:val="99"/>
        </w:rPr>
        <w:t> </w:t>
      </w:r>
      <w:r>
        <w:rPr/>
        <w:t>入使用，石家庄、太原、南宁、兰州等</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个物流区域配送中心在建，并完成了</w:t>
      </w:r>
      <w:r>
        <w:rPr>
          <w:spacing w:val="-69"/>
        </w:rPr>
        <w:t> </w:t>
      </w:r>
      <w:r>
        <w:rPr>
          <w:rFonts w:ascii="Times New Roman" w:hAnsi="Times New Roman" w:cs="Times New Roman" w:eastAsia="Times New Roman" w:hint="default"/>
        </w:rPr>
        <w:t>23</w:t>
      </w:r>
      <w:r>
        <w:rPr>
          <w:rFonts w:ascii="Times New Roman" w:hAnsi="Times New Roman" w:cs="Times New Roman" w:eastAsia="Times New Roman" w:hint="default"/>
          <w:spacing w:val="-15"/>
        </w:rPr>
        <w:t> </w:t>
      </w:r>
      <w:r>
        <w:rPr/>
        <w:t>个物流区域配送中</w:t>
      </w:r>
    </w:p>
    <w:p>
      <w:pPr>
        <w:pStyle w:val="BodyText"/>
        <w:spacing w:line="240" w:lineRule="auto" w:before="32"/>
        <w:ind w:right="0"/>
        <w:jc w:val="both"/>
      </w:pPr>
      <w:r>
        <w:rPr/>
        <w:t>心土地签约储备。截至</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年末，公司拥有物流仓储及相关配套总面积达到</w:t>
      </w:r>
      <w:r>
        <w:rPr>
          <w:spacing w:val="-57"/>
        </w:rPr>
        <w:t> </w:t>
      </w:r>
      <w:r>
        <w:rPr>
          <w:rFonts w:ascii="Times New Roman" w:hAnsi="Times New Roman" w:cs="Times New Roman" w:eastAsia="Times New Roman" w:hint="default"/>
        </w:rPr>
        <w:t>455</w:t>
      </w:r>
      <w:r>
        <w:rPr>
          <w:rFonts w:ascii="Times New Roman" w:hAnsi="Times New Roman" w:cs="Times New Roman" w:eastAsia="Times New Roman" w:hint="default"/>
          <w:spacing w:val="-4"/>
        </w:rPr>
        <w:t> </w:t>
      </w:r>
      <w:r>
        <w:rPr/>
        <w:t>万平方米。</w:t>
      </w:r>
    </w:p>
    <w:p>
      <w:pPr>
        <w:pStyle w:val="BodyText"/>
        <w:spacing w:line="240" w:lineRule="auto" w:before="163"/>
        <w:ind w:left="513" w:right="1082"/>
        <w:jc w:val="left"/>
      </w:pPr>
      <w:r>
        <w:rPr>
          <w:rFonts w:ascii="Wingdings" w:hAnsi="Wingdings" w:cs="Wingdings" w:eastAsia="Wingdings" w:hint="default"/>
        </w:rPr>
        <w:t></w:t>
      </w:r>
      <w:r>
        <w:rPr/>
        <w:t>物流服务能力建设方面</w:t>
      </w:r>
    </w:p>
    <w:p>
      <w:pPr>
        <w:pStyle w:val="BodyText"/>
        <w:spacing w:line="369" w:lineRule="auto" w:before="164"/>
        <w:ind w:right="1129" w:firstLine="440"/>
        <w:jc w:val="both"/>
      </w:pPr>
      <w:r>
        <w:rPr/>
        <w:t>物流服务体验不断提升，</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年苏宁物流妥投率</w:t>
      </w:r>
      <w:r>
        <w:rPr>
          <w:spacing w:val="-40"/>
        </w:rPr>
        <w:t> </w:t>
      </w:r>
      <w:r>
        <w:rPr>
          <w:rFonts w:ascii="Times New Roman" w:hAnsi="Times New Roman" w:cs="Times New Roman" w:eastAsia="Times New Roman" w:hint="default"/>
        </w:rPr>
        <w:t>98.97%</w:t>
      </w:r>
      <w:r>
        <w:rPr/>
        <w:t>，及时率达到</w:t>
      </w:r>
      <w:r>
        <w:rPr>
          <w:spacing w:val="-40"/>
        </w:rPr>
        <w:t> </w:t>
      </w:r>
      <w:r>
        <w:rPr>
          <w:rFonts w:ascii="Times New Roman" w:hAnsi="Times New Roman" w:cs="Times New Roman" w:eastAsia="Times New Roman" w:hint="default"/>
        </w:rPr>
        <w:t>91.71%</w:t>
      </w:r>
      <w:r>
        <w:rPr/>
        <w:t>。截至</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月末，</w:t>
      </w:r>
      <w:r>
        <w:rPr>
          <w:w w:val="99"/>
        </w:rPr>
        <w:t> 公司拥有</w:t>
      </w:r>
      <w:r>
        <w:rPr>
          <w:spacing w:val="-50"/>
          <w:w w:val="99"/>
        </w:rPr>
        <w:t> </w:t>
      </w:r>
      <w:r>
        <w:rPr>
          <w:rFonts w:ascii="Times New Roman" w:hAnsi="Times New Roman" w:cs="Times New Roman" w:eastAsia="Times New Roman" w:hint="default"/>
          <w:w w:val="99"/>
        </w:rPr>
        <w:t>6051</w:t>
      </w:r>
      <w:r>
        <w:rPr>
          <w:rFonts w:ascii="Times New Roman" w:hAnsi="Times New Roman" w:cs="Times New Roman" w:eastAsia="Times New Roman" w:hint="default"/>
          <w:spacing w:val="5"/>
          <w:w w:val="99"/>
        </w:rPr>
        <w:t> </w:t>
      </w:r>
      <w:r>
        <w:rPr>
          <w:spacing w:val="-10"/>
          <w:w w:val="99"/>
        </w:rPr>
        <w:t>个快递点（兼具自提功能）。在全国</w:t>
      </w:r>
      <w:r>
        <w:rPr>
          <w:spacing w:val="-49"/>
          <w:w w:val="99"/>
        </w:rPr>
        <w:t> </w:t>
      </w:r>
      <w:r>
        <w:rPr>
          <w:rFonts w:ascii="Times New Roman" w:hAnsi="Times New Roman" w:cs="Times New Roman" w:eastAsia="Times New Roman" w:hint="default"/>
          <w:w w:val="99"/>
        </w:rPr>
        <w:t>327</w:t>
      </w:r>
      <w:r>
        <w:rPr>
          <w:rFonts w:ascii="Times New Roman" w:hAnsi="Times New Roman" w:cs="Times New Roman" w:eastAsia="Times New Roman" w:hint="default"/>
          <w:spacing w:val="5"/>
          <w:w w:val="99"/>
        </w:rPr>
        <w:t> </w:t>
      </w:r>
      <w:r>
        <w:rPr>
          <w:spacing w:val="-3"/>
          <w:w w:val="99"/>
        </w:rPr>
        <w:t>个城市，</w:t>
      </w:r>
      <w:r>
        <w:rPr>
          <w:rFonts w:ascii="Times New Roman" w:hAnsi="Times New Roman" w:cs="Times New Roman" w:eastAsia="Times New Roman" w:hint="default"/>
          <w:spacing w:val="-3"/>
          <w:w w:val="99"/>
        </w:rPr>
        <w:t>1993</w:t>
      </w:r>
      <w:r>
        <w:rPr>
          <w:rFonts w:ascii="Times New Roman" w:hAnsi="Times New Roman" w:cs="Times New Roman" w:eastAsia="Times New Roman" w:hint="default"/>
          <w:spacing w:val="5"/>
          <w:w w:val="99"/>
        </w:rPr>
        <w:t> </w:t>
      </w:r>
      <w:r>
        <w:rPr>
          <w:spacing w:val="-2"/>
          <w:w w:val="99"/>
        </w:rPr>
        <w:t>个区县实现</w:t>
      </w:r>
      <w:r>
        <w:rPr>
          <w:rFonts w:ascii="Times New Roman" w:hAnsi="Times New Roman" w:cs="Times New Roman" w:eastAsia="Times New Roman" w:hint="default"/>
          <w:spacing w:val="-2"/>
          <w:w w:val="99"/>
        </w:rPr>
        <w:t>“</w:t>
      </w:r>
      <w:r>
        <w:rPr>
          <w:spacing w:val="-2"/>
          <w:w w:val="99"/>
        </w:rPr>
        <w:t>次日达</w:t>
      </w:r>
      <w:r>
        <w:rPr>
          <w:rFonts w:ascii="Times New Roman" w:hAnsi="Times New Roman" w:cs="Times New Roman" w:eastAsia="Times New Roman" w:hint="default"/>
          <w:spacing w:val="-2"/>
          <w:w w:val="99"/>
        </w:rPr>
        <w:t>”</w:t>
      </w:r>
      <w:r>
        <w:rPr>
          <w:spacing w:val="-2"/>
          <w:w w:val="99"/>
        </w:rPr>
        <w:t>，同时公司</w:t>
      </w:r>
      <w:r>
        <w:rPr>
          <w:spacing w:val="-108"/>
          <w:w w:val="99"/>
        </w:rPr>
        <w:t> </w:t>
      </w:r>
      <w:r>
        <w:rPr>
          <w:spacing w:val="-108"/>
          <w:w w:val="99"/>
        </w:rPr>
      </w:r>
      <w:r>
        <w:rPr/>
        <w:t>积极利用</w:t>
      </w:r>
      <w:r>
        <w:rPr>
          <w:spacing w:val="-48"/>
        </w:rPr>
        <w:t> </w:t>
      </w:r>
      <w:r>
        <w:rPr>
          <w:rFonts w:ascii="Times New Roman" w:hAnsi="Times New Roman" w:cs="Times New Roman" w:eastAsia="Times New Roman" w:hint="default"/>
        </w:rPr>
        <w:t>O2O</w:t>
      </w:r>
      <w:r>
        <w:rPr>
          <w:rFonts w:ascii="Times New Roman" w:hAnsi="Times New Roman" w:cs="Times New Roman" w:eastAsia="Times New Roman" w:hint="default"/>
          <w:spacing w:val="5"/>
        </w:rPr>
        <w:t> </w:t>
      </w:r>
      <w:r>
        <w:rPr/>
        <w:t>优势，近</w:t>
      </w:r>
      <w:r>
        <w:rPr>
          <w:spacing w:val="-48"/>
        </w:rPr>
        <w:t> </w:t>
      </w:r>
      <w:r>
        <w:rPr>
          <w:rFonts w:ascii="Times New Roman" w:hAnsi="Times New Roman" w:cs="Times New Roman" w:eastAsia="Times New Roman" w:hint="default"/>
        </w:rPr>
        <w:t>200</w:t>
      </w:r>
      <w:r>
        <w:rPr>
          <w:rFonts w:ascii="Times New Roman" w:hAnsi="Times New Roman" w:cs="Times New Roman" w:eastAsia="Times New Roman" w:hint="default"/>
          <w:spacing w:val="6"/>
        </w:rPr>
        <w:t> </w:t>
      </w:r>
      <w:r>
        <w:rPr/>
        <w:t>个城市、</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条街道实现</w:t>
      </w:r>
      <w:r>
        <w:rPr>
          <w:rFonts w:ascii="Times New Roman" w:hAnsi="Times New Roman" w:cs="Times New Roman" w:eastAsia="Times New Roman" w:hint="default"/>
        </w:rPr>
        <w:t>“</w:t>
      </w:r>
      <w:r>
        <w:rPr/>
        <w:t>急速达</w:t>
      </w:r>
      <w:r>
        <w:rPr>
          <w:rFonts w:ascii="Times New Roman" w:hAnsi="Times New Roman" w:cs="Times New Roman" w:eastAsia="Times New Roman" w:hint="default"/>
        </w:rPr>
        <w:t>”</w:t>
      </w:r>
      <w:r>
        <w:rPr/>
        <w:t>（指客户网上下单后，系统优先自动</w:t>
      </w:r>
      <w:r>
        <w:rPr>
          <w:w w:val="99"/>
        </w:rPr>
        <w:t> </w:t>
      </w:r>
      <w:r>
        <w:rPr>
          <w:spacing w:val="-3"/>
          <w:w w:val="99"/>
        </w:rPr>
        <w:t>检测从距离客户最近的门店存货仓库出货，</w:t>
      </w:r>
      <w:r>
        <w:rPr>
          <w:rFonts w:ascii="Times New Roman" w:hAnsi="Times New Roman" w:cs="Times New Roman" w:eastAsia="Times New Roman" w:hint="default"/>
          <w:spacing w:val="-3"/>
          <w:w w:val="99"/>
        </w:rPr>
        <w:t>2</w:t>
      </w:r>
      <w:r>
        <w:rPr>
          <w:rFonts w:ascii="Times New Roman" w:hAnsi="Times New Roman" w:cs="Times New Roman" w:eastAsia="Times New Roman" w:hint="default"/>
          <w:w w:val="99"/>
        </w:rPr>
        <w:t> </w:t>
      </w:r>
      <w:r>
        <w:rPr>
          <w:spacing w:val="-7"/>
          <w:w w:val="99"/>
        </w:rPr>
        <w:t>小时内将商品送到客户手中）；针对消费者需求比较旺盛</w:t>
      </w:r>
      <w:r>
        <w:rPr>
          <w:spacing w:val="-81"/>
          <w:w w:val="99"/>
        </w:rPr>
        <w:t> </w:t>
      </w:r>
      <w:r>
        <w:rPr>
          <w:spacing w:val="-81"/>
          <w:w w:val="99"/>
        </w:rPr>
      </w:r>
      <w:r>
        <w:rPr>
          <w:spacing w:val="-8"/>
        </w:rPr>
        <w:t>的区域，北京、上海、成都、广州等</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3"/>
        </w:rPr>
        <w:t>个城市实现</w:t>
      </w:r>
      <w:r>
        <w:rPr>
          <w:rFonts w:ascii="Times New Roman" w:hAnsi="Times New Roman" w:cs="Times New Roman" w:eastAsia="Times New Roman" w:hint="default"/>
          <w:spacing w:val="-3"/>
        </w:rPr>
        <w:t>“</w:t>
      </w:r>
      <w:r>
        <w:rPr>
          <w:spacing w:val="-3"/>
        </w:rPr>
        <w:t>一日三送</w:t>
      </w:r>
      <w:r>
        <w:rPr>
          <w:rFonts w:ascii="Times New Roman" w:hAnsi="Times New Roman" w:cs="Times New Roman" w:eastAsia="Times New Roman" w:hint="default"/>
          <w:spacing w:val="-3"/>
        </w:rPr>
        <w:t>”</w:t>
      </w:r>
      <w:r>
        <w:rPr>
          <w:spacing w:val="-3"/>
        </w:rPr>
        <w:t>承诺，在</w:t>
      </w:r>
      <w:r>
        <w:rPr>
          <w:spacing w:val="-51"/>
        </w:rPr>
        <w:t> </w:t>
      </w:r>
      <w:r>
        <w:rPr>
          <w:rFonts w:ascii="Times New Roman" w:hAnsi="Times New Roman" w:cs="Times New Roman" w:eastAsia="Times New Roman" w:hint="default"/>
        </w:rPr>
        <w:t>61</w:t>
      </w:r>
      <w:r>
        <w:rPr>
          <w:rFonts w:ascii="Times New Roman" w:hAnsi="Times New Roman" w:cs="Times New Roman" w:eastAsia="Times New Roman" w:hint="default"/>
          <w:spacing w:val="4"/>
        </w:rPr>
        <w:t> </w:t>
      </w:r>
      <w:r>
        <w:rPr>
          <w:spacing w:val="-5"/>
        </w:rPr>
        <w:t>个城市、</w:t>
      </w:r>
      <w:r>
        <w:rPr>
          <w:rFonts w:ascii="Times New Roman" w:hAnsi="Times New Roman" w:cs="Times New Roman" w:eastAsia="Times New Roman" w:hint="default"/>
          <w:spacing w:val="-5"/>
        </w:rPr>
        <w:t>173</w:t>
      </w:r>
      <w:r>
        <w:rPr>
          <w:rFonts w:ascii="Times New Roman" w:hAnsi="Times New Roman" w:cs="Times New Roman" w:eastAsia="Times New Roman" w:hint="default"/>
          <w:spacing w:val="3"/>
        </w:rPr>
        <w:t> </w:t>
      </w:r>
      <w:r>
        <w:rPr/>
        <w:t>个区县实现</w:t>
      </w:r>
      <w:r>
        <w:rPr>
          <w:rFonts w:ascii="Times New Roman" w:hAnsi="Times New Roman" w:cs="Times New Roman" w:eastAsia="Times New Roman" w:hint="default"/>
        </w:rPr>
        <w:t>“</w:t>
      </w:r>
      <w:r>
        <w:rPr/>
        <w:t>半</w:t>
      </w:r>
      <w:r>
        <w:rPr>
          <w:w w:val="99"/>
        </w:rPr>
        <w:t> </w:t>
      </w:r>
      <w:r>
        <w:rPr/>
        <w:t>日达</w:t>
      </w:r>
      <w:r>
        <w:rPr>
          <w:rFonts w:ascii="Times New Roman" w:hAnsi="Times New Roman" w:cs="Times New Roman" w:eastAsia="Times New Roman" w:hint="default"/>
        </w:rPr>
        <w:t>”</w:t>
      </w:r>
      <w:r>
        <w:rPr/>
        <w:t>。</w:t>
      </w:r>
    </w:p>
    <w:p>
      <w:pPr>
        <w:pStyle w:val="BodyText"/>
        <w:spacing w:line="374" w:lineRule="auto" w:before="32"/>
        <w:ind w:left="154" w:right="1130" w:firstLine="440"/>
        <w:jc w:val="both"/>
      </w:pPr>
      <w:r>
        <w:rPr/>
        <w:t>售后服务是苏宁</w:t>
      </w:r>
      <w:r>
        <w:rPr>
          <w:rFonts w:ascii="Times New Roman" w:hAnsi="Times New Roman" w:cs="Times New Roman" w:eastAsia="Times New Roman" w:hint="default"/>
        </w:rPr>
        <w:t>O2O</w:t>
      </w:r>
      <w:r>
        <w:rPr>
          <w:rFonts w:ascii="Times New Roman" w:hAnsi="Times New Roman" w:cs="Times New Roman" w:eastAsia="Times New Roman" w:hint="default"/>
          <w:spacing w:val="-2"/>
        </w:rPr>
        <w:t> </w:t>
      </w:r>
      <w:r>
        <w:rPr>
          <w:spacing w:val="-3"/>
        </w:rPr>
        <w:t>模式差异化竞争优势的重要体现，公司充分利用售后服务网点与物流服务进</w:t>
      </w:r>
      <w:r>
        <w:rPr>
          <w:w w:val="99"/>
        </w:rPr>
        <w:t> </w:t>
      </w:r>
      <w:r>
        <w:rPr>
          <w:spacing w:val="-11"/>
          <w:w w:val="99"/>
        </w:rPr>
        <w:t>行联动，有效发挥终端优势，推出“以旧换新”、“送装一体”服务产品，“送装一体”品类覆盖黑电、</w:t>
      </w:r>
      <w:r>
        <w:rPr>
          <w:spacing w:val="-85"/>
          <w:w w:val="99"/>
        </w:rPr>
        <w:t> </w:t>
      </w:r>
      <w:r>
        <w:rPr>
          <w:spacing w:val="-85"/>
          <w:w w:val="99"/>
        </w:rPr>
      </w:r>
      <w:r>
        <w:rPr>
          <w:spacing w:val="-3"/>
        </w:rPr>
        <w:t>热水器品类，服务区域从核心城市逐步扩展到二三线城市，已在全国</w:t>
      </w:r>
      <w:r>
        <w:rPr>
          <w:spacing w:val="-48"/>
        </w:rPr>
        <w:t> </w:t>
      </w:r>
      <w:r>
        <w:rPr>
          <w:rFonts w:ascii="Times New Roman" w:hAnsi="Times New Roman" w:cs="Times New Roman" w:eastAsia="Times New Roman" w:hint="default"/>
        </w:rPr>
        <w:t>150</w:t>
      </w:r>
      <w:r>
        <w:rPr>
          <w:rFonts w:ascii="Times New Roman" w:hAnsi="Times New Roman" w:cs="Times New Roman" w:eastAsia="Times New Roman" w:hint="default"/>
          <w:spacing w:val="2"/>
        </w:rPr>
        <w:t> </w:t>
      </w:r>
      <w:r>
        <w:rPr>
          <w:spacing w:val="-4"/>
        </w:rPr>
        <w:t>多个城市开展，</w:t>
      </w:r>
      <w:r>
        <w:rPr>
          <w:rFonts w:ascii="Times New Roman" w:hAnsi="Times New Roman" w:cs="Times New Roman" w:eastAsia="Times New Roman" w:hint="default"/>
          <w:spacing w:val="-4"/>
        </w:rPr>
        <w:t>55</w:t>
      </w:r>
      <w:r>
        <w:rPr>
          <w:rFonts w:ascii="Times New Roman" w:hAnsi="Times New Roman" w:cs="Times New Roman" w:eastAsia="Times New Roman" w:hint="default"/>
          <w:spacing w:val="4"/>
        </w:rPr>
        <w:t> </w:t>
      </w:r>
      <w:r>
        <w:rPr/>
        <w:t>个大区所</w:t>
      </w:r>
      <w:r>
        <w:rPr>
          <w:w w:val="99"/>
        </w:rPr>
        <w:t> 在城市主城区覆盖率高达</w:t>
      </w:r>
      <w:r>
        <w:rPr>
          <w:spacing w:val="14"/>
          <w:w w:val="99"/>
        </w:rPr>
        <w:t> </w:t>
      </w:r>
      <w:r>
        <w:rPr>
          <w:rFonts w:ascii="Times New Roman" w:hAnsi="Times New Roman" w:cs="Times New Roman" w:eastAsia="Times New Roman" w:hint="default"/>
          <w:spacing w:val="-4"/>
          <w:w w:val="99"/>
        </w:rPr>
        <w:t>95%</w:t>
      </w:r>
      <w:r>
        <w:rPr>
          <w:spacing w:val="-4"/>
          <w:w w:val="99"/>
        </w:rPr>
        <w:t>。“以旧换新”已涵盖空调、彩电、冰洗、厨卫四大电器品类，服务网</w:t>
      </w:r>
      <w:r>
        <w:rPr>
          <w:spacing w:val="-105"/>
          <w:w w:val="99"/>
        </w:rPr>
        <w:t> </w:t>
      </w:r>
      <w:r>
        <w:rPr>
          <w:spacing w:val="-105"/>
          <w:w w:val="99"/>
        </w:rPr>
      </w:r>
      <w:r>
        <w:rPr/>
        <w:t>络覆盖全国</w:t>
      </w:r>
      <w:r>
        <w:rPr>
          <w:spacing w:val="-61"/>
        </w:rPr>
        <w:t> </w:t>
      </w:r>
      <w:r>
        <w:rPr>
          <w:rFonts w:ascii="Times New Roman" w:hAnsi="Times New Roman" w:cs="Times New Roman" w:eastAsia="Times New Roman" w:hint="default"/>
        </w:rPr>
        <w:t>80%</w:t>
      </w:r>
      <w:r>
        <w:rPr/>
        <w:t>的城市区域。</w:t>
      </w:r>
    </w:p>
    <w:p>
      <w:pPr>
        <w:pStyle w:val="BodyText"/>
        <w:spacing w:line="369" w:lineRule="auto" w:before="27"/>
        <w:ind w:left="594" w:right="1128" w:hanging="81"/>
        <w:jc w:val="left"/>
      </w:pPr>
      <w:r>
        <w:rPr>
          <w:rFonts w:ascii="Wingdings" w:hAnsi="Wingdings" w:cs="Wingdings" w:eastAsia="Wingdings" w:hint="default"/>
        </w:rPr>
        <w:t></w:t>
      </w:r>
      <w:r>
        <w:rPr/>
        <w:t>物流社会化运作方面</w:t>
      </w:r>
      <w:r>
        <w:rPr>
          <w:w w:val="99"/>
        </w:rPr>
        <w:t> </w:t>
      </w:r>
      <w:r>
        <w:rPr/>
        <w:t>物流加快社会化运作，业务类型逐步从仓配一体扩展至全套供应链物流服务。</w:t>
      </w:r>
      <w:r>
        <w:rPr>
          <w:rFonts w:ascii="Times New Roman" w:hAnsi="Times New Roman" w:cs="Times New Roman" w:eastAsia="Times New Roman" w:hint="default"/>
        </w:rPr>
        <w:t>2015 </w:t>
      </w:r>
      <w:r>
        <w:rPr/>
        <w:t>年</w:t>
      </w:r>
      <w:r>
        <w:rPr>
          <w:spacing w:val="-56"/>
        </w:rPr>
        <w:t> </w:t>
      </w:r>
      <w:r>
        <w:rPr>
          <w:rFonts w:ascii="Times New Roman" w:hAnsi="Times New Roman" w:cs="Times New Roman" w:eastAsia="Times New Roman" w:hint="default"/>
        </w:rPr>
        <w:t>12 </w:t>
      </w:r>
      <w:r>
        <w:rPr/>
        <w:t>月，苏</w:t>
      </w:r>
    </w:p>
    <w:p>
      <w:pPr>
        <w:pStyle w:val="BodyText"/>
        <w:spacing w:line="369" w:lineRule="auto" w:before="32"/>
        <w:ind w:left="154" w:right="1134"/>
        <w:jc w:val="both"/>
      </w:pPr>
      <w:r>
        <w:rPr>
          <w:spacing w:val="-1"/>
        </w:rPr>
        <w:t>宁物流云平台上线，作为国家十大</w:t>
      </w:r>
      <w:r>
        <w:rPr>
          <w:rFonts w:ascii="Times New Roman" w:hAnsi="Times New Roman" w:cs="Times New Roman" w:eastAsia="Times New Roman" w:hint="default"/>
          <w:spacing w:val="-1"/>
        </w:rPr>
        <w:t>“</w:t>
      </w:r>
      <w:r>
        <w:rPr>
          <w:spacing w:val="-1"/>
        </w:rPr>
        <w:t>物流信息服务平台</w:t>
      </w:r>
      <w:r>
        <w:rPr>
          <w:rFonts w:ascii="Times New Roman" w:hAnsi="Times New Roman" w:cs="Times New Roman" w:eastAsia="Times New Roman" w:hint="default"/>
          <w:spacing w:val="-1"/>
        </w:rPr>
        <w:t>”</w:t>
      </w:r>
      <w:r>
        <w:rPr>
          <w:spacing w:val="-1"/>
        </w:rPr>
        <w:t>之一，面向上游供应商、社会物流企业、合作</w:t>
      </w:r>
      <w:r>
        <w:rPr>
          <w:spacing w:val="-100"/>
        </w:rPr>
        <w:t> </w:t>
      </w:r>
      <w:r>
        <w:rPr>
          <w:spacing w:val="-100"/>
        </w:rPr>
      </w:r>
      <w:r>
        <w:rPr/>
        <w:t>承运商、社会企业货主、设备设施供应商以及个人消费者，上线运输、仓储、揽件快递等业务。</w:t>
      </w:r>
    </w:p>
    <w:p>
      <w:pPr>
        <w:pStyle w:val="BodyText"/>
        <w:spacing w:line="384" w:lineRule="auto" w:before="61"/>
        <w:ind w:left="154" w:right="1130" w:firstLine="440"/>
        <w:jc w:val="both"/>
      </w:pPr>
      <w:r>
        <w:rPr/>
        <w:t>跨境电商物流，已打通国内</w:t>
      </w:r>
      <w:r>
        <w:rPr>
          <w:spacing w:val="-79"/>
        </w:rPr>
        <w:t> </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个口岸的跨境关务系统，同时完成进口（保税备货、直邮、邮政小</w:t>
      </w:r>
      <w:r>
        <w:rPr>
          <w:w w:val="99"/>
        </w:rPr>
        <w:t> </w:t>
      </w:r>
      <w:r>
        <w:rPr>
          <w:spacing w:val="-2"/>
        </w:rPr>
        <w:t>包）及出口业务。通过合作方式完成香港、日本、美国海外仓的设置，和发运国内的海空干线运输网</w:t>
      </w:r>
      <w:r>
        <w:rPr>
          <w:spacing w:val="-86"/>
        </w:rPr>
        <w:t> </w:t>
      </w:r>
      <w:r>
        <w:rPr>
          <w:spacing w:val="-86"/>
        </w:rPr>
      </w:r>
      <w:r>
        <w:rPr>
          <w:spacing w:val="-1"/>
        </w:rPr>
        <w:t>络。农村电商物流，依托于苏宁易购服务站直营店，通过运力本地化，打造完善的农村物流网络，让</w:t>
      </w:r>
      <w:r>
        <w:rPr>
          <w:w w:val="99"/>
        </w:rPr>
        <w:t> </w:t>
      </w:r>
      <w:r>
        <w:rPr/>
        <w:t>农村消费者也能享受便捷购物体验，并持续推进</w:t>
      </w:r>
      <w:r>
        <w:rPr>
          <w:rFonts w:ascii="Times New Roman" w:hAnsi="Times New Roman" w:cs="Times New Roman" w:eastAsia="Times New Roman" w:hint="default"/>
        </w:rPr>
        <w:t>“</w:t>
      </w:r>
      <w:r>
        <w:rPr/>
        <w:t>工业品下乡，农产品进城</w:t>
      </w:r>
      <w:r>
        <w:rPr>
          <w:rFonts w:ascii="Times New Roman" w:hAnsi="Times New Roman" w:cs="Times New Roman" w:eastAsia="Times New Roman" w:hint="default"/>
        </w:rPr>
        <w:t>”</w:t>
      </w:r>
      <w:r>
        <w:rPr/>
        <w:t>。</w:t>
      </w:r>
    </w:p>
    <w:p>
      <w:pPr>
        <w:pStyle w:val="Heading4"/>
        <w:spacing w:line="240" w:lineRule="auto" w:before="17"/>
        <w:ind w:left="595" w:right="1082"/>
        <w:jc w:val="left"/>
        <w:rPr>
          <w:b w:val="0"/>
          <w:bCs w:val="0"/>
        </w:rPr>
      </w:pPr>
      <w:r>
        <w:rPr>
          <w:rFonts w:ascii="Times New Roman" w:hAnsi="Times New Roman" w:cs="Times New Roman" w:eastAsia="Times New Roman" w:hint="default"/>
        </w:rPr>
        <w:t>2</w:t>
      </w:r>
      <w:r>
        <w:rPr/>
        <w:t>、金融方面</w:t>
      </w:r>
      <w:r>
        <w:rPr>
          <w:b w:val="0"/>
          <w:bCs w:val="0"/>
        </w:rPr>
      </w:r>
    </w:p>
    <w:p>
      <w:pPr>
        <w:pStyle w:val="BodyText"/>
        <w:spacing w:line="379" w:lineRule="auto" w:before="163"/>
        <w:ind w:right="1134" w:firstLine="44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spacing w:val="-3"/>
        </w:rPr>
        <w:t>年，苏宁金融集团独立运营，夯实基础、提升能力，打造严谨、规范、专业的运营机制，全</w:t>
      </w:r>
      <w:r>
        <w:rPr>
          <w:w w:val="99"/>
        </w:rPr>
        <w:t> </w:t>
      </w:r>
      <w:r>
        <w:rPr>
          <w:spacing w:val="-1"/>
          <w:w w:val="95"/>
        </w:rPr>
        <w:t>金融产品布局已经形成，致力于为消费者、企业、合作伙伴等提供多场景的金融服务，发挥苏宁生态</w:t>
      </w:r>
      <w:r>
        <w:rPr>
          <w:spacing w:val="49"/>
          <w:w w:val="95"/>
        </w:rPr>
        <w:t> </w:t>
      </w:r>
      <w:r>
        <w:rPr>
          <w:spacing w:val="49"/>
          <w:w w:val="95"/>
        </w:rPr>
      </w:r>
      <w:r>
        <w:rPr/>
        <w:t>圈平台优势。</w:t>
      </w:r>
    </w:p>
    <w:p>
      <w:pPr>
        <w:pStyle w:val="BodyText"/>
        <w:spacing w:line="240" w:lineRule="auto" w:before="52"/>
        <w:ind w:left="594" w:right="1082"/>
        <w:jc w:val="left"/>
      </w:pPr>
      <w:r>
        <w:rPr>
          <w:spacing w:val="-7"/>
        </w:rPr>
        <w:t>支付业务以</w:t>
      </w:r>
      <w:r>
        <w:rPr>
          <w:rFonts w:ascii="Times New Roman" w:hAnsi="Times New Roman" w:cs="Times New Roman" w:eastAsia="Times New Roman" w:hint="default"/>
          <w:spacing w:val="-7"/>
        </w:rPr>
        <w:t>“</w:t>
      </w:r>
      <w:r>
        <w:rPr>
          <w:spacing w:val="-7"/>
        </w:rPr>
        <w:t>易付宝</w:t>
      </w:r>
      <w:r>
        <w:rPr>
          <w:rFonts w:ascii="Times New Roman" w:hAnsi="Times New Roman" w:cs="Times New Roman" w:eastAsia="Times New Roman" w:hint="default"/>
          <w:spacing w:val="-7"/>
        </w:rPr>
        <w:t>+</w:t>
      </w:r>
      <w:r>
        <w:rPr>
          <w:spacing w:val="-7"/>
        </w:rPr>
        <w:t>本地生活</w:t>
      </w:r>
      <w:r>
        <w:rPr>
          <w:rFonts w:ascii="Times New Roman" w:hAnsi="Times New Roman" w:cs="Times New Roman" w:eastAsia="Times New Roman" w:hint="default"/>
          <w:spacing w:val="-7"/>
        </w:rPr>
        <w:t>”</w:t>
      </w:r>
      <w:r>
        <w:rPr>
          <w:spacing w:val="-7"/>
        </w:rPr>
        <w:t>模式覆盖教育、交通等场景，有效增强用户粘性，截至</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年末，</w:t>
      </w:r>
    </w:p>
    <w:p>
      <w:pPr>
        <w:pStyle w:val="BodyText"/>
        <w:spacing w:line="240" w:lineRule="auto" w:before="163"/>
        <w:ind w:right="0"/>
        <w:jc w:val="both"/>
      </w:pPr>
      <w:r>
        <w:rPr>
          <w:w w:val="99"/>
        </w:rPr>
        <w:t>苏宁易付宝注册用户数超过</w:t>
      </w:r>
      <w:r>
        <w:rPr>
          <w:spacing w:val="-54"/>
        </w:rPr>
        <w:t> </w:t>
      </w:r>
      <w:r>
        <w:rPr>
          <w:rFonts w:ascii="Times New Roman" w:hAnsi="Times New Roman" w:cs="Times New Roman" w:eastAsia="Times New Roman" w:hint="default"/>
          <w:w w:val="99"/>
        </w:rPr>
        <w:t>1.3</w:t>
      </w:r>
      <w:r>
        <w:rPr>
          <w:rFonts w:ascii="Times New Roman" w:hAnsi="Times New Roman" w:cs="Times New Roman" w:eastAsia="Times New Roman" w:hint="default"/>
          <w:spacing w:val="1"/>
        </w:rPr>
        <w:t> </w:t>
      </w:r>
      <w:r>
        <w:rPr>
          <w:w w:val="99"/>
        </w:rPr>
        <w:t>亿</w:t>
      </w:r>
      <w:r>
        <w:rPr>
          <w:spacing w:val="-104"/>
          <w:w w:val="99"/>
        </w:rPr>
        <w:t>；</w:t>
      </w:r>
      <w:r>
        <w:rPr>
          <w:w w:val="99"/>
        </w:rPr>
        <w:t>苏宁理财为用户提供一站式财富管理服务</w:t>
      </w:r>
      <w:r>
        <w:rPr>
          <w:spacing w:val="-104"/>
          <w:w w:val="99"/>
        </w:rPr>
        <w:t>，</w:t>
      </w:r>
      <w:r>
        <w:rPr>
          <w:w w:val="99"/>
        </w:rPr>
        <w:t>业务线涵盖余额理</w:t>
      </w:r>
      <w:r>
        <w:rPr>
          <w:spacing w:val="-2"/>
          <w:w w:val="99"/>
        </w:rPr>
        <w:t>财</w:t>
      </w:r>
      <w:r>
        <w:rPr>
          <w:w w:val="99"/>
        </w:rPr>
        <w:t>、</w:t>
      </w:r>
      <w:r>
        <w:rPr/>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76" w:lineRule="auto" w:before="166"/>
        <w:ind w:right="1132"/>
        <w:jc w:val="both"/>
      </w:pPr>
      <w:r>
        <w:rPr/>
        <w:t>固定收益、权益投资等多种类型，并依托独特的金融 </w:t>
      </w:r>
      <w:r>
        <w:rPr>
          <w:rFonts w:ascii="Times New Roman" w:hAnsi="Times New Roman" w:cs="Times New Roman" w:eastAsia="Times New Roman" w:hint="default"/>
        </w:rPr>
        <w:t>O2O</w:t>
      </w:r>
      <w:r>
        <w:rPr>
          <w:rFonts w:ascii="Times New Roman" w:hAnsi="Times New Roman" w:cs="Times New Roman" w:eastAsia="Times New Roman" w:hint="default"/>
          <w:spacing w:val="13"/>
        </w:rPr>
        <w:t> </w:t>
      </w:r>
      <w:r>
        <w:rPr/>
        <w:t>模式，加强自身投研能力建设，满足客户</w:t>
      </w:r>
      <w:r>
        <w:rPr>
          <w:w w:val="99"/>
        </w:rPr>
        <w:t> </w:t>
      </w:r>
      <w:r>
        <w:rPr>
          <w:spacing w:val="-1"/>
        </w:rPr>
        <w:t>的差异化理财需求；供应链金融业务，全面助力中小微企业融资，推出账速融、信速融、票速融等核</w:t>
      </w:r>
      <w:r>
        <w:rPr>
          <w:w w:val="99"/>
        </w:rPr>
        <w:t> </w:t>
      </w:r>
      <w:r>
        <w:rPr>
          <w:spacing w:val="-1"/>
        </w:rPr>
        <w:t>心产品；苏宁众筹是国内首个同时在线上平台、线下实体门店同步开展众筹产品体验的全渠道众筹平</w:t>
      </w:r>
      <w:r>
        <w:rPr>
          <w:w w:val="99"/>
        </w:rPr>
        <w:t> </w:t>
      </w:r>
      <w:r>
        <w:rPr>
          <w:spacing w:val="-3"/>
        </w:rPr>
        <w:t>台，涵盖科技、设计、公益、文化、娱乐、农业等多个众筹领域，</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2"/>
        </w:rPr>
        <w:t> </w:t>
      </w:r>
      <w:r>
        <w:rPr/>
        <w:t>年，苏宁众筹在行业中异军突</w:t>
      </w:r>
      <w:r>
        <w:rPr>
          <w:w w:val="99"/>
        </w:rPr>
        <w:t> </w:t>
      </w:r>
      <w:r>
        <w:rPr>
          <w:spacing w:val="-1"/>
        </w:rPr>
        <w:t>起，迅速跃居行业前三甲；消费信贷领域，成立苏宁消费金融公司，创新推出</w:t>
      </w:r>
      <w:r>
        <w:rPr>
          <w:rFonts w:ascii="Times New Roman" w:hAnsi="Times New Roman" w:cs="Times New Roman" w:eastAsia="Times New Roman" w:hint="default"/>
          <w:spacing w:val="-1"/>
        </w:rPr>
        <w:t>“</w:t>
      </w:r>
      <w:r>
        <w:rPr>
          <w:spacing w:val="-1"/>
        </w:rPr>
        <w:t>任性付</w:t>
      </w:r>
      <w:r>
        <w:rPr>
          <w:rFonts w:ascii="Times New Roman" w:hAnsi="Times New Roman" w:cs="Times New Roman" w:eastAsia="Times New Roman" w:hint="default"/>
          <w:spacing w:val="-1"/>
        </w:rPr>
        <w:t>”</w:t>
      </w:r>
      <w:r>
        <w:rPr>
          <w:spacing w:val="-1"/>
        </w:rPr>
        <w:t>个人消费信贷</w:t>
      </w:r>
      <w:r>
        <w:rPr>
          <w:spacing w:val="-99"/>
        </w:rPr>
        <w:t> </w:t>
      </w:r>
      <w:r>
        <w:rPr/>
        <w:t>产品，深挖数据，有效控制信用风险，贷款余额增长较快，也极大地提高了用户粘性。</w:t>
      </w:r>
    </w:p>
    <w:p>
      <w:pPr>
        <w:pStyle w:val="BodyText"/>
        <w:spacing w:line="240" w:lineRule="auto" w:before="54"/>
        <w:ind w:left="594" w:right="1082"/>
        <w:jc w:val="left"/>
      </w:pPr>
      <w:r>
        <w:rPr/>
        <w:t>苏宁金融以普惠金融、廉价金融为使命，致力于成为中国金融</w:t>
      </w:r>
      <w:r>
        <w:rPr>
          <w:spacing w:val="-60"/>
        </w:rPr>
        <w:t> </w:t>
      </w:r>
      <w:r>
        <w:rPr>
          <w:rFonts w:ascii="Times New Roman" w:hAnsi="Times New Roman" w:cs="Times New Roman" w:eastAsia="Times New Roman" w:hint="default"/>
        </w:rPr>
        <w:t>O2O</w:t>
      </w:r>
      <w:r>
        <w:rPr>
          <w:rFonts w:ascii="Times New Roman" w:hAnsi="Times New Roman" w:cs="Times New Roman" w:eastAsia="Times New Roman" w:hint="default"/>
          <w:spacing w:val="-5"/>
        </w:rPr>
        <w:t> </w:t>
      </w:r>
      <w:r>
        <w:rPr/>
        <w:t>的领先者。</w:t>
      </w:r>
    </w:p>
    <w:p>
      <w:pPr>
        <w:pStyle w:val="Heading4"/>
        <w:spacing w:line="240" w:lineRule="auto" w:before="163"/>
        <w:ind w:left="595" w:right="1082"/>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方面</w:t>
      </w:r>
      <w:r>
        <w:rPr>
          <w:b w:val="0"/>
          <w:bCs w:val="0"/>
        </w:rPr>
      </w:r>
    </w:p>
    <w:p>
      <w:pPr>
        <w:pStyle w:val="BodyText"/>
        <w:spacing w:line="369" w:lineRule="auto" w:before="163"/>
        <w:ind w:left="154" w:right="1132" w:firstLine="440"/>
        <w:jc w:val="both"/>
      </w:pPr>
      <w:r>
        <w:rPr/>
        <w:t>苏宁作为行业中实质拥有多端平台能力的零售企业，</w:t>
      </w:r>
      <w:r>
        <w:rPr>
          <w:rFonts w:ascii="Times New Roman" w:hAnsi="Times New Roman" w:cs="Times New Roman" w:eastAsia="Times New Roman" w:hint="default"/>
        </w:rPr>
        <w:t>IT</w:t>
      </w:r>
      <w:r>
        <w:rPr>
          <w:rFonts w:ascii="Times New Roman" w:hAnsi="Times New Roman" w:cs="Times New Roman" w:eastAsia="Times New Roman" w:hint="default"/>
          <w:spacing w:val="-34"/>
        </w:rPr>
        <w:t> </w:t>
      </w:r>
      <w:r>
        <w:rPr>
          <w:spacing w:val="-3"/>
        </w:rPr>
        <w:t>和技术团队发挥了重要的作用，一方面搭</w:t>
      </w:r>
      <w:r>
        <w:rPr>
          <w:w w:val="99"/>
        </w:rPr>
        <w:t> </w:t>
      </w:r>
      <w:r>
        <w:rPr>
          <w:spacing w:val="-2"/>
        </w:rPr>
        <w:t>建了线上平台，另一方面也打通了线上线下的资源和流程。报告期内，</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9"/>
        </w:rPr>
        <w:t> </w:t>
      </w:r>
      <w:r>
        <w:rPr>
          <w:spacing w:val="-2"/>
        </w:rPr>
        <w:t>体系聚焦系统架构优化、基</w:t>
      </w:r>
      <w:r>
        <w:rPr>
          <w:w w:val="99"/>
        </w:rPr>
        <w:t> </w:t>
      </w:r>
      <w:r>
        <w:rPr/>
        <w:t>础数据运维、服务产品应用等方面，为内部管理提供了支撑，也有效推动业务的创新发展。</w:t>
      </w:r>
    </w:p>
    <w:p>
      <w:pPr>
        <w:pStyle w:val="BodyText"/>
        <w:spacing w:line="391" w:lineRule="auto" w:before="61"/>
        <w:ind w:left="154" w:right="0" w:firstLine="440"/>
        <w:jc w:val="left"/>
      </w:pPr>
      <w:r>
        <w:rPr/>
        <w:t>云计算能力不断提升，苏宁平台的交易处理能力得到极大的提高，在双十一等促销出现大流量、</w:t>
      </w:r>
      <w:r>
        <w:rPr>
          <w:w w:val="99"/>
        </w:rPr>
        <w:t> </w:t>
      </w:r>
      <w:r>
        <w:rPr/>
        <w:t>高并发的情形下，系统响应良好；大数据应用能力增强，逐步与会员管理、商户管理等业务体系融会</w:t>
      </w:r>
      <w:r>
        <w:rPr>
          <w:w w:val="99"/>
        </w:rPr>
        <w:t> </w:t>
      </w:r>
      <w:r>
        <w:rPr/>
        <w:t>贯通，针对性的开发出了数据产品，有力提升了平台的运营效率；加强对产品设计、技术开发和业务</w:t>
      </w:r>
      <w:r>
        <w:rPr>
          <w:w w:val="99"/>
        </w:rPr>
        <w:t> </w:t>
      </w:r>
      <w:r>
        <w:rPr/>
        <w:t>运营的深度融合，完成了对大聚惠、闪拍等苏宁易购平台产品的优化，上线名品特卖、二手拍卖等新</w:t>
      </w:r>
      <w:r>
        <w:rPr>
          <w:w w:val="99"/>
        </w:rPr>
        <w:t> </w:t>
      </w:r>
      <w:r>
        <w:rPr/>
        <w:t>营销产品，拓展了海外购等新的业务平台，丰富了用户体验。</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line="369" w:lineRule="auto" w:before="0"/>
        <w:ind w:left="594" w:right="1082" w:firstLine="144"/>
        <w:jc w:val="left"/>
        <w:rPr>
          <w:rFonts w:ascii="宋体" w:hAnsi="宋体" w:cs="宋体" w:eastAsia="宋体" w:hint="default"/>
          <w:sz w:val="22"/>
          <w:szCs w:val="22"/>
        </w:rPr>
      </w:pPr>
      <w:r>
        <w:rPr>
          <w:rFonts w:ascii="Wingdings" w:hAnsi="Wingdings" w:cs="Wingdings" w:eastAsia="Wingdings" w:hint="default"/>
          <w:sz w:val="22"/>
          <w:szCs w:val="22"/>
        </w:rPr>
        <w:t></w:t>
      </w:r>
      <w:r>
        <w:rPr>
          <w:rFonts w:ascii="宋体" w:hAnsi="宋体" w:cs="宋体" w:eastAsia="宋体" w:hint="default"/>
          <w:b/>
          <w:bCs/>
          <w:sz w:val="22"/>
          <w:szCs w:val="22"/>
        </w:rPr>
        <w:t>创新组织、激励新模式，配套互联网零售业务发展</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在组织体系建设方面，随着公司互联网零售模式的成型，在经营层面，初步完成了事业部公司化</w:t>
      </w:r>
    </w:p>
    <w:p>
      <w:pPr>
        <w:pStyle w:val="BodyText"/>
        <w:spacing w:line="391" w:lineRule="auto" w:before="61"/>
        <w:ind w:left="594" w:right="1127" w:hanging="441"/>
        <w:jc w:val="left"/>
      </w:pPr>
      <w:r>
        <w:rPr/>
        <w:t>的转变，同时小团队作战的理念和机制也在进行积极的探索；</w:t>
      </w:r>
      <w:r>
        <w:rPr>
          <w:w w:val="99"/>
        </w:rPr>
        <w:t> </w:t>
      </w:r>
      <w:r>
        <w:rPr>
          <w:spacing w:val="-1"/>
        </w:rPr>
        <w:t>在人才方面，随着公司业务的快速拓展与变革，公司在互联网运营、</w:t>
      </w:r>
      <w:r>
        <w:rPr>
          <w:rFonts w:ascii="Times New Roman" w:hAnsi="Times New Roman" w:cs="Times New Roman" w:eastAsia="Times New Roman" w:hint="default"/>
          <w:spacing w:val="-1"/>
        </w:rPr>
        <w:t>IT</w:t>
      </w:r>
      <w:r>
        <w:rPr>
          <w:spacing w:val="-1"/>
        </w:rPr>
        <w:t>、金融等领域持续加大人</w:t>
      </w:r>
    </w:p>
    <w:p>
      <w:pPr>
        <w:pStyle w:val="BodyText"/>
        <w:spacing w:line="391" w:lineRule="auto" w:before="10"/>
        <w:ind w:left="594" w:right="1082" w:hanging="441"/>
        <w:jc w:val="left"/>
      </w:pPr>
      <w:r>
        <w:rPr/>
        <w:t>才引进。此外，公司有针对性的开展多种形式的培训，全面提升员工技能；</w:t>
      </w:r>
      <w:r>
        <w:rPr>
          <w:w w:val="99"/>
        </w:rPr>
        <w:t> </w:t>
      </w:r>
      <w:r>
        <w:rPr>
          <w:spacing w:val="-7"/>
          <w:w w:val="99"/>
        </w:rPr>
        <w:t>在激励制度建设方面，实行以绩效为导向，结合员工成长与敬业度，加大了各种形式的员工激励，</w:t>
      </w:r>
      <w:r>
        <w:rPr>
          <w:spacing w:val="-7"/>
        </w:rPr>
      </w:r>
    </w:p>
    <w:p>
      <w:pPr>
        <w:pStyle w:val="BodyText"/>
        <w:spacing w:line="391" w:lineRule="auto" w:before="41"/>
        <w:ind w:left="594" w:right="1082" w:hanging="441"/>
        <w:jc w:val="left"/>
      </w:pPr>
      <w:r>
        <w:rPr/>
        <w:t>推出员工持股计划、创新基金等多种方式，充分调动员工工作的积极性；</w:t>
      </w:r>
      <w:r>
        <w:rPr>
          <w:w w:val="99"/>
        </w:rPr>
        <w:t> </w:t>
      </w:r>
      <w:r>
        <w:rPr>
          <w:spacing w:val="-2"/>
        </w:rPr>
        <w:t>在企业文化建设方面，继承公司优良传统文化的同时，吸纳了互联网文化精髓，重塑了企业文化</w:t>
      </w:r>
    </w:p>
    <w:p>
      <w:pPr>
        <w:pStyle w:val="BodyText"/>
        <w:spacing w:line="240" w:lineRule="auto" w:before="41"/>
        <w:ind w:left="154" w:right="1082"/>
        <w:jc w:val="left"/>
      </w:pPr>
      <w:r>
        <w:rPr/>
        <w:t>理念。</w:t>
      </w:r>
    </w:p>
    <w:p>
      <w:pPr>
        <w:pStyle w:val="Heading4"/>
        <w:spacing w:line="240" w:lineRule="auto" w:before="180"/>
        <w:ind w:left="595" w:right="1082"/>
        <w:jc w:val="left"/>
        <w:rPr>
          <w:b w:val="0"/>
          <w:bCs w:val="0"/>
        </w:rPr>
      </w:pPr>
      <w:r>
        <w:rPr/>
        <w:t>（二）报告期内公司所属行业的发展阶段、周期性特点以及公司所处的行业地位等</w:t>
      </w:r>
      <w:r>
        <w:rPr>
          <w:b w:val="0"/>
          <w:bCs w:val="0"/>
        </w:rPr>
      </w:r>
    </w:p>
    <w:p>
      <w:pPr>
        <w:pStyle w:val="BodyText"/>
        <w:spacing w:line="240" w:lineRule="auto" w:before="180"/>
        <w:ind w:left="594" w:right="1082"/>
        <w:jc w:val="left"/>
      </w:pPr>
      <w:r>
        <w:rPr>
          <w:rFonts w:ascii="Times New Roman" w:hAnsi="Times New Roman" w:cs="Times New Roman" w:eastAsia="Times New Roman" w:hint="default"/>
        </w:rPr>
        <w:t>1</w:t>
      </w:r>
      <w:r>
        <w:rPr/>
        <w:t>、苏宁云商按照中国证监会行业划分所属</w:t>
      </w:r>
      <w:r>
        <w:rPr>
          <w:rFonts w:ascii="Times New Roman" w:hAnsi="Times New Roman" w:cs="Times New Roman" w:eastAsia="Times New Roman" w:hint="default"/>
        </w:rPr>
        <w:t>“</w:t>
      </w:r>
      <w:r>
        <w:rPr/>
        <w:t>批发和零售贸易</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零售业</w:t>
      </w:r>
      <w:r>
        <w:rPr>
          <w:rFonts w:ascii="Times New Roman" w:hAnsi="Times New Roman" w:cs="Times New Roman" w:eastAsia="Times New Roman" w:hint="default"/>
        </w:rPr>
        <w:t>”</w:t>
      </w:r>
      <w:r>
        <w:rPr/>
        <w:t>。</w:t>
      </w:r>
    </w:p>
    <w:p>
      <w:pPr>
        <w:pStyle w:val="BodyText"/>
        <w:spacing w:line="240" w:lineRule="auto" w:before="163"/>
        <w:ind w:left="594" w:right="1082"/>
        <w:jc w:val="left"/>
      </w:pPr>
      <w:r>
        <w:rPr>
          <w:rFonts w:ascii="Times New Roman" w:hAnsi="Times New Roman" w:cs="Times New Roman" w:eastAsia="Times New Roman" w:hint="default"/>
        </w:rPr>
        <w:t>2</w:t>
      </w:r>
      <w:r>
        <w:rPr/>
        <w:t>、行业情况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6"/>
        <w:ind w:left="877" w:right="1082"/>
        <w:jc w:val="left"/>
      </w:pPr>
      <w:r>
        <w:rPr>
          <w:rFonts w:ascii="Wingdings" w:hAnsi="Wingdings" w:cs="Wingdings" w:eastAsia="Wingdings" w:hint="default"/>
        </w:rPr>
        <w:t></w:t>
      </w:r>
      <w:r>
        <w:rPr/>
        <w:t>零售行业发展受外部不景气影响，但整体来看，机遇大于挑战</w:t>
      </w:r>
    </w:p>
    <w:p>
      <w:pPr>
        <w:spacing w:line="240" w:lineRule="auto" w:before="9"/>
        <w:rPr>
          <w:rFonts w:ascii="宋体" w:hAnsi="宋体" w:cs="宋体" w:eastAsia="宋体" w:hint="default"/>
          <w:sz w:val="15"/>
          <w:szCs w:val="15"/>
        </w:rPr>
      </w:pPr>
    </w:p>
    <w:p>
      <w:pPr>
        <w:pStyle w:val="BodyText"/>
        <w:spacing w:line="240" w:lineRule="auto"/>
        <w:ind w:left="573" w:right="1082"/>
        <w:jc w:val="left"/>
      </w:pPr>
      <w:r>
        <w:rPr/>
        <w:t>（</w:t>
      </w:r>
      <w:r>
        <w:rPr>
          <w:rFonts w:ascii="Times New Roman" w:hAnsi="Times New Roman" w:cs="Times New Roman" w:eastAsia="Times New Roman" w:hint="default"/>
        </w:rPr>
        <w:t>1</w:t>
      </w:r>
      <w:r>
        <w:rPr/>
        <w:t>）国内消费增速下滑，但对经济发展作用增强</w:t>
      </w:r>
    </w:p>
    <w:p>
      <w:pPr>
        <w:spacing w:line="240" w:lineRule="auto" w:before="7"/>
        <w:rPr>
          <w:rFonts w:ascii="宋体" w:hAnsi="宋体" w:cs="宋体" w:eastAsia="宋体" w:hint="default"/>
          <w:sz w:val="15"/>
          <w:szCs w:val="15"/>
        </w:rPr>
      </w:pPr>
    </w:p>
    <w:p>
      <w:pPr>
        <w:pStyle w:val="BodyText"/>
        <w:spacing w:line="369" w:lineRule="auto"/>
        <w:ind w:left="154" w:right="1131"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年我国</w:t>
      </w:r>
      <w:r>
        <w:rPr>
          <w:spacing w:val="-54"/>
        </w:rPr>
        <w:t> </w:t>
      </w:r>
      <w:r>
        <w:rPr>
          <w:rFonts w:ascii="Times New Roman" w:hAnsi="Times New Roman" w:cs="Times New Roman" w:eastAsia="Times New Roman" w:hint="default"/>
        </w:rPr>
        <w:t>GDP</w:t>
      </w:r>
      <w:r>
        <w:rPr>
          <w:rFonts w:ascii="Times New Roman" w:hAnsi="Times New Roman" w:cs="Times New Roman" w:eastAsia="Times New Roman" w:hint="default"/>
          <w:spacing w:val="1"/>
        </w:rPr>
        <w:t> </w:t>
      </w:r>
      <w:r>
        <w:rPr/>
        <w:t>同比增长</w:t>
      </w:r>
      <w:r>
        <w:rPr>
          <w:spacing w:val="-54"/>
        </w:rPr>
        <w:t> </w:t>
      </w:r>
      <w:r>
        <w:rPr>
          <w:rFonts w:ascii="Times New Roman" w:hAnsi="Times New Roman" w:cs="Times New Roman" w:eastAsia="Times New Roman" w:hint="default"/>
          <w:spacing w:val="-3"/>
        </w:rPr>
        <w:t>6.9%</w:t>
      </w:r>
      <w:r>
        <w:rPr>
          <w:spacing w:val="-3"/>
        </w:rPr>
        <w:t>，国民经济目前进入增速换档的新常态；</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spacing w:val="-5"/>
        </w:rPr>
        <w:t>年，国内社会消费</w:t>
      </w:r>
      <w:r>
        <w:rPr>
          <w:w w:val="99"/>
        </w:rPr>
        <w:t> </w:t>
      </w:r>
      <w:r>
        <w:rPr/>
        <w:t>品零售总额同比增长</w:t>
      </w:r>
      <w:r>
        <w:rPr>
          <w:spacing w:val="-71"/>
        </w:rPr>
        <w:t> </w:t>
      </w:r>
      <w:r>
        <w:rPr>
          <w:rFonts w:ascii="Times New Roman" w:hAnsi="Times New Roman" w:cs="Times New Roman" w:eastAsia="Times New Roman" w:hint="default"/>
        </w:rPr>
        <w:t>10.6%</w:t>
      </w:r>
      <w:r>
        <w:rPr/>
        <w:t>，消费增速下滑，但在经济发展中的作用逐步增强，服务业在国内生产总</w:t>
      </w:r>
      <w:r>
        <w:rPr>
          <w:w w:val="99"/>
        </w:rPr>
        <w:t> </w:t>
      </w:r>
      <w:r>
        <w:rPr/>
        <w:t>值中比重上升至 </w:t>
      </w:r>
      <w:r>
        <w:rPr>
          <w:rFonts w:ascii="Times New Roman" w:hAnsi="Times New Roman" w:cs="Times New Roman" w:eastAsia="Times New Roman" w:hint="default"/>
        </w:rPr>
        <w:t>50.5%</w:t>
      </w:r>
      <w:r>
        <w:rPr/>
        <w:t>，首次占据</w:t>
      </w:r>
      <w:r>
        <w:rPr>
          <w:rFonts w:ascii="Times New Roman" w:hAnsi="Times New Roman" w:cs="Times New Roman" w:eastAsia="Times New Roman" w:hint="default"/>
        </w:rPr>
        <w:t>“</w:t>
      </w:r>
      <w:r>
        <w:rPr/>
        <w:t>半壁江山</w:t>
      </w:r>
      <w:r>
        <w:rPr>
          <w:rFonts w:ascii="Times New Roman" w:hAnsi="Times New Roman" w:cs="Times New Roman" w:eastAsia="Times New Roman" w:hint="default"/>
        </w:rPr>
        <w:t>”</w:t>
      </w:r>
      <w:r>
        <w:rPr/>
        <w:t>、消费对经济增长的贡献率达到</w:t>
      </w:r>
      <w:r>
        <w:rPr>
          <w:spacing w:val="-69"/>
        </w:rPr>
        <w:t> </w:t>
      </w:r>
      <w:r>
        <w:rPr>
          <w:rFonts w:ascii="Times New Roman" w:hAnsi="Times New Roman" w:cs="Times New Roman" w:eastAsia="Times New Roman" w:hint="default"/>
        </w:rPr>
        <w:t>66.4%</w:t>
      </w:r>
      <w:r>
        <w:rPr/>
        <w:t>，消费驱动型经</w:t>
      </w:r>
      <w:r>
        <w:rPr>
          <w:w w:val="99"/>
        </w:rPr>
        <w:t> </w:t>
      </w:r>
      <w:r>
        <w:rPr/>
        <w:t>济模式初步显现。</w:t>
      </w:r>
    </w:p>
    <w:p>
      <w:pPr>
        <w:pStyle w:val="BodyText"/>
        <w:spacing w:line="240" w:lineRule="auto" w:before="101"/>
        <w:ind w:left="594" w:right="1082"/>
        <w:jc w:val="left"/>
      </w:pPr>
      <w:r>
        <w:rPr/>
        <w:t>（</w:t>
      </w:r>
      <w:r>
        <w:rPr>
          <w:rFonts w:ascii="Times New Roman" w:hAnsi="Times New Roman" w:cs="Times New Roman" w:eastAsia="Times New Roman" w:hint="default"/>
        </w:rPr>
        <w:t>2</w:t>
      </w:r>
      <w:r>
        <w:rPr/>
        <w:t>）居民收入持续增加，消费持续增长有动力</w:t>
      </w:r>
    </w:p>
    <w:p>
      <w:pPr>
        <w:spacing w:line="240" w:lineRule="auto" w:before="6"/>
        <w:rPr>
          <w:rFonts w:ascii="宋体" w:hAnsi="宋体" w:cs="宋体" w:eastAsia="宋体" w:hint="default"/>
          <w:sz w:val="15"/>
          <w:szCs w:val="15"/>
        </w:rPr>
      </w:pPr>
    </w:p>
    <w:p>
      <w:pPr>
        <w:pStyle w:val="BodyText"/>
        <w:spacing w:line="369" w:lineRule="auto"/>
        <w:ind w:left="154" w:right="1132" w:firstLine="450"/>
        <w:jc w:val="both"/>
      </w:pPr>
      <w:r>
        <w:rPr>
          <w:rFonts w:ascii="Times New Roman" w:hAnsi="Times New Roman" w:cs="Times New Roman" w:eastAsia="Times New Roman" w:hint="default"/>
        </w:rPr>
        <w:t>2015 </w:t>
      </w:r>
      <w:r>
        <w:rPr/>
        <w:t>年，全国居民人均可支配收入实际增长</w:t>
      </w:r>
      <w:r>
        <w:rPr>
          <w:spacing w:val="-29"/>
        </w:rPr>
        <w:t> </w:t>
      </w:r>
      <w:r>
        <w:rPr>
          <w:rFonts w:ascii="Times New Roman" w:hAnsi="Times New Roman" w:cs="Times New Roman" w:eastAsia="Times New Roman" w:hint="default"/>
        </w:rPr>
        <w:t>7.4%</w:t>
      </w:r>
      <w:r>
        <w:rPr/>
        <w:t>，快于经济增速；其中农村居民人均可支配收</w:t>
      </w:r>
      <w:r>
        <w:rPr>
          <w:w w:val="99"/>
        </w:rPr>
        <w:t> </w:t>
      </w:r>
      <w:r>
        <w:rPr/>
        <w:t>入实际增长</w:t>
      </w:r>
      <w:r>
        <w:rPr>
          <w:spacing w:val="13"/>
        </w:rPr>
        <w:t> </w:t>
      </w:r>
      <w:r>
        <w:rPr>
          <w:rFonts w:ascii="Times New Roman" w:hAnsi="Times New Roman" w:cs="Times New Roman" w:eastAsia="Times New Roman" w:hint="default"/>
        </w:rPr>
        <w:t>7.5%</w:t>
      </w:r>
      <w:r>
        <w:rPr/>
        <w:t>，快于城镇居民。居民收入的持续增长，特别是农村居民的收入增长，有利于消费</w:t>
      </w:r>
      <w:r>
        <w:rPr>
          <w:spacing w:val="-107"/>
        </w:rPr>
        <w:t> </w:t>
      </w:r>
      <w:r>
        <w:rPr>
          <w:spacing w:val="-107"/>
        </w:rPr>
      </w:r>
      <w:r>
        <w:rPr/>
        <w:t>的持续增长，以及推动消费的区域升级、结构升级。</w:t>
      </w:r>
    </w:p>
    <w:p>
      <w:pPr>
        <w:pStyle w:val="BodyText"/>
        <w:spacing w:line="369" w:lineRule="auto" w:before="61"/>
        <w:ind w:left="594" w:right="1082" w:firstLine="200"/>
        <w:jc w:val="left"/>
      </w:pPr>
      <w:r>
        <w:rPr>
          <w:rFonts w:ascii="Wingdings" w:hAnsi="Wingdings" w:cs="Wingdings" w:eastAsia="Wingdings" w:hint="default"/>
        </w:rPr>
        <w:t></w:t>
      </w:r>
      <w:r>
        <w:rPr/>
        <w:t>零售企业创新转型，全渠道融合成为行业趋势</w:t>
      </w:r>
      <w:r>
        <w:rPr>
          <w:w w:val="99"/>
        </w:rPr>
        <w:t> </w:t>
      </w:r>
      <w:r>
        <w:rPr>
          <w:spacing w:val="-2"/>
        </w:rPr>
        <w:t>移动互联网时代，消费者购物习惯在发生着变化，如商品信息的获取更加全面便捷、购物时间碎</w:t>
      </w:r>
    </w:p>
    <w:p>
      <w:pPr>
        <w:spacing w:line="393" w:lineRule="auto" w:before="61"/>
        <w:ind w:left="153" w:right="1129" w:firstLine="0"/>
        <w:jc w:val="both"/>
        <w:rPr>
          <w:rFonts w:ascii="宋体" w:hAnsi="宋体" w:cs="宋体" w:eastAsia="宋体" w:hint="default"/>
          <w:sz w:val="21"/>
          <w:szCs w:val="21"/>
        </w:rPr>
      </w:pPr>
      <w:r>
        <w:rPr>
          <w:rFonts w:ascii="宋体" w:hAnsi="宋体" w:cs="宋体" w:eastAsia="宋体" w:hint="default"/>
          <w:spacing w:val="-6"/>
          <w:sz w:val="22"/>
          <w:szCs w:val="22"/>
        </w:rPr>
        <w:t>片化，商品挑选、购买和支付结算更加灵活，更加注重商品体验的分享等等，随着消费者习惯的变化，</w:t>
      </w:r>
      <w:r>
        <w:rPr>
          <w:rFonts w:ascii="宋体" w:hAnsi="宋体" w:cs="宋体" w:eastAsia="宋体" w:hint="default"/>
          <w:w w:val="99"/>
          <w:sz w:val="22"/>
          <w:szCs w:val="22"/>
        </w:rPr>
        <w:t> </w:t>
      </w:r>
      <w:r>
        <w:rPr>
          <w:rFonts w:ascii="宋体" w:hAnsi="宋体" w:cs="宋体" w:eastAsia="宋体" w:hint="default"/>
          <w:spacing w:val="-6"/>
          <w:w w:val="99"/>
          <w:sz w:val="22"/>
          <w:szCs w:val="22"/>
        </w:rPr>
        <w:t>大批的传统实体零售企业纷纷转型，拓展线上平台，与此同时，传统的电商企业则获得了快速的增长。</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pacing w:val="-13"/>
          <w:w w:val="99"/>
          <w:sz w:val="22"/>
          <w:szCs w:val="22"/>
        </w:rPr>
        <w:t>近年来，随着网购业务渗透率增加，增速趋缓，</w:t>
      </w:r>
      <w:r>
        <w:rPr>
          <w:rFonts w:ascii="Times New Roman" w:hAnsi="Times New Roman" w:cs="Times New Roman" w:eastAsia="Times New Roman" w:hint="default"/>
          <w:spacing w:val="-13"/>
          <w:w w:val="99"/>
          <w:sz w:val="22"/>
          <w:szCs w:val="22"/>
        </w:rPr>
        <w:t>2014</w:t>
      </w:r>
      <w:r>
        <w:rPr>
          <w:rFonts w:ascii="Times New Roman" w:hAnsi="Times New Roman" w:cs="Times New Roman" w:eastAsia="Times New Roman" w:hint="default"/>
          <w:spacing w:val="13"/>
          <w:w w:val="99"/>
          <w:sz w:val="22"/>
          <w:szCs w:val="22"/>
        </w:rPr>
        <w:t> </w:t>
      </w:r>
      <w:r>
        <w:rPr>
          <w:rFonts w:ascii="宋体" w:hAnsi="宋体" w:cs="宋体" w:eastAsia="宋体" w:hint="default"/>
          <w:spacing w:val="-17"/>
          <w:w w:val="99"/>
          <w:sz w:val="22"/>
          <w:szCs w:val="22"/>
        </w:rPr>
        <w:t>年、</w:t>
      </w:r>
      <w:r>
        <w:rPr>
          <w:rFonts w:ascii="Times New Roman" w:hAnsi="Times New Roman" w:cs="Times New Roman" w:eastAsia="Times New Roman" w:hint="default"/>
          <w:spacing w:val="-17"/>
          <w:w w:val="99"/>
          <w:sz w:val="22"/>
          <w:szCs w:val="22"/>
        </w:rPr>
        <w:t>2015</w:t>
      </w:r>
      <w:r>
        <w:rPr>
          <w:rFonts w:ascii="Times New Roman" w:hAnsi="Times New Roman" w:cs="Times New Roman" w:eastAsia="Times New Roman" w:hint="default"/>
          <w:spacing w:val="13"/>
          <w:w w:val="99"/>
          <w:sz w:val="22"/>
          <w:szCs w:val="22"/>
        </w:rPr>
        <w:t> </w:t>
      </w:r>
      <w:r>
        <w:rPr>
          <w:rFonts w:ascii="宋体" w:hAnsi="宋体" w:cs="宋体" w:eastAsia="宋体" w:hint="default"/>
          <w:spacing w:val="-1"/>
          <w:w w:val="99"/>
          <w:sz w:val="22"/>
          <w:szCs w:val="22"/>
        </w:rPr>
        <w:t>年</w:t>
      </w:r>
      <w:r>
        <w:rPr>
          <w:rFonts w:ascii="宋体" w:hAnsi="宋体" w:cs="宋体" w:eastAsia="宋体" w:hint="default"/>
          <w:color w:val="242424"/>
          <w:spacing w:val="-1"/>
          <w:w w:val="99"/>
          <w:sz w:val="21"/>
          <w:szCs w:val="21"/>
        </w:rPr>
        <w:t>全国网上零售额同比增长</w:t>
      </w:r>
      <w:r>
        <w:rPr>
          <w:rFonts w:ascii="宋体" w:hAnsi="宋体" w:cs="宋体" w:eastAsia="宋体" w:hint="default"/>
          <w:color w:val="242424"/>
          <w:spacing w:val="-39"/>
          <w:w w:val="99"/>
          <w:sz w:val="21"/>
          <w:szCs w:val="21"/>
        </w:rPr>
        <w:t> </w:t>
      </w:r>
      <w:r>
        <w:rPr>
          <w:rFonts w:ascii="Times New Roman" w:hAnsi="Times New Roman" w:cs="Times New Roman" w:eastAsia="Times New Roman" w:hint="default"/>
          <w:color w:val="242424"/>
          <w:spacing w:val="-9"/>
          <w:sz w:val="21"/>
          <w:szCs w:val="21"/>
        </w:rPr>
        <w:t>49.7%</w:t>
      </w:r>
      <w:r>
        <w:rPr>
          <w:rFonts w:ascii="宋体" w:hAnsi="宋体" w:cs="宋体" w:eastAsia="宋体" w:hint="default"/>
          <w:color w:val="242424"/>
          <w:spacing w:val="-9"/>
          <w:sz w:val="21"/>
          <w:szCs w:val="21"/>
        </w:rPr>
        <w:t>、</w:t>
      </w:r>
      <w:r>
        <w:rPr>
          <w:rFonts w:ascii="Times New Roman" w:hAnsi="Times New Roman" w:cs="Times New Roman" w:eastAsia="Times New Roman" w:hint="default"/>
          <w:color w:val="242424"/>
          <w:spacing w:val="-9"/>
          <w:sz w:val="21"/>
          <w:szCs w:val="21"/>
        </w:rPr>
        <w:t>33.3%</w:t>
      </w:r>
      <w:r>
        <w:rPr>
          <w:rFonts w:ascii="宋体" w:hAnsi="宋体" w:cs="宋体" w:eastAsia="宋体" w:hint="default"/>
          <w:color w:val="242424"/>
          <w:spacing w:val="-9"/>
          <w:sz w:val="21"/>
          <w:szCs w:val="21"/>
        </w:rPr>
        <w:t>。</w:t>
      </w:r>
      <w:r>
        <w:rPr>
          <w:rFonts w:ascii="宋体" w:hAnsi="宋体" w:cs="宋体" w:eastAsia="宋体" w:hint="default"/>
          <w:color w:val="242424"/>
          <w:spacing w:val="-100"/>
          <w:sz w:val="21"/>
          <w:szCs w:val="21"/>
        </w:rPr>
        <w:t> </w:t>
      </w:r>
      <w:r>
        <w:rPr>
          <w:rFonts w:ascii="宋体" w:hAnsi="宋体" w:cs="宋体" w:eastAsia="宋体" w:hint="default"/>
          <w:color w:val="242424"/>
          <w:spacing w:val="-1"/>
          <w:sz w:val="21"/>
          <w:szCs w:val="21"/>
        </w:rPr>
        <w:t>此外，随着收入水平的提高，居民消费呈现出从注重量的满足到追求质的提升，从有形物质产品向更多服</w:t>
      </w:r>
      <w:r>
        <w:rPr>
          <w:rFonts w:ascii="宋体" w:hAnsi="宋体" w:cs="宋体" w:eastAsia="宋体" w:hint="default"/>
          <w:color w:val="242424"/>
          <w:spacing w:val="-83"/>
          <w:sz w:val="21"/>
          <w:szCs w:val="21"/>
        </w:rPr>
        <w:t> </w:t>
      </w:r>
      <w:r>
        <w:rPr>
          <w:rFonts w:ascii="宋体" w:hAnsi="宋体" w:cs="宋体" w:eastAsia="宋体" w:hint="default"/>
          <w:color w:val="242424"/>
          <w:spacing w:val="-83"/>
          <w:sz w:val="21"/>
          <w:szCs w:val="21"/>
        </w:rPr>
      </w:r>
      <w:r>
        <w:rPr>
          <w:rFonts w:ascii="宋体" w:hAnsi="宋体" w:cs="宋体" w:eastAsia="宋体" w:hint="default"/>
          <w:color w:val="242424"/>
          <w:spacing w:val="-1"/>
          <w:sz w:val="21"/>
          <w:szCs w:val="21"/>
        </w:rPr>
        <w:t>务消费、从大众消费向个性化多样化消费等的转变，线下渠道的价值被重新发现，众多纯电商企业纷纷寻</w:t>
      </w:r>
      <w:r>
        <w:rPr>
          <w:rFonts w:ascii="宋体" w:hAnsi="宋体" w:cs="宋体" w:eastAsia="宋体" w:hint="default"/>
          <w:color w:val="242424"/>
          <w:spacing w:val="-83"/>
          <w:sz w:val="21"/>
          <w:szCs w:val="21"/>
        </w:rPr>
        <w:t> </w:t>
      </w:r>
      <w:r>
        <w:rPr>
          <w:rFonts w:ascii="宋体" w:hAnsi="宋体" w:cs="宋体" w:eastAsia="宋体" w:hint="default"/>
          <w:color w:val="242424"/>
          <w:spacing w:val="-83"/>
          <w:sz w:val="21"/>
          <w:szCs w:val="21"/>
        </w:rPr>
      </w:r>
      <w:r>
        <w:rPr>
          <w:rFonts w:ascii="宋体" w:hAnsi="宋体" w:cs="宋体" w:eastAsia="宋体" w:hint="default"/>
          <w:color w:val="242424"/>
          <w:sz w:val="21"/>
          <w:szCs w:val="21"/>
        </w:rPr>
        <w:t>求线下发展。线上线下融合发展的</w:t>
      </w:r>
      <w:r>
        <w:rPr>
          <w:rFonts w:ascii="宋体" w:hAnsi="宋体" w:cs="宋体" w:eastAsia="宋体" w:hint="default"/>
          <w:color w:val="242424"/>
          <w:spacing w:val="-53"/>
          <w:sz w:val="21"/>
          <w:szCs w:val="21"/>
        </w:rPr>
        <w:t> </w:t>
      </w:r>
      <w:r>
        <w:rPr>
          <w:rFonts w:ascii="Times New Roman" w:hAnsi="Times New Roman" w:cs="Times New Roman" w:eastAsia="Times New Roman" w:hint="default"/>
          <w:color w:val="242424"/>
          <w:sz w:val="21"/>
          <w:szCs w:val="21"/>
        </w:rPr>
        <w:t>O2O</w:t>
      </w:r>
      <w:r>
        <w:rPr>
          <w:rFonts w:ascii="Times New Roman" w:hAnsi="Times New Roman" w:cs="Times New Roman" w:eastAsia="Times New Roman" w:hint="default"/>
          <w:color w:val="242424"/>
          <w:spacing w:val="-1"/>
          <w:sz w:val="21"/>
          <w:szCs w:val="21"/>
        </w:rPr>
        <w:t> </w:t>
      </w:r>
      <w:r>
        <w:rPr>
          <w:rFonts w:ascii="宋体" w:hAnsi="宋体" w:cs="宋体" w:eastAsia="宋体" w:hint="default"/>
          <w:color w:val="242424"/>
          <w:sz w:val="21"/>
          <w:szCs w:val="21"/>
        </w:rPr>
        <w:t>模式成为行业发展趋势已得到社会共识。</w:t>
      </w:r>
      <w:r>
        <w:rPr>
          <w:rFonts w:ascii="宋体" w:hAnsi="宋体" w:cs="宋体" w:eastAsia="宋体" w:hint="default"/>
          <w:sz w:val="21"/>
          <w:szCs w:val="21"/>
        </w:rPr>
      </w:r>
    </w:p>
    <w:p>
      <w:pPr>
        <w:spacing w:line="391" w:lineRule="auto" w:before="20"/>
        <w:ind w:left="153" w:right="1133" w:firstLine="420"/>
        <w:jc w:val="both"/>
        <w:rPr>
          <w:rFonts w:ascii="宋体" w:hAnsi="宋体" w:cs="宋体" w:eastAsia="宋体" w:hint="default"/>
          <w:sz w:val="22"/>
          <w:szCs w:val="22"/>
        </w:rPr>
      </w:pPr>
      <w:r>
        <w:rPr>
          <w:rFonts w:ascii="宋体" w:hAnsi="宋体" w:cs="宋体" w:eastAsia="宋体" w:hint="default"/>
          <w:color w:val="242424"/>
          <w:spacing w:val="-1"/>
          <w:sz w:val="21"/>
          <w:szCs w:val="21"/>
        </w:rPr>
        <w:t>与此同时，零售行业竞争也从一味追求价格回归到</w:t>
      </w:r>
      <w:r>
        <w:rPr>
          <w:rFonts w:ascii="宋体" w:hAnsi="宋体" w:cs="宋体" w:eastAsia="宋体" w:hint="default"/>
          <w:spacing w:val="-1"/>
          <w:sz w:val="22"/>
          <w:szCs w:val="22"/>
        </w:rPr>
        <w:t>追求高效率、低成本地向消费者提供优质的产品</w:t>
      </w:r>
      <w:r>
        <w:rPr>
          <w:rFonts w:ascii="宋体" w:hAnsi="宋体" w:cs="宋体" w:eastAsia="宋体" w:hint="default"/>
          <w:w w:val="99"/>
          <w:sz w:val="22"/>
          <w:szCs w:val="22"/>
        </w:rPr>
        <w:t> </w:t>
      </w:r>
      <w:r>
        <w:rPr>
          <w:rFonts w:ascii="宋体" w:hAnsi="宋体" w:cs="宋体" w:eastAsia="宋体" w:hint="default"/>
          <w:sz w:val="22"/>
          <w:szCs w:val="22"/>
        </w:rPr>
        <w:t>与服务，差异化已成为企业竞争的关键。</w:t>
      </w:r>
    </w:p>
    <w:p>
      <w:pPr>
        <w:pStyle w:val="BodyText"/>
        <w:spacing w:line="240" w:lineRule="auto" w:before="41"/>
        <w:ind w:left="594" w:right="1082"/>
        <w:jc w:val="left"/>
      </w:pPr>
      <w:r>
        <w:rPr>
          <w:rFonts w:ascii="Times New Roman" w:hAnsi="Times New Roman" w:cs="Times New Roman" w:eastAsia="Times New Roman" w:hint="default"/>
        </w:rPr>
        <w:t>3</w:t>
      </w:r>
      <w:r>
        <w:rPr/>
        <w:t>、公司所处行业地位</w:t>
      </w:r>
    </w:p>
    <w:p>
      <w:pPr>
        <w:pStyle w:val="BodyText"/>
        <w:spacing w:line="372" w:lineRule="auto" w:before="163"/>
        <w:ind w:right="1129" w:firstLine="44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spacing w:val="-5"/>
        </w:rPr>
        <w:t>年，苏宁就已经开始积极拥抱互联网，开启营销变革，上线苏宁易购，并提出了</w:t>
      </w:r>
      <w:r>
        <w:rPr>
          <w:rFonts w:ascii="Times New Roman" w:hAnsi="Times New Roman" w:cs="Times New Roman" w:eastAsia="Times New Roman" w:hint="default"/>
          <w:spacing w:val="-5"/>
        </w:rPr>
        <w:t>“</w:t>
      </w:r>
      <w:r>
        <w:rPr>
          <w:spacing w:val="-5"/>
        </w:rPr>
        <w:t>科技转型，</w:t>
      </w:r>
      <w:r>
        <w:rPr>
          <w:w w:val="99"/>
        </w:rPr>
        <w:t> </w:t>
      </w:r>
      <w:r>
        <w:rPr/>
        <w:t>智慧服务</w:t>
      </w:r>
      <w:r>
        <w:rPr>
          <w:rFonts w:ascii="Times New Roman" w:hAnsi="Times New Roman" w:cs="Times New Roman" w:eastAsia="Times New Roman" w:hint="default"/>
        </w:rPr>
        <w:t>”</w:t>
      </w:r>
      <w:r>
        <w:rPr/>
        <w:t>的新十年发展战略。面对互联网经济带来的深刻变革，顺应未来零售发展大趋势，审时度</w:t>
      </w:r>
      <w:r>
        <w:rPr>
          <w:spacing w:val="-54"/>
        </w:rPr>
        <w:t> </w:t>
      </w:r>
      <w:r>
        <w:rPr>
          <w:spacing w:val="-54"/>
        </w:rPr>
      </w:r>
      <w:r>
        <w:rPr/>
        <w:t>势地提出了线上线下融合的</w:t>
      </w:r>
      <w:r>
        <w:rPr>
          <w:spacing w:val="-65"/>
        </w:rPr>
        <w:t> </w:t>
      </w:r>
      <w:r>
        <w:rPr>
          <w:rFonts w:ascii="Times New Roman" w:hAnsi="Times New Roman" w:cs="Times New Roman" w:eastAsia="Times New Roman" w:hint="default"/>
        </w:rPr>
        <w:t>O2O</w:t>
      </w:r>
      <w:r>
        <w:rPr>
          <w:rFonts w:ascii="Times New Roman" w:hAnsi="Times New Roman" w:cs="Times New Roman" w:eastAsia="Times New Roman" w:hint="default"/>
          <w:spacing w:val="-11"/>
        </w:rPr>
        <w:t> </w:t>
      </w:r>
      <w:r>
        <w:rPr/>
        <w:t>模式，为传统零售行业开辟了一条新的发展路径。公司于</w:t>
      </w:r>
      <w:r>
        <w:rPr>
          <w:spacing w:val="-6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年更</w:t>
      </w:r>
      <w:r>
        <w:rPr>
          <w:w w:val="99"/>
        </w:rPr>
        <w:t> </w:t>
      </w:r>
      <w:r>
        <w:rPr>
          <w:spacing w:val="-2"/>
        </w:rPr>
        <w:t>名苏宁云商，进行组织再造，推行双线同价，打造开放平台，从而打破了组织壁垒、价格壁垒、商品</w:t>
      </w:r>
      <w:r>
        <w:rPr>
          <w:spacing w:val="-86"/>
        </w:rPr>
        <w:t> </w:t>
      </w:r>
      <w:r>
        <w:rPr>
          <w:spacing w:val="-86"/>
        </w:rPr>
      </w:r>
      <w:r>
        <w:rPr/>
        <w:t>壁垒和渠道壁垒，朝着构建 </w:t>
      </w:r>
      <w:r>
        <w:rPr>
          <w:rFonts w:ascii="Times New Roman" w:hAnsi="Times New Roman" w:cs="Times New Roman" w:eastAsia="Times New Roman" w:hint="default"/>
        </w:rPr>
        <w:t>O2O</w:t>
      </w:r>
      <w:r>
        <w:rPr>
          <w:rFonts w:ascii="Times New Roman" w:hAnsi="Times New Roman" w:cs="Times New Roman" w:eastAsia="Times New Roman" w:hint="default"/>
          <w:spacing w:val="36"/>
        </w:rPr>
        <w:t> </w:t>
      </w:r>
      <w:r>
        <w:rPr/>
        <w:t>生态圈方向迈进，并进一步总结提炼出</w:t>
      </w:r>
      <w:r>
        <w:rPr>
          <w:rFonts w:ascii="Times New Roman" w:hAnsi="Times New Roman" w:cs="Times New Roman" w:eastAsia="Times New Roman" w:hint="default"/>
        </w:rPr>
        <w:t>“</w:t>
      </w:r>
      <w:r>
        <w:rPr/>
        <w:t>一体两翼</w:t>
      </w:r>
      <w:r>
        <w:rPr>
          <w:rFonts w:ascii="Times New Roman" w:hAnsi="Times New Roman" w:cs="Times New Roman" w:eastAsia="Times New Roman" w:hint="default"/>
        </w:rPr>
        <w:t>”</w:t>
      </w:r>
      <w:r>
        <w:rPr/>
        <w:t>互联网路线图，</w:t>
      </w:r>
      <w:r>
        <w:rPr>
          <w:w w:val="99"/>
        </w:rPr>
        <w:t> </w:t>
      </w:r>
      <w:r>
        <w:rPr/>
        <w:t>即以互联网零售为主体</w:t>
      </w:r>
      <w:r>
        <w:rPr>
          <w:rFonts w:ascii="Times New Roman" w:hAnsi="Times New Roman" w:cs="Times New Roman" w:eastAsia="Times New Roman" w:hint="default"/>
        </w:rPr>
        <w:t>,</w:t>
      </w:r>
      <w:r>
        <w:rPr/>
        <w:t>以打造 </w:t>
      </w:r>
      <w:r>
        <w:rPr>
          <w:rFonts w:ascii="Times New Roman" w:hAnsi="Times New Roman" w:cs="Times New Roman" w:eastAsia="Times New Roman" w:hint="default"/>
        </w:rPr>
        <w:t>O2O</w:t>
      </w:r>
      <w:r>
        <w:rPr>
          <w:rFonts w:ascii="Times New Roman" w:hAnsi="Times New Roman" w:cs="Times New Roman" w:eastAsia="Times New Roman" w:hint="default"/>
          <w:spacing w:val="-17"/>
        </w:rPr>
        <w:t> </w:t>
      </w:r>
      <w:r>
        <w:rPr/>
        <w:t>的全渠道经营模式和线上线下开放平台为</w:t>
      </w:r>
      <w:r>
        <w:rPr>
          <w:rFonts w:ascii="Times New Roman" w:hAnsi="Times New Roman" w:cs="Times New Roman" w:eastAsia="Times New Roman" w:hint="default"/>
        </w:rPr>
        <w:t>“</w:t>
      </w:r>
      <w:r>
        <w:rPr/>
        <w:t>两翼</w:t>
      </w:r>
      <w:r>
        <w:rPr>
          <w:rFonts w:ascii="Times New Roman" w:hAnsi="Times New Roman" w:cs="Times New Roman" w:eastAsia="Times New Roman" w:hint="default"/>
        </w:rPr>
        <w:t>”</w:t>
      </w:r>
      <w:r>
        <w:rPr/>
        <w:t>的互联网转型。</w:t>
      </w:r>
      <w:r>
        <w:rPr>
          <w:w w:val="99"/>
        </w:rPr>
        <w:t> </w:t>
      </w:r>
      <w:r>
        <w:rPr>
          <w:spacing w:val="3"/>
          <w:w w:val="95"/>
        </w:rPr>
        <w:t>在战略资源投入和布局上，苏宁通过实体店互联网升级，开发多种移动端应用，实现了门店端、</w:t>
      </w:r>
      <w:r>
        <w:rPr>
          <w:rFonts w:ascii="Times New Roman" w:hAnsi="Times New Roman" w:cs="Times New Roman" w:eastAsia="Times New Roman" w:hint="default"/>
          <w:spacing w:val="3"/>
          <w:w w:val="95"/>
        </w:rPr>
        <w:t>PC</w:t>
      </w:r>
      <w:r>
        <w:rPr>
          <w:rFonts w:ascii="Times New Roman" w:hAnsi="Times New Roman" w:cs="Times New Roman" w:eastAsia="Times New Roman" w:hint="default"/>
          <w:spacing w:val="21"/>
          <w:w w:val="95"/>
        </w:rPr>
        <w:t> </w:t>
      </w:r>
      <w:r>
        <w:rPr>
          <w:spacing w:val="-3"/>
        </w:rPr>
        <w:t>端、移动端、</w:t>
      </w:r>
      <w:r>
        <w:rPr>
          <w:rFonts w:ascii="Times New Roman" w:hAnsi="Times New Roman" w:cs="Times New Roman" w:eastAsia="Times New Roman" w:hint="default"/>
          <w:spacing w:val="-3"/>
        </w:rPr>
        <w:t>TV</w:t>
      </w:r>
      <w:r>
        <w:rPr>
          <w:rFonts w:ascii="Times New Roman" w:hAnsi="Times New Roman" w:cs="Times New Roman" w:eastAsia="Times New Roman" w:hint="default"/>
          <w:spacing w:val="-14"/>
        </w:rPr>
        <w:t> </w:t>
      </w:r>
      <w:r>
        <w:rPr/>
        <w:t>端的全渠道布局，为传统实体零售转型</w:t>
      </w:r>
      <w:r>
        <w:rPr>
          <w:spacing w:val="-67"/>
        </w:rPr>
        <w:t> </w:t>
      </w:r>
      <w:r>
        <w:rPr>
          <w:rFonts w:ascii="Times New Roman" w:hAnsi="Times New Roman" w:cs="Times New Roman" w:eastAsia="Times New Roman" w:hint="default"/>
        </w:rPr>
        <w:t>O2O</w:t>
      </w:r>
      <w:r>
        <w:rPr>
          <w:rFonts w:ascii="Times New Roman" w:hAnsi="Times New Roman" w:cs="Times New Roman" w:eastAsia="Times New Roman" w:hint="default"/>
          <w:spacing w:val="-14"/>
        </w:rPr>
        <w:t> </w:t>
      </w:r>
      <w:r>
        <w:rPr/>
        <w:t>做了有益探索。如今，完成互联网零售</w:t>
      </w:r>
    </w:p>
    <w:p>
      <w:pPr>
        <w:spacing w:after="0" w:line="37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6"/>
        <w:ind w:right="1082"/>
        <w:jc w:val="left"/>
      </w:pPr>
      <w:r>
        <w:rPr/>
        <w:t>转型的苏宁已经站在了时代和行业的最前沿。</w:t>
      </w:r>
    </w:p>
    <w:p>
      <w:pPr>
        <w:spacing w:line="240" w:lineRule="auto" w:before="9"/>
        <w:rPr>
          <w:rFonts w:ascii="宋体" w:hAnsi="宋体" w:cs="宋体" w:eastAsia="宋体" w:hint="default"/>
          <w:sz w:val="29"/>
          <w:szCs w:val="29"/>
        </w:rPr>
      </w:pPr>
    </w:p>
    <w:p>
      <w:pPr>
        <w:pStyle w:val="Heading2"/>
        <w:spacing w:line="240" w:lineRule="auto"/>
        <w:ind w:right="1082"/>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82"/>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8150"/>
      </w:tblGrid>
      <w:tr>
        <w:trPr>
          <w:trHeight w:val="186"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264" w:right="0"/>
              <w:jc w:val="left"/>
              <w:rPr>
                <w:rFonts w:ascii="宋体" w:hAnsi="宋体" w:cs="宋体" w:eastAsia="宋体" w:hint="default"/>
                <w:sz w:val="22"/>
                <w:szCs w:val="22"/>
              </w:rPr>
            </w:pPr>
            <w:r>
              <w:rPr>
                <w:rFonts w:ascii="宋体" w:hAnsi="宋体" w:cs="宋体" w:eastAsia="宋体" w:hint="default"/>
                <w:sz w:val="22"/>
                <w:szCs w:val="22"/>
              </w:rPr>
              <w:t>主要资产</w:t>
            </w:r>
          </w:p>
        </w:tc>
        <w:tc>
          <w:tcPr>
            <w:tcW w:w="81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重大变化说明</w:t>
            </w:r>
          </w:p>
        </w:tc>
      </w:tr>
      <w:tr>
        <w:trPr>
          <w:trHeight w:val="186"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股权资产</w:t>
            </w:r>
          </w:p>
        </w:tc>
        <w:tc>
          <w:tcPr>
            <w:tcW w:w="8150" w:type="dxa"/>
            <w:vMerge w:val="restart"/>
            <w:tcBorders>
              <w:top w:val="single" w:sz="4" w:space="0" w:color="000000"/>
              <w:left w:val="single" w:sz="9" w:space="0" w:color="D2D2D2"/>
              <w:right w:val="single" w:sz="4" w:space="0" w:color="000000"/>
            </w:tcBorders>
          </w:tcPr>
          <w:p>
            <w:pPr>
              <w:pStyle w:val="TableParagraph"/>
              <w:spacing w:line="282" w:lineRule="exact"/>
              <w:ind w:left="16"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日，长期股权投资余额较期初减少</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83.68%</w:t>
            </w:r>
            <w:r>
              <w:rPr>
                <w:rFonts w:ascii="宋体" w:hAnsi="宋体" w:cs="宋体" w:eastAsia="宋体" w:hint="default"/>
                <w:sz w:val="22"/>
                <w:szCs w:val="22"/>
              </w:rPr>
              <w:t>，主要由于报告期内</w:t>
            </w:r>
          </w:p>
          <w:p>
            <w:pPr>
              <w:pStyle w:val="TableParagraph"/>
              <w:spacing w:line="244" w:lineRule="auto" w:before="7"/>
              <w:ind w:left="16" w:right="22"/>
              <w:jc w:val="left"/>
              <w:rPr>
                <w:rFonts w:ascii="宋体" w:hAnsi="宋体" w:cs="宋体" w:eastAsia="宋体" w:hint="default"/>
                <w:sz w:val="22"/>
                <w:szCs w:val="22"/>
              </w:rPr>
            </w:pPr>
            <w:r>
              <w:rPr>
                <w:rFonts w:ascii="宋体" w:hAnsi="宋体" w:cs="宋体" w:eastAsia="宋体" w:hint="default"/>
                <w:sz w:val="22"/>
                <w:szCs w:val="22"/>
              </w:rPr>
              <w:t>公司继续收购持有的</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PPTV</w:t>
            </w:r>
            <w:r>
              <w:rPr>
                <w:rFonts w:ascii="Times New Roman" w:hAnsi="Times New Roman" w:cs="Times New Roman" w:eastAsia="Times New Roman" w:hint="default"/>
                <w:spacing w:val="-15"/>
                <w:sz w:val="22"/>
                <w:szCs w:val="22"/>
              </w:rPr>
              <w:t> </w:t>
            </w:r>
            <w:r>
              <w:rPr>
                <w:rFonts w:ascii="Times New Roman" w:hAnsi="Times New Roman" w:cs="Times New Roman" w:eastAsia="Times New Roman" w:hint="default"/>
                <w:sz w:val="22"/>
                <w:szCs w:val="22"/>
              </w:rPr>
              <w:t>21.28%</w:t>
            </w:r>
            <w:r>
              <w:rPr>
                <w:rFonts w:ascii="宋体" w:hAnsi="宋体" w:cs="宋体" w:eastAsia="宋体" w:hint="default"/>
                <w:sz w:val="22"/>
                <w:szCs w:val="22"/>
              </w:rPr>
              <w:t>股权，完成对</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PPTV</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非同一控制下的企业合并，将</w:t>
            </w:r>
            <w:r>
              <w:rPr>
                <w:rFonts w:ascii="宋体" w:hAnsi="宋体" w:cs="宋体" w:eastAsia="宋体" w:hint="default"/>
                <w:w w:val="99"/>
                <w:sz w:val="22"/>
                <w:szCs w:val="22"/>
              </w:rPr>
              <w:t> </w:t>
            </w:r>
            <w:r>
              <w:rPr>
                <w:rFonts w:ascii="宋体" w:hAnsi="宋体" w:cs="宋体" w:eastAsia="宋体" w:hint="default"/>
                <w:sz w:val="22"/>
                <w:szCs w:val="22"/>
              </w:rPr>
              <w:t>其由联营企业转入子公司核算。</w:t>
            </w:r>
          </w:p>
        </w:tc>
      </w:tr>
      <w:tr>
        <w:trPr>
          <w:trHeight w:val="629"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0" w:type="dxa"/>
            <w:vMerge/>
            <w:tcBorders>
              <w:left w:val="single" w:sz="9" w:space="0" w:color="D2D2D2"/>
              <w:bottom w:val="single" w:sz="4" w:space="0" w:color="000000"/>
              <w:right w:val="single" w:sz="4" w:space="0" w:color="000000"/>
            </w:tcBorders>
          </w:tcPr>
          <w:p>
            <w:pP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8150" w:type="dxa"/>
            <w:tcBorders>
              <w:top w:val="single" w:sz="4" w:space="0" w:color="000000"/>
              <w:left w:val="single" w:sz="13" w:space="0" w:color="D2D2D2"/>
              <w:bottom w:val="single" w:sz="4" w:space="0" w:color="000000"/>
              <w:right w:val="single" w:sz="4" w:space="0" w:color="000000"/>
            </w:tcBorders>
          </w:tcPr>
          <w:p>
            <w:pPr>
              <w:pStyle w:val="TableParagraph"/>
              <w:spacing w:line="283" w:lineRule="exact"/>
              <w:ind w:left="10"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日，固定资产余额较期初增加</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9.03%</w:t>
            </w:r>
            <w:r>
              <w:rPr>
                <w:rFonts w:ascii="宋体" w:hAnsi="宋体" w:cs="宋体" w:eastAsia="宋体" w:hint="default"/>
                <w:sz w:val="22"/>
                <w:szCs w:val="22"/>
              </w:rPr>
              <w:t>，未发生重大变化。</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8150"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10"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日，无形资产余额较期初增加</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1.83%</w:t>
            </w:r>
            <w:r>
              <w:rPr>
                <w:rFonts w:ascii="宋体" w:hAnsi="宋体" w:cs="宋体" w:eastAsia="宋体" w:hint="default"/>
                <w:sz w:val="22"/>
                <w:szCs w:val="22"/>
              </w:rPr>
              <w:t>，未发生重大变化。</w:t>
            </w:r>
          </w:p>
        </w:tc>
      </w:tr>
      <w:tr>
        <w:trPr>
          <w:trHeight w:val="317"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8150" w:type="dxa"/>
            <w:vMerge w:val="restart"/>
            <w:tcBorders>
              <w:top w:val="single" w:sz="4" w:space="0" w:color="000000"/>
              <w:left w:val="single" w:sz="9" w:space="0" w:color="D2D2D2"/>
              <w:right w:val="single" w:sz="4" w:space="0" w:color="000000"/>
            </w:tcBorders>
          </w:tcPr>
          <w:p>
            <w:pPr>
              <w:pStyle w:val="TableParagraph"/>
              <w:spacing w:line="282" w:lineRule="exact"/>
              <w:ind w:left="16"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日，在建工程余额较期初减少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40.72%</w:t>
            </w:r>
            <w:r>
              <w:rPr>
                <w:rFonts w:ascii="宋体" w:hAnsi="宋体" w:cs="宋体" w:eastAsia="宋体" w:hint="default"/>
                <w:sz w:val="22"/>
                <w:szCs w:val="22"/>
              </w:rPr>
              <w:t>，主要由于报告期内公司</w:t>
            </w:r>
          </w:p>
          <w:p>
            <w:pPr>
              <w:pStyle w:val="TableParagraph"/>
              <w:spacing w:line="240" w:lineRule="auto" w:before="7"/>
              <w:ind w:left="16" w:right="0"/>
              <w:jc w:val="left"/>
              <w:rPr>
                <w:rFonts w:ascii="宋体" w:hAnsi="宋体" w:cs="宋体" w:eastAsia="宋体" w:hint="default"/>
                <w:sz w:val="22"/>
                <w:szCs w:val="22"/>
              </w:rPr>
            </w:pPr>
            <w:r>
              <w:rPr>
                <w:rFonts w:ascii="宋体" w:hAnsi="宋体" w:cs="宋体" w:eastAsia="宋体" w:hint="default"/>
                <w:sz w:val="22"/>
                <w:szCs w:val="22"/>
              </w:rPr>
              <w:t>物流基地、自建店转固。</w:t>
            </w:r>
          </w:p>
        </w:tc>
      </w:tr>
      <w:tr>
        <w:trPr>
          <w:trHeight w:val="318"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0" w:type="dxa"/>
            <w:vMerge/>
            <w:tcBorders>
              <w:left w:val="single" w:sz="9" w:space="0" w:color="D2D2D2"/>
              <w:bottom w:val="single" w:sz="4" w:space="0" w:color="000000"/>
              <w:right w:val="single" w:sz="4" w:space="0" w:color="000000"/>
            </w:tcBorders>
          </w:tcPr>
          <w:p>
            <w:pPr/>
          </w:p>
        </w:tc>
      </w:tr>
    </w:tbl>
    <w:p>
      <w:pPr>
        <w:spacing w:line="240" w:lineRule="auto" w:before="11"/>
        <w:rPr>
          <w:rFonts w:ascii="宋体" w:hAnsi="宋体" w:cs="宋体" w:eastAsia="宋体" w:hint="default"/>
          <w:b/>
          <w:bCs/>
          <w:sz w:val="18"/>
          <w:szCs w:val="18"/>
        </w:rPr>
      </w:pPr>
    </w:p>
    <w:p>
      <w:pPr>
        <w:pStyle w:val="Heading4"/>
        <w:spacing w:line="240" w:lineRule="auto" w:before="31"/>
        <w:ind w:left="154" w:right="1082"/>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1"/>
        <w:rPr>
          <w:rFonts w:ascii="宋体" w:hAnsi="宋体" w:cs="宋体" w:eastAsia="宋体" w:hint="default"/>
          <w:b/>
          <w:bCs/>
          <w:sz w:val="19"/>
          <w:szCs w:val="19"/>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单位：千元</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062"/>
        <w:gridCol w:w="922"/>
        <w:gridCol w:w="992"/>
        <w:gridCol w:w="1278"/>
        <w:gridCol w:w="1065"/>
        <w:gridCol w:w="1062"/>
        <w:gridCol w:w="1061"/>
      </w:tblGrid>
      <w:tr>
        <w:trPr>
          <w:trHeight w:val="115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412" w:right="82" w:hanging="330"/>
              <w:jc w:val="left"/>
              <w:rPr>
                <w:rFonts w:ascii="宋体" w:hAnsi="宋体" w:cs="宋体" w:eastAsia="宋体" w:hint="default"/>
                <w:sz w:val="22"/>
                <w:szCs w:val="22"/>
              </w:rPr>
            </w:pPr>
            <w:r>
              <w:rPr>
                <w:rFonts w:ascii="宋体" w:hAnsi="宋体" w:cs="宋体" w:eastAsia="宋体" w:hint="default"/>
                <w:sz w:val="22"/>
                <w:szCs w:val="22"/>
              </w:rPr>
              <w:t>资产的具体</w:t>
            </w:r>
            <w:r>
              <w:rPr>
                <w:rFonts w:ascii="宋体" w:hAnsi="宋体" w:cs="宋体" w:eastAsia="宋体" w:hint="default"/>
                <w:w w:val="99"/>
                <w:sz w:val="22"/>
                <w:szCs w:val="22"/>
              </w:rPr>
              <w:t> </w:t>
            </w:r>
            <w:r>
              <w:rPr>
                <w:rFonts w:ascii="宋体" w:hAnsi="宋体" w:cs="宋体" w:eastAsia="宋体" w:hint="default"/>
                <w:sz w:val="22"/>
                <w:szCs w:val="22"/>
              </w:rPr>
              <w:t>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311" w:right="90" w:hanging="221"/>
              <w:jc w:val="left"/>
              <w:rPr>
                <w:rFonts w:ascii="宋体" w:hAnsi="宋体" w:cs="宋体" w:eastAsia="宋体" w:hint="default"/>
                <w:sz w:val="22"/>
                <w:szCs w:val="22"/>
              </w:rPr>
            </w:pPr>
            <w:r>
              <w:rPr>
                <w:rFonts w:ascii="宋体" w:hAnsi="宋体" w:cs="宋体" w:eastAsia="宋体" w:hint="default"/>
                <w:sz w:val="22"/>
                <w:szCs w:val="22"/>
              </w:rPr>
              <w:t>形成原</w:t>
            </w:r>
            <w:r>
              <w:rPr>
                <w:rFonts w:ascii="宋体" w:hAnsi="宋体" w:cs="宋体" w:eastAsia="宋体" w:hint="default"/>
                <w:w w:val="99"/>
                <w:sz w:val="22"/>
                <w:szCs w:val="22"/>
              </w:rPr>
              <w:t> </w:t>
            </w:r>
            <w:r>
              <w:rPr>
                <w:rFonts w:ascii="宋体" w:hAnsi="宋体" w:cs="宋体" w:eastAsia="宋体" w:hint="default"/>
                <w:sz w:val="22"/>
                <w:szCs w:val="22"/>
              </w:rPr>
              <w:t>因</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w:t>
            </w:r>
          </w:p>
          <w:p>
            <w:pPr>
              <w:pStyle w:val="TableParagraph"/>
              <w:spacing w:line="286" w:lineRule="exact" w:before="18"/>
              <w:ind w:left="22" w:right="20"/>
              <w:jc w:val="center"/>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日净资产</w:t>
            </w:r>
            <w:r>
              <w:rPr>
                <w:rFonts w:ascii="宋体" w:hAnsi="宋体" w:cs="宋体" w:eastAsia="宋体" w:hint="default"/>
                <w:w w:val="99"/>
                <w:sz w:val="22"/>
                <w:szCs w:val="22"/>
              </w:rPr>
              <w:t> </w:t>
            </w:r>
            <w:r>
              <w:rPr>
                <w:rFonts w:ascii="宋体" w:hAnsi="宋体" w:cs="宋体" w:eastAsia="宋体" w:hint="default"/>
                <w:sz w:val="22"/>
                <w:szCs w:val="22"/>
              </w:rPr>
              <w:t>规模</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26" w:right="0"/>
              <w:jc w:val="left"/>
              <w:rPr>
                <w:rFonts w:ascii="宋体" w:hAnsi="宋体" w:cs="宋体" w:eastAsia="宋体" w:hint="default"/>
                <w:sz w:val="22"/>
                <w:szCs w:val="22"/>
              </w:rPr>
            </w:pPr>
            <w:r>
              <w:rPr>
                <w:rFonts w:ascii="宋体" w:hAnsi="宋体" w:cs="宋体" w:eastAsia="宋体" w:hint="default"/>
                <w:sz w:val="22"/>
                <w:szCs w:val="22"/>
              </w:rPr>
              <w:t>所在地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50" w:right="0"/>
              <w:jc w:val="left"/>
              <w:rPr>
                <w:rFonts w:ascii="宋体" w:hAnsi="宋体" w:cs="宋体" w:eastAsia="宋体" w:hint="default"/>
                <w:sz w:val="22"/>
                <w:szCs w:val="22"/>
              </w:rPr>
            </w:pPr>
            <w:r>
              <w:rPr>
                <w:rFonts w:ascii="宋体" w:hAnsi="宋体" w:cs="宋体" w:eastAsia="宋体" w:hint="default"/>
                <w:sz w:val="22"/>
                <w:szCs w:val="22"/>
              </w:rPr>
              <w:t>运营模式</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9"/>
              <w:ind w:left="84" w:right="83"/>
              <w:jc w:val="center"/>
              <w:rPr>
                <w:rFonts w:ascii="宋体" w:hAnsi="宋体" w:cs="宋体" w:eastAsia="宋体" w:hint="default"/>
                <w:sz w:val="22"/>
                <w:szCs w:val="22"/>
              </w:rPr>
            </w:pPr>
            <w:r>
              <w:rPr>
                <w:rFonts w:ascii="宋体" w:hAnsi="宋体" w:cs="宋体" w:eastAsia="宋体" w:hint="default"/>
                <w:sz w:val="22"/>
                <w:szCs w:val="22"/>
              </w:rPr>
              <w:t>保障资产安</w:t>
            </w:r>
            <w:r>
              <w:rPr>
                <w:rFonts w:ascii="宋体" w:hAnsi="宋体" w:cs="宋体" w:eastAsia="宋体" w:hint="default"/>
                <w:w w:val="99"/>
                <w:sz w:val="22"/>
                <w:szCs w:val="22"/>
              </w:rPr>
              <w:t> </w:t>
            </w:r>
            <w:r>
              <w:rPr>
                <w:rFonts w:ascii="宋体" w:hAnsi="宋体" w:cs="宋体" w:eastAsia="宋体" w:hint="default"/>
                <w:sz w:val="22"/>
                <w:szCs w:val="22"/>
              </w:rPr>
              <w:t>全性的控制</w:t>
            </w:r>
            <w:r>
              <w:rPr>
                <w:rFonts w:ascii="宋体" w:hAnsi="宋体" w:cs="宋体" w:eastAsia="宋体" w:hint="default"/>
                <w:w w:val="99"/>
                <w:sz w:val="22"/>
                <w:szCs w:val="22"/>
              </w:rPr>
              <w:t> </w:t>
            </w:r>
            <w:r>
              <w:rPr>
                <w:rFonts w:ascii="宋体" w:hAnsi="宋体" w:cs="宋体" w:eastAsia="宋体" w:hint="default"/>
                <w:sz w:val="22"/>
                <w:szCs w:val="22"/>
              </w:rPr>
              <w:t>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87" w:right="58" w:hanging="28"/>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w:t>
            </w:r>
            <w:r>
              <w:rPr>
                <w:rFonts w:ascii="宋体" w:hAnsi="宋体" w:cs="宋体" w:eastAsia="宋体" w:hint="default"/>
                <w:w w:val="99"/>
                <w:sz w:val="22"/>
                <w:szCs w:val="22"/>
              </w:rPr>
              <w:t> </w:t>
            </w:r>
            <w:r>
              <w:rPr>
                <w:rFonts w:ascii="宋体" w:hAnsi="宋体" w:cs="宋体" w:eastAsia="宋体" w:hint="default"/>
                <w:sz w:val="22"/>
                <w:szCs w:val="22"/>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境外资产</w:t>
            </w:r>
          </w:p>
          <w:p>
            <w:pPr>
              <w:pStyle w:val="TableParagraph"/>
              <w:spacing w:line="286" w:lineRule="exact" w:before="27"/>
              <w:ind w:left="85" w:right="86"/>
              <w:jc w:val="center"/>
              <w:rPr>
                <w:rFonts w:ascii="宋体" w:hAnsi="宋体" w:cs="宋体" w:eastAsia="宋体" w:hint="default"/>
                <w:sz w:val="22"/>
                <w:szCs w:val="22"/>
              </w:rPr>
            </w:pPr>
            <w:r>
              <w:rPr>
                <w:rFonts w:ascii="宋体" w:hAnsi="宋体" w:cs="宋体" w:eastAsia="宋体" w:hint="default"/>
                <w:sz w:val="22"/>
                <w:szCs w:val="22"/>
              </w:rPr>
              <w:t>占公司净</w:t>
            </w:r>
            <w:r>
              <w:rPr>
                <w:rFonts w:ascii="宋体" w:hAnsi="宋体" w:cs="宋体" w:eastAsia="宋体" w:hint="default"/>
                <w:w w:val="99"/>
                <w:sz w:val="22"/>
                <w:szCs w:val="22"/>
              </w:rPr>
              <w:t> </w:t>
            </w:r>
            <w:r>
              <w:rPr>
                <w:rFonts w:ascii="宋体" w:hAnsi="宋体" w:cs="宋体" w:eastAsia="宋体" w:hint="default"/>
                <w:sz w:val="22"/>
                <w:szCs w:val="22"/>
              </w:rPr>
              <w:t>资产的比</w:t>
            </w:r>
            <w:r>
              <w:rPr>
                <w:rFonts w:ascii="宋体" w:hAnsi="宋体" w:cs="宋体" w:eastAsia="宋体" w:hint="default"/>
                <w:w w:val="99"/>
                <w:sz w:val="22"/>
                <w:szCs w:val="22"/>
              </w:rPr>
              <w:t> </w:t>
            </w:r>
            <w:r>
              <w:rPr>
                <w:rFonts w:ascii="宋体" w:hAnsi="宋体" w:cs="宋体" w:eastAsia="宋体" w:hint="default"/>
                <w:sz w:val="22"/>
                <w:szCs w:val="22"/>
              </w:rPr>
              <w:t>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9"/>
              <w:ind w:left="85" w:right="85"/>
              <w:jc w:val="center"/>
              <w:rPr>
                <w:rFonts w:ascii="宋体" w:hAnsi="宋体" w:cs="宋体" w:eastAsia="宋体" w:hint="default"/>
                <w:sz w:val="22"/>
                <w:szCs w:val="22"/>
              </w:rPr>
            </w:pPr>
            <w:r>
              <w:rPr>
                <w:rFonts w:ascii="宋体" w:hAnsi="宋体" w:cs="宋体" w:eastAsia="宋体" w:hint="default"/>
                <w:sz w:val="22"/>
                <w:szCs w:val="22"/>
              </w:rPr>
              <w:t>是否存在</w:t>
            </w:r>
            <w:r>
              <w:rPr>
                <w:rFonts w:ascii="宋体" w:hAnsi="宋体" w:cs="宋体" w:eastAsia="宋体" w:hint="default"/>
                <w:w w:val="99"/>
                <w:sz w:val="22"/>
                <w:szCs w:val="22"/>
              </w:rPr>
              <w:t> </w:t>
            </w:r>
            <w:r>
              <w:rPr>
                <w:rFonts w:ascii="宋体" w:hAnsi="宋体" w:cs="宋体" w:eastAsia="宋体" w:hint="default"/>
                <w:sz w:val="22"/>
                <w:szCs w:val="22"/>
              </w:rPr>
              <w:t>重大减值</w:t>
            </w:r>
            <w:r>
              <w:rPr>
                <w:rFonts w:ascii="宋体" w:hAnsi="宋体" w:cs="宋体" w:eastAsia="宋体" w:hint="default"/>
                <w:w w:val="99"/>
                <w:sz w:val="22"/>
                <w:szCs w:val="22"/>
              </w:rPr>
              <w:t> </w:t>
            </w:r>
            <w:r>
              <w:rPr>
                <w:rFonts w:ascii="宋体" w:hAnsi="宋体" w:cs="宋体" w:eastAsia="宋体" w:hint="default"/>
                <w:sz w:val="22"/>
                <w:szCs w:val="22"/>
              </w:rPr>
              <w:t>风险</w:t>
            </w:r>
          </w:p>
        </w:tc>
      </w:tr>
      <w:tr>
        <w:trPr>
          <w:trHeight w:val="58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pacing w:val="15"/>
                <w:sz w:val="22"/>
                <w:szCs w:val="22"/>
              </w:rPr>
              <w:t>日本</w:t>
            </w:r>
            <w:r>
              <w:rPr>
                <w:rFonts w:ascii="宋体" w:hAnsi="宋体" w:cs="宋体" w:eastAsia="宋体" w:hint="default"/>
                <w:spacing w:val="27"/>
                <w:sz w:val="22"/>
                <w:szCs w:val="22"/>
              </w:rPr>
              <w:t> </w:t>
            </w:r>
            <w:r>
              <w:rPr>
                <w:rFonts w:ascii="Times New Roman" w:hAnsi="Times New Roman" w:cs="Times New Roman" w:eastAsia="Times New Roman" w:hint="default"/>
                <w:sz w:val="22"/>
                <w:szCs w:val="22"/>
              </w:rPr>
              <w:t>LAOX</w:t>
            </w:r>
          </w:p>
          <w:p>
            <w:pPr>
              <w:pStyle w:val="TableParagraph"/>
              <w:spacing w:line="278" w:lineRule="exact"/>
              <w:ind w:left="22" w:right="0"/>
              <w:jc w:val="left"/>
              <w:rPr>
                <w:rFonts w:ascii="宋体" w:hAnsi="宋体" w:cs="宋体" w:eastAsia="宋体" w:hint="default"/>
                <w:sz w:val="22"/>
                <w:szCs w:val="22"/>
              </w:rPr>
            </w:pPr>
            <w:r>
              <w:rPr>
                <w:rFonts w:ascii="宋体" w:hAnsi="宋体" w:cs="宋体" w:eastAsia="宋体" w:hint="default"/>
                <w:sz w:val="22"/>
                <w:szCs w:val="22"/>
              </w:rPr>
              <w:t>株式会社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2"/>
                <w:szCs w:val="22"/>
              </w:rPr>
            </w:pPr>
            <w:r>
              <w:rPr>
                <w:rFonts w:ascii="宋体" w:hAnsi="宋体" w:cs="宋体" w:eastAsia="宋体" w:hint="default"/>
                <w:sz w:val="22"/>
                <w:szCs w:val="22"/>
              </w:rPr>
              <w:t>收购</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2,770,573</w:t>
            </w:r>
            <w:r>
              <w:rPr>
                <w:rFonts w:ascii="Times New Roman"/>
                <w:sz w:val="22"/>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2"/>
                <w:szCs w:val="22"/>
              </w:rPr>
            </w:pPr>
            <w:r>
              <w:rPr>
                <w:rFonts w:ascii="宋体" w:hAnsi="宋体" w:cs="宋体" w:eastAsia="宋体" w:hint="default"/>
                <w:sz w:val="22"/>
                <w:szCs w:val="22"/>
              </w:rPr>
              <w:t>日本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连锁零售</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4,483,997</w:t>
            </w:r>
            <w:r>
              <w:rPr>
                <w:rFonts w:ascii="Times New Roman"/>
                <w:sz w:val="22"/>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9.09%</w:t>
            </w:r>
            <w:r>
              <w:rPr>
                <w:rFonts w:ascii="Times New Roman"/>
                <w:sz w:val="22"/>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29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香港苏宁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2"/>
                <w:szCs w:val="22"/>
              </w:rPr>
            </w:pPr>
            <w:r>
              <w:rPr>
                <w:rFonts w:ascii="宋体" w:hAnsi="宋体" w:cs="宋体" w:eastAsia="宋体" w:hint="default"/>
                <w:sz w:val="22"/>
                <w:szCs w:val="22"/>
              </w:rPr>
              <w:t>收购</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1,242,442</w:t>
            </w:r>
            <w:r>
              <w:rPr>
                <w:rFonts w:ascii="Times New Roman"/>
                <w:sz w:val="22"/>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2"/>
                <w:szCs w:val="22"/>
              </w:rPr>
            </w:pPr>
            <w:r>
              <w:rPr>
                <w:rFonts w:ascii="宋体" w:hAnsi="宋体" w:cs="宋体" w:eastAsia="宋体" w:hint="default"/>
                <w:sz w:val="22"/>
                <w:szCs w:val="22"/>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连锁零售</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Times New Roman" w:hAnsi="Times New Roman" w:cs="Times New Roman" w:eastAsia="Times New Roman" w:hint="default"/>
                <w:sz w:val="22"/>
                <w:szCs w:val="22"/>
              </w:rPr>
            </w:pPr>
            <w:r>
              <w:rPr>
                <w:rFonts w:ascii="Times New Roman"/>
                <w:w w:val="95"/>
                <w:sz w:val="22"/>
              </w:rPr>
              <w:t>7,337,512</w:t>
            </w:r>
            <w:r>
              <w:rPr>
                <w:rFonts w:ascii="Times New Roman"/>
                <w:sz w:val="22"/>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4.08%</w:t>
            </w:r>
            <w:r>
              <w:rPr>
                <w:rFonts w:ascii="Times New Roman"/>
                <w:sz w:val="22"/>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2579"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31"/>
                <w:szCs w:val="31"/>
              </w:rPr>
            </w:pPr>
          </w:p>
          <w:p>
            <w:pPr>
              <w:pStyle w:val="TableParagraph"/>
              <w:spacing w:line="286" w:lineRule="exact"/>
              <w:ind w:left="22" w:right="142"/>
              <w:jc w:val="left"/>
              <w:rPr>
                <w:rFonts w:ascii="宋体" w:hAnsi="宋体" w:cs="宋体" w:eastAsia="宋体" w:hint="default"/>
                <w:sz w:val="22"/>
                <w:szCs w:val="22"/>
              </w:rPr>
            </w:pPr>
            <w:r>
              <w:rPr>
                <w:rFonts w:ascii="宋体" w:hAnsi="宋体" w:cs="宋体" w:eastAsia="宋体" w:hint="default"/>
                <w:sz w:val="22"/>
                <w:szCs w:val="22"/>
              </w:rPr>
              <w:t>其他情况说</w:t>
            </w:r>
            <w:r>
              <w:rPr>
                <w:rFonts w:ascii="宋体" w:hAnsi="宋体" w:cs="宋体" w:eastAsia="宋体" w:hint="default"/>
                <w:w w:val="99"/>
                <w:sz w:val="22"/>
                <w:szCs w:val="22"/>
              </w:rPr>
              <w:t> </w:t>
            </w:r>
            <w:r>
              <w:rPr>
                <w:rFonts w:ascii="宋体" w:hAnsi="宋体" w:cs="宋体" w:eastAsia="宋体" w:hint="default"/>
                <w:sz w:val="22"/>
                <w:szCs w:val="22"/>
              </w:rPr>
              <w:t>明</w:t>
            </w:r>
          </w:p>
        </w:tc>
        <w:tc>
          <w:tcPr>
            <w:tcW w:w="82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7"/>
                <w:sz w:val="22"/>
                <w:szCs w:val="22"/>
              </w:rPr>
              <w:t>1</w:t>
            </w:r>
            <w:r>
              <w:rPr>
                <w:rFonts w:ascii="宋体" w:hAnsi="宋体" w:cs="宋体" w:eastAsia="宋体" w:hint="default"/>
                <w:spacing w:val="-7"/>
                <w:sz w:val="22"/>
                <w:szCs w:val="22"/>
              </w:rPr>
              <w:t>、日本</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LAOX</w:t>
            </w:r>
            <w:r>
              <w:rPr>
                <w:rFonts w:ascii="Times New Roman" w:hAnsi="Times New Roman" w:cs="Times New Roman" w:eastAsia="Times New Roman" w:hint="default"/>
                <w:spacing w:val="-29"/>
                <w:sz w:val="22"/>
                <w:szCs w:val="22"/>
              </w:rPr>
              <w:t> </w:t>
            </w:r>
            <w:r>
              <w:rPr>
                <w:rFonts w:ascii="宋体" w:hAnsi="宋体" w:cs="宋体" w:eastAsia="宋体" w:hint="default"/>
                <w:sz w:val="22"/>
                <w:szCs w:val="22"/>
              </w:rPr>
              <w:t>株式会社为公司控股子公司，主要从事免税商品的连锁零售业务，</w:t>
            </w:r>
            <w:r>
              <w:rPr>
                <w:rFonts w:ascii="Times New Roman" w:hAnsi="Times New Roman" w:cs="Times New Roman" w:eastAsia="Times New Roman" w:hint="default"/>
                <w:sz w:val="22"/>
                <w:szCs w:val="22"/>
              </w:rPr>
              <w:t>2015</w:t>
            </w:r>
          </w:p>
          <w:p>
            <w:pPr>
              <w:pStyle w:val="TableParagraph"/>
              <w:spacing w:line="285" w:lineRule="exact"/>
              <w:ind w:left="23" w:right="0"/>
              <w:jc w:val="left"/>
              <w:rPr>
                <w:rFonts w:ascii="宋体" w:hAnsi="宋体" w:cs="宋体" w:eastAsia="宋体" w:hint="default"/>
                <w:sz w:val="22"/>
                <w:szCs w:val="22"/>
              </w:rPr>
            </w:pPr>
            <w:r>
              <w:rPr>
                <w:rFonts w:ascii="宋体" w:hAnsi="宋体" w:cs="宋体" w:eastAsia="宋体" w:hint="default"/>
                <w:sz w:val="22"/>
                <w:szCs w:val="22"/>
              </w:rPr>
              <w:t>年日本地区实现销售收入</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44.84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亿元；</w:t>
            </w:r>
          </w:p>
          <w:p>
            <w:pPr>
              <w:pStyle w:val="TableParagraph"/>
              <w:spacing w:line="286" w:lineRule="exact" w:before="18"/>
              <w:ind w:left="23" w:right="21"/>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、香港地区公司拥有</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家子公司，主要从事商品的连锁零售、广告业务，澳门地区拥</w:t>
            </w:r>
            <w:r>
              <w:rPr>
                <w:rFonts w:ascii="宋体" w:hAnsi="宋体" w:cs="宋体" w:eastAsia="宋体" w:hint="default"/>
                <w:w w:val="99"/>
                <w:sz w:val="22"/>
                <w:szCs w:val="22"/>
              </w:rPr>
              <w:t> </w:t>
            </w:r>
            <w:r>
              <w:rPr>
                <w:rFonts w:ascii="宋体" w:hAnsi="宋体" w:cs="宋体" w:eastAsia="宋体" w:hint="default"/>
                <w:sz w:val="22"/>
                <w:szCs w:val="22"/>
              </w:rPr>
              <w:t>有</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家子公司，主要从事商品的连锁零售，</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年香港地区</w:t>
            </w:r>
            <w:r>
              <w:rPr>
                <w:rFonts w:ascii="Times New Roman" w:hAnsi="Times New Roman" w:cs="Times New Roman" w:eastAsia="Times New Roman" w:hint="default"/>
                <w:sz w:val="22"/>
                <w:szCs w:val="22"/>
              </w:rPr>
              <w:t>/</w:t>
            </w:r>
            <w:r>
              <w:rPr>
                <w:rFonts w:ascii="宋体" w:hAnsi="宋体" w:cs="宋体" w:eastAsia="宋体" w:hint="default"/>
                <w:sz w:val="22"/>
                <w:szCs w:val="22"/>
              </w:rPr>
              <w:t>澳门地区实现销售收入</w:t>
            </w:r>
          </w:p>
          <w:p>
            <w:pPr>
              <w:pStyle w:val="TableParagraph"/>
              <w:spacing w:line="266" w:lineRule="exact"/>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73.38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亿元；</w:t>
            </w:r>
          </w:p>
          <w:p>
            <w:pPr>
              <w:pStyle w:val="TableParagraph"/>
              <w:spacing w:line="286" w:lineRule="exact" w:before="18"/>
              <w:ind w:left="23" w:right="21"/>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、公司在美国硅谷设立研究院，主要从事云计算、大数据等</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研发；</w:t>
            </w:r>
            <w:r>
              <w:rPr>
                <w:rFonts w:ascii="宋体" w:hAnsi="宋体" w:cs="宋体" w:eastAsia="宋体" w:hint="default"/>
                <w:w w:val="99"/>
                <w:sz w:val="22"/>
                <w:szCs w:val="22"/>
              </w:rPr>
              <w:t> </w:t>
            </w:r>
            <w:r>
              <w:rPr>
                <w:rFonts w:ascii="Times New Roman" w:hAnsi="Times New Roman" w:cs="Times New Roman" w:eastAsia="Times New Roman" w:hint="default"/>
                <w:spacing w:val="-10"/>
                <w:w w:val="99"/>
                <w:sz w:val="22"/>
                <w:szCs w:val="22"/>
              </w:rPr>
              <w:t>4</w:t>
            </w:r>
            <w:r>
              <w:rPr>
                <w:rFonts w:ascii="宋体" w:hAnsi="宋体" w:cs="宋体" w:eastAsia="宋体" w:hint="default"/>
                <w:spacing w:val="-10"/>
                <w:w w:val="99"/>
                <w:sz w:val="22"/>
                <w:szCs w:val="22"/>
              </w:rPr>
              <w:t>、公司因开展业务投资、并购，在开曼群岛设立</w:t>
            </w:r>
            <w:r>
              <w:rPr>
                <w:rFonts w:ascii="Times New Roman" w:hAnsi="Times New Roman" w:cs="Times New Roman" w:eastAsia="Times New Roman" w:hint="default"/>
                <w:spacing w:val="-10"/>
                <w:w w:val="99"/>
                <w:sz w:val="22"/>
                <w:szCs w:val="22"/>
              </w:rPr>
              <w:t>/</w:t>
            </w:r>
            <w:r>
              <w:rPr>
                <w:rFonts w:ascii="宋体" w:hAnsi="宋体" w:cs="宋体" w:eastAsia="宋体" w:hint="default"/>
                <w:spacing w:val="-10"/>
                <w:w w:val="99"/>
                <w:sz w:val="22"/>
                <w:szCs w:val="22"/>
              </w:rPr>
              <w:t>获取公司包括</w:t>
            </w:r>
            <w:r>
              <w:rPr>
                <w:rFonts w:ascii="宋体" w:hAnsi="宋体" w:cs="宋体" w:eastAsia="宋体" w:hint="default"/>
                <w:spacing w:val="-45"/>
                <w:w w:val="99"/>
                <w:sz w:val="22"/>
                <w:szCs w:val="22"/>
              </w:rPr>
              <w:t> </w:t>
            </w:r>
            <w:r>
              <w:rPr>
                <w:rFonts w:ascii="Times New Roman" w:hAnsi="Times New Roman" w:cs="Times New Roman" w:eastAsia="Times New Roman" w:hint="default"/>
                <w:spacing w:val="-1"/>
                <w:w w:val="99"/>
                <w:sz w:val="22"/>
                <w:szCs w:val="22"/>
              </w:rPr>
              <w:t>Great</w:t>
            </w:r>
            <w:r>
              <w:rPr>
                <w:rFonts w:ascii="Times New Roman" w:hAnsi="Times New Roman" w:cs="Times New Roman" w:eastAsia="Times New Roman" w:hint="default"/>
                <w:spacing w:val="6"/>
                <w:w w:val="99"/>
                <w:sz w:val="22"/>
                <w:szCs w:val="22"/>
              </w:rPr>
              <w:t> </w:t>
            </w:r>
            <w:r>
              <w:rPr>
                <w:rFonts w:ascii="Times New Roman" w:hAnsi="Times New Roman" w:cs="Times New Roman" w:eastAsia="Times New Roman" w:hint="default"/>
                <w:w w:val="99"/>
                <w:sz w:val="22"/>
                <w:szCs w:val="22"/>
              </w:rPr>
              <w:t>Elite</w:t>
            </w:r>
            <w:r>
              <w:rPr>
                <w:rFonts w:ascii="Times New Roman" w:hAnsi="Times New Roman" w:cs="Times New Roman" w:eastAsia="Times New Roman" w:hint="default"/>
                <w:spacing w:val="6"/>
                <w:w w:val="99"/>
                <w:sz w:val="22"/>
                <w:szCs w:val="22"/>
              </w:rPr>
              <w:t> </w:t>
            </w:r>
            <w:r>
              <w:rPr>
                <w:rFonts w:ascii="Times New Roman" w:hAnsi="Times New Roman" w:cs="Times New Roman" w:eastAsia="Times New Roman" w:hint="default"/>
                <w:spacing w:val="-8"/>
                <w:w w:val="99"/>
                <w:sz w:val="22"/>
                <w:szCs w:val="22"/>
              </w:rPr>
              <w:t>Limited</w:t>
            </w:r>
            <w:r>
              <w:rPr>
                <w:rFonts w:ascii="宋体" w:hAnsi="宋体" w:cs="宋体" w:eastAsia="宋体" w:hint="default"/>
                <w:spacing w:val="-8"/>
                <w:w w:val="99"/>
                <w:sz w:val="22"/>
                <w:szCs w:val="22"/>
              </w:rPr>
              <w:t>、</w:t>
            </w:r>
            <w:r>
              <w:rPr>
                <w:rFonts w:ascii="Times New Roman" w:hAnsi="Times New Roman" w:cs="Times New Roman" w:eastAsia="Times New Roman" w:hint="default"/>
                <w:spacing w:val="-8"/>
                <w:w w:val="99"/>
                <w:sz w:val="22"/>
                <w:szCs w:val="22"/>
              </w:rPr>
              <w:t>Shiny</w:t>
            </w:r>
            <w:r>
              <w:rPr>
                <w:rFonts w:ascii="Times New Roman" w:hAnsi="Times New Roman" w:cs="Times New Roman" w:eastAsia="Times New Roman" w:hint="default"/>
                <w:spacing w:val="-52"/>
                <w:w w:val="99"/>
                <w:sz w:val="22"/>
                <w:szCs w:val="22"/>
              </w:rPr>
              <w:t> </w:t>
            </w:r>
            <w:r>
              <w:rPr>
                <w:rFonts w:ascii="Times New Roman" w:hAnsi="Times New Roman" w:cs="Times New Roman" w:eastAsia="Times New Roman" w:hint="default"/>
                <w:spacing w:val="-52"/>
                <w:w w:val="99"/>
                <w:sz w:val="22"/>
                <w:szCs w:val="22"/>
              </w:rPr>
            </w:r>
            <w:r>
              <w:rPr>
                <w:rFonts w:ascii="Times New Roman" w:hAnsi="Times New Roman" w:cs="Times New Roman" w:eastAsia="Times New Roman" w:hint="default"/>
                <w:sz w:val="22"/>
                <w:szCs w:val="22"/>
              </w:rPr>
              <w:t>Lion Limited</w:t>
            </w:r>
            <w:r>
              <w:rPr>
                <w:rFonts w:ascii="宋体" w:hAnsi="宋体" w:cs="宋体" w:eastAsia="宋体" w:hint="default"/>
                <w:sz w:val="22"/>
                <w:szCs w:val="22"/>
              </w:rPr>
              <w:t>、</w:t>
            </w:r>
            <w:r>
              <w:rPr>
                <w:rFonts w:ascii="Times New Roman" w:hAnsi="Times New Roman" w:cs="Times New Roman" w:eastAsia="Times New Roman" w:hint="default"/>
                <w:sz w:val="22"/>
                <w:szCs w:val="22"/>
              </w:rPr>
              <w:t>Great Universe Limited</w:t>
            </w:r>
            <w:r>
              <w:rPr>
                <w:rFonts w:ascii="宋体" w:hAnsi="宋体" w:cs="宋体" w:eastAsia="宋体" w:hint="default"/>
                <w:sz w:val="22"/>
                <w:szCs w:val="22"/>
              </w:rPr>
              <w:t>、</w:t>
            </w:r>
            <w:r>
              <w:rPr>
                <w:rFonts w:ascii="Times New Roman" w:hAnsi="Times New Roman" w:cs="Times New Roman" w:eastAsia="Times New Roman" w:hint="default"/>
                <w:sz w:val="22"/>
                <w:szCs w:val="22"/>
              </w:rPr>
              <w:t>City Elite Limited</w:t>
            </w:r>
            <w:r>
              <w:rPr>
                <w:rFonts w:ascii="宋体" w:hAnsi="宋体" w:cs="宋体" w:eastAsia="宋体" w:hint="default"/>
                <w:sz w:val="22"/>
                <w:szCs w:val="22"/>
              </w:rPr>
              <w:t>、</w:t>
            </w:r>
            <w:r>
              <w:rPr>
                <w:rFonts w:ascii="Times New Roman" w:hAnsi="Times New Roman" w:cs="Times New Roman" w:eastAsia="Times New Roman" w:hint="default"/>
                <w:sz w:val="22"/>
                <w:szCs w:val="22"/>
              </w:rPr>
              <w:t>Granda Magic</w:t>
            </w:r>
            <w:r>
              <w:rPr>
                <w:rFonts w:ascii="Times New Roman" w:hAnsi="Times New Roman" w:cs="Times New Roman" w:eastAsia="Times New Roman" w:hint="default"/>
                <w:spacing w:val="-24"/>
                <w:sz w:val="22"/>
                <w:szCs w:val="22"/>
              </w:rPr>
              <w:t> </w:t>
            </w:r>
            <w:r>
              <w:rPr>
                <w:rFonts w:ascii="Times New Roman" w:hAnsi="Times New Roman" w:cs="Times New Roman" w:eastAsia="Times New Roman" w:hint="default"/>
                <w:sz w:val="22"/>
                <w:szCs w:val="22"/>
              </w:rPr>
              <w:t>Limited</w:t>
            </w:r>
            <w:r>
              <w:rPr>
                <w:rFonts w:ascii="宋体" w:hAnsi="宋体" w:cs="宋体" w:eastAsia="宋体" w:hint="default"/>
                <w:sz w:val="22"/>
                <w:szCs w:val="22"/>
              </w:rPr>
              <w:t>、</w:t>
            </w:r>
            <w:r>
              <w:rPr>
                <w:rFonts w:ascii="Times New Roman" w:hAnsi="Times New Roman" w:cs="Times New Roman" w:eastAsia="Times New Roman" w:hint="default"/>
                <w:sz w:val="22"/>
                <w:szCs w:val="22"/>
              </w:rPr>
              <w:t>Great</w:t>
            </w: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t>Horizon Limited</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境外子公司，主要从事投资业务。</w:t>
            </w:r>
          </w:p>
        </w:tc>
      </w:tr>
    </w:tbl>
    <w:p>
      <w:pPr>
        <w:spacing w:line="240" w:lineRule="auto" w:before="2"/>
        <w:rPr>
          <w:rFonts w:ascii="宋体" w:hAnsi="宋体" w:cs="宋体" w:eastAsia="宋体" w:hint="default"/>
          <w:sz w:val="18"/>
          <w:szCs w:val="18"/>
        </w:rPr>
      </w:pPr>
    </w:p>
    <w:p>
      <w:pPr>
        <w:pStyle w:val="Heading2"/>
        <w:spacing w:line="240" w:lineRule="auto" w:before="26"/>
        <w:ind w:left="154" w:right="1082"/>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left="594" w:right="1082"/>
        <w:jc w:val="left"/>
      </w:pPr>
      <w:r>
        <w:rPr>
          <w:rFonts w:ascii="Times New Roman" w:hAnsi="Times New Roman" w:cs="Times New Roman" w:eastAsia="Times New Roman" w:hint="default"/>
        </w:rPr>
        <w:t>1</w:t>
      </w:r>
      <w:r>
        <w:rPr/>
        <w:t>、全渠道的布局以及全流程的</w:t>
      </w:r>
      <w:r>
        <w:rPr>
          <w:spacing w:val="-59"/>
        </w:rPr>
        <w:t> </w:t>
      </w:r>
      <w:r>
        <w:rPr>
          <w:rFonts w:ascii="Times New Roman" w:hAnsi="Times New Roman" w:cs="Times New Roman" w:eastAsia="Times New Roman" w:hint="default"/>
        </w:rPr>
        <w:t>O2O</w:t>
      </w:r>
      <w:r>
        <w:rPr>
          <w:rFonts w:ascii="Times New Roman" w:hAnsi="Times New Roman" w:cs="Times New Roman" w:eastAsia="Times New Roman" w:hint="default"/>
          <w:spacing w:val="-3"/>
        </w:rPr>
        <w:t> </w:t>
      </w:r>
      <w:r>
        <w:rPr/>
        <w:t>融合带来用户体验的提升</w:t>
      </w:r>
    </w:p>
    <w:p>
      <w:pPr>
        <w:pStyle w:val="BodyText"/>
        <w:spacing w:line="384" w:lineRule="auto" w:before="163"/>
        <w:ind w:right="0" w:firstLine="440"/>
        <w:jc w:val="left"/>
      </w:pPr>
      <w:r>
        <w:rPr/>
        <w:t>苏宁已经形成了覆盖门店</w:t>
      </w:r>
      <w:r>
        <w:rPr>
          <w:spacing w:val="-49"/>
        </w:rPr>
        <w:t> </w:t>
      </w:r>
      <w:r>
        <w:rPr>
          <w:rFonts w:ascii="Times New Roman" w:hAnsi="Times New Roman" w:cs="Times New Roman" w:eastAsia="Times New Roman" w:hint="default"/>
        </w:rPr>
        <w:t>POS</w:t>
      </w:r>
      <w:r>
        <w:rPr>
          <w:rFonts w:ascii="Times New Roman" w:hAnsi="Times New Roman" w:cs="Times New Roman" w:eastAsia="Times New Roman" w:hint="default"/>
          <w:spacing w:val="4"/>
        </w:rPr>
        <w:t> </w:t>
      </w:r>
      <w:r>
        <w:rPr/>
        <w:t>端、</w:t>
      </w:r>
      <w:r>
        <w:rPr>
          <w:rFonts w:ascii="Times New Roman" w:hAnsi="Times New Roman" w:cs="Times New Roman" w:eastAsia="Times New Roman" w:hint="default"/>
        </w:rPr>
        <w:t>PC</w:t>
      </w:r>
      <w:r>
        <w:rPr>
          <w:rFonts w:ascii="Times New Roman" w:hAnsi="Times New Roman" w:cs="Times New Roman" w:eastAsia="Times New Roman" w:hint="default"/>
          <w:spacing w:val="4"/>
        </w:rPr>
        <w:t> </w:t>
      </w:r>
      <w:r>
        <w:rPr/>
        <w:t>端、移动端和</w:t>
      </w:r>
      <w:r>
        <w:rPr>
          <w:spacing w:val="-50"/>
        </w:rPr>
        <w:t> </w:t>
      </w:r>
      <w:r>
        <w:rPr>
          <w:rFonts w:ascii="Times New Roman" w:hAnsi="Times New Roman" w:cs="Times New Roman" w:eastAsia="Times New Roman" w:hint="default"/>
        </w:rPr>
        <w:t>TV</w:t>
      </w:r>
      <w:r>
        <w:rPr>
          <w:rFonts w:ascii="Times New Roman" w:hAnsi="Times New Roman" w:cs="Times New Roman" w:eastAsia="Times New Roman" w:hint="default"/>
          <w:spacing w:val="4"/>
        </w:rPr>
        <w:t> </w:t>
      </w:r>
      <w:r>
        <w:rPr/>
        <w:t>端的全渠道布局，能够满足消费者随时</w:t>
      </w:r>
      <w:r>
        <w:rPr>
          <w:w w:val="99"/>
        </w:rPr>
        <w:t> </w:t>
      </w:r>
      <w:r>
        <w:rPr/>
        <w:t>随地、想购就购的购物需求。同时公司不仅推进门店的互联网化，还在支付结算、仓储配送、咨询服</w:t>
      </w:r>
      <w:r>
        <w:rPr>
          <w:w w:val="99"/>
        </w:rPr>
        <w:t> </w:t>
      </w:r>
      <w:r>
        <w:rPr/>
        <w:t>务等方面打通了线上线下各平台，将店面在体验、服务方面的优势与互联网在信息获取、交易支付、</w:t>
      </w:r>
      <w:r>
        <w:rPr>
          <w:spacing w:val="-75"/>
        </w:rPr>
        <w:t> </w:t>
      </w:r>
      <w:r>
        <w:rPr>
          <w:spacing w:val="-75"/>
        </w:rPr>
      </w:r>
      <w:r>
        <w:rPr/>
        <w:t>互动交流等方面的优势进行无缝结合，致力于为消费者提供贯穿线上线下，包含售前、售中、售后完</w:t>
      </w:r>
    </w:p>
    <w:p>
      <w:pPr>
        <w:spacing w:after="0" w:line="38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6"/>
        <w:ind w:right="0"/>
        <w:jc w:val="both"/>
      </w:pPr>
      <w:r>
        <w:rPr/>
        <w:t>整的体验。</w:t>
      </w:r>
    </w:p>
    <w:p>
      <w:pPr>
        <w:pStyle w:val="BodyText"/>
        <w:spacing w:line="369" w:lineRule="auto" w:before="180"/>
        <w:ind w:left="594" w:right="0"/>
        <w:jc w:val="left"/>
      </w:pPr>
      <w:r>
        <w:rPr/>
        <w:t>线上线下融合的全渠道优势是公司有别于</w:t>
      </w:r>
      <w:r>
        <w:rPr>
          <w:spacing w:val="-54"/>
        </w:rPr>
        <w:t> </w:t>
      </w:r>
      <w:r>
        <w:rPr>
          <w:rFonts w:ascii="Times New Roman" w:hAnsi="Times New Roman" w:cs="Times New Roman" w:eastAsia="Times New Roman" w:hint="default"/>
        </w:rPr>
        <w:t>B2C </w:t>
      </w:r>
      <w:r>
        <w:rPr/>
        <w:t>电商与传统零售的明显特征。</w:t>
      </w:r>
      <w:r>
        <w:rPr>
          <w:w w:val="99"/>
        </w:rPr>
        <w:t> </w:t>
      </w:r>
      <w:r>
        <w:rPr>
          <w:rFonts w:ascii="Times New Roman" w:hAnsi="Times New Roman" w:cs="Times New Roman" w:eastAsia="Times New Roman" w:hint="default"/>
        </w:rPr>
        <w:t>2</w:t>
      </w:r>
      <w:r>
        <w:rPr/>
        <w:t>、商品管理能力提升带来专业化水平、供应链效率与经营附加值提升</w:t>
      </w:r>
      <w:r>
        <w:rPr>
          <w:w w:val="99"/>
        </w:rPr>
        <w:t> </w:t>
      </w:r>
      <w:r>
        <w:rPr/>
        <w:t>多年来公司坚持强化商品研究、商品采购能力，形成了一定的商品管理能力和供应链合作能力。</w:t>
      </w:r>
    </w:p>
    <w:p>
      <w:pPr>
        <w:pStyle w:val="BodyText"/>
        <w:spacing w:line="391" w:lineRule="auto" w:before="61"/>
        <w:ind w:left="154" w:right="1130"/>
        <w:jc w:val="both"/>
      </w:pPr>
      <w:r>
        <w:rPr>
          <w:spacing w:val="-2"/>
        </w:rPr>
        <w:t>在此基础上，苏宁利用互联网的优势，加快开放平台的建设，全面开放苏宁在物流、资金流、信息流</w:t>
      </w:r>
      <w:r>
        <w:rPr>
          <w:spacing w:val="-87"/>
        </w:rPr>
        <w:t> </w:t>
      </w:r>
      <w:r>
        <w:rPr>
          <w:spacing w:val="-87"/>
        </w:rPr>
      </w:r>
      <w:r>
        <w:rPr>
          <w:spacing w:val="-1"/>
        </w:rPr>
        <w:t>方面的核心竞争力，打造以开放经营、增值服务为特点的供应链生态系统，提升全行业的供应链整合</w:t>
      </w:r>
      <w:r>
        <w:rPr>
          <w:w w:val="99"/>
        </w:rPr>
        <w:t> </w:t>
      </w:r>
      <w:r>
        <w:rPr>
          <w:spacing w:val="-1"/>
        </w:rPr>
        <w:t>应用水平。另一方面，公司始终坚持专业化的品类经营策略，细分品类，加强商品研究，形成对每个</w:t>
      </w:r>
      <w:r>
        <w:rPr>
          <w:w w:val="99"/>
        </w:rPr>
        <w:t> </w:t>
      </w:r>
      <w:r>
        <w:rPr>
          <w:spacing w:val="-1"/>
        </w:rPr>
        <w:t>品类的商品管理能力、客户研究能力、市场推广能力与服务保障能力，在开放的基础上形成苏宁自身</w:t>
      </w:r>
      <w:r>
        <w:rPr>
          <w:w w:val="99"/>
        </w:rPr>
        <w:t> </w:t>
      </w:r>
      <w:r>
        <w:rPr/>
        <w:t>的能力。</w:t>
      </w:r>
    </w:p>
    <w:p>
      <w:pPr>
        <w:pStyle w:val="BodyText"/>
        <w:spacing w:line="391" w:lineRule="auto" w:before="41"/>
        <w:ind w:left="154" w:right="1136" w:firstLine="440"/>
        <w:jc w:val="both"/>
      </w:pPr>
      <w:r>
        <w:rPr>
          <w:spacing w:val="-2"/>
        </w:rPr>
        <w:t>基于自身专业化的商品经营能力，通过对客户行为的精准分析、商品特性的全面把握，结合供应</w:t>
      </w:r>
      <w:r>
        <w:rPr>
          <w:w w:val="99"/>
        </w:rPr>
        <w:t> </w:t>
      </w:r>
      <w:r>
        <w:rPr>
          <w:spacing w:val="-6"/>
        </w:rPr>
        <w:t>链管理能力的提升，苏宁将进一步加大差异化的采购能力，扩大自有品牌、定制、包销的范围和比重，</w:t>
      </w:r>
      <w:r>
        <w:rPr>
          <w:w w:val="99"/>
        </w:rPr>
        <w:t> </w:t>
      </w:r>
      <w:r>
        <w:rPr/>
        <w:t>在缩短供应链层级、降低供应链成本基础上，有效保证产品经营的附加值。</w:t>
      </w:r>
    </w:p>
    <w:p>
      <w:pPr>
        <w:pStyle w:val="BodyText"/>
        <w:spacing w:line="379" w:lineRule="auto" w:before="41"/>
        <w:ind w:left="594" w:right="1082"/>
        <w:jc w:val="left"/>
      </w:pPr>
      <w:r>
        <w:rPr/>
        <w:t>商品管理能力是公司区别于传统平台的最具竞争力的优势。</w:t>
      </w:r>
      <w:r>
        <w:rPr>
          <w:w w:val="99"/>
        </w:rPr>
        <w:t> </w:t>
      </w:r>
      <w:r>
        <w:rPr>
          <w:rFonts w:ascii="Times New Roman" w:hAnsi="Times New Roman" w:cs="Times New Roman" w:eastAsia="Times New Roman" w:hint="default"/>
        </w:rPr>
        <w:t>3</w:t>
      </w:r>
      <w:r>
        <w:rPr/>
        <w:t>、物流、金融、大数据等服务能力成为苏宁互联网零售</w:t>
      </w:r>
      <w:r>
        <w:rPr>
          <w:spacing w:val="-54"/>
        </w:rPr>
        <w:t> </w:t>
      </w:r>
      <w:r>
        <w:rPr>
          <w:rFonts w:ascii="Times New Roman" w:hAnsi="Times New Roman" w:cs="Times New Roman" w:eastAsia="Times New Roman" w:hint="default"/>
        </w:rPr>
        <w:t>CPU</w:t>
      </w:r>
      <w:r>
        <w:rPr>
          <w:rFonts w:ascii="Times New Roman" w:hAnsi="Times New Roman" w:cs="Times New Roman" w:eastAsia="Times New Roman" w:hint="default"/>
          <w:spacing w:val="-1"/>
        </w:rPr>
        <w:t> </w:t>
      </w:r>
      <w:r>
        <w:rPr/>
        <w:t>对外输出端口</w:t>
      </w:r>
      <w:r>
        <w:rPr>
          <w:w w:val="99"/>
        </w:rPr>
        <w:t> </w:t>
      </w:r>
      <w:r>
        <w:rPr>
          <w:spacing w:val="-1"/>
          <w:w w:val="95"/>
        </w:rPr>
        <w:t>苏宁物流已经形成了遍布全国的仓储网络和完善的配送体系，物流运营效率及社会化运作成果凸</w:t>
      </w:r>
      <w:r>
        <w:rPr>
          <w:spacing w:val="-1"/>
        </w:rPr>
      </w:r>
    </w:p>
    <w:p>
      <w:pPr>
        <w:pStyle w:val="BodyText"/>
        <w:spacing w:line="384" w:lineRule="auto" w:before="53"/>
        <w:ind w:left="154" w:right="0"/>
        <w:jc w:val="left"/>
      </w:pPr>
      <w:r>
        <w:rPr/>
        <w:t>显，在跨境物流、农村电商物流等新业务领域快速完成布局；依托易付宝、苏宁理财、供应链金融、</w:t>
      </w:r>
      <w:r>
        <w:rPr>
          <w:spacing w:val="-74"/>
        </w:rPr>
        <w:t> </w:t>
      </w:r>
      <w:r>
        <w:rPr>
          <w:spacing w:val="-74"/>
        </w:rPr>
      </w:r>
      <w:r>
        <w:rPr/>
        <w:t>苏宁众筹、消费金融等，苏宁金融全金融产品布局已经形成，为消费者、企业、合作伙伴等提供多场</w:t>
      </w:r>
      <w:r>
        <w:rPr>
          <w:w w:val="99"/>
        </w:rPr>
        <w:t> </w:t>
      </w:r>
      <w:r>
        <w:rPr/>
        <w:t>景的金融服务；围绕数据安全、数据分析、数据挖掘，构建</w:t>
      </w:r>
      <w:r>
        <w:rPr>
          <w:rFonts w:ascii="Times New Roman" w:hAnsi="Times New Roman" w:cs="Times New Roman" w:eastAsia="Times New Roman" w:hint="default"/>
        </w:rPr>
        <w:t>“</w:t>
      </w:r>
      <w:r>
        <w:rPr/>
        <w:t>数据云</w:t>
      </w:r>
      <w:r>
        <w:rPr>
          <w:rFonts w:ascii="Times New Roman" w:hAnsi="Times New Roman" w:cs="Times New Roman" w:eastAsia="Times New Roman" w:hint="default"/>
        </w:rPr>
        <w:t>”</w:t>
      </w:r>
      <w:r>
        <w:rPr/>
        <w:t>，加强对行业前沿技术的研究探</w:t>
      </w:r>
      <w:r>
        <w:rPr>
          <w:w w:val="99"/>
        </w:rPr>
        <w:t> </w:t>
      </w:r>
      <w:r>
        <w:rPr/>
        <w:t>索，建立大数据管理应用能力。</w:t>
      </w:r>
    </w:p>
    <w:p>
      <w:pPr>
        <w:pStyle w:val="BodyText"/>
        <w:spacing w:line="379" w:lineRule="auto" w:before="48"/>
        <w:ind w:left="154" w:right="1135" w:firstLine="440"/>
        <w:jc w:val="both"/>
      </w:pPr>
      <w:r>
        <w:rPr>
          <w:spacing w:val="-2"/>
        </w:rPr>
        <w:t>互联网时代追求的是通过资源共享，来实现产出的最大化。企业、合作伙伴利用物流、金融、大</w:t>
      </w:r>
      <w:r>
        <w:rPr>
          <w:w w:val="99"/>
        </w:rPr>
        <w:t> </w:t>
      </w:r>
      <w:r>
        <w:rPr/>
        <w:t>数据等端口，链接苏宁互联网零售</w:t>
      </w:r>
      <w:r>
        <w:rPr>
          <w:spacing w:val="-63"/>
        </w:rPr>
        <w:t> </w:t>
      </w:r>
      <w:r>
        <w:rPr>
          <w:rFonts w:ascii="Times New Roman" w:hAnsi="Times New Roman" w:cs="Times New Roman" w:eastAsia="Times New Roman" w:hint="default"/>
          <w:spacing w:val="-3"/>
        </w:rPr>
        <w:t>CPU</w:t>
      </w:r>
      <w:r>
        <w:rPr>
          <w:spacing w:val="-3"/>
        </w:rPr>
        <w:t>，在实现资源输出的同时，构建无处不在、无孔不入的零售生</w:t>
      </w:r>
      <w:r>
        <w:rPr>
          <w:w w:val="99"/>
        </w:rPr>
        <w:t> </w:t>
      </w:r>
      <w:r>
        <w:rPr/>
        <w:t>态圈，最终能够为消费者提供专业的、有保障的商品和服务。</w:t>
      </w:r>
    </w:p>
    <w:p>
      <w:pPr>
        <w:pStyle w:val="BodyText"/>
        <w:spacing w:line="369" w:lineRule="auto" w:before="52"/>
        <w:ind w:left="594" w:right="1082"/>
        <w:jc w:val="left"/>
      </w:pPr>
      <w:r>
        <w:rPr>
          <w:rFonts w:ascii="Times New Roman" w:hAnsi="Times New Roman" w:cs="Times New Roman" w:eastAsia="Times New Roman" w:hint="default"/>
        </w:rPr>
        <w:t>4</w:t>
      </w:r>
      <w:r>
        <w:rPr/>
        <w:t>、全渠道、专业化、品质化经营带来高价值用户获取能力，单个用户贡献价值提升</w:t>
      </w:r>
      <w:r>
        <w:rPr>
          <w:w w:val="99"/>
        </w:rPr>
        <w:t> </w:t>
      </w:r>
      <w:r>
        <w:rPr>
          <w:spacing w:val="-2"/>
        </w:rPr>
        <w:t>互联网零售商业模式下的盈利模式，就是通过用户规模的扩大带来高流量，通过用户的重复消费</w:t>
      </w:r>
    </w:p>
    <w:p>
      <w:pPr>
        <w:pStyle w:val="BodyText"/>
        <w:spacing w:line="391" w:lineRule="auto" w:before="61"/>
        <w:ind w:left="154" w:right="1131"/>
        <w:jc w:val="both"/>
      </w:pPr>
      <w:r>
        <w:rPr>
          <w:spacing w:val="-1"/>
        </w:rPr>
        <w:t>和增值服务、互联网的规模化、长尾效应、差异化竞争等获取增值收益，其核心就是用户。公司将通</w:t>
      </w:r>
      <w:r>
        <w:rPr>
          <w:w w:val="99"/>
        </w:rPr>
        <w:t> </w:t>
      </w:r>
      <w:r>
        <w:rPr>
          <w:spacing w:val="-2"/>
        </w:rPr>
        <w:t>过标准化商品的普惠制的销售模式，形成大量的用户基础和流量；通过用户体验的提升、商品类别的</w:t>
      </w:r>
      <w:r>
        <w:rPr>
          <w:spacing w:val="-85"/>
        </w:rPr>
        <w:t> </w:t>
      </w:r>
      <w:r>
        <w:rPr>
          <w:spacing w:val="-85"/>
        </w:rPr>
      </w:r>
      <w:r>
        <w:rPr>
          <w:spacing w:val="-1"/>
        </w:rPr>
        <w:t>丰富形成高频次的购买和有效的流量转化；通过供应链优化、数据挖掘来形成更有效的定制包销商品</w:t>
      </w:r>
      <w:r>
        <w:rPr>
          <w:w w:val="99"/>
        </w:rPr>
        <w:t> </w:t>
      </w:r>
      <w:r>
        <w:rPr>
          <w:spacing w:val="-1"/>
        </w:rPr>
        <w:t>推广能力，从而获得一部分标准化商品的超额收益。公司的经营模式决定了苏宁可以通过差异化的品</w:t>
      </w:r>
      <w:r>
        <w:rPr>
          <w:w w:val="99"/>
        </w:rPr>
        <w:t> </w:t>
      </w:r>
      <w:r>
        <w:rPr>
          <w:spacing w:val="-1"/>
        </w:rPr>
        <w:t>牌特性获得更多对产品品质、服务水平更关注的高品质用户，从而形成更高的单个用户贡献价格，这</w:t>
      </w:r>
      <w:r>
        <w:rPr>
          <w:w w:val="99"/>
        </w:rPr>
        <w:t> </w:t>
      </w:r>
      <w:r>
        <w:rPr/>
        <w:t>是公司能够形成竞争优势的基础。</w:t>
      </w:r>
    </w:p>
    <w:p>
      <w:pPr>
        <w:spacing w:after="0" w:line="39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082"/>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82"/>
        <w:jc w:val="left"/>
        <w:rPr>
          <w:b w:val="0"/>
          <w:bCs w:val="0"/>
        </w:rPr>
      </w:pPr>
      <w:bookmarkStart w:name="一、概述" w:id="25"/>
      <w:bookmarkEnd w:id="25"/>
      <w:r>
        <w:rPr>
          <w:b w:val="0"/>
          <w:bCs w:val="0"/>
        </w:rPr>
      </w:r>
      <w:r>
        <w:rPr/>
        <w:t>一、概述</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1136" w:firstLine="44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3"/>
        </w:rPr>
        <w:t>年，宏观经济增速放缓，经济下行压力加大，消费市场疲弱，根据中华全国商业信息中心的</w:t>
      </w:r>
      <w:r>
        <w:rPr>
          <w:w w:val="99"/>
        </w:rPr>
        <w:t> </w:t>
      </w:r>
      <w:r>
        <w:rPr/>
        <w:t>监测数据，</w:t>
      </w:r>
      <w:r>
        <w:rPr>
          <w:rFonts w:ascii="Times New Roman" w:hAnsi="Times New Roman" w:cs="Times New Roman" w:eastAsia="Times New Roman" w:hint="default"/>
        </w:rPr>
        <w:t>2015 </w:t>
      </w:r>
      <w:r>
        <w:rPr/>
        <w:t>年全国百家重点大型零售企业零售额同比下降</w:t>
      </w:r>
      <w:r>
        <w:rPr>
          <w:spacing w:val="-70"/>
        </w:rPr>
        <w:t> </w:t>
      </w:r>
      <w:r>
        <w:rPr>
          <w:rFonts w:ascii="Times New Roman" w:hAnsi="Times New Roman" w:cs="Times New Roman" w:eastAsia="Times New Roman" w:hint="default"/>
        </w:rPr>
        <w:t>0.1%</w:t>
      </w:r>
      <w:r>
        <w:rPr/>
        <w:t>，增速连续第四年下降。</w:t>
      </w:r>
    </w:p>
    <w:p>
      <w:pPr>
        <w:pStyle w:val="BodyText"/>
        <w:spacing w:line="376" w:lineRule="auto" w:before="32"/>
        <w:ind w:right="1130" w:firstLine="440"/>
        <w:jc w:val="both"/>
      </w:pPr>
      <w:r>
        <w:rPr/>
        <w:t>在外部增速放缓的背景下，苏宁经过持续六年的探索和实践，在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年，互联网零售模式已经</w:t>
      </w:r>
      <w:r>
        <w:rPr>
          <w:w w:val="99"/>
        </w:rPr>
        <w:t> </w:t>
      </w:r>
      <w:r>
        <w:rPr/>
        <w:t>成型、定型，企业发展进入快车道。尤其在四季度，公司充分发挥全渠道布局、全流程 </w:t>
      </w:r>
      <w:r>
        <w:rPr>
          <w:rFonts w:ascii="Times New Roman" w:hAnsi="Times New Roman" w:cs="Times New Roman" w:eastAsia="Times New Roman" w:hint="default"/>
        </w:rPr>
        <w:t>O2O</w:t>
      </w:r>
      <w:r>
        <w:rPr>
          <w:rFonts w:ascii="Times New Roman" w:hAnsi="Times New Roman" w:cs="Times New Roman" w:eastAsia="Times New Roman" w:hint="default"/>
          <w:spacing w:val="15"/>
        </w:rPr>
        <w:t> </w:t>
      </w:r>
      <w:r>
        <w:rPr/>
        <w:t>融合的</w:t>
      </w:r>
      <w:r>
        <w:rPr>
          <w:w w:val="99"/>
        </w:rPr>
        <w:t> </w:t>
      </w:r>
      <w:r>
        <w:rPr>
          <w:spacing w:val="-1"/>
        </w:rPr>
        <w:t>优势，聚焦商品供应链、购物体验及服务效率提升，在双十一、双十二等促销旺季中实现了较快的增</w:t>
      </w:r>
      <w:r>
        <w:rPr>
          <w:w w:val="99"/>
        </w:rPr>
        <w:t> </w:t>
      </w:r>
      <w:r>
        <w:rPr/>
        <w:t>长，进一步凸显了零售 </w:t>
      </w:r>
      <w:r>
        <w:rPr>
          <w:rFonts w:ascii="Times New Roman" w:hAnsi="Times New Roman" w:cs="Times New Roman" w:eastAsia="Times New Roman" w:hint="default"/>
        </w:rPr>
        <w:t>CPU </w:t>
      </w:r>
      <w:r>
        <w:rPr/>
        <w:t>能力。与此同时，公司多年来在物流、金融、</w:t>
      </w:r>
      <w:r>
        <w:rPr>
          <w:rFonts w:ascii="Times New Roman" w:hAnsi="Times New Roman" w:cs="Times New Roman" w:eastAsia="Times New Roman" w:hint="default"/>
        </w:rPr>
        <w:t>IT</w:t>
      </w:r>
      <w:r>
        <w:rPr>
          <w:rFonts w:ascii="Times New Roman" w:hAnsi="Times New Roman" w:cs="Times New Roman" w:eastAsia="Times New Roman" w:hint="default"/>
          <w:spacing w:val="-32"/>
        </w:rPr>
        <w:t> </w:t>
      </w:r>
      <w:r>
        <w:rPr/>
        <w:t>等方面形成的互联网零</w:t>
      </w:r>
      <w:r>
        <w:rPr>
          <w:w w:val="99"/>
        </w:rPr>
        <w:t> </w:t>
      </w:r>
      <w:r>
        <w:rPr>
          <w:spacing w:val="-1"/>
        </w:rPr>
        <w:t>售核心也已经全面开放，向行业、社会输出，苏宁的资源和能力也在逐步释放、实现价值，形成新的</w:t>
      </w:r>
      <w:r>
        <w:rPr>
          <w:w w:val="99"/>
        </w:rPr>
        <w:t> </w:t>
      </w:r>
      <w:r>
        <w:rPr/>
        <w:t>增长空间。</w:t>
      </w:r>
    </w:p>
    <w:p>
      <w:pPr>
        <w:pStyle w:val="BodyText"/>
        <w:spacing w:line="379" w:lineRule="auto" w:before="54"/>
        <w:ind w:right="1130" w:firstLine="440"/>
        <w:jc w:val="both"/>
      </w:pPr>
      <w:r>
        <w:rPr>
          <w:spacing w:val="-3"/>
        </w:rPr>
        <w:t>在全渠道运营方面，打破用户对线上线下割裂的认知，实现门店端、</w:t>
      </w:r>
      <w:r>
        <w:rPr>
          <w:rFonts w:ascii="Times New Roman" w:hAnsi="Times New Roman" w:cs="Times New Roman" w:eastAsia="Times New Roman" w:hint="default"/>
          <w:spacing w:val="-3"/>
        </w:rPr>
        <w:t>PC</w:t>
      </w:r>
      <w:r>
        <w:rPr>
          <w:rFonts w:ascii="Times New Roman" w:hAnsi="Times New Roman" w:cs="Times New Roman" w:eastAsia="Times New Roman" w:hint="default"/>
        </w:rPr>
        <w:t> </w:t>
      </w:r>
      <w:r>
        <w:rPr>
          <w:spacing w:val="-5"/>
        </w:rPr>
        <w:t>端、移动端和</w:t>
      </w:r>
      <w:r>
        <w:rPr>
          <w:spacing w:val="-55"/>
        </w:rPr>
        <w:t> </w:t>
      </w:r>
      <w:r>
        <w:rPr>
          <w:rFonts w:ascii="Times New Roman" w:hAnsi="Times New Roman" w:cs="Times New Roman" w:eastAsia="Times New Roman" w:hint="default"/>
        </w:rPr>
        <w:t>TV </w:t>
      </w:r>
      <w:r>
        <w:rPr/>
        <w:t>端的全</w:t>
      </w:r>
      <w:r>
        <w:rPr>
          <w:w w:val="99"/>
        </w:rPr>
        <w:t> </w:t>
      </w:r>
      <w:r>
        <w:rPr>
          <w:spacing w:val="-9"/>
        </w:rPr>
        <w:t>面融合。加强门店互联网化建设，作为</w:t>
      </w:r>
      <w:r>
        <w:rPr>
          <w:spacing w:val="-56"/>
        </w:rPr>
        <w:t> </w:t>
      </w:r>
      <w:r>
        <w:rPr>
          <w:rFonts w:ascii="Times New Roman" w:hAnsi="Times New Roman" w:cs="Times New Roman" w:eastAsia="Times New Roman" w:hint="default"/>
        </w:rPr>
        <w:t>O2O</w:t>
      </w:r>
      <w:r>
        <w:rPr>
          <w:rFonts w:ascii="Times New Roman" w:hAnsi="Times New Roman" w:cs="Times New Roman" w:eastAsia="Times New Roman" w:hint="default"/>
          <w:spacing w:val="-2"/>
        </w:rPr>
        <w:t> </w:t>
      </w:r>
      <w:r>
        <w:rPr/>
        <w:t>线上线下融合的标志性产品</w:t>
      </w:r>
      <w:r>
        <w:rPr>
          <w:rFonts w:ascii="Times New Roman" w:hAnsi="Times New Roman" w:cs="Times New Roman" w:eastAsia="Times New Roman" w:hint="default"/>
        </w:rPr>
        <w:t>——</w:t>
      </w:r>
      <w:r>
        <w:rPr/>
        <w:t>苏宁易购云店正式落地，</w:t>
      </w:r>
      <w:r>
        <w:rPr>
          <w:w w:val="99"/>
        </w:rPr>
        <w:t> </w:t>
      </w:r>
      <w:r>
        <w:rPr>
          <w:spacing w:val="-1"/>
        </w:rPr>
        <w:t>同时积极拓展母婴、超市线下实体店面业态，作为推进农村市场战略布局的苏宁易购服务站直营店快</w:t>
      </w:r>
      <w:r>
        <w:rPr>
          <w:w w:val="99"/>
        </w:rPr>
        <w:t> </w:t>
      </w:r>
      <w:r>
        <w:rPr>
          <w:spacing w:val="-6"/>
        </w:rPr>
        <w:t>速推进，实现渠道下沉；在线上运营方面，以会员和数据指导互联网运营，通过广告投放、精准营销、</w:t>
      </w:r>
      <w:r>
        <w:rPr>
          <w:w w:val="99"/>
        </w:rPr>
        <w:t> </w:t>
      </w:r>
      <w:r>
        <w:rPr/>
        <w:t>产品优化、会员拓展等工作，互联网业务实现快速发展，收入实现同比增长</w:t>
      </w:r>
      <w:r>
        <w:rPr>
          <w:spacing w:val="-67"/>
        </w:rPr>
        <w:t> </w:t>
      </w:r>
      <w:r>
        <w:rPr>
          <w:rFonts w:ascii="Times New Roman" w:hAnsi="Times New Roman" w:cs="Times New Roman" w:eastAsia="Times New Roman" w:hint="default"/>
        </w:rPr>
        <w:t>94.93%</w:t>
      </w:r>
      <w:r>
        <w:rPr/>
        <w:t>。</w:t>
      </w:r>
    </w:p>
    <w:p>
      <w:pPr>
        <w:pStyle w:val="BodyText"/>
        <w:spacing w:line="384" w:lineRule="auto" w:before="21"/>
        <w:ind w:right="1130" w:firstLine="440"/>
        <w:jc w:val="both"/>
      </w:pPr>
      <w:r>
        <w:rPr>
          <w:spacing w:val="-1"/>
        </w:rPr>
        <w:t>在商品及供应链建设方面，继续巩固家电的传统优势，通讯品类抓住市场实现快速增长，培育发</w:t>
      </w:r>
      <w:r>
        <w:rPr>
          <w:w w:val="99"/>
        </w:rPr>
        <w:t> </w:t>
      </w:r>
      <w:r>
        <w:rPr/>
        <w:t>展超市等品类，在跨境电商、母婴等新兴热点领域，形成快速布局和发展的态势，商品 </w:t>
      </w:r>
      <w:r>
        <w:rPr>
          <w:rFonts w:ascii="Times New Roman" w:hAnsi="Times New Roman" w:cs="Times New Roman" w:eastAsia="Times New Roman" w:hint="default"/>
        </w:rPr>
        <w:t>SKU</w:t>
      </w:r>
      <w:r>
        <w:rPr>
          <w:rFonts w:ascii="Times New Roman" w:hAnsi="Times New Roman" w:cs="Times New Roman" w:eastAsia="Times New Roman" w:hint="default"/>
          <w:spacing w:val="2"/>
        </w:rPr>
        <w:t> </w:t>
      </w:r>
      <w:r>
        <w:rPr/>
        <w:t>持续增</w:t>
      </w:r>
      <w:r>
        <w:rPr>
          <w:w w:val="99"/>
        </w:rPr>
        <w:t> </w:t>
      </w:r>
      <w:r>
        <w:rPr>
          <w:spacing w:val="-1"/>
        </w:rPr>
        <w:t>加，建立起全品类商品经营的布局；供应链能力建设上，随着公司为供应商和平台商户创造价值能力</w:t>
      </w:r>
      <w:r>
        <w:rPr>
          <w:w w:val="99"/>
        </w:rPr>
        <w:t> </w:t>
      </w:r>
      <w:r>
        <w:rPr/>
        <w:t>的不断增强，平台的竞争力不断提升，正逐渐成为新品、畅销品市场推广的首选平台。</w:t>
      </w:r>
    </w:p>
    <w:p>
      <w:pPr>
        <w:pStyle w:val="BodyText"/>
        <w:spacing w:line="391" w:lineRule="auto" w:before="48"/>
        <w:ind w:right="0" w:firstLine="440"/>
        <w:jc w:val="left"/>
      </w:pPr>
      <w:r>
        <w:rPr/>
        <w:t>在服务能力建设方面，物流方面，物流基地规模持续增加，物流运营管理效率进一步凸显，在行</w:t>
      </w:r>
      <w:r>
        <w:rPr>
          <w:w w:val="99"/>
        </w:rPr>
        <w:t> </w:t>
      </w:r>
      <w:r>
        <w:rPr/>
        <w:t>业中确定了领先的地位；有序推进社会化物流，在跨境物流等新业务领域快速完成系统化的布局建设</w:t>
      </w:r>
      <w:r>
        <w:rPr>
          <w:w w:val="99"/>
        </w:rPr>
        <w:t> </w:t>
      </w:r>
      <w:r>
        <w:rPr/>
        <w:t>工作；金融方面，建立严谨、规范、专业的互联网金融平台，业务布局涵盖互联网支付、理财业务、</w:t>
      </w:r>
      <w:r>
        <w:rPr>
          <w:spacing w:val="-75"/>
        </w:rPr>
        <w:t> </w:t>
      </w:r>
      <w:r>
        <w:rPr>
          <w:spacing w:val="-75"/>
        </w:rPr>
      </w:r>
      <w:r>
        <w:rPr/>
        <w:t>供应链金融、消费信贷、众筹、预付卡延保等，为消费者、企业提供了多场景的金融服务体验。</w:t>
      </w:r>
    </w:p>
    <w:p>
      <w:pPr>
        <w:pStyle w:val="BodyText"/>
        <w:spacing w:line="391" w:lineRule="auto" w:before="41"/>
        <w:ind w:right="1130" w:firstLine="440"/>
        <w:jc w:val="both"/>
      </w:pPr>
      <w:r>
        <w:rPr>
          <w:spacing w:val="-7"/>
          <w:w w:val="99"/>
        </w:rPr>
        <w:t>在内部管理上，围绕组织体系、人才团队、激励绩效机制以及企业文化重塑等方面持续推进完善，</w:t>
      </w:r>
      <w:r>
        <w:rPr>
          <w:w w:val="99"/>
        </w:rPr>
        <w:t> </w:t>
      </w:r>
      <w:r>
        <w:rPr/>
        <w:t>公司已经建立了适应互联网零售商业模式下的组织、制度体系，有效激发员工积极性及创新能力。</w:t>
      </w:r>
    </w:p>
    <w:p>
      <w:pPr>
        <w:pStyle w:val="BodyText"/>
        <w:spacing w:line="369" w:lineRule="auto" w:before="41"/>
        <w:ind w:right="1130" w:firstLine="440"/>
        <w:jc w:val="both"/>
      </w:pPr>
      <w:r>
        <w:rPr>
          <w:spacing w:val="-3"/>
        </w:rPr>
        <w:t>历经六年转型实践，公司互联网零售转型优势逐渐凸显，</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
        </w:rPr>
        <w:t> </w:t>
      </w:r>
      <w:r>
        <w:rPr/>
        <w:t>年实现营业收入</w:t>
      </w:r>
      <w:r>
        <w:rPr>
          <w:spacing w:val="-52"/>
        </w:rPr>
        <w:t> </w:t>
      </w:r>
      <w:r>
        <w:rPr>
          <w:rFonts w:ascii="Times New Roman" w:hAnsi="Times New Roman" w:cs="Times New Roman" w:eastAsia="Times New Roman" w:hint="default"/>
        </w:rPr>
        <w:t>1,355.48</w:t>
      </w:r>
      <w:r>
        <w:rPr>
          <w:rFonts w:ascii="Times New Roman" w:hAnsi="Times New Roman" w:cs="Times New Roman" w:eastAsia="Times New Roman" w:hint="default"/>
          <w:spacing w:val="4"/>
        </w:rPr>
        <w:t> </w:t>
      </w:r>
      <w:r>
        <w:rPr>
          <w:spacing w:val="-9"/>
        </w:rPr>
        <w:t>亿元，同</w:t>
      </w:r>
      <w:r>
        <w:rPr>
          <w:w w:val="99"/>
        </w:rPr>
        <w:t> </w:t>
      </w:r>
      <w:r>
        <w:rPr/>
        <w:t>比增长</w:t>
      </w:r>
      <w:r>
        <w:rPr>
          <w:spacing w:val="-48"/>
        </w:rPr>
        <w:t> </w:t>
      </w:r>
      <w:r>
        <w:rPr>
          <w:rFonts w:ascii="Times New Roman" w:hAnsi="Times New Roman" w:cs="Times New Roman" w:eastAsia="Times New Roman" w:hint="default"/>
        </w:rPr>
        <w:t>24.44%</w:t>
      </w:r>
      <w:r>
        <w:rPr/>
        <w:t>；互联网业务同比增长</w:t>
      </w:r>
      <w:r>
        <w:rPr>
          <w:spacing w:val="-47"/>
        </w:rPr>
        <w:t> </w:t>
      </w:r>
      <w:r>
        <w:rPr>
          <w:rFonts w:ascii="Times New Roman" w:hAnsi="Times New Roman" w:cs="Times New Roman" w:eastAsia="Times New Roman" w:hint="default"/>
        </w:rPr>
        <w:t>94.93%</w:t>
      </w:r>
      <w:r>
        <w:rPr/>
        <w:t>。整体来看，报告期内公司实现商品销售规模（含税，</w:t>
      </w:r>
    </w:p>
    <w:p>
      <w:pPr>
        <w:spacing w:after="0" w:line="36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1" w:lineRule="auto" w:before="166"/>
        <w:ind w:left="213" w:right="1123"/>
        <w:jc w:val="left"/>
      </w:pPr>
      <w:r>
        <w:rPr>
          <w:spacing w:val="-6"/>
        </w:rPr>
        <w:t>区域上涵盖中国大陆、香港、澳门及日本市场，包括线上线下自营及开放平台，以及提供的售后服务）</w:t>
      </w:r>
      <w:r>
        <w:rPr>
          <w:w w:val="99"/>
        </w:rPr>
        <w:t> </w:t>
      </w:r>
      <w:r>
        <w:rPr/>
        <w:t>为</w:t>
      </w:r>
      <w:r>
        <w:rPr>
          <w:spacing w:val="-57"/>
        </w:rPr>
        <w:t> </w:t>
      </w:r>
      <w:r>
        <w:rPr>
          <w:rFonts w:ascii="Times New Roman" w:hAnsi="Times New Roman" w:cs="Times New Roman" w:eastAsia="Times New Roman" w:hint="default"/>
        </w:rPr>
        <w:t>1,623.80</w:t>
      </w:r>
      <w:r>
        <w:rPr>
          <w:rFonts w:ascii="Times New Roman" w:hAnsi="Times New Roman" w:cs="Times New Roman" w:eastAsia="Times New Roman" w:hint="default"/>
          <w:spacing w:val="-2"/>
        </w:rPr>
        <w:t> </w:t>
      </w:r>
      <w:r>
        <w:rPr/>
        <w:t>亿元。</w:t>
      </w:r>
    </w:p>
    <w:p>
      <w:pPr>
        <w:pStyle w:val="BodyText"/>
        <w:spacing w:line="391" w:lineRule="auto" w:before="10"/>
        <w:ind w:left="213" w:right="1131" w:firstLine="440"/>
        <w:jc w:val="both"/>
      </w:pPr>
      <w:r>
        <w:rPr>
          <w:spacing w:val="-2"/>
        </w:rPr>
        <w:t>公司继续实施积极的价格竞争策略，为消费者带来高性价比的体验，报告期内毛利率水平略有下</w:t>
      </w:r>
      <w:r>
        <w:rPr>
          <w:w w:val="99"/>
        </w:rPr>
        <w:t> </w:t>
      </w:r>
      <w:r>
        <w:rPr>
          <w:spacing w:val="-1"/>
        </w:rPr>
        <w:t>降。同时，随着销售规模的扩大，公司在互联网平台、金融、物流等方面的增值服务能力增强，收入</w:t>
      </w:r>
      <w:r>
        <w:rPr>
          <w:w w:val="99"/>
        </w:rPr>
        <w:t> </w:t>
      </w:r>
      <w:r>
        <w:rPr/>
        <w:t>逐步实现。</w:t>
      </w:r>
    </w:p>
    <w:p>
      <w:pPr>
        <w:pStyle w:val="BodyText"/>
        <w:spacing w:line="379" w:lineRule="auto" w:before="41"/>
        <w:ind w:left="213" w:right="1019" w:firstLine="440"/>
        <w:jc w:val="left"/>
      </w:pPr>
      <w:r>
        <w:rPr/>
        <w:t>报告期内，公司继续在云店模式优化和用户体验升级、人员薪酬提升以及技术提升上加大投入，</w:t>
      </w:r>
      <w:r>
        <w:rPr>
          <w:w w:val="99"/>
        </w:rPr>
        <w:t> </w:t>
      </w:r>
      <w:r>
        <w:rPr/>
        <w:t>但随着运营效率提升，销售实现较快增长，运营费用率有效控制，同比下降</w:t>
      </w:r>
      <w:r>
        <w:rPr>
          <w:spacing w:val="-59"/>
        </w:rPr>
        <w:t> </w:t>
      </w:r>
      <w:r>
        <w:rPr>
          <w:rFonts w:ascii="Times New Roman" w:hAnsi="Times New Roman" w:cs="Times New Roman" w:eastAsia="Times New Roman" w:hint="default"/>
        </w:rPr>
        <w:t>0.64%</w:t>
      </w:r>
      <w:r>
        <w:rPr/>
        <w:t>。公司的互联网零</w:t>
      </w:r>
      <w:r>
        <w:rPr>
          <w:w w:val="99"/>
        </w:rPr>
        <w:t> </w:t>
      </w:r>
      <w:r>
        <w:rPr/>
        <w:t>售模式逐步得到认可，规模效应也在逐步显现。</w:t>
      </w:r>
    </w:p>
    <w:p>
      <w:pPr>
        <w:pStyle w:val="BodyText"/>
        <w:spacing w:line="369" w:lineRule="auto" w:before="52"/>
        <w:ind w:left="213" w:right="1133" w:firstLine="440"/>
        <w:jc w:val="both"/>
      </w:pPr>
      <w:r>
        <w:rPr/>
        <w:t>此外，报告期内公司开展门店创新型资产运作模式，进一步提升 </w:t>
      </w:r>
      <w:r>
        <w:rPr>
          <w:rFonts w:ascii="Times New Roman" w:hAnsi="Times New Roman" w:cs="Times New Roman" w:eastAsia="Times New Roman" w:hint="default"/>
        </w:rPr>
        <w:t>O2O</w:t>
      </w:r>
      <w:r>
        <w:rPr>
          <w:rFonts w:ascii="Times New Roman" w:hAnsi="Times New Roman" w:cs="Times New Roman" w:eastAsia="Times New Roman" w:hint="default"/>
          <w:spacing w:val="13"/>
        </w:rPr>
        <w:t> </w:t>
      </w:r>
      <w:r>
        <w:rPr/>
        <w:t>发展模式下门店核心竞争</w:t>
      </w:r>
      <w:r>
        <w:rPr>
          <w:w w:val="99"/>
        </w:rPr>
        <w:t> </w:t>
      </w:r>
      <w:r>
        <w:rPr/>
        <w:t>力，以及完成</w:t>
      </w:r>
      <w:r>
        <w:rPr>
          <w:spacing w:val="-58"/>
        </w:rPr>
        <w:t> </w:t>
      </w:r>
      <w:r>
        <w:rPr>
          <w:rFonts w:ascii="Times New Roman" w:hAnsi="Times New Roman" w:cs="Times New Roman" w:eastAsia="Times New Roman" w:hint="default"/>
        </w:rPr>
        <w:t>PPTV</w:t>
      </w:r>
      <w:r>
        <w:rPr>
          <w:rFonts w:ascii="Times New Roman" w:hAnsi="Times New Roman" w:cs="Times New Roman" w:eastAsia="Times New Roman" w:hint="default"/>
          <w:spacing w:val="-8"/>
        </w:rPr>
        <w:t> </w:t>
      </w:r>
      <w:r>
        <w:rPr>
          <w:rFonts w:ascii="Times New Roman" w:hAnsi="Times New Roman" w:cs="Times New Roman" w:eastAsia="Times New Roman" w:hint="default"/>
        </w:rPr>
        <w:t>68.08%</w:t>
      </w:r>
      <w:r>
        <w:rPr/>
        <w:t>股权转让。</w:t>
      </w:r>
    </w:p>
    <w:p>
      <w:pPr>
        <w:pStyle w:val="BodyText"/>
        <w:spacing w:line="369" w:lineRule="auto" w:before="32"/>
        <w:ind w:left="213" w:right="1131" w:firstLine="440"/>
        <w:jc w:val="both"/>
      </w:pPr>
      <w:r>
        <w:rPr/>
        <w:t>综上，报告期内，归属于上市公司股东的净利润</w:t>
      </w:r>
      <w:r>
        <w:rPr>
          <w:spacing w:val="-70"/>
        </w:rPr>
        <w:t> </w:t>
      </w:r>
      <w:r>
        <w:rPr>
          <w:rFonts w:ascii="Times New Roman" w:hAnsi="Times New Roman" w:cs="Times New Roman" w:eastAsia="Times New Roman" w:hint="default"/>
        </w:rPr>
        <w:t>8.73</w:t>
      </w:r>
      <w:r>
        <w:rPr>
          <w:rFonts w:ascii="Times New Roman" w:hAnsi="Times New Roman" w:cs="Times New Roman" w:eastAsia="Times New Roman" w:hint="default"/>
          <w:spacing w:val="-17"/>
        </w:rPr>
        <w:t> </w:t>
      </w:r>
      <w:r>
        <w:rPr>
          <w:spacing w:val="-3"/>
        </w:rPr>
        <w:t>亿元，同比增加</w:t>
      </w:r>
      <w:r>
        <w:rPr>
          <w:spacing w:val="-71"/>
        </w:rPr>
        <w:t> </w:t>
      </w:r>
      <w:r>
        <w:rPr>
          <w:rFonts w:ascii="Times New Roman" w:hAnsi="Times New Roman" w:cs="Times New Roman" w:eastAsia="Times New Roman" w:hint="default"/>
        </w:rPr>
        <w:t>0.64%</w:t>
      </w:r>
      <w:r>
        <w:rPr/>
        <w:t>。若不考虑非经常性</w:t>
      </w:r>
      <w:r>
        <w:rPr>
          <w:w w:val="99"/>
        </w:rPr>
        <w:t> </w:t>
      </w:r>
      <w:r>
        <w:rPr/>
        <w:t>损益的影响，以及</w:t>
      </w:r>
      <w:r>
        <w:rPr>
          <w:spacing w:val="-74"/>
        </w:rPr>
        <w:t> </w:t>
      </w:r>
      <w:r>
        <w:rPr>
          <w:rFonts w:ascii="Times New Roman" w:hAnsi="Times New Roman" w:cs="Times New Roman" w:eastAsia="Times New Roman" w:hint="default"/>
        </w:rPr>
        <w:t>PPTV</w:t>
      </w:r>
      <w:r>
        <w:rPr>
          <w:rFonts w:ascii="Times New Roman" w:hAnsi="Times New Roman" w:cs="Times New Roman" w:eastAsia="Times New Roman" w:hint="default"/>
          <w:spacing w:val="-19"/>
        </w:rPr>
        <w:t> </w:t>
      </w:r>
      <w:r>
        <w:rPr/>
        <w:t>业务的影响，公司净利润亏损幅度较去年同期有所收窄，而平台、物流、金</w:t>
      </w:r>
      <w:r>
        <w:rPr>
          <w:w w:val="99"/>
        </w:rPr>
        <w:t> </w:t>
      </w:r>
      <w:r>
        <w:rPr/>
        <w:t>融等核心资源的价值也在逐步货币化，盈利能力得到改善</w:t>
      </w:r>
    </w:p>
    <w:p>
      <w:pPr>
        <w:pStyle w:val="BodyText"/>
        <w:spacing w:line="391" w:lineRule="auto" w:before="61"/>
        <w:ind w:left="213" w:right="1136" w:firstLine="440"/>
        <w:jc w:val="both"/>
      </w:pPr>
      <w:r>
        <w:rPr>
          <w:spacing w:val="-2"/>
        </w:rPr>
        <w:t>综合来看，我们的转型在全渠道经营、产品线拓展方面取得阶段性发展成果，企业经营效率持续</w:t>
      </w:r>
      <w:r>
        <w:rPr>
          <w:w w:val="99"/>
        </w:rPr>
        <w:t> </w:t>
      </w:r>
      <w:r>
        <w:rPr/>
        <w:t>提升，公司互联网零售转型步入良性轨道，坚定了公司未来发展信心。</w:t>
      </w:r>
    </w:p>
    <w:p>
      <w:pPr>
        <w:spacing w:line="240" w:lineRule="auto" w:before="2"/>
        <w:rPr>
          <w:rFonts w:ascii="宋体" w:hAnsi="宋体" w:cs="宋体" w:eastAsia="宋体" w:hint="default"/>
          <w:sz w:val="19"/>
          <w:szCs w:val="19"/>
        </w:rPr>
      </w:pPr>
    </w:p>
    <w:p>
      <w:pPr>
        <w:pStyle w:val="Heading2"/>
        <w:spacing w:line="240" w:lineRule="auto"/>
        <w:ind w:left="213" w:right="1019"/>
        <w:jc w:val="left"/>
        <w:rPr>
          <w:b w:val="0"/>
          <w:bCs w:val="0"/>
        </w:rPr>
      </w:pPr>
      <w:bookmarkStart w:name="二、主营业务分析" w:id="26"/>
      <w:bookmarkEnd w:id="26"/>
      <w:r>
        <w:rPr>
          <w:b w:val="0"/>
          <w:bCs w:val="0"/>
        </w:rPr>
      </w:r>
      <w:r>
        <w:rPr/>
        <w:t>二、主营业务分析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213" w:right="1019"/>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30"/>
          <w:szCs w:val="30"/>
        </w:rPr>
      </w:pPr>
    </w:p>
    <w:p>
      <w:pPr>
        <w:spacing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单位：千元</w:t>
      </w:r>
    </w:p>
    <w:p>
      <w:pPr>
        <w:spacing w:line="240" w:lineRule="auto" w:before="0"/>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730"/>
        <w:gridCol w:w="2043"/>
        <w:gridCol w:w="2043"/>
        <w:gridCol w:w="2040"/>
      </w:tblGrid>
      <w:tr>
        <w:trPr>
          <w:trHeight w:val="296"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54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w:t>
            </w:r>
          </w:p>
        </w:tc>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54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w:t>
            </w:r>
          </w:p>
        </w:tc>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373" w:right="0"/>
              <w:jc w:val="left"/>
              <w:rPr>
                <w:rFonts w:ascii="宋体" w:hAnsi="宋体" w:cs="宋体" w:eastAsia="宋体" w:hint="default"/>
                <w:sz w:val="22"/>
                <w:szCs w:val="22"/>
              </w:rPr>
            </w:pPr>
            <w:r>
              <w:rPr>
                <w:rFonts w:ascii="宋体" w:hAnsi="宋体" w:cs="宋体" w:eastAsia="宋体" w:hint="default"/>
                <w:sz w:val="22"/>
                <w:szCs w:val="22"/>
              </w:rPr>
              <w:t>增减率（</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23"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135,547,633</w:t>
            </w:r>
            <w:r>
              <w:rPr>
                <w:rFonts w:ascii="Times New Roman"/>
                <w:sz w:val="22"/>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108,925,296</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24.44%</w:t>
            </w:r>
            <w:r>
              <w:rPr>
                <w:rFonts w:ascii="Times New Roman"/>
                <w:sz w:val="22"/>
              </w:rPr>
            </w:r>
          </w:p>
        </w:tc>
      </w:tr>
      <w:tr>
        <w:trPr>
          <w:trHeight w:val="322"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营业成本</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w w:val="95"/>
                <w:sz w:val="22"/>
              </w:rPr>
              <w:t>115,981,182</w:t>
            </w:r>
            <w:r>
              <w:rPr>
                <w:rFonts w:ascii="Times New Roman"/>
                <w:spacing w:val="-1"/>
                <w:sz w:val="22"/>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92,284,572</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25.68%</w:t>
            </w:r>
            <w:r>
              <w:rPr>
                <w:rFonts w:ascii="Times New Roman"/>
                <w:sz w:val="22"/>
              </w:rPr>
            </w:r>
          </w:p>
        </w:tc>
      </w:tr>
      <w:tr>
        <w:trPr>
          <w:trHeight w:val="322"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16,644,676</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14,105,025</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18.01%</w:t>
            </w:r>
            <w:r>
              <w:rPr>
                <w:rFonts w:ascii="Times New Roman"/>
                <w:sz w:val="22"/>
              </w:rPr>
            </w:r>
          </w:p>
        </w:tc>
      </w:tr>
      <w:tr>
        <w:trPr>
          <w:trHeight w:val="323"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4,291,475</w:t>
            </w:r>
            <w:r>
              <w:rPr>
                <w:rFonts w:ascii="Times New Roman"/>
                <w:sz w:val="22"/>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3,356,570</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27.85%</w:t>
            </w:r>
            <w:r>
              <w:rPr>
                <w:rFonts w:ascii="Times New Roman"/>
                <w:sz w:val="22"/>
              </w:rPr>
            </w:r>
          </w:p>
        </w:tc>
      </w:tr>
      <w:tr>
        <w:trPr>
          <w:trHeight w:val="322"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104,282</w:t>
            </w:r>
            <w:r>
              <w:rPr>
                <w:rFonts w:ascii="Times New Roman"/>
                <w:sz w:val="22"/>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66,770</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56.18%</w:t>
            </w:r>
            <w:r>
              <w:rPr>
                <w:rFonts w:ascii="Times New Roman"/>
                <w:sz w:val="22"/>
              </w:rPr>
            </w:r>
          </w:p>
        </w:tc>
      </w:tr>
      <w:tr>
        <w:trPr>
          <w:trHeight w:val="322"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营业利润</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-610,021</w:t>
            </w:r>
            <w:r>
              <w:rPr>
                <w:rFonts w:ascii="Times New Roman"/>
                <w:sz w:val="22"/>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-1,458,933</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58.19%</w:t>
            </w:r>
            <w:r>
              <w:rPr>
                <w:rFonts w:ascii="Times New Roman"/>
                <w:sz w:val="22"/>
              </w:rPr>
            </w:r>
          </w:p>
        </w:tc>
      </w:tr>
      <w:tr>
        <w:trPr>
          <w:trHeight w:val="323"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888,957</w:t>
            </w:r>
            <w:r>
              <w:rPr>
                <w:rFonts w:ascii="Times New Roman"/>
                <w:sz w:val="22"/>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972,613</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-8.60%</w:t>
            </w:r>
            <w:r>
              <w:rPr>
                <w:rFonts w:ascii="Times New Roman"/>
                <w:sz w:val="22"/>
              </w:rPr>
            </w:r>
          </w:p>
        </w:tc>
      </w:tr>
      <w:tr>
        <w:trPr>
          <w:trHeight w:val="322"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757,732</w:t>
            </w:r>
            <w:r>
              <w:rPr>
                <w:rFonts w:ascii="Times New Roman"/>
                <w:sz w:val="22"/>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824,038</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-8.05%</w:t>
            </w:r>
            <w:r>
              <w:rPr>
                <w:rFonts w:ascii="Times New Roman"/>
                <w:sz w:val="22"/>
              </w:rPr>
            </w:r>
          </w:p>
        </w:tc>
      </w:tr>
      <w:tr>
        <w:trPr>
          <w:trHeight w:val="322"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872,504</w:t>
            </w:r>
            <w:r>
              <w:rPr>
                <w:rFonts w:ascii="Times New Roman"/>
                <w:sz w:val="22"/>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866,915</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0.64%</w:t>
            </w:r>
            <w:r>
              <w:rPr>
                <w:rFonts w:ascii="Times New Roman"/>
                <w:sz w:val="22"/>
              </w:rPr>
            </w:r>
          </w:p>
        </w:tc>
      </w:tr>
      <w:tr>
        <w:trPr>
          <w:trHeight w:val="323" w:hRule="exact"/>
        </w:trPr>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1,733,339</w:t>
            </w:r>
            <w:r>
              <w:rPr>
                <w:rFonts w:ascii="Times New Roman"/>
                <w:sz w:val="22"/>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-1,381,419</w:t>
            </w:r>
            <w:r>
              <w:rPr>
                <w:rFonts w:ascii="Times New Roman"/>
                <w:sz w:val="22"/>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225.48%</w:t>
            </w:r>
            <w:r>
              <w:rPr>
                <w:rFonts w:ascii="Times New Roman"/>
                <w:sz w:val="22"/>
              </w:rPr>
            </w:r>
          </w:p>
        </w:tc>
      </w:tr>
    </w:tbl>
    <w:p>
      <w:pPr>
        <w:pStyle w:val="BodyText"/>
        <w:spacing w:line="369" w:lineRule="auto" w:before="55"/>
        <w:ind w:left="654" w:right="1128"/>
        <w:jc w:val="left"/>
      </w:pPr>
      <w:r>
        <w:rPr/>
        <w:t>（</w:t>
      </w:r>
      <w:r>
        <w:rPr>
          <w:rFonts w:ascii="Times New Roman" w:hAnsi="Times New Roman" w:cs="Times New Roman" w:eastAsia="Times New Roman" w:hint="default"/>
        </w:rPr>
        <w:t>1</w:t>
      </w:r>
      <w:r>
        <w:rPr/>
        <w:t>）营业收入变化情况</w:t>
      </w:r>
      <w:r>
        <w:rPr>
          <w:w w:val="99"/>
        </w:rPr>
        <w:t> </w:t>
      </w:r>
      <w:r>
        <w:rPr>
          <w:spacing w:val="-6"/>
        </w:rPr>
        <w:t>外部经济景气度较低，公司充分发挥互联网零售模式优势，强化</w:t>
      </w:r>
      <w:r>
        <w:rPr>
          <w:rFonts w:ascii="Times New Roman" w:hAnsi="Times New Roman" w:cs="Times New Roman" w:eastAsia="Times New Roman" w:hint="default"/>
          <w:spacing w:val="-6"/>
        </w:rPr>
        <w:t>O2O</w:t>
      </w:r>
      <w:r>
        <w:rPr>
          <w:spacing w:val="-6"/>
        </w:rPr>
        <w:t>运营，开展积极的市场竞争，</w:t>
      </w:r>
    </w:p>
    <w:p>
      <w:pPr>
        <w:pStyle w:val="BodyText"/>
        <w:spacing w:line="240" w:lineRule="auto" w:before="32"/>
        <w:ind w:left="214" w:right="1019"/>
        <w:jc w:val="left"/>
      </w:pPr>
      <w:r>
        <w:rPr/>
        <w:t>加强线上线下联合促销，有效拉动销售。随着商品的进一步丰富，物流、金融服务的优化，消费者购</w:t>
      </w:r>
    </w:p>
    <w:p>
      <w:pPr>
        <w:spacing w:after="0" w:line="240" w:lineRule="auto"/>
        <w:jc w:val="left"/>
        <w:sectPr>
          <w:pgSz w:w="11910" w:h="16840"/>
          <w:pgMar w:header="747" w:footer="979" w:top="1060" w:bottom="1160" w:left="920" w:right="0"/>
        </w:sectPr>
      </w:pPr>
    </w:p>
    <w:p>
      <w:pPr>
        <w:spacing w:line="240" w:lineRule="auto" w:before="0"/>
        <w:rPr>
          <w:rFonts w:ascii="宋体" w:hAnsi="宋体" w:cs="宋体" w:eastAsia="宋体" w:hint="default"/>
          <w:sz w:val="20"/>
          <w:szCs w:val="20"/>
        </w:rPr>
      </w:pPr>
    </w:p>
    <w:p>
      <w:pPr>
        <w:pStyle w:val="BodyText"/>
        <w:spacing w:line="369" w:lineRule="auto" w:before="166"/>
        <w:ind w:right="1082"/>
        <w:jc w:val="left"/>
      </w:pPr>
      <w:r>
        <w:rPr/>
        <w:t>物体验不断提升，购物转换率提高。报告期内公司实现营业收入</w:t>
      </w:r>
      <w:r>
        <w:rPr>
          <w:rFonts w:ascii="Times New Roman" w:hAnsi="Times New Roman" w:cs="Times New Roman" w:eastAsia="Times New Roman" w:hint="default"/>
        </w:rPr>
        <w:t>1,355.48</w:t>
      </w:r>
      <w:r>
        <w:rPr/>
        <w:t>亿元，同比增加</w:t>
      </w:r>
      <w:r>
        <w:rPr>
          <w:rFonts w:ascii="Times New Roman" w:hAnsi="Times New Roman" w:cs="Times New Roman" w:eastAsia="Times New Roman" w:hint="default"/>
        </w:rPr>
        <w:t>24.44%</w:t>
      </w:r>
      <w:r>
        <w:rPr/>
        <w:t>，其</w:t>
      </w:r>
      <w:r>
        <w:rPr>
          <w:spacing w:val="-86"/>
        </w:rPr>
        <w:t> </w:t>
      </w:r>
      <w:r>
        <w:rPr/>
        <w:t>中主营业务收入</w:t>
      </w:r>
      <w:r>
        <w:rPr>
          <w:rFonts w:ascii="Times New Roman" w:hAnsi="Times New Roman" w:cs="Times New Roman" w:eastAsia="Times New Roman" w:hint="default"/>
        </w:rPr>
        <w:t>1,338.94</w:t>
      </w:r>
      <w:r>
        <w:rPr/>
        <w:t>亿元，同比增加</w:t>
      </w:r>
      <w:r>
        <w:rPr>
          <w:rFonts w:ascii="Times New Roman" w:hAnsi="Times New Roman" w:cs="Times New Roman" w:eastAsia="Times New Roman" w:hint="default"/>
        </w:rPr>
        <w:t>24.83%</w:t>
      </w:r>
      <w:r>
        <w:rPr/>
        <w:t>。</w:t>
      </w:r>
    </w:p>
    <w:p>
      <w:pPr>
        <w:pStyle w:val="BodyText"/>
        <w:spacing w:line="240" w:lineRule="auto" w:before="32"/>
        <w:ind w:left="594" w:right="1082"/>
        <w:jc w:val="left"/>
      </w:pPr>
      <w:r>
        <w:rPr/>
        <w:t>（</w:t>
      </w:r>
      <w:r>
        <w:rPr>
          <w:rFonts w:ascii="Times New Roman" w:hAnsi="Times New Roman" w:cs="Times New Roman" w:eastAsia="Times New Roman" w:hint="default"/>
        </w:rPr>
        <w:t>2</w:t>
      </w:r>
      <w:r>
        <w:rPr/>
        <w:t>）毛利率变化情况</w:t>
      </w:r>
    </w:p>
    <w:p>
      <w:pPr>
        <w:spacing w:line="240" w:lineRule="auto" w:before="10"/>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736"/>
        <w:gridCol w:w="1952"/>
        <w:gridCol w:w="1949"/>
        <w:gridCol w:w="2022"/>
      </w:tblGrid>
      <w:tr>
        <w:trPr>
          <w:trHeight w:val="317"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40" w:val="left" w:leader="none"/>
              </w:tabs>
              <w:spacing w:line="257" w:lineRule="exact"/>
              <w:ind w:right="0"/>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32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1-12</w:t>
            </w:r>
            <w:r>
              <w:rPr>
                <w:rFonts w:ascii="宋体" w:hAnsi="宋体" w:cs="宋体" w:eastAsia="宋体" w:hint="default"/>
                <w:sz w:val="22"/>
                <w:szCs w:val="22"/>
              </w:rPr>
              <w:t>月</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32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r>
              <w:rPr>
                <w:rFonts w:ascii="Times New Roman" w:hAnsi="Times New Roman" w:cs="Times New Roman" w:eastAsia="Times New Roman" w:hint="default"/>
                <w:sz w:val="22"/>
                <w:szCs w:val="22"/>
              </w:rPr>
              <w:t>1-12</w:t>
            </w:r>
            <w:r>
              <w:rPr>
                <w:rFonts w:ascii="宋体" w:hAnsi="宋体" w:cs="宋体" w:eastAsia="宋体" w:hint="default"/>
                <w:sz w:val="22"/>
                <w:szCs w:val="22"/>
              </w:rPr>
              <w:t>月</w:t>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565" w:right="0"/>
              <w:jc w:val="left"/>
              <w:rPr>
                <w:rFonts w:ascii="宋体" w:hAnsi="宋体" w:cs="宋体" w:eastAsia="宋体" w:hint="default"/>
                <w:sz w:val="22"/>
                <w:szCs w:val="22"/>
              </w:rPr>
            </w:pPr>
            <w:r>
              <w:rPr>
                <w:rFonts w:ascii="宋体" w:hAnsi="宋体" w:cs="宋体" w:eastAsia="宋体" w:hint="default"/>
                <w:sz w:val="22"/>
                <w:szCs w:val="22"/>
              </w:rPr>
              <w:t>增减变化</w:t>
            </w:r>
          </w:p>
        </w:tc>
      </w:tr>
      <w:tr>
        <w:trPr>
          <w:trHeight w:val="335"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4" w:right="0"/>
              <w:jc w:val="left"/>
              <w:rPr>
                <w:rFonts w:ascii="宋体" w:hAnsi="宋体" w:cs="宋体" w:eastAsia="宋体" w:hint="default"/>
                <w:sz w:val="22"/>
                <w:szCs w:val="22"/>
              </w:rPr>
            </w:pPr>
            <w:r>
              <w:rPr>
                <w:rFonts w:ascii="宋体" w:hAnsi="宋体" w:cs="宋体" w:eastAsia="宋体" w:hint="default"/>
                <w:sz w:val="22"/>
                <w:szCs w:val="22"/>
              </w:rPr>
              <w:t>主营业务毛利率</w:t>
            </w:r>
          </w:p>
        </w:tc>
        <w:tc>
          <w:tcPr>
            <w:tcW w:w="19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6"/>
              <w:ind w:right="4"/>
              <w:jc w:val="right"/>
              <w:rPr>
                <w:rFonts w:ascii="Times New Roman" w:hAnsi="Times New Roman" w:cs="Times New Roman" w:eastAsia="Times New Roman" w:hint="default"/>
                <w:sz w:val="22"/>
                <w:szCs w:val="22"/>
              </w:rPr>
            </w:pPr>
            <w:r>
              <w:rPr>
                <w:rFonts w:ascii="Times New Roman"/>
                <w:w w:val="95"/>
                <w:sz w:val="22"/>
              </w:rPr>
              <w:t>13.70%</w:t>
            </w:r>
            <w:r>
              <w:rPr>
                <w:rFonts w:ascii="Times New Roman"/>
                <w:sz w:val="22"/>
              </w:rPr>
            </w:r>
          </w:p>
        </w:tc>
        <w:tc>
          <w:tcPr>
            <w:tcW w:w="19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6"/>
              <w:ind w:right="4"/>
              <w:jc w:val="right"/>
              <w:rPr>
                <w:rFonts w:ascii="Times New Roman" w:hAnsi="Times New Roman" w:cs="Times New Roman" w:eastAsia="Times New Roman" w:hint="default"/>
                <w:sz w:val="22"/>
                <w:szCs w:val="22"/>
              </w:rPr>
            </w:pPr>
            <w:r>
              <w:rPr>
                <w:rFonts w:ascii="Times New Roman"/>
                <w:w w:val="95"/>
                <w:sz w:val="22"/>
              </w:rPr>
              <w:t>14.31%</w:t>
            </w:r>
            <w:r>
              <w:rPr>
                <w:rFonts w:ascii="Times New Roman"/>
                <w:sz w:val="22"/>
              </w:rPr>
            </w:r>
          </w:p>
        </w:tc>
        <w:tc>
          <w:tcPr>
            <w:tcW w:w="202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6"/>
              <w:ind w:right="4"/>
              <w:jc w:val="right"/>
              <w:rPr>
                <w:rFonts w:ascii="Times New Roman" w:hAnsi="Times New Roman" w:cs="Times New Roman" w:eastAsia="Times New Roman" w:hint="default"/>
                <w:sz w:val="22"/>
                <w:szCs w:val="22"/>
              </w:rPr>
            </w:pPr>
            <w:r>
              <w:rPr>
                <w:rFonts w:ascii="Times New Roman"/>
                <w:w w:val="95"/>
                <w:sz w:val="22"/>
              </w:rPr>
              <w:t>-0.61%</w:t>
            </w:r>
            <w:r>
              <w:rPr>
                <w:rFonts w:ascii="Times New Roman"/>
                <w:sz w:val="22"/>
              </w:rPr>
            </w:r>
          </w:p>
        </w:tc>
      </w:tr>
      <w:tr>
        <w:trPr>
          <w:trHeight w:val="342"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其他业务毛利率</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0.91%</w:t>
            </w:r>
            <w:r>
              <w:rPr>
                <w:rFonts w:ascii="Times New Roman"/>
                <w:sz w:val="22"/>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1.20%</w:t>
            </w:r>
            <w:r>
              <w:rPr>
                <w:rFonts w:ascii="Times New Roman"/>
                <w:sz w:val="22"/>
              </w:rPr>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-0.29%</w:t>
            </w:r>
            <w:r>
              <w:rPr>
                <w:rFonts w:ascii="Times New Roman"/>
                <w:sz w:val="22"/>
              </w:rPr>
            </w:r>
          </w:p>
        </w:tc>
      </w:tr>
      <w:tr>
        <w:trPr>
          <w:trHeight w:val="342"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综合毛利率</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14.61%</w:t>
            </w:r>
            <w:r>
              <w:rPr>
                <w:rFonts w:ascii="Times New Roman"/>
                <w:sz w:val="22"/>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15.51%</w:t>
            </w:r>
            <w:r>
              <w:rPr>
                <w:rFonts w:ascii="Times New Roman"/>
                <w:sz w:val="22"/>
              </w:rPr>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-0.90%</w:t>
            </w:r>
            <w:r>
              <w:rPr>
                <w:rFonts w:ascii="Times New Roman"/>
                <w:sz w:val="22"/>
              </w:rPr>
            </w:r>
          </w:p>
        </w:tc>
      </w:tr>
    </w:tbl>
    <w:p>
      <w:pPr>
        <w:pStyle w:val="BodyText"/>
        <w:spacing w:line="374" w:lineRule="auto" w:before="55"/>
        <w:ind w:right="1129" w:firstLine="440"/>
        <w:jc w:val="both"/>
      </w:pPr>
      <w:r>
        <w:rPr>
          <w:spacing w:val="-2"/>
        </w:rPr>
        <w:t>公司现阶段依然是快速提升用户数量，聚焦抢占家电、</w:t>
      </w:r>
      <w:r>
        <w:rPr>
          <w:rFonts w:ascii="Times New Roman" w:hAnsi="Times New Roman" w:cs="Times New Roman" w:eastAsia="Times New Roman" w:hint="default"/>
          <w:spacing w:val="-2"/>
        </w:rPr>
        <w:t>3C</w:t>
      </w:r>
      <w:r>
        <w:rPr>
          <w:spacing w:val="-2"/>
        </w:rPr>
        <w:t>份额，大力扩大新品类规模，持续提升</w:t>
      </w:r>
      <w:r>
        <w:rPr>
          <w:w w:val="99"/>
        </w:rPr>
        <w:t> </w:t>
      </w:r>
      <w:r>
        <w:rPr>
          <w:spacing w:val="-1"/>
        </w:rPr>
        <w:t>物流服务用户体验的投入阶段，因此公司在品牌推广及促销投入等方面保持积极政策，尤其在四季度</w:t>
      </w:r>
      <w:r>
        <w:rPr>
          <w:w w:val="99"/>
        </w:rPr>
        <w:t> </w:t>
      </w:r>
      <w:r>
        <w:rPr/>
        <w:t>公司通过实施积极的价格竞争策略实现了快速增长，使得报告期内综合毛利率水平同比下降</w:t>
      </w:r>
      <w:r>
        <w:rPr>
          <w:rFonts w:ascii="Times New Roman" w:hAnsi="Times New Roman" w:cs="Times New Roman" w:eastAsia="Times New Roman" w:hint="default"/>
        </w:rPr>
        <w:t>0.90%</w:t>
      </w:r>
      <w:r>
        <w:rPr/>
        <w:t>。</w:t>
      </w:r>
      <w:r>
        <w:rPr>
          <w:spacing w:val="-85"/>
        </w:rPr>
        <w:t> </w:t>
      </w:r>
      <w:r>
        <w:rPr>
          <w:w w:val="95"/>
        </w:rPr>
        <w:t>未来随着公司</w:t>
      </w:r>
      <w:r>
        <w:rPr>
          <w:rFonts w:ascii="Times New Roman" w:hAnsi="Times New Roman" w:cs="Times New Roman" w:eastAsia="Times New Roman" w:hint="default"/>
          <w:w w:val="95"/>
        </w:rPr>
        <w:t>O2O</w:t>
      </w:r>
      <w:r>
        <w:rPr>
          <w:w w:val="95"/>
        </w:rPr>
        <w:t>运营、商品供应链能力的加强，以及物流、</w:t>
      </w:r>
      <w:r>
        <w:rPr>
          <w:rFonts w:ascii="Times New Roman" w:hAnsi="Times New Roman" w:cs="Times New Roman" w:eastAsia="Times New Roman" w:hint="default"/>
          <w:w w:val="95"/>
        </w:rPr>
        <w:t>IT</w:t>
      </w:r>
      <w:r>
        <w:rPr>
          <w:w w:val="95"/>
        </w:rPr>
        <w:t>、金融、广告等服务的推广应用，公</w:t>
      </w:r>
      <w:r>
        <w:rPr>
          <w:spacing w:val="32"/>
          <w:w w:val="95"/>
        </w:rPr>
        <w:t> </w:t>
      </w:r>
      <w:r>
        <w:rPr>
          <w:spacing w:val="32"/>
          <w:w w:val="95"/>
        </w:rPr>
      </w:r>
      <w:r>
        <w:rPr/>
        <w:t>司毛利率将显著改善。</w:t>
      </w:r>
    </w:p>
    <w:p>
      <w:pPr>
        <w:spacing w:line="240" w:lineRule="auto" w:before="4"/>
        <w:rPr>
          <w:rFonts w:ascii="宋体" w:hAnsi="宋体" w:cs="宋体" w:eastAsia="宋体" w:hint="default"/>
          <w:sz w:val="16"/>
          <w:szCs w:val="16"/>
        </w:rPr>
      </w:pPr>
    </w:p>
    <w:p>
      <w:pPr>
        <w:pStyle w:val="BodyText"/>
        <w:spacing w:line="240" w:lineRule="auto"/>
        <w:ind w:left="594" w:right="1082"/>
        <w:jc w:val="left"/>
      </w:pPr>
      <w:r>
        <w:rPr/>
        <w:t>（</w:t>
      </w:r>
      <w:r>
        <w:rPr>
          <w:rFonts w:ascii="Times New Roman" w:hAnsi="Times New Roman" w:cs="Times New Roman" w:eastAsia="Times New Roman" w:hint="default"/>
        </w:rPr>
        <w:t>3</w:t>
      </w:r>
      <w:r>
        <w:rPr/>
        <w:t>）三项费用率变化情况</w:t>
      </w:r>
    </w:p>
    <w:p>
      <w:pPr>
        <w:spacing w:line="240" w:lineRule="auto" w:before="9"/>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736"/>
        <w:gridCol w:w="1952"/>
        <w:gridCol w:w="1949"/>
        <w:gridCol w:w="2022"/>
      </w:tblGrid>
      <w:tr>
        <w:trPr>
          <w:trHeight w:val="317"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40" w:val="left" w:leader="none"/>
              </w:tabs>
              <w:spacing w:line="257" w:lineRule="exact"/>
              <w:ind w:right="0"/>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32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1-12</w:t>
            </w:r>
            <w:r>
              <w:rPr>
                <w:rFonts w:ascii="宋体" w:hAnsi="宋体" w:cs="宋体" w:eastAsia="宋体" w:hint="default"/>
                <w:sz w:val="22"/>
                <w:szCs w:val="22"/>
              </w:rPr>
              <w:t>月</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32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r>
              <w:rPr>
                <w:rFonts w:ascii="Times New Roman" w:hAnsi="Times New Roman" w:cs="Times New Roman" w:eastAsia="Times New Roman" w:hint="default"/>
                <w:sz w:val="22"/>
                <w:szCs w:val="22"/>
              </w:rPr>
              <w:t>1-12</w:t>
            </w:r>
            <w:r>
              <w:rPr>
                <w:rFonts w:ascii="宋体" w:hAnsi="宋体" w:cs="宋体" w:eastAsia="宋体" w:hint="default"/>
                <w:sz w:val="22"/>
                <w:szCs w:val="22"/>
              </w:rPr>
              <w:t>月</w:t>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565" w:right="0"/>
              <w:jc w:val="left"/>
              <w:rPr>
                <w:rFonts w:ascii="宋体" w:hAnsi="宋体" w:cs="宋体" w:eastAsia="宋体" w:hint="default"/>
                <w:sz w:val="22"/>
                <w:szCs w:val="22"/>
              </w:rPr>
            </w:pPr>
            <w:r>
              <w:rPr>
                <w:rFonts w:ascii="宋体" w:hAnsi="宋体" w:cs="宋体" w:eastAsia="宋体" w:hint="default"/>
                <w:sz w:val="22"/>
                <w:szCs w:val="22"/>
              </w:rPr>
              <w:t>增减变化</w:t>
            </w:r>
          </w:p>
        </w:tc>
      </w:tr>
      <w:tr>
        <w:trPr>
          <w:trHeight w:val="335"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right="1"/>
              <w:jc w:val="center"/>
              <w:rPr>
                <w:rFonts w:ascii="宋体" w:hAnsi="宋体" w:cs="宋体" w:eastAsia="宋体" w:hint="default"/>
                <w:sz w:val="22"/>
                <w:szCs w:val="22"/>
              </w:rPr>
            </w:pPr>
            <w:r>
              <w:rPr>
                <w:rFonts w:ascii="宋体" w:hAnsi="宋体" w:cs="宋体" w:eastAsia="宋体" w:hint="default"/>
                <w:sz w:val="22"/>
                <w:szCs w:val="22"/>
              </w:rPr>
              <w:t>销售费用率</w:t>
            </w:r>
          </w:p>
        </w:tc>
        <w:tc>
          <w:tcPr>
            <w:tcW w:w="19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6"/>
              <w:ind w:right="4"/>
              <w:jc w:val="right"/>
              <w:rPr>
                <w:rFonts w:ascii="Times New Roman" w:hAnsi="Times New Roman" w:cs="Times New Roman" w:eastAsia="Times New Roman" w:hint="default"/>
                <w:sz w:val="22"/>
                <w:szCs w:val="22"/>
              </w:rPr>
            </w:pPr>
            <w:r>
              <w:rPr>
                <w:rFonts w:ascii="Times New Roman"/>
                <w:w w:val="95"/>
                <w:sz w:val="22"/>
              </w:rPr>
              <w:t>12.43%</w:t>
            </w:r>
            <w:r>
              <w:rPr>
                <w:rFonts w:ascii="Times New Roman"/>
                <w:sz w:val="22"/>
              </w:rPr>
            </w:r>
          </w:p>
        </w:tc>
        <w:tc>
          <w:tcPr>
            <w:tcW w:w="19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6"/>
              <w:ind w:right="4"/>
              <w:jc w:val="right"/>
              <w:rPr>
                <w:rFonts w:ascii="Times New Roman" w:hAnsi="Times New Roman" w:cs="Times New Roman" w:eastAsia="Times New Roman" w:hint="default"/>
                <w:sz w:val="22"/>
                <w:szCs w:val="22"/>
              </w:rPr>
            </w:pPr>
            <w:r>
              <w:rPr>
                <w:rFonts w:ascii="Times New Roman"/>
                <w:w w:val="95"/>
                <w:sz w:val="22"/>
              </w:rPr>
              <w:t>13.15%</w:t>
            </w:r>
            <w:r>
              <w:rPr>
                <w:rFonts w:ascii="Times New Roman"/>
                <w:sz w:val="22"/>
              </w:rPr>
            </w:r>
          </w:p>
        </w:tc>
        <w:tc>
          <w:tcPr>
            <w:tcW w:w="202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6"/>
              <w:ind w:right="4"/>
              <w:jc w:val="right"/>
              <w:rPr>
                <w:rFonts w:ascii="Times New Roman" w:hAnsi="Times New Roman" w:cs="Times New Roman" w:eastAsia="Times New Roman" w:hint="default"/>
                <w:sz w:val="22"/>
                <w:szCs w:val="22"/>
              </w:rPr>
            </w:pPr>
            <w:r>
              <w:rPr>
                <w:rFonts w:ascii="Times New Roman"/>
                <w:w w:val="95"/>
                <w:sz w:val="22"/>
              </w:rPr>
              <w:t>-0.72%</w:t>
            </w:r>
            <w:r>
              <w:rPr>
                <w:rFonts w:ascii="Times New Roman"/>
                <w:sz w:val="22"/>
              </w:rPr>
            </w:r>
          </w:p>
        </w:tc>
      </w:tr>
      <w:tr>
        <w:trPr>
          <w:trHeight w:val="342"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管理费用率</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3.21%</w:t>
            </w:r>
            <w:r>
              <w:rPr>
                <w:rFonts w:ascii="Times New Roman"/>
                <w:sz w:val="22"/>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3.13%</w:t>
            </w:r>
            <w:r>
              <w:rPr>
                <w:rFonts w:ascii="Times New Roman"/>
                <w:sz w:val="22"/>
              </w:rPr>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0.08%</w:t>
            </w:r>
            <w:r>
              <w:rPr>
                <w:rFonts w:ascii="Times New Roman"/>
                <w:sz w:val="22"/>
              </w:rPr>
            </w:r>
          </w:p>
        </w:tc>
      </w:tr>
      <w:tr>
        <w:trPr>
          <w:trHeight w:val="342"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财务费用率</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0.08%</w:t>
            </w:r>
            <w:r>
              <w:rPr>
                <w:rFonts w:ascii="Times New Roman"/>
                <w:sz w:val="22"/>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0.06%</w:t>
            </w:r>
            <w:r>
              <w:rPr>
                <w:rFonts w:ascii="Times New Roman"/>
                <w:sz w:val="22"/>
              </w:rPr>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0.02%</w:t>
            </w:r>
            <w:r>
              <w:rPr>
                <w:rFonts w:ascii="Times New Roman"/>
                <w:sz w:val="22"/>
              </w:rPr>
            </w:r>
          </w:p>
        </w:tc>
      </w:tr>
      <w:tr>
        <w:trPr>
          <w:trHeight w:val="342"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三项费用率</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2"/>
                <w:szCs w:val="22"/>
              </w:rPr>
            </w:pPr>
            <w:r>
              <w:rPr>
                <w:rFonts w:ascii="Times New Roman"/>
                <w:spacing w:val="-1"/>
                <w:sz w:val="22"/>
              </w:rPr>
              <w:t>15.72%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2"/>
                <w:szCs w:val="22"/>
              </w:rPr>
            </w:pPr>
            <w:r>
              <w:rPr>
                <w:rFonts w:ascii="Times New Roman"/>
                <w:w w:val="95"/>
                <w:sz w:val="22"/>
              </w:rPr>
              <w:t>16.34%</w:t>
            </w:r>
            <w:r>
              <w:rPr>
                <w:rFonts w:ascii="Times New Roman"/>
                <w:sz w:val="22"/>
              </w:rPr>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2"/>
                <w:szCs w:val="22"/>
              </w:rPr>
            </w:pPr>
            <w:r>
              <w:rPr>
                <w:rFonts w:ascii="Times New Roman"/>
                <w:w w:val="95"/>
                <w:sz w:val="22"/>
              </w:rPr>
              <w:t>-0.62%</w:t>
            </w:r>
            <w:r>
              <w:rPr>
                <w:rFonts w:ascii="Times New Roman"/>
                <w:sz w:val="22"/>
              </w:rPr>
            </w:r>
          </w:p>
        </w:tc>
      </w:tr>
    </w:tbl>
    <w:p>
      <w:pPr>
        <w:pStyle w:val="BodyText"/>
        <w:spacing w:line="381" w:lineRule="auto" w:before="55"/>
        <w:ind w:right="0" w:firstLine="440"/>
        <w:jc w:val="left"/>
      </w:pPr>
      <w:r>
        <w:rPr>
          <w:spacing w:val="-7"/>
          <w:w w:val="99"/>
        </w:rPr>
        <w:t>费用方面，公司在云店升级、用户体验优化、薪酬提升和专业性人才储备等方面予以坚决的投入；</w:t>
      </w:r>
      <w:r>
        <w:rPr>
          <w:w w:val="99"/>
        </w:rPr>
        <w:t> </w:t>
      </w:r>
      <w:r>
        <w:rPr/>
        <w:t>随着线上销售收入占比的提升，物流运费水平有所提升；为有效拉动销售，公司加大促销推广力度；</w:t>
      </w:r>
      <w:r>
        <w:rPr>
          <w:spacing w:val="-64"/>
        </w:rPr>
        <w:t> </w:t>
      </w:r>
      <w:r>
        <w:rPr>
          <w:spacing w:val="-64"/>
        </w:rPr>
      </w:r>
      <w:r>
        <w:rPr/>
        <w:t>此外</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PPTV</w:t>
      </w:r>
      <w:r>
        <w:rPr/>
        <w:t>纳入公司合并报表范围，其为增强行业竞争力，在版权内容、智能硬件等方面也有</w:t>
      </w:r>
      <w:r>
        <w:rPr>
          <w:spacing w:val="-46"/>
        </w:rPr>
        <w:t> </w:t>
      </w:r>
      <w:r>
        <w:rPr/>
        <w:t>较大的投入。报告期内，公司三项费用有所增加，由于公司运营效率提升，销售收入实现较好增长，</w:t>
      </w:r>
      <w:r>
        <w:rPr>
          <w:spacing w:val="-60"/>
        </w:rPr>
        <w:t> </w:t>
      </w:r>
      <w:r>
        <w:rPr>
          <w:spacing w:val="-60"/>
        </w:rPr>
      </w:r>
      <w:r>
        <w:rPr/>
        <w:t>可比店面收入同比增加，带来三项费用率同比下降</w:t>
      </w:r>
      <w:r>
        <w:rPr>
          <w:rFonts w:ascii="Times New Roman" w:hAnsi="Times New Roman" w:cs="Times New Roman" w:eastAsia="Times New Roman" w:hint="default"/>
        </w:rPr>
        <w:t>0.62%</w:t>
      </w:r>
      <w:r>
        <w:rPr/>
        <w:t>。若不考虑</w:t>
      </w:r>
      <w:r>
        <w:rPr>
          <w:rFonts w:ascii="Times New Roman" w:hAnsi="Times New Roman" w:cs="Times New Roman" w:eastAsia="Times New Roman" w:hint="default"/>
        </w:rPr>
        <w:t>PPTV</w:t>
      </w:r>
      <w:r>
        <w:rPr/>
        <w:t>业务带来的影响，报告期内</w:t>
      </w:r>
      <w:r>
        <w:rPr>
          <w:w w:val="99"/>
        </w:rPr>
        <w:t> </w:t>
      </w:r>
      <w:r>
        <w:rPr/>
        <w:t>公司三项费用率同比下降</w:t>
      </w:r>
      <w:r>
        <w:rPr>
          <w:rFonts w:ascii="Times New Roman" w:hAnsi="Times New Roman" w:cs="Times New Roman" w:eastAsia="Times New Roman" w:hint="default"/>
        </w:rPr>
        <w:t>1.17%</w:t>
      </w:r>
      <w:r>
        <w:rPr/>
        <w:t>，随着公司互联网零售业务的发展，公司运营效率持续提升。</w:t>
      </w:r>
    </w:p>
    <w:p>
      <w:pPr>
        <w:pStyle w:val="BodyText"/>
        <w:spacing w:line="240" w:lineRule="auto" w:before="19"/>
        <w:ind w:left="594" w:right="1082"/>
        <w:jc w:val="left"/>
      </w:pPr>
      <w:r>
        <w:rPr/>
        <w:t>（</w:t>
      </w:r>
      <w:r>
        <w:rPr>
          <w:rFonts w:ascii="Times New Roman" w:hAnsi="Times New Roman" w:cs="Times New Roman" w:eastAsia="Times New Roman" w:hint="default"/>
        </w:rPr>
        <w:t>4</w:t>
      </w:r>
      <w:r>
        <w:rPr/>
        <w:t>）归属于上市公司股东的净利润变化情况</w:t>
      </w:r>
    </w:p>
    <w:p>
      <w:pPr>
        <w:pStyle w:val="BodyText"/>
        <w:spacing w:line="369" w:lineRule="auto" w:before="163"/>
        <w:ind w:right="1131" w:firstLine="44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月，公司实施完成以部分门店物业为标的资产开展的相关创新型资产运作模式，该交易</w:t>
      </w:r>
      <w:r>
        <w:rPr>
          <w:w w:val="99"/>
        </w:rPr>
        <w:t> </w:t>
      </w:r>
      <w:r>
        <w:rPr/>
        <w:t>实现税后净利润为</w:t>
      </w:r>
      <w:r>
        <w:rPr>
          <w:rFonts w:ascii="Times New Roman" w:hAnsi="Times New Roman" w:cs="Times New Roman" w:eastAsia="Times New Roman" w:hint="default"/>
        </w:rPr>
        <w:t>10.41</w:t>
      </w:r>
      <w:r>
        <w:rPr/>
        <w:t>亿元；报告期内，由于</w:t>
      </w:r>
      <w:r>
        <w:rPr>
          <w:rFonts w:ascii="Times New Roman" w:hAnsi="Times New Roman" w:cs="Times New Roman" w:eastAsia="Times New Roman" w:hint="default"/>
        </w:rPr>
        <w:t>PPTV</w:t>
      </w:r>
      <w:r>
        <w:rPr/>
        <w:t>仍处于快速发展期，在版权内容、智能硬件等方</w:t>
      </w:r>
      <w:r>
        <w:rPr>
          <w:w w:val="99"/>
        </w:rPr>
        <w:t> </w:t>
      </w:r>
      <w:r>
        <w:rPr/>
        <w:t>面持续增加投入，阶段性亏损，</w:t>
      </w:r>
      <w:r>
        <w:rPr>
          <w:rFonts w:ascii="Times New Roman" w:hAnsi="Times New Roman" w:cs="Times New Roman" w:eastAsia="Times New Roman" w:hint="default"/>
        </w:rPr>
        <w:t>PPTV</w:t>
      </w:r>
      <w:r>
        <w:rPr/>
        <w:t>整体对公司归属于母公司股东的净利润影响</w:t>
      </w:r>
      <w:r>
        <w:rPr>
          <w:rFonts w:ascii="Times New Roman" w:hAnsi="Times New Roman" w:cs="Times New Roman" w:eastAsia="Times New Roman" w:hint="default"/>
        </w:rPr>
        <w:t>-7.90</w:t>
      </w:r>
      <w:r>
        <w:rPr/>
        <w:t>亿元。</w:t>
      </w:r>
      <w:r>
        <w:rPr>
          <w:rFonts w:ascii="Times New Roman" w:hAnsi="Times New Roman" w:cs="Times New Roman" w:eastAsia="Times New Roman" w:hint="default"/>
        </w:rPr>
        <w:t>2015</w:t>
      </w:r>
      <w:r>
        <w:rPr/>
        <w:t>年</w:t>
      </w:r>
      <w:r>
        <w:rPr>
          <w:spacing w:val="-69"/>
        </w:rPr>
        <w:t> </w:t>
      </w:r>
      <w:r>
        <w:rPr>
          <w:rFonts w:ascii="Times New Roman" w:hAnsi="Times New Roman" w:cs="Times New Roman" w:eastAsia="Times New Roman" w:hint="default"/>
        </w:rPr>
        <w:t>12</w:t>
      </w:r>
      <w:r>
        <w:rPr/>
        <w:t>月，公司将持有的</w:t>
      </w:r>
      <w:r>
        <w:rPr>
          <w:rFonts w:ascii="Times New Roman" w:hAnsi="Times New Roman" w:cs="Times New Roman" w:eastAsia="Times New Roman" w:hint="default"/>
        </w:rPr>
        <w:t>PPTV</w:t>
      </w:r>
      <w:r>
        <w:rPr>
          <w:rFonts w:ascii="Times New Roman" w:hAnsi="Times New Roman" w:cs="Times New Roman" w:eastAsia="Times New Roman" w:hint="default"/>
          <w:spacing w:val="-5"/>
        </w:rPr>
        <w:t> </w:t>
      </w:r>
      <w:r>
        <w:rPr>
          <w:rFonts w:ascii="Times New Roman" w:hAnsi="Times New Roman" w:cs="Times New Roman" w:eastAsia="Times New Roman" w:hint="default"/>
        </w:rPr>
        <w:t>68.08%</w:t>
      </w:r>
      <w:r>
        <w:rPr/>
        <w:t>的股权全部转让于苏宁文化投资管理有限公司的境外子公司，并收</w:t>
      </w:r>
      <w:r>
        <w:rPr>
          <w:w w:val="99"/>
        </w:rPr>
        <w:t> </w:t>
      </w:r>
      <w:r>
        <w:rPr>
          <w:spacing w:val="2"/>
        </w:rPr>
        <w:t>到全部转让价款</w:t>
      </w:r>
      <w:r>
        <w:rPr>
          <w:rFonts w:ascii="Times New Roman" w:hAnsi="Times New Roman" w:cs="Times New Roman" w:eastAsia="Times New Roman" w:hint="default"/>
          <w:spacing w:val="2"/>
        </w:rPr>
        <w:t>39,841.02</w:t>
      </w:r>
      <w:r>
        <w:rPr>
          <w:spacing w:val="2"/>
        </w:rPr>
        <w:t>万美金，以实际交割日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日测算，该交易增加公司净利润</w:t>
      </w:r>
      <w:r>
        <w:rPr>
          <w:rFonts w:ascii="Times New Roman" w:hAnsi="Times New Roman" w:cs="Times New Roman" w:eastAsia="Times New Roman" w:hint="default"/>
          <w:spacing w:val="2"/>
        </w:rPr>
        <w:t>13.55</w:t>
      </w:r>
      <w:r>
        <w:rPr>
          <w:rFonts w:ascii="Times New Roman" w:hAnsi="Times New Roman" w:cs="Times New Roman" w:eastAsia="Times New Roman" w:hint="default"/>
          <w:w w:val="99"/>
        </w:rPr>
        <w:t> </w:t>
      </w:r>
      <w:r>
        <w:rPr/>
        <w:t>亿元。</w:t>
      </w:r>
    </w:p>
    <w:p>
      <w:pPr>
        <w:pStyle w:val="BodyText"/>
        <w:spacing w:line="240" w:lineRule="auto" w:before="61"/>
        <w:ind w:left="594" w:right="1082"/>
        <w:jc w:val="left"/>
      </w:pPr>
      <w:r>
        <w:rPr/>
        <w:t>综上，报告期内公司实现营业收入</w:t>
      </w:r>
      <w:r>
        <w:rPr>
          <w:rFonts w:ascii="Times New Roman" w:hAnsi="Times New Roman" w:cs="Times New Roman" w:eastAsia="Times New Roman" w:hint="default"/>
        </w:rPr>
        <w:t>1,355.48</w:t>
      </w:r>
      <w:r>
        <w:rPr/>
        <w:t>亿元，同比增加</w:t>
      </w:r>
      <w:r>
        <w:rPr>
          <w:rFonts w:ascii="Times New Roman" w:hAnsi="Times New Roman" w:cs="Times New Roman" w:eastAsia="Times New Roman" w:hint="default"/>
        </w:rPr>
        <w:t>24.44%</w:t>
      </w:r>
      <w:r>
        <w:rPr/>
        <w:t>，实现利润总额</w:t>
      </w:r>
      <w:r>
        <w:rPr>
          <w:rFonts w:ascii="Times New Roman" w:hAnsi="Times New Roman" w:cs="Times New Roman" w:eastAsia="Times New Roman" w:hint="default"/>
        </w:rPr>
        <w:t>8.89</w:t>
      </w:r>
      <w:r>
        <w:rPr/>
        <w:t>亿元，同</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6"/>
        <w:ind w:right="1082"/>
        <w:jc w:val="left"/>
      </w:pPr>
      <w:r>
        <w:rPr/>
        <w:t>比下降</w:t>
      </w:r>
      <w:r>
        <w:rPr>
          <w:rFonts w:ascii="Times New Roman" w:hAnsi="Times New Roman" w:cs="Times New Roman" w:eastAsia="Times New Roman" w:hint="default"/>
        </w:rPr>
        <w:t>8.60%</w:t>
      </w:r>
      <w:r>
        <w:rPr/>
        <w:t>，归属于上市公司股东的净利润</w:t>
      </w:r>
      <w:r>
        <w:rPr>
          <w:rFonts w:ascii="Times New Roman" w:hAnsi="Times New Roman" w:cs="Times New Roman" w:eastAsia="Times New Roman" w:hint="default"/>
        </w:rPr>
        <w:t>8.73</w:t>
      </w:r>
      <w:r>
        <w:rPr/>
        <w:t>亿元，同比增加</w:t>
      </w:r>
      <w:r>
        <w:rPr>
          <w:rFonts w:ascii="Times New Roman" w:hAnsi="Times New Roman" w:cs="Times New Roman" w:eastAsia="Times New Roman" w:hint="default"/>
        </w:rPr>
        <w:t>0.64%</w:t>
      </w:r>
      <w:r>
        <w:rPr/>
        <w:t>。</w:t>
      </w:r>
    </w:p>
    <w:p>
      <w:pPr>
        <w:spacing w:line="240" w:lineRule="auto" w:before="7"/>
        <w:rPr>
          <w:rFonts w:ascii="宋体" w:hAnsi="宋体" w:cs="宋体" w:eastAsia="宋体" w:hint="default"/>
          <w:sz w:val="29"/>
          <w:szCs w:val="29"/>
        </w:rPr>
      </w:pPr>
    </w:p>
    <w:p>
      <w:pPr>
        <w:pStyle w:val="Heading4"/>
        <w:spacing w:line="240" w:lineRule="auto"/>
        <w:ind w:right="1082"/>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3"/>
          <w:szCs w:val="23"/>
        </w:rPr>
      </w:pPr>
    </w:p>
    <w:p>
      <w:pPr>
        <w:pStyle w:val="Heading4"/>
        <w:spacing w:line="240" w:lineRule="auto"/>
        <w:ind w:right="1082"/>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1"/>
          <w:szCs w:val="21"/>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单位：千元</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871"/>
        <w:gridCol w:w="1559"/>
        <w:gridCol w:w="1701"/>
        <w:gridCol w:w="1332"/>
        <w:gridCol w:w="1616"/>
        <w:gridCol w:w="1616"/>
      </w:tblGrid>
      <w:tr>
        <w:trPr>
          <w:trHeight w:val="161" w:hRule="exact"/>
        </w:trPr>
        <w:tc>
          <w:tcPr>
            <w:tcW w:w="18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9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0" w:hRule="exact"/>
        </w:trPr>
        <w:tc>
          <w:tcPr>
            <w:tcW w:w="1871" w:type="dxa"/>
            <w:vMerge w:val="restart"/>
            <w:tcBorders>
              <w:top w:val="nil" w:sz="6" w:space="0" w:color="auto"/>
              <w:left w:val="single" w:sz="4" w:space="0" w:color="000000"/>
              <w:right w:val="single" w:sz="4" w:space="0" w:color="000000"/>
            </w:tcBorders>
            <w:shd w:val="clear" w:color="auto" w:fill="D2D2D2"/>
          </w:tcPr>
          <w:p>
            <w:pPr/>
          </w:p>
        </w:tc>
        <w:tc>
          <w:tcPr>
            <w:tcW w:w="3260" w:type="dxa"/>
            <w:gridSpan w:val="2"/>
            <w:vMerge/>
            <w:tcBorders>
              <w:left w:val="single" w:sz="4" w:space="0" w:color="000000"/>
              <w:bottom w:val="single" w:sz="4" w:space="0" w:color="000000"/>
              <w:right w:val="single" w:sz="4" w:space="0" w:color="000000"/>
            </w:tcBorders>
            <w:shd w:val="clear" w:color="auto" w:fill="D2D2D2"/>
          </w:tcPr>
          <w:p>
            <w:pPr/>
          </w:p>
        </w:tc>
        <w:tc>
          <w:tcPr>
            <w:tcW w:w="2948" w:type="dxa"/>
            <w:gridSpan w:val="2"/>
            <w:vMerge/>
            <w:tcBorders>
              <w:left w:val="single" w:sz="4" w:space="0" w:color="000000"/>
              <w:bottom w:val="single" w:sz="4" w:space="0" w:color="000000"/>
              <w:right w:val="single" w:sz="4" w:space="0" w:color="000000"/>
            </w:tcBorders>
            <w:shd w:val="clear" w:color="auto" w:fill="D2D2D2"/>
          </w:tcPr>
          <w:p>
            <w:pP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exact"/>
              <w:ind w:left="363"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139" w:hRule="exact"/>
        </w:trPr>
        <w:tc>
          <w:tcPr>
            <w:tcW w:w="1871" w:type="dxa"/>
            <w:vMerge/>
            <w:tcBorders>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57" w:lineRule="exact"/>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57" w:lineRule="exact"/>
              <w:ind w:left="74" w:right="0"/>
              <w:jc w:val="left"/>
              <w:rPr>
                <w:rFonts w:ascii="宋体" w:hAnsi="宋体" w:cs="宋体" w:eastAsia="宋体" w:hint="default"/>
                <w:sz w:val="22"/>
                <w:szCs w:val="22"/>
              </w:rPr>
            </w:pPr>
            <w:r>
              <w:rPr>
                <w:rFonts w:ascii="宋体" w:hAnsi="宋体" w:cs="宋体" w:eastAsia="宋体" w:hint="default"/>
                <w:sz w:val="22"/>
                <w:szCs w:val="22"/>
              </w:rPr>
              <w:t>占营业收入比重</w:t>
            </w:r>
          </w:p>
        </w:tc>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57" w:lineRule="exact"/>
              <w:ind w:left="440"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57" w:lineRule="exact"/>
              <w:ind w:left="31" w:right="0"/>
              <w:jc w:val="left"/>
              <w:rPr>
                <w:rFonts w:ascii="宋体" w:hAnsi="宋体" w:cs="宋体" w:eastAsia="宋体" w:hint="default"/>
                <w:sz w:val="22"/>
                <w:szCs w:val="22"/>
              </w:rPr>
            </w:pPr>
            <w:r>
              <w:rPr>
                <w:rFonts w:ascii="宋体" w:hAnsi="宋体" w:cs="宋体" w:eastAsia="宋体" w:hint="default"/>
                <w:sz w:val="22"/>
                <w:szCs w:val="22"/>
              </w:rPr>
              <w:t>占营业收入比重</w:t>
            </w:r>
          </w:p>
        </w:tc>
        <w:tc>
          <w:tcPr>
            <w:tcW w:w="16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332"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营业收入合计</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135,547,633</w:t>
            </w:r>
            <w:r>
              <w:rPr>
                <w:rFonts w:ascii="Times New Roman"/>
                <w:sz w:val="22"/>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108,925,296</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24.44%</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1"/>
                <w:sz w:val="22"/>
              </w:rPr>
              <w:t>133,894,034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98.78%</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107,259,688</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98.47%</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24.83%</w:t>
            </w:r>
            <w:r>
              <w:rPr>
                <w:rFonts w:ascii="Times New Roman"/>
                <w:sz w:val="22"/>
              </w:rPr>
            </w:r>
          </w:p>
        </w:tc>
      </w:tr>
      <w:tr>
        <w:trPr>
          <w:trHeight w:val="323" w:hRule="exact"/>
        </w:trPr>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1,653,599</w:t>
            </w:r>
            <w:r>
              <w:rPr>
                <w:rFonts w:ascii="Times New Roman"/>
                <w:sz w:val="22"/>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1.22%</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1,665,608</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1.53%</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-0.72%</w:t>
            </w:r>
            <w:r>
              <w:rPr>
                <w:rFonts w:ascii="Times New Roman"/>
                <w:sz w:val="22"/>
              </w:rPr>
            </w:r>
          </w:p>
        </w:tc>
      </w:tr>
      <w:tr>
        <w:trPr>
          <w:trHeight w:val="295" w:hRule="exact"/>
        </w:trPr>
        <w:tc>
          <w:tcPr>
            <w:tcW w:w="969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r>
      <w:tr>
        <w:trPr>
          <w:trHeight w:val="295" w:hRule="exact"/>
        </w:trPr>
        <w:tc>
          <w:tcPr>
            <w:tcW w:w="969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分行业</w:t>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零售业</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1"/>
                <w:sz w:val="22"/>
              </w:rPr>
              <w:t>133,894,034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98.78%</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107,259,688</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98.47%</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24.83%</w:t>
            </w:r>
            <w:r>
              <w:rPr>
                <w:rFonts w:ascii="Times New Roman"/>
                <w:sz w:val="22"/>
              </w:rPr>
            </w:r>
          </w:p>
        </w:tc>
      </w:tr>
      <w:tr>
        <w:trPr>
          <w:trHeight w:val="295" w:hRule="exact"/>
        </w:trPr>
        <w:tc>
          <w:tcPr>
            <w:tcW w:w="969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分产品</w:t>
            </w:r>
          </w:p>
        </w:tc>
      </w:tr>
      <w:tr>
        <w:trPr>
          <w:trHeight w:val="323"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通讯产品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27,042,125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19.95%</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17,876,998</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16.41%</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51.27%</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彩电、音像、碟机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23,195,013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2"/>
                <w:sz w:val="22"/>
              </w:rPr>
              <w:t>17.11%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21,296,097</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19.55%</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8.92%</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小家电产品</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22,929,723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16.92%</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17,284,854</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15.87%</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32.66%</w:t>
            </w:r>
            <w:r>
              <w:rPr>
                <w:rFonts w:ascii="Times New Roman"/>
                <w:sz w:val="22"/>
              </w:rPr>
            </w:r>
          </w:p>
        </w:tc>
      </w:tr>
      <w:tr>
        <w:trPr>
          <w:trHeight w:val="323"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 w:right="0"/>
              <w:jc w:val="left"/>
              <w:rPr>
                <w:rFonts w:ascii="宋体" w:hAnsi="宋体" w:cs="宋体" w:eastAsia="宋体" w:hint="default"/>
                <w:sz w:val="22"/>
                <w:szCs w:val="22"/>
              </w:rPr>
            </w:pPr>
            <w:r>
              <w:rPr>
                <w:rFonts w:ascii="宋体" w:hAnsi="宋体" w:cs="宋体" w:eastAsia="宋体" w:hint="default"/>
                <w:sz w:val="22"/>
                <w:szCs w:val="22"/>
              </w:rPr>
              <w:t>数码及</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22,083,433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16.29%</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17,592,916</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16.15%</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25.52%</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冰箱、洗衣机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21,651,400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15.97%</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19,244,403</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17.67%</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12.51%</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空调器产品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13,033,272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9.62%</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12,806,425</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spacing w:val="-2"/>
                <w:sz w:val="22"/>
              </w:rPr>
              <w:t>11.76%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1.77%</w:t>
            </w:r>
            <w:r>
              <w:rPr>
                <w:rFonts w:ascii="Times New Roman"/>
                <w:sz w:val="22"/>
              </w:rPr>
            </w:r>
          </w:p>
        </w:tc>
      </w:tr>
      <w:tr>
        <w:trPr>
          <w:trHeight w:val="323"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安装维修业务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w w:val="95"/>
                <w:sz w:val="22"/>
              </w:rPr>
              <w:t>1,127,063</w:t>
            </w:r>
            <w:r>
              <w:rPr>
                <w:rFonts w:ascii="Times New Roman"/>
                <w:sz w:val="22"/>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0.83%</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894,748</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0.82%</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25.96%</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2,832,005</w:t>
            </w:r>
            <w:r>
              <w:rPr>
                <w:rFonts w:ascii="Times New Roman"/>
                <w:sz w:val="22"/>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2.09%</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263,247</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0.24%</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975.80%</w:t>
            </w:r>
            <w:r>
              <w:rPr>
                <w:rFonts w:ascii="Times New Roman"/>
                <w:sz w:val="22"/>
              </w:rPr>
            </w:r>
          </w:p>
        </w:tc>
      </w:tr>
      <w:tr>
        <w:trPr>
          <w:trHeight w:val="295" w:hRule="exact"/>
        </w:trPr>
        <w:tc>
          <w:tcPr>
            <w:tcW w:w="969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分地区</w:t>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1"/>
                <w:sz w:val="22"/>
              </w:rPr>
              <w:t>29,800,235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1"/>
                <w:sz w:val="22"/>
              </w:rPr>
              <w:t>21.98%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w w:val="95"/>
                <w:sz w:val="22"/>
              </w:rPr>
              <w:t>23,542,811</w:t>
            </w:r>
            <w:r>
              <w:rPr>
                <w:rFonts w:ascii="Times New Roman"/>
                <w:spacing w:val="-1"/>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1"/>
                <w:sz w:val="22"/>
              </w:rPr>
              <w:t>21.62%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26.58%</w:t>
            </w:r>
            <w:r>
              <w:rPr>
                <w:rFonts w:ascii="Times New Roman"/>
                <w:sz w:val="22"/>
              </w:rPr>
            </w:r>
          </w:p>
        </w:tc>
      </w:tr>
      <w:tr>
        <w:trPr>
          <w:trHeight w:val="323"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21,223,722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15.66%</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16,177,625</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spacing w:val="-1"/>
                <w:sz w:val="22"/>
              </w:rPr>
              <w:t>14.86%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31.19%</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21,220,515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15.66%</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15,879,477</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14.58%</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33.63%</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15,185,492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spacing w:val="-2"/>
                <w:sz w:val="22"/>
              </w:rPr>
              <w:t>11.20%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13,376,794</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12.28%</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13.52%</w:t>
            </w:r>
            <w:r>
              <w:rPr>
                <w:rFonts w:ascii="Times New Roman"/>
                <w:sz w:val="22"/>
              </w:rPr>
            </w:r>
          </w:p>
        </w:tc>
      </w:tr>
      <w:tr>
        <w:trPr>
          <w:trHeight w:val="323"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13,406,645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9.89%</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spacing w:val="-1"/>
                <w:sz w:val="22"/>
              </w:rPr>
              <w:t>11,463,944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10.52%</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16.95%</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8,433,372</w:t>
            </w:r>
            <w:r>
              <w:rPr>
                <w:rFonts w:ascii="Times New Roman"/>
                <w:sz w:val="22"/>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6.22%</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6,627,422</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6.08%</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27.25%</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6,488,679</w:t>
            </w:r>
            <w:r>
              <w:rPr>
                <w:rFonts w:ascii="Times New Roman"/>
                <w:sz w:val="22"/>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4.79%</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5,364,303</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4.92%</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20.96%</w:t>
            </w:r>
            <w:r>
              <w:rPr>
                <w:rFonts w:ascii="Times New Roman"/>
                <w:sz w:val="22"/>
              </w:rPr>
            </w:r>
          </w:p>
        </w:tc>
      </w:tr>
      <w:tr>
        <w:trPr>
          <w:trHeight w:val="323"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w w:val="95"/>
                <w:sz w:val="22"/>
              </w:rPr>
              <w:t>6,313,865</w:t>
            </w:r>
            <w:r>
              <w:rPr>
                <w:rFonts w:ascii="Times New Roman"/>
                <w:sz w:val="22"/>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4.66%</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5,221,400</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4.79%</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20.92%</w:t>
            </w:r>
            <w:r>
              <w:rPr>
                <w:rFonts w:ascii="Times New Roman"/>
                <w:sz w:val="22"/>
              </w:rPr>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香港地区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7,337,512</w:t>
            </w:r>
            <w:r>
              <w:rPr>
                <w:rFonts w:ascii="Times New Roman"/>
                <w:sz w:val="22"/>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5.41%</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7,525,180</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6.91%</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-2.49%</w:t>
            </w:r>
            <w:r>
              <w:rPr>
                <w:rFonts w:ascii="Times New Roman"/>
                <w:sz w:val="22"/>
              </w:rPr>
            </w:r>
          </w:p>
        </w:tc>
      </w:tr>
      <w:tr>
        <w:trPr>
          <w:trHeight w:val="323"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日本地区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4,483,997</w:t>
            </w:r>
            <w:r>
              <w:rPr>
                <w:rFonts w:ascii="Times New Roman"/>
                <w:sz w:val="22"/>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3.31%</w:t>
            </w:r>
            <w:r>
              <w:rPr>
                <w:rFonts w:ascii="Times New Roman"/>
                <w:sz w:val="22"/>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2,080,732</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1.91%</w:t>
            </w:r>
            <w:r>
              <w:rPr>
                <w:rFonts w:ascii="Times New Roman"/>
                <w:sz w:val="22"/>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2"/>
                <w:sz w:val="22"/>
              </w:rPr>
              <w:t>115.50%</w:t>
            </w:r>
          </w:p>
        </w:tc>
      </w:tr>
    </w:tbl>
    <w:p>
      <w:pPr>
        <w:pStyle w:val="BodyText"/>
        <w:spacing w:line="369" w:lineRule="auto" w:before="55"/>
        <w:ind w:right="1130" w:firstLine="440"/>
        <w:jc w:val="left"/>
      </w:pPr>
      <w:r>
        <w:rPr/>
        <w:t>注</w:t>
      </w:r>
      <w:r>
        <w:rPr>
          <w:spacing w:val="-57"/>
        </w:rPr>
        <w:t> </w:t>
      </w:r>
      <w:r>
        <w:rPr>
          <w:rFonts w:ascii="Times New Roman" w:hAnsi="Times New Roman" w:cs="Times New Roman" w:eastAsia="Times New Roman" w:hint="default"/>
        </w:rPr>
        <w:t>1</w:t>
      </w:r>
      <w:r>
        <w:rPr/>
        <w:t>：报告期内，公司从关联方苏宁置业集团有限公司及子公司、苏宁电器集团有限公司及子公</w:t>
      </w:r>
      <w:r>
        <w:rPr>
          <w:w w:val="99"/>
        </w:rPr>
        <w:t> </w:t>
      </w:r>
      <w:r>
        <w:rPr/>
        <w:t>司取得销售商品、提供安维服务、招商代理服务，合计实现主营业务收入</w:t>
      </w:r>
      <w:r>
        <w:rPr>
          <w:spacing w:val="-58"/>
        </w:rPr>
        <w:t> </w:t>
      </w:r>
      <w:r>
        <w:rPr>
          <w:rFonts w:ascii="Times New Roman" w:hAnsi="Times New Roman" w:cs="Times New Roman" w:eastAsia="Times New Roman" w:hint="default"/>
        </w:rPr>
        <w:t>3,838</w:t>
      </w:r>
      <w:r>
        <w:rPr>
          <w:rFonts w:ascii="Times New Roman" w:hAnsi="Times New Roman" w:cs="Times New Roman" w:eastAsia="Times New Roman" w:hint="default"/>
          <w:spacing w:val="-8"/>
        </w:rPr>
        <w:t> </w:t>
      </w:r>
      <w:r>
        <w:rPr/>
        <w:t>万元。</w:t>
      </w:r>
    </w:p>
    <w:p>
      <w:pPr>
        <w:pStyle w:val="BodyText"/>
        <w:spacing w:line="240" w:lineRule="auto" w:before="32"/>
        <w:ind w:left="594" w:right="1082"/>
        <w:jc w:val="left"/>
      </w:pPr>
      <w:r>
        <w:rPr/>
        <w:t>注</w:t>
      </w:r>
      <w:r>
        <w:rPr>
          <w:spacing w:val="-64"/>
        </w:rPr>
        <w:t> </w:t>
      </w:r>
      <w:r>
        <w:rPr>
          <w:rFonts w:ascii="Times New Roman" w:hAnsi="Times New Roman" w:cs="Times New Roman" w:eastAsia="Times New Roman" w:hint="default"/>
        </w:rPr>
        <w:t>2</w:t>
      </w:r>
      <w:r>
        <w:rPr/>
        <w:t>：小家电产品包括厨卫、生活电器以及母婴、百货、日用等品类。</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66"/>
        <w:ind w:left="595" w:right="1082"/>
        <w:jc w:val="left"/>
        <w:rPr>
          <w:b w:val="0"/>
          <w:bCs w:val="0"/>
        </w:rPr>
      </w:pPr>
      <w:r>
        <w:rPr/>
        <w:t>主营业务收入说明：</w:t>
      </w:r>
      <w:r>
        <w:rPr>
          <w:b w:val="0"/>
          <w:bCs w:val="0"/>
        </w:rPr>
      </w:r>
    </w:p>
    <w:p>
      <w:pPr>
        <w:pStyle w:val="Heading4"/>
        <w:spacing w:line="240" w:lineRule="auto" w:before="180"/>
        <w:ind w:left="595" w:right="1082"/>
        <w:jc w:val="left"/>
        <w:rPr>
          <w:b w:val="0"/>
          <w:bCs w:val="0"/>
        </w:rPr>
      </w:pPr>
      <w:r>
        <w:rPr>
          <w:rFonts w:ascii="Wingdings" w:hAnsi="Wingdings" w:cs="Wingdings" w:eastAsia="Wingdings" w:hint="default"/>
          <w:b w:val="0"/>
          <w:bCs w:val="0"/>
        </w:rPr>
        <w:t></w:t>
      </w:r>
      <w:r>
        <w:rPr/>
        <w:t>通讯产品</w:t>
      </w:r>
      <w:r>
        <w:rPr>
          <w:b w:val="0"/>
          <w:bCs w:val="0"/>
        </w:rPr>
      </w:r>
    </w:p>
    <w:p>
      <w:pPr>
        <w:pStyle w:val="BodyText"/>
        <w:spacing w:line="384" w:lineRule="auto" w:before="164"/>
        <w:ind w:right="1136" w:firstLine="44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3"/>
        </w:rPr>
        <w:t>年，通讯事业部以公司化专业运营。聚焦供应链建设，加强与品牌商的战略合作，推进畅销</w:t>
      </w:r>
      <w:r>
        <w:rPr>
          <w:w w:val="99"/>
        </w:rPr>
        <w:t> </w:t>
      </w:r>
      <w:r>
        <w:rPr>
          <w:spacing w:val="-2"/>
        </w:rPr>
        <w:t>型号单品运作，如新品首销、单品包销等；互联网品牌合作加大力度，积极发挥线下优势，推进互联</w:t>
      </w:r>
      <w:r>
        <w:rPr>
          <w:spacing w:val="-85"/>
        </w:rPr>
        <w:t> </w:t>
      </w:r>
      <w:r>
        <w:rPr>
          <w:spacing w:val="-85"/>
        </w:rPr>
      </w:r>
      <w:r>
        <w:rPr>
          <w:spacing w:val="-1"/>
          <w:w w:val="95"/>
        </w:rPr>
        <w:t>网品牌线下的专区落地，增强体验，带来互联网品牌销售增长较快，但由于该类商品毛利率较低，虽</w:t>
      </w:r>
      <w:r>
        <w:rPr>
          <w:spacing w:val="49"/>
          <w:w w:val="95"/>
        </w:rPr>
        <w:t> </w:t>
      </w:r>
      <w:r>
        <w:rPr>
          <w:spacing w:val="49"/>
          <w:w w:val="95"/>
        </w:rPr>
      </w:r>
      <w:r>
        <w:rPr>
          <w:spacing w:val="-1"/>
          <w:w w:val="95"/>
        </w:rPr>
        <w:t>然规模增长较快，但毛利贡献有待提升。未来公司将持续强化运营，优化产品结构，聚焦资源打造高</w:t>
      </w:r>
      <w:r>
        <w:rPr>
          <w:spacing w:val="51"/>
          <w:w w:val="95"/>
        </w:rPr>
        <w:t> </w:t>
      </w:r>
      <w:r>
        <w:rPr>
          <w:spacing w:val="51"/>
          <w:w w:val="95"/>
        </w:rPr>
      </w:r>
      <w:r>
        <w:rPr/>
        <w:t>附加值产品销售，同时加强智能穿戴设备等周边产品销售提升。</w:t>
      </w:r>
    </w:p>
    <w:p>
      <w:pPr>
        <w:spacing w:line="369" w:lineRule="auto" w:before="48"/>
        <w:ind w:left="594" w:right="1082" w:firstLine="1"/>
        <w:jc w:val="left"/>
        <w:rPr>
          <w:rFonts w:ascii="宋体" w:hAnsi="宋体" w:cs="宋体" w:eastAsia="宋体" w:hint="default"/>
          <w:sz w:val="22"/>
          <w:szCs w:val="22"/>
        </w:rPr>
      </w:pPr>
      <w:r>
        <w:rPr>
          <w:rFonts w:ascii="Wingdings" w:hAnsi="Wingdings" w:cs="Wingdings" w:eastAsia="Wingdings" w:hint="default"/>
          <w:sz w:val="22"/>
          <w:szCs w:val="22"/>
        </w:rPr>
        <w:t></w:t>
      </w:r>
      <w:r>
        <w:rPr>
          <w:rFonts w:ascii="宋体" w:hAnsi="宋体" w:cs="宋体" w:eastAsia="宋体" w:hint="default"/>
          <w:b/>
          <w:bCs/>
          <w:sz w:val="22"/>
          <w:szCs w:val="22"/>
        </w:rPr>
        <w:t>生活、母婴、百货日用产品</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母婴、超市品类拓展上，公司持续优化供应链管理，提升商品品质及价格竞争力；与此同时，公</w:t>
      </w:r>
    </w:p>
    <w:p>
      <w:pPr>
        <w:pStyle w:val="BodyText"/>
        <w:spacing w:line="379" w:lineRule="auto" w:before="61"/>
        <w:ind w:left="154" w:right="1132"/>
        <w:jc w:val="both"/>
      </w:pPr>
      <w:r>
        <w:rPr/>
        <w:t>司打造线上母婴、超市频道，线下红孩子专业店、苏宁超市 </w:t>
      </w:r>
      <w:r>
        <w:rPr>
          <w:rFonts w:ascii="Times New Roman" w:hAnsi="Times New Roman" w:cs="Times New Roman" w:eastAsia="Times New Roman" w:hint="default"/>
        </w:rPr>
        <w:t>O2O</w:t>
      </w:r>
      <w:r>
        <w:rPr>
          <w:rFonts w:ascii="Times New Roman" w:hAnsi="Times New Roman" w:cs="Times New Roman" w:eastAsia="Times New Roman" w:hint="default"/>
          <w:spacing w:val="11"/>
        </w:rPr>
        <w:t> </w:t>
      </w:r>
      <w:r>
        <w:rPr/>
        <w:t>融合的产品销售体验，增强客户粘</w:t>
      </w:r>
      <w:r>
        <w:rPr>
          <w:w w:val="99"/>
        </w:rPr>
        <w:t> </w:t>
      </w:r>
      <w:r>
        <w:rPr>
          <w:spacing w:val="-2"/>
        </w:rPr>
        <w:t>性，提升品牌的美誉度。公司继续围绕健康家居、品质生活拓展产品，加大空气净化、净水等产品的</w:t>
      </w:r>
      <w:r>
        <w:rPr>
          <w:spacing w:val="-87"/>
        </w:rPr>
        <w:t> </w:t>
      </w:r>
      <w:r>
        <w:rPr>
          <w:spacing w:val="-87"/>
        </w:rPr>
      </w:r>
      <w:r>
        <w:rPr/>
        <w:t>销售推广。报告期内，随着商品品类的不断丰富，购物体验提升，该品类实现了较快增长。</w:t>
      </w:r>
    </w:p>
    <w:p>
      <w:pPr>
        <w:pStyle w:val="BodyText"/>
        <w:spacing w:line="369" w:lineRule="auto" w:before="52"/>
        <w:ind w:left="154" w:right="1133" w:firstLine="440"/>
        <w:jc w:val="both"/>
      </w:pPr>
      <w:r>
        <w:rPr/>
        <w:t>公司将继续通过自营及开放平台的方式，不断引进丰富</w:t>
      </w:r>
      <w:r>
        <w:rPr>
          <w:spacing w:val="45"/>
        </w:rPr>
        <w:t> </w:t>
      </w:r>
      <w:r>
        <w:rPr>
          <w:rFonts w:ascii="Times New Roman" w:hAnsi="Times New Roman" w:cs="Times New Roman" w:eastAsia="Times New Roman" w:hint="default"/>
        </w:rPr>
        <w:t>SKU</w:t>
      </w:r>
      <w:r>
        <w:rPr/>
        <w:t>，并通过积极的价格促销政策，不</w:t>
      </w:r>
      <w:r>
        <w:rPr>
          <w:w w:val="99"/>
        </w:rPr>
        <w:t> </w:t>
      </w:r>
      <w:r>
        <w:rPr/>
        <w:t>断提升市场份额。</w:t>
      </w:r>
    </w:p>
    <w:p>
      <w:pPr>
        <w:pStyle w:val="BodyText"/>
        <w:spacing w:line="369" w:lineRule="auto" w:before="61"/>
        <w:ind w:left="594" w:right="1082" w:firstLine="1"/>
        <w:jc w:val="left"/>
      </w:pPr>
      <w:r>
        <w:rPr>
          <w:rFonts w:ascii="Wingdings" w:hAnsi="Wingdings" w:cs="Wingdings" w:eastAsia="Wingdings" w:hint="default"/>
        </w:rPr>
        <w:t></w:t>
      </w:r>
      <w:r>
        <w:rPr>
          <w:rFonts w:ascii="宋体" w:hAnsi="宋体" w:cs="宋体" w:eastAsia="宋体" w:hint="default"/>
          <w:b/>
          <w:bCs/>
        </w:rPr>
        <w:t>传统家电产品</w:t>
      </w:r>
      <w:r>
        <w:rPr>
          <w:rFonts w:ascii="宋体" w:hAnsi="宋体" w:cs="宋体" w:eastAsia="宋体" w:hint="default"/>
          <w:b/>
          <w:bCs/>
          <w:spacing w:val="1"/>
          <w:w w:val="99"/>
        </w:rPr>
        <w:t> </w:t>
      </w:r>
      <w:r>
        <w:rPr>
          <w:spacing w:val="-2"/>
        </w:rPr>
        <w:t>报告期内，家电产品受到天气、房地产市场景气度低等外部环境影响，加之家电行业进入结构调</w:t>
      </w:r>
    </w:p>
    <w:p>
      <w:pPr>
        <w:pStyle w:val="BodyText"/>
        <w:spacing w:line="391" w:lineRule="auto" w:before="61"/>
        <w:ind w:left="154" w:right="0"/>
        <w:jc w:val="left"/>
      </w:pPr>
      <w:r>
        <w:rPr/>
        <w:t>整、产品升级的周期，销售增速放缓。随着数字化、智能化的科技运用，家电行业将迎来产业变革，</w:t>
      </w:r>
      <w:r>
        <w:rPr>
          <w:spacing w:val="-67"/>
        </w:rPr>
        <w:t> </w:t>
      </w:r>
      <w:r>
        <w:rPr>
          <w:spacing w:val="-67"/>
        </w:rPr>
      </w:r>
      <w:r>
        <w:rPr>
          <w:spacing w:val="-6"/>
        </w:rPr>
        <w:t>而公司将紧抓机遇，以用户为中心，通过大牌联动、智能产品运营，并发挥全渠道优势创新服务方式，</w:t>
      </w:r>
      <w:r>
        <w:rPr>
          <w:w w:val="99"/>
        </w:rPr>
        <w:t> </w:t>
      </w:r>
      <w:r>
        <w:rPr/>
        <w:t>如进一步拓展家电送装一体、免费安装服务升级等举措加强家电销售。</w:t>
      </w:r>
    </w:p>
    <w:p>
      <w:pPr>
        <w:pStyle w:val="BodyText"/>
        <w:spacing w:line="369" w:lineRule="auto" w:before="41"/>
        <w:ind w:left="594" w:right="1082" w:firstLine="1"/>
        <w:jc w:val="left"/>
      </w:pPr>
      <w:r>
        <w:rPr>
          <w:rFonts w:ascii="Wingdings" w:hAnsi="Wingdings" w:cs="Wingdings" w:eastAsia="Wingdings" w:hint="default"/>
        </w:rPr>
        <w:t></w:t>
      </w:r>
      <w:r>
        <w:rPr>
          <w:rFonts w:ascii="宋体" w:hAnsi="宋体" w:cs="宋体" w:eastAsia="宋体" w:hint="default"/>
          <w:b/>
          <w:bCs/>
        </w:rPr>
        <w:t>其他产品</w:t>
      </w:r>
      <w:r>
        <w:rPr>
          <w:rFonts w:ascii="宋体" w:hAnsi="宋体" w:cs="宋体" w:eastAsia="宋体" w:hint="default"/>
          <w:b/>
          <w:bCs/>
          <w:spacing w:val="1"/>
          <w:w w:val="99"/>
        </w:rPr>
        <w:t> </w:t>
      </w:r>
      <w:r>
        <w:rPr>
          <w:spacing w:val="-2"/>
        </w:rPr>
        <w:t>报告期内，其他产品收入增加较快，主要为：一方面，公司在各地的苏宁广场配套物业竣工并实</w:t>
      </w:r>
    </w:p>
    <w:p>
      <w:pPr>
        <w:pStyle w:val="BodyText"/>
        <w:spacing w:line="384" w:lineRule="auto" w:before="61"/>
        <w:ind w:left="154" w:right="1132"/>
        <w:jc w:val="both"/>
      </w:pPr>
      <w:r>
        <w:rPr>
          <w:spacing w:val="-1"/>
          <w:w w:val="95"/>
        </w:rPr>
        <w:t>现销售；另一方面，苏宁易购开放平台商户发展较快，平台运营能力增强，收取的佣金收入以及广告</w:t>
      </w:r>
      <w:r>
        <w:rPr>
          <w:spacing w:val="49"/>
          <w:w w:val="95"/>
        </w:rPr>
        <w:t> </w:t>
      </w:r>
      <w:r>
        <w:rPr>
          <w:spacing w:val="49"/>
          <w:w w:val="95"/>
        </w:rPr>
      </w:r>
      <w:r>
        <w:rPr>
          <w:spacing w:val="-1"/>
        </w:rPr>
        <w:t>收入增加，苏宁金融易付宝手续费收入，供应链融资利息收入以及互联网理财、众筹业务的信息服务</w:t>
      </w:r>
      <w:r>
        <w:rPr>
          <w:w w:val="99"/>
        </w:rPr>
        <w:t> </w:t>
      </w:r>
      <w:r>
        <w:rPr>
          <w:spacing w:val="-11"/>
        </w:rPr>
        <w:t>收入增加，同时</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spacing w:val="-3"/>
        </w:rPr>
        <w:t>年公司进行物流社会化运作也开始产生收入。随着公司互联网零售用户的增加、</w:t>
      </w:r>
      <w:r>
        <w:rPr>
          <w:spacing w:val="-108"/>
        </w:rPr>
        <w:t> </w:t>
      </w:r>
      <w:r>
        <w:rPr>
          <w:spacing w:val="-108"/>
        </w:rPr>
      </w:r>
      <w:r>
        <w:rPr/>
        <w:t>平台运营能力的成熟，面向用户、商户的增值服务能力提升，将是公司未来利润的主要增长点。</w:t>
      </w:r>
    </w:p>
    <w:p>
      <w:pPr>
        <w:spacing w:after="0" w:line="384" w:lineRule="auto"/>
        <w:jc w:val="both"/>
        <w:sectPr>
          <w:pgSz w:w="11910" w:h="16840"/>
          <w:pgMar w:header="747" w:footer="979" w:top="1060" w:bottom="1160" w:left="980" w:right="0"/>
        </w:sectPr>
      </w:pPr>
    </w:p>
    <w:p>
      <w:pPr>
        <w:spacing w:line="240" w:lineRule="auto" w:before="5"/>
        <w:rPr>
          <w:rFonts w:ascii="宋体" w:hAnsi="宋体" w:cs="宋体" w:eastAsia="宋体" w:hint="default"/>
          <w:sz w:val="24"/>
          <w:szCs w:val="24"/>
        </w:rPr>
      </w:pPr>
    </w:p>
    <w:p>
      <w:pPr>
        <w:pStyle w:val="Heading4"/>
        <w:spacing w:line="240" w:lineRule="auto" w:before="31"/>
        <w:ind w:left="273" w:right="1119"/>
        <w:jc w:val="left"/>
        <w:rPr>
          <w:b w:val="0"/>
          <w:bCs w:val="0"/>
        </w:rPr>
      </w:pPr>
      <w:bookmarkStart w:name="（2）占公司营业收入10%以上的行业、产品或地区情况" w:id="30"/>
      <w:bookmarkEnd w:id="30"/>
      <w:r>
        <w:rPr>
          <w:b w:val="0"/>
          <w:bCs w:val="0"/>
        </w:rPr>
      </w:r>
      <w:r>
        <w:rPr/>
        <w:t>（</w:t>
      </w:r>
      <w:r>
        <w:rPr>
          <w:rFonts w:ascii="Times New Roman" w:hAnsi="Times New Roman" w:cs="Times New Roman" w:eastAsia="Times New Roman" w:hint="default"/>
        </w:rPr>
        <w:t>2</w:t>
      </w:r>
      <w:r>
        <w:rPr/>
        <w:t>）占公司营业收入</w:t>
      </w:r>
      <w:r>
        <w:rPr>
          <w:spacing w:val="-6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0"/>
          <w:szCs w:val="20"/>
        </w:rPr>
      </w:pPr>
    </w:p>
    <w:p>
      <w:pPr>
        <w:pStyle w:val="BodyText"/>
        <w:spacing w:line="240" w:lineRule="auto" w:before="31"/>
        <w:ind w:left="0" w:right="1132"/>
        <w:jc w:val="right"/>
      </w:pPr>
      <w:r>
        <w:rPr>
          <w:w w:val="95"/>
        </w:rPr>
        <w:t>单位：千元</w:t>
      </w:r>
      <w:r>
        <w:rPr/>
      </w:r>
    </w:p>
    <w:p>
      <w:pPr>
        <w:spacing w:line="240" w:lineRule="auto" w:before="8"/>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66"/>
        <w:gridCol w:w="1367"/>
        <w:gridCol w:w="1520"/>
        <w:gridCol w:w="992"/>
        <w:gridCol w:w="1418"/>
        <w:gridCol w:w="1538"/>
        <w:gridCol w:w="1370"/>
      </w:tblGrid>
      <w:tr>
        <w:trPr>
          <w:trHeight w:val="581" w:hRule="exact"/>
        </w:trPr>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38"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314" w:right="0"/>
              <w:jc w:val="left"/>
              <w:rPr>
                <w:rFonts w:ascii="宋体" w:hAnsi="宋体" w:cs="宋体" w:eastAsia="宋体" w:hint="default"/>
                <w:sz w:val="22"/>
                <w:szCs w:val="22"/>
              </w:rPr>
            </w:pPr>
            <w:r>
              <w:rPr>
                <w:rFonts w:ascii="宋体" w:hAnsi="宋体" w:cs="宋体" w:eastAsia="宋体" w:hint="default"/>
                <w:sz w:val="22"/>
                <w:szCs w:val="22"/>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62" w:right="0"/>
              <w:jc w:val="left"/>
              <w:rPr>
                <w:rFonts w:ascii="宋体" w:hAnsi="宋体" w:cs="宋体" w:eastAsia="宋体" w:hint="default"/>
                <w:sz w:val="22"/>
                <w:szCs w:val="22"/>
              </w:rPr>
            </w:pPr>
            <w:r>
              <w:rPr>
                <w:rFonts w:ascii="宋体" w:hAnsi="宋体" w:cs="宋体" w:eastAsia="宋体" w:hint="default"/>
                <w:sz w:val="22"/>
                <w:szCs w:val="22"/>
              </w:rPr>
              <w:t>毛利率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营业收入比上</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年同期增减</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营业成本比上</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129" w:right="0"/>
              <w:jc w:val="left"/>
              <w:rPr>
                <w:rFonts w:ascii="宋体" w:hAnsi="宋体" w:cs="宋体" w:eastAsia="宋体" w:hint="default"/>
                <w:sz w:val="22"/>
                <w:szCs w:val="22"/>
              </w:rPr>
            </w:pPr>
            <w:r>
              <w:rPr>
                <w:rFonts w:ascii="宋体" w:hAnsi="宋体" w:cs="宋体" w:eastAsia="宋体" w:hint="default"/>
                <w:sz w:val="22"/>
                <w:szCs w:val="22"/>
              </w:rPr>
              <w:t>毛利率比上</w:t>
            </w:r>
          </w:p>
          <w:p>
            <w:pPr>
              <w:pStyle w:val="TableParagraph"/>
              <w:spacing w:line="287" w:lineRule="exact"/>
              <w:ind w:left="129" w:right="0"/>
              <w:jc w:val="left"/>
              <w:rPr>
                <w:rFonts w:ascii="宋体" w:hAnsi="宋体" w:cs="宋体" w:eastAsia="宋体" w:hint="default"/>
                <w:sz w:val="22"/>
                <w:szCs w:val="22"/>
              </w:rPr>
            </w:pPr>
            <w:r>
              <w:rPr>
                <w:rFonts w:ascii="宋体" w:hAnsi="宋体" w:cs="宋体" w:eastAsia="宋体" w:hint="default"/>
                <w:sz w:val="22"/>
                <w:szCs w:val="22"/>
              </w:rPr>
              <w:t>年同期增减</w:t>
            </w:r>
          </w:p>
        </w:tc>
      </w:tr>
      <w:tr>
        <w:trPr>
          <w:trHeight w:val="295" w:hRule="exact"/>
        </w:trPr>
        <w:tc>
          <w:tcPr>
            <w:tcW w:w="99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分行业</w:t>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spacing w:val="-1"/>
                <w:sz w:val="22"/>
              </w:rPr>
              <w:t>133,894,034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1"/>
                <w:w w:val="95"/>
                <w:sz w:val="22"/>
              </w:rPr>
              <w:t>115,548,378</w:t>
            </w:r>
            <w:r>
              <w:rPr>
                <w:rFonts w:ascii="Times New Roman"/>
                <w:spacing w:val="-1"/>
                <w:sz w:val="22"/>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13.70%</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24.83%</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25.72%</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-0.61%</w:t>
            </w:r>
            <w:r>
              <w:rPr>
                <w:rFonts w:ascii="Times New Roman"/>
                <w:sz w:val="22"/>
              </w:rPr>
            </w:r>
          </w:p>
        </w:tc>
      </w:tr>
      <w:tr>
        <w:trPr>
          <w:trHeight w:val="295" w:hRule="exact"/>
        </w:trPr>
        <w:tc>
          <w:tcPr>
            <w:tcW w:w="99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分产品</w:t>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通讯产品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27,042,125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24,907,969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7.89%</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51.27%</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53.47%</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-1.32%</w:t>
            </w:r>
            <w:r>
              <w:rPr>
                <w:rFonts w:ascii="Times New Roman"/>
                <w:sz w:val="22"/>
              </w:rPr>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pacing w:val="-7"/>
                <w:sz w:val="22"/>
                <w:szCs w:val="22"/>
              </w:rPr>
              <w:t>彩电、音像、碟机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23,195,013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19,080,138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17.74%</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8.92%</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8.96%</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-0.03%</w:t>
            </w:r>
            <w:r>
              <w:rPr>
                <w:rFonts w:ascii="Times New Roman"/>
                <w:sz w:val="22"/>
              </w:rPr>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小家电产品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22,929,723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18,691,468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18.48%</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32.66%</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32.67%</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-0.01%</w:t>
            </w:r>
            <w:r>
              <w:rPr>
                <w:rFonts w:ascii="Times New Roman"/>
                <w:sz w:val="22"/>
              </w:rPr>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 w:right="0"/>
              <w:jc w:val="left"/>
              <w:rPr>
                <w:rFonts w:ascii="宋体" w:hAnsi="宋体" w:cs="宋体" w:eastAsia="宋体" w:hint="default"/>
                <w:sz w:val="22"/>
                <w:szCs w:val="22"/>
              </w:rPr>
            </w:pPr>
            <w:r>
              <w:rPr>
                <w:rFonts w:ascii="宋体" w:hAnsi="宋体" w:cs="宋体" w:eastAsia="宋体" w:hint="default"/>
                <w:sz w:val="22"/>
                <w:szCs w:val="22"/>
              </w:rPr>
              <w:t>数码及</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22,083,433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21,041,058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4.72%</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25.52%</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26.31%</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-0.60%</w:t>
            </w:r>
            <w:r>
              <w:rPr>
                <w:rFonts w:ascii="Times New Roman"/>
                <w:sz w:val="22"/>
              </w:rPr>
            </w:r>
          </w:p>
        </w:tc>
      </w:tr>
      <w:tr>
        <w:trPr>
          <w:trHeight w:val="296"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冰箱、洗衣机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21,651,400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17,768,898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17.93%</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12.51%</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12.58%</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-0.05%</w:t>
            </w:r>
            <w:r>
              <w:rPr>
                <w:rFonts w:ascii="Times New Roman"/>
                <w:sz w:val="22"/>
              </w:rPr>
            </w:r>
          </w:p>
        </w:tc>
      </w:tr>
      <w:tr>
        <w:trPr>
          <w:trHeight w:val="296" w:hRule="exact"/>
        </w:trPr>
        <w:tc>
          <w:tcPr>
            <w:tcW w:w="99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分地区</w:t>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spacing w:val="-1"/>
                <w:sz w:val="22"/>
              </w:rPr>
              <w:t>29,800,235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1"/>
                <w:sz w:val="22"/>
              </w:rPr>
              <w:t>25,869,234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13.19%</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26.58%</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31.48%</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-3.24%</w:t>
            </w:r>
            <w:r>
              <w:rPr>
                <w:rFonts w:ascii="Times New Roman"/>
                <w:sz w:val="22"/>
              </w:rPr>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1"/>
                <w:sz w:val="22"/>
              </w:rPr>
              <w:t>21,223,722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1"/>
                <w:sz w:val="22"/>
              </w:rPr>
              <w:t>18,576,006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12.48%</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31.19%</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32.66%</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-0.96%</w:t>
            </w:r>
            <w:r>
              <w:rPr>
                <w:rFonts w:ascii="Times New Roman"/>
                <w:sz w:val="22"/>
              </w:rPr>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1"/>
                <w:sz w:val="22"/>
              </w:rPr>
              <w:t>21,220,515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1"/>
                <w:sz w:val="22"/>
              </w:rPr>
              <w:t>18,612,868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12.29%</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33.63%</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34.78%</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-0.74%</w:t>
            </w:r>
            <w:r>
              <w:rPr>
                <w:rFonts w:ascii="Times New Roman"/>
                <w:sz w:val="22"/>
              </w:rPr>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1"/>
                <w:sz w:val="22"/>
              </w:rPr>
              <w:t>15,185,492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1"/>
                <w:sz w:val="22"/>
              </w:rPr>
              <w:t>12,977,071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14.54%</w:t>
            </w:r>
            <w:r>
              <w:rPr>
                <w:rFonts w:ascii="Times New Roman"/>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13.52%</w:t>
            </w:r>
            <w:r>
              <w:rPr>
                <w:rFonts w:ascii="Times New Roman"/>
                <w:sz w:val="22"/>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13.89%</w:t>
            </w:r>
            <w:r>
              <w:rPr>
                <w:rFonts w:ascii="Times New Roman"/>
                <w:sz w:val="22"/>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-0.28%</w:t>
            </w:r>
            <w:r>
              <w:rPr>
                <w:rFonts w:ascii="Times New Roman"/>
                <w:sz w:val="22"/>
              </w:rPr>
            </w:r>
          </w:p>
        </w:tc>
      </w:tr>
    </w:tbl>
    <w:p>
      <w:pPr>
        <w:pStyle w:val="BodyText"/>
        <w:spacing w:line="369" w:lineRule="auto" w:before="55"/>
        <w:ind w:left="274" w:right="1119" w:firstLine="440"/>
        <w:jc w:val="left"/>
      </w:pPr>
      <w:r>
        <w:rPr/>
        <w:t>公司主营业务数据统计口径在报告期发生调整的情况下，公司最近</w:t>
      </w:r>
      <w:r>
        <w:rPr>
          <w:spacing w:val="-78"/>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年按报告期末口径调整后的</w:t>
      </w:r>
      <w:r>
        <w:rPr>
          <w:w w:val="99"/>
        </w:rPr>
        <w:t> </w:t>
      </w:r>
      <w:r>
        <w:rPr/>
        <w:t>主营业务数据</w:t>
      </w:r>
    </w:p>
    <w:p>
      <w:pPr>
        <w:pStyle w:val="BodyText"/>
        <w:spacing w:line="240" w:lineRule="auto" w:before="61"/>
        <w:ind w:left="714"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8"/>
        <w:rPr>
          <w:rFonts w:ascii="宋体" w:hAnsi="宋体" w:cs="宋体" w:eastAsia="宋体" w:hint="default"/>
          <w:sz w:val="29"/>
          <w:szCs w:val="29"/>
        </w:rPr>
      </w:pPr>
    </w:p>
    <w:p>
      <w:pPr>
        <w:pStyle w:val="Heading4"/>
        <w:spacing w:line="240" w:lineRule="auto"/>
        <w:ind w:left="274" w:right="1119"/>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9"/>
          <w:szCs w:val="29"/>
        </w:rPr>
      </w:pPr>
    </w:p>
    <w:p>
      <w:pPr>
        <w:pStyle w:val="BodyText"/>
        <w:spacing w:line="240" w:lineRule="auto"/>
        <w:ind w:left="714" w:right="11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p>
    <w:p>
      <w:pPr>
        <w:spacing w:line="240" w:lineRule="auto" w:before="4"/>
        <w:rPr>
          <w:rFonts w:ascii="宋体" w:hAnsi="宋体" w:cs="宋体" w:eastAsia="宋体" w:hint="default"/>
          <w:sz w:val="11"/>
          <w:szCs w:val="11"/>
        </w:rPr>
      </w:pPr>
    </w:p>
    <w:tbl>
      <w:tblPr>
        <w:tblW w:w="0" w:type="auto"/>
        <w:jc w:val="left"/>
        <w:tblInd w:w="241" w:type="dxa"/>
        <w:tblLayout w:type="fixed"/>
        <w:tblCellMar>
          <w:top w:w="0" w:type="dxa"/>
          <w:left w:w="0" w:type="dxa"/>
          <w:bottom w:w="0" w:type="dxa"/>
          <w:right w:w="0" w:type="dxa"/>
        </w:tblCellMar>
        <w:tblLook w:val="01E0"/>
      </w:tblPr>
      <w:tblGrid>
        <w:gridCol w:w="1629"/>
        <w:gridCol w:w="1604"/>
        <w:gridCol w:w="1616"/>
        <w:gridCol w:w="1614"/>
        <w:gridCol w:w="1616"/>
        <w:gridCol w:w="1615"/>
      </w:tblGrid>
      <w:tr>
        <w:trPr>
          <w:trHeight w:val="295" w:hRule="exact"/>
        </w:trPr>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2"/>
              <w:jc w:val="center"/>
              <w:rPr>
                <w:rFonts w:ascii="宋体" w:hAnsi="宋体" w:cs="宋体" w:eastAsia="宋体" w:hint="default"/>
                <w:sz w:val="22"/>
                <w:szCs w:val="22"/>
              </w:rPr>
            </w:pPr>
            <w:r>
              <w:rPr>
                <w:rFonts w:ascii="宋体" w:hAnsi="宋体" w:cs="宋体" w:eastAsia="宋体" w:hint="default"/>
                <w:sz w:val="22"/>
                <w:szCs w:val="22"/>
              </w:rPr>
              <w:t>行业分类</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2"/>
              <w:jc w:val="center"/>
              <w:rPr>
                <w:rFonts w:ascii="宋体" w:hAnsi="宋体" w:cs="宋体" w:eastAsia="宋体" w:hint="default"/>
                <w:sz w:val="22"/>
                <w:szCs w:val="22"/>
              </w:rPr>
            </w:pPr>
            <w:r>
              <w:rPr>
                <w:rFonts w:ascii="宋体" w:hAnsi="宋体" w:cs="宋体" w:eastAsia="宋体" w:hint="default"/>
                <w:sz w:val="22"/>
                <w:szCs w:val="22"/>
              </w:rPr>
              <w:t>项目</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582"/>
              <w:jc w:val="right"/>
              <w:rPr>
                <w:rFonts w:ascii="宋体" w:hAnsi="宋体" w:cs="宋体" w:eastAsia="宋体" w:hint="default"/>
                <w:sz w:val="22"/>
                <w:szCs w:val="22"/>
              </w:rPr>
            </w:pPr>
            <w:r>
              <w:rPr>
                <w:rFonts w:ascii="宋体" w:hAnsi="宋体" w:cs="宋体" w:eastAsia="宋体" w:hint="default"/>
                <w:w w:val="95"/>
                <w:sz w:val="22"/>
                <w:szCs w:val="22"/>
              </w:rPr>
              <w:t>单位</w:t>
            </w:r>
            <w:r>
              <w:rPr>
                <w:rFonts w:ascii="宋体" w:hAnsi="宋体" w:cs="宋体" w:eastAsia="宋体" w:hint="default"/>
                <w:sz w:val="22"/>
                <w:szCs w:val="22"/>
              </w:rPr>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44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44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362"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295" w:hRule="exact"/>
        </w:trPr>
        <w:tc>
          <w:tcPr>
            <w:tcW w:w="1629" w:type="dxa"/>
            <w:tcBorders>
              <w:top w:val="single" w:sz="4" w:space="0" w:color="000000"/>
              <w:left w:val="single" w:sz="4" w:space="0" w:color="000000"/>
              <w:bottom w:val="single" w:sz="4" w:space="0" w:color="000000"/>
              <w:right w:val="single" w:sz="13" w:space="0" w:color="D2D2D2"/>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零售业</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1"/>
              <w:jc w:val="center"/>
              <w:rPr>
                <w:rFonts w:ascii="宋体" w:hAnsi="宋体" w:cs="宋体" w:eastAsia="宋体" w:hint="default"/>
                <w:sz w:val="22"/>
                <w:szCs w:val="22"/>
              </w:rPr>
            </w:pPr>
            <w:r>
              <w:rPr>
                <w:rFonts w:ascii="宋体" w:hAnsi="宋体" w:cs="宋体" w:eastAsia="宋体" w:hint="default"/>
                <w:sz w:val="22"/>
                <w:szCs w:val="22"/>
              </w:rPr>
              <w:t>销售额</w:t>
            </w:r>
          </w:p>
        </w:tc>
        <w:tc>
          <w:tcPr>
            <w:tcW w:w="1616" w:type="dxa"/>
            <w:tcBorders>
              <w:top w:val="single" w:sz="4" w:space="0" w:color="000000"/>
              <w:left w:val="single" w:sz="13" w:space="0" w:color="D2D2D2"/>
              <w:bottom w:val="single" w:sz="4" w:space="0" w:color="000000"/>
              <w:right w:val="single" w:sz="4" w:space="0" w:color="000000"/>
            </w:tcBorders>
          </w:tcPr>
          <w:p>
            <w:pPr>
              <w:pStyle w:val="TableParagraph"/>
              <w:spacing w:line="252" w:lineRule="exact"/>
              <w:ind w:right="582"/>
              <w:jc w:val="right"/>
              <w:rPr>
                <w:rFonts w:ascii="宋体" w:hAnsi="宋体" w:cs="宋体" w:eastAsia="宋体" w:hint="default"/>
                <w:sz w:val="22"/>
                <w:szCs w:val="22"/>
              </w:rPr>
            </w:pPr>
            <w:r>
              <w:rPr>
                <w:rFonts w:ascii="宋体" w:hAnsi="宋体" w:cs="宋体" w:eastAsia="宋体" w:hint="default"/>
                <w:w w:val="95"/>
                <w:sz w:val="22"/>
                <w:szCs w:val="22"/>
              </w:rPr>
              <w:t>千元</w:t>
            </w:r>
            <w:r>
              <w:rPr>
                <w:rFonts w:ascii="宋体" w:hAnsi="宋体" w:cs="宋体" w:eastAsia="宋体" w:hint="default"/>
                <w:sz w:val="22"/>
                <w:szCs w:val="22"/>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81" w:right="0"/>
              <w:jc w:val="left"/>
              <w:rPr>
                <w:rFonts w:ascii="Times New Roman" w:hAnsi="Times New Roman" w:cs="Times New Roman" w:eastAsia="Times New Roman" w:hint="default"/>
                <w:sz w:val="22"/>
                <w:szCs w:val="22"/>
              </w:rPr>
            </w:pPr>
            <w:r>
              <w:rPr>
                <w:rFonts w:ascii="Times New Roman"/>
                <w:sz w:val="22"/>
              </w:rPr>
              <w:t>133,894,034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82" w:right="0"/>
              <w:jc w:val="left"/>
              <w:rPr>
                <w:rFonts w:ascii="Times New Roman" w:hAnsi="Times New Roman" w:cs="Times New Roman" w:eastAsia="Times New Roman" w:hint="default"/>
                <w:sz w:val="22"/>
                <w:szCs w:val="22"/>
              </w:rPr>
            </w:pPr>
            <w:r>
              <w:rPr>
                <w:rFonts w:ascii="Times New Roman"/>
                <w:sz w:val="22"/>
              </w:rPr>
              <w:t>107,259,688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3" w:right="0"/>
              <w:jc w:val="left"/>
              <w:rPr>
                <w:rFonts w:ascii="Times New Roman" w:hAnsi="Times New Roman" w:cs="Times New Roman" w:eastAsia="Times New Roman" w:hint="default"/>
                <w:sz w:val="22"/>
                <w:szCs w:val="22"/>
              </w:rPr>
            </w:pPr>
            <w:r>
              <w:rPr>
                <w:rFonts w:ascii="Times New Roman"/>
                <w:sz w:val="22"/>
              </w:rPr>
              <w:t>24.83%</w:t>
            </w:r>
          </w:p>
        </w:tc>
      </w:tr>
    </w:tbl>
    <w:p>
      <w:pPr>
        <w:spacing w:line="240" w:lineRule="auto" w:before="8"/>
        <w:rPr>
          <w:rFonts w:ascii="宋体" w:hAnsi="宋体" w:cs="宋体" w:eastAsia="宋体" w:hint="default"/>
          <w:sz w:val="9"/>
          <w:szCs w:val="9"/>
        </w:rPr>
      </w:pPr>
    </w:p>
    <w:p>
      <w:pPr>
        <w:pStyle w:val="BodyText"/>
        <w:spacing w:line="240" w:lineRule="auto" w:before="31"/>
        <w:ind w:left="714" w:right="1119"/>
        <w:jc w:val="left"/>
      </w:pPr>
      <w:r>
        <w:rPr/>
        <w:t>相关数据同比发生变动</w:t>
      </w:r>
      <w:r>
        <w:rPr>
          <w:spacing w:val="-62"/>
        </w:rPr>
        <w:t> </w:t>
      </w:r>
      <w:r>
        <w:rPr>
          <w:rFonts w:ascii="Times New Roman" w:hAnsi="Times New Roman" w:cs="Times New Roman" w:eastAsia="Times New Roman" w:hint="default"/>
        </w:rPr>
        <w:t>30%</w:t>
      </w:r>
      <w:r>
        <w:rPr/>
        <w:t>以上的原因说明</w:t>
      </w:r>
    </w:p>
    <w:p>
      <w:pPr>
        <w:pStyle w:val="BodyText"/>
        <w:spacing w:line="240" w:lineRule="auto" w:before="54"/>
        <w:ind w:left="714"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4"/>
        <w:rPr>
          <w:rFonts w:ascii="宋体" w:hAnsi="宋体" w:cs="宋体" w:eastAsia="宋体" w:hint="default"/>
          <w:sz w:val="25"/>
          <w:szCs w:val="25"/>
        </w:rPr>
      </w:pPr>
    </w:p>
    <w:p>
      <w:pPr>
        <w:pStyle w:val="Heading4"/>
        <w:spacing w:line="240" w:lineRule="auto"/>
        <w:ind w:left="274" w:right="1119"/>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714"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after="0" w:line="240" w:lineRule="auto"/>
        <w:jc w:val="left"/>
        <w:sectPr>
          <w:pgSz w:w="11910" w:h="16840"/>
          <w:pgMar w:header="747" w:footer="979" w:top="1060" w:bottom="1160" w:left="860" w:right="0"/>
        </w:sectPr>
      </w:pPr>
    </w:p>
    <w:p>
      <w:pPr>
        <w:spacing w:line="240" w:lineRule="auto" w:before="5"/>
        <w:rPr>
          <w:rFonts w:ascii="宋体" w:hAnsi="宋体" w:cs="宋体" w:eastAsia="宋体" w:hint="default"/>
          <w:sz w:val="24"/>
          <w:szCs w:val="24"/>
        </w:rPr>
      </w:pPr>
    </w:p>
    <w:p>
      <w:pPr>
        <w:pStyle w:val="Heading4"/>
        <w:spacing w:line="240" w:lineRule="auto" w:before="31"/>
        <w:ind w:right="108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0"/>
          <w:szCs w:val="20"/>
        </w:rPr>
      </w:pPr>
    </w:p>
    <w:p>
      <w:pPr>
        <w:pStyle w:val="BodyText"/>
        <w:spacing w:line="287" w:lineRule="exact" w:before="31"/>
        <w:ind w:right="1082"/>
        <w:jc w:val="left"/>
      </w:pPr>
      <w:r>
        <w:rPr/>
        <w:t>行业和产品分类</w:t>
      </w:r>
    </w:p>
    <w:p>
      <w:pPr>
        <w:pStyle w:val="BodyText"/>
        <w:spacing w:line="287" w:lineRule="exact"/>
        <w:ind w:left="0" w:right="1132"/>
        <w:jc w:val="right"/>
      </w:pPr>
      <w:r>
        <w:rPr>
          <w:w w:val="95"/>
        </w:rPr>
        <w:t>单位：千元</w:t>
      </w:r>
      <w:r>
        <w:rPr/>
      </w:r>
    </w:p>
    <w:p>
      <w:pPr>
        <w:spacing w:line="240" w:lineRule="auto" w:before="8"/>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844"/>
        <w:gridCol w:w="893"/>
        <w:gridCol w:w="1367"/>
        <w:gridCol w:w="1367"/>
        <w:gridCol w:w="1368"/>
        <w:gridCol w:w="1367"/>
        <w:gridCol w:w="1367"/>
      </w:tblGrid>
      <w:tr>
        <w:trPr>
          <w:trHeight w:val="296"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6" w:right="0"/>
              <w:jc w:val="left"/>
              <w:rPr>
                <w:rFonts w:ascii="宋体" w:hAnsi="宋体" w:cs="宋体" w:eastAsia="宋体" w:hint="default"/>
                <w:sz w:val="22"/>
                <w:szCs w:val="22"/>
              </w:rPr>
            </w:pPr>
            <w:r>
              <w:rPr>
                <w:rFonts w:ascii="宋体" w:hAnsi="宋体" w:cs="宋体" w:eastAsia="宋体" w:hint="default"/>
                <w:sz w:val="22"/>
                <w:szCs w:val="22"/>
              </w:rPr>
              <w:t>行业分类</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8"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58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占营业成本</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占营业成本</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2"/>
                <w:szCs w:val="22"/>
              </w:rPr>
            </w:pPr>
            <w:r>
              <w:rPr>
                <w:rFonts w:ascii="Times New Roman"/>
                <w:spacing w:val="-1"/>
                <w:w w:val="95"/>
                <w:sz w:val="22"/>
              </w:rPr>
              <w:t>115,548,378</w:t>
            </w:r>
            <w:r>
              <w:rPr>
                <w:rFonts w:ascii="Times New Roman"/>
                <w:spacing w:val="-1"/>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99.63%</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2"/>
                <w:szCs w:val="22"/>
              </w:rPr>
            </w:pPr>
            <w:r>
              <w:rPr>
                <w:rFonts w:ascii="Times New Roman"/>
                <w:w w:val="95"/>
                <w:sz w:val="22"/>
              </w:rPr>
              <w:t>91,907,828</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99.59%</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25.72%</w:t>
            </w:r>
            <w:r>
              <w:rPr>
                <w:rFonts w:ascii="Times New Roman"/>
                <w:sz w:val="22"/>
              </w:rPr>
            </w: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2"/>
                <w:szCs w:val="22"/>
              </w:rPr>
            </w:pPr>
            <w:r>
              <w:rPr>
                <w:rFonts w:ascii="Times New Roman"/>
                <w:w w:val="95"/>
                <w:sz w:val="22"/>
              </w:rPr>
              <w:t>432,804</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0.37%</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376,744</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0.41%</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14.88%</w:t>
            </w:r>
            <w:r>
              <w:rPr>
                <w:rFonts w:ascii="Times New Roman"/>
                <w:sz w:val="22"/>
              </w:rPr>
            </w:r>
          </w:p>
        </w:tc>
      </w:tr>
    </w:tbl>
    <w:p>
      <w:pPr>
        <w:pStyle w:val="BodyText"/>
        <w:spacing w:line="252" w:lineRule="exact"/>
        <w:ind w:left="0" w:right="1132"/>
        <w:jc w:val="right"/>
      </w:pPr>
      <w:r>
        <w:rPr>
          <w:w w:val="95"/>
        </w:rPr>
        <w:t>单位：千元</w:t>
      </w:r>
      <w:r>
        <w:rPr/>
      </w:r>
    </w:p>
    <w:p>
      <w:pPr>
        <w:spacing w:line="240" w:lineRule="auto" w:before="8"/>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844"/>
        <w:gridCol w:w="893"/>
        <w:gridCol w:w="1367"/>
        <w:gridCol w:w="1367"/>
        <w:gridCol w:w="1368"/>
        <w:gridCol w:w="1367"/>
        <w:gridCol w:w="1367"/>
      </w:tblGrid>
      <w:tr>
        <w:trPr>
          <w:trHeight w:val="295"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6" w:right="0"/>
              <w:jc w:val="left"/>
              <w:rPr>
                <w:rFonts w:ascii="宋体" w:hAnsi="宋体" w:cs="宋体" w:eastAsia="宋体" w:hint="default"/>
                <w:sz w:val="22"/>
                <w:szCs w:val="22"/>
              </w:rPr>
            </w:pPr>
            <w:r>
              <w:rPr>
                <w:rFonts w:ascii="宋体" w:hAnsi="宋体" w:cs="宋体" w:eastAsia="宋体" w:hint="default"/>
                <w:sz w:val="22"/>
                <w:szCs w:val="22"/>
              </w:rPr>
              <w:t>产品分类</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8"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58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占营业成本</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占营业成本</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通讯产品</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24,907,969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21.47%</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5"/>
                <w:sz w:val="22"/>
              </w:rPr>
              <w:t>16,230,289</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17.59%</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53.47%</w:t>
            </w:r>
            <w:r>
              <w:rPr>
                <w:rFonts w:ascii="Times New Roman"/>
                <w:sz w:val="22"/>
              </w:rPr>
            </w: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彩电、音像、碟机</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19,080,138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16.45%</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5"/>
                <w:sz w:val="22"/>
              </w:rPr>
              <w:t>17,510,910</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18.97%</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8.96%</w:t>
            </w:r>
            <w:r>
              <w:rPr>
                <w:rFonts w:ascii="Times New Roman"/>
                <w:sz w:val="22"/>
              </w:rPr>
            </w: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小家电产品</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18,691,468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16.12%</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5"/>
                <w:sz w:val="22"/>
              </w:rPr>
              <w:t>14,088,997</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15.27%</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32.67%</w:t>
            </w:r>
            <w:r>
              <w:rPr>
                <w:rFonts w:ascii="Times New Roman"/>
                <w:sz w:val="22"/>
              </w:rPr>
            </w: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 w:right="0"/>
              <w:jc w:val="left"/>
              <w:rPr>
                <w:rFonts w:ascii="宋体" w:hAnsi="宋体" w:cs="宋体" w:eastAsia="宋体" w:hint="default"/>
                <w:sz w:val="22"/>
                <w:szCs w:val="22"/>
              </w:rPr>
            </w:pPr>
            <w:r>
              <w:rPr>
                <w:rFonts w:ascii="宋体" w:hAnsi="宋体" w:cs="宋体" w:eastAsia="宋体" w:hint="default"/>
                <w:sz w:val="22"/>
                <w:szCs w:val="22"/>
              </w:rPr>
              <w:t>数码及</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产品</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21,041,058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18.14%</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5"/>
                <w:sz w:val="22"/>
              </w:rPr>
              <w:t>16,657,833</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18.05%</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26.31%</w:t>
            </w:r>
            <w:r>
              <w:rPr>
                <w:rFonts w:ascii="Times New Roman"/>
                <w:sz w:val="22"/>
              </w:rPr>
            </w: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冰箱、洗衣机</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17,768,898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15.32%</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5"/>
                <w:sz w:val="22"/>
              </w:rPr>
              <w:t>15,783,903</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17.10%</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12.58%</w:t>
            </w:r>
            <w:r>
              <w:rPr>
                <w:rFonts w:ascii="Times New Roman"/>
                <w:sz w:val="22"/>
              </w:rPr>
            </w: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空调器产品</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spacing w:val="-1"/>
                <w:sz w:val="22"/>
              </w:rPr>
              <w:t>10,897,560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9.40%</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5"/>
                <w:sz w:val="22"/>
              </w:rPr>
              <w:t>10,698,997</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2"/>
                <w:szCs w:val="22"/>
              </w:rPr>
            </w:pPr>
            <w:r>
              <w:rPr>
                <w:rFonts w:ascii="Times New Roman"/>
                <w:spacing w:val="-2"/>
                <w:sz w:val="22"/>
              </w:rPr>
              <w:t>11.59%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1.86%</w:t>
            </w:r>
            <w:r>
              <w:rPr>
                <w:rFonts w:ascii="Times New Roman"/>
                <w:sz w:val="22"/>
              </w:rPr>
            </w: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安装维修业务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5"/>
                <w:sz w:val="22"/>
              </w:rPr>
              <w:t>900,056</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0.78%</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701,415</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0.76%</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28.32%</w:t>
            </w:r>
            <w:r>
              <w:rPr>
                <w:rFonts w:ascii="Times New Roman"/>
                <w:sz w:val="22"/>
              </w:rPr>
            </w:r>
          </w:p>
        </w:tc>
      </w:tr>
      <w:tr>
        <w:trPr>
          <w:trHeight w:val="29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其他产品</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2,261,231</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1.95%</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235,484</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0.26%</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860.25%</w:t>
            </w:r>
            <w:r>
              <w:rPr>
                <w:rFonts w:ascii="Times New Roman"/>
                <w:sz w:val="22"/>
              </w:rPr>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8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22"/>
                <w:szCs w:val="22"/>
              </w:rPr>
            </w:pPr>
            <w:r>
              <w:rPr>
                <w:rFonts w:ascii="Times New Roman"/>
                <w:spacing w:val="-1"/>
                <w:w w:val="95"/>
                <w:sz w:val="22"/>
              </w:rPr>
              <w:t>115,548,378</w:t>
            </w:r>
            <w:r>
              <w:rPr>
                <w:rFonts w:ascii="Times New Roman"/>
                <w:spacing w:val="-1"/>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22"/>
                <w:szCs w:val="22"/>
              </w:rPr>
            </w:pPr>
            <w:r>
              <w:rPr>
                <w:rFonts w:ascii="Times New Roman"/>
                <w:w w:val="95"/>
                <w:sz w:val="22"/>
              </w:rPr>
              <w:t>99.63%</w:t>
            </w:r>
            <w:r>
              <w:rPr>
                <w:rFonts w:ascii="Times New Roman"/>
                <w:sz w:val="2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22"/>
                <w:szCs w:val="22"/>
              </w:rPr>
            </w:pPr>
            <w:r>
              <w:rPr>
                <w:rFonts w:ascii="Times New Roman"/>
                <w:w w:val="95"/>
                <w:sz w:val="22"/>
              </w:rPr>
              <w:t>91,907,828</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22"/>
                <w:szCs w:val="22"/>
              </w:rPr>
            </w:pPr>
            <w:r>
              <w:rPr>
                <w:rFonts w:ascii="Times New Roman"/>
                <w:w w:val="95"/>
                <w:sz w:val="22"/>
              </w:rPr>
              <w:t>99.59%</w:t>
            </w:r>
            <w:r>
              <w:rPr>
                <w:rFonts w:ascii="Times New Roman"/>
                <w:sz w:val="2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2"/>
                <w:szCs w:val="22"/>
              </w:rPr>
            </w:pPr>
            <w:r>
              <w:rPr>
                <w:rFonts w:ascii="Times New Roman"/>
                <w:w w:val="95"/>
                <w:sz w:val="22"/>
              </w:rPr>
              <w:t>25.72%</w:t>
            </w:r>
            <w:r>
              <w:rPr>
                <w:rFonts w:ascii="Times New Roman"/>
                <w:sz w:val="22"/>
              </w:rPr>
            </w:r>
          </w:p>
        </w:tc>
      </w:tr>
    </w:tbl>
    <w:p>
      <w:pPr>
        <w:spacing w:line="240" w:lineRule="auto" w:before="11"/>
        <w:rPr>
          <w:rFonts w:ascii="宋体" w:hAnsi="宋体" w:cs="宋体" w:eastAsia="宋体" w:hint="default"/>
          <w:sz w:val="18"/>
          <w:szCs w:val="18"/>
        </w:rPr>
      </w:pPr>
    </w:p>
    <w:p>
      <w:pPr>
        <w:pStyle w:val="Heading4"/>
        <w:spacing w:line="240" w:lineRule="auto" w:before="31"/>
        <w:ind w:left="154" w:right="108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1135" w:firstLine="440"/>
        <w:jc w:val="left"/>
      </w:pPr>
      <w:r>
        <w:rPr/>
        <w:t>报告期内，公司新纳入合并范围为新设子公司</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家，日本</w:t>
      </w:r>
      <w:r>
        <w:rPr>
          <w:spacing w:val="-58"/>
        </w:rPr>
        <w:t> </w:t>
      </w:r>
      <w:r>
        <w:rPr>
          <w:rFonts w:ascii="Times New Roman" w:hAnsi="Times New Roman" w:cs="Times New Roman" w:eastAsia="Times New Roman" w:hint="default"/>
        </w:rPr>
        <w:t>LAOX</w:t>
      </w:r>
      <w:r>
        <w:rPr>
          <w:rFonts w:ascii="Times New Roman" w:hAnsi="Times New Roman" w:cs="Times New Roman" w:eastAsia="Times New Roman" w:hint="default"/>
          <w:spacing w:val="-4"/>
        </w:rPr>
        <w:t> </w:t>
      </w:r>
      <w:r>
        <w:rPr/>
        <w:t>投资取得子公司</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家，同时投</w:t>
      </w:r>
      <w:r>
        <w:rPr>
          <w:w w:val="99"/>
        </w:rPr>
        <w:t> </w:t>
      </w:r>
      <w:r>
        <w:rPr/>
        <w:t>资</w:t>
      </w:r>
      <w:r>
        <w:rPr>
          <w:spacing w:val="-57"/>
        </w:rPr>
        <w:t> </w:t>
      </w:r>
      <w:r>
        <w:rPr>
          <w:rFonts w:ascii="Times New Roman" w:hAnsi="Times New Roman" w:cs="Times New Roman" w:eastAsia="Times New Roman" w:hint="default"/>
        </w:rPr>
        <w:t>PPTV</w:t>
      </w:r>
      <w:r>
        <w:rPr>
          <w:rFonts w:ascii="Times New Roman" w:hAnsi="Times New Roman" w:cs="Times New Roman" w:eastAsia="Times New Roman" w:hint="default"/>
          <w:spacing w:val="-2"/>
        </w:rPr>
        <w:t> </w:t>
      </w:r>
      <w:r>
        <w:rPr/>
        <w:t>取得子公司；注销子公司</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家，以及报告期内公司处置</w:t>
      </w:r>
      <w:r>
        <w:rPr>
          <w:spacing w:val="-57"/>
        </w:rPr>
        <w:t> </w:t>
      </w:r>
      <w:r>
        <w:rPr>
          <w:rFonts w:ascii="Times New Roman" w:hAnsi="Times New Roman" w:cs="Times New Roman" w:eastAsia="Times New Roman" w:hint="default"/>
        </w:rPr>
        <w:t>PPTV</w:t>
      </w:r>
      <w:r>
        <w:rPr>
          <w:rFonts w:ascii="Times New Roman" w:hAnsi="Times New Roman" w:cs="Times New Roman" w:eastAsia="Times New Roman" w:hint="default"/>
          <w:spacing w:val="-2"/>
        </w:rPr>
        <w:t> </w:t>
      </w:r>
      <w:r>
        <w:rPr/>
        <w:t>股权，使得</w:t>
      </w:r>
      <w:r>
        <w:rPr>
          <w:spacing w:val="-56"/>
        </w:rPr>
        <w:t> </w:t>
      </w:r>
      <w:r>
        <w:rPr>
          <w:rFonts w:ascii="Times New Roman" w:hAnsi="Times New Roman" w:cs="Times New Roman" w:eastAsia="Times New Roman" w:hint="default"/>
        </w:rPr>
        <w:t>PPTV</w:t>
      </w:r>
      <w:r>
        <w:rPr>
          <w:rFonts w:ascii="Times New Roman" w:hAnsi="Times New Roman" w:cs="Times New Roman" w:eastAsia="Times New Roman" w:hint="default"/>
          <w:spacing w:val="-2"/>
        </w:rPr>
        <w:t> </w:t>
      </w:r>
      <w:r>
        <w:rPr/>
        <w:t>及其子公</w:t>
      </w:r>
      <w:r>
        <w:rPr>
          <w:w w:val="99"/>
        </w:rPr>
        <w:t> </w:t>
      </w:r>
      <w:r>
        <w:rPr/>
        <w:t>司不再纳入公司合并报表范围。</w:t>
      </w:r>
    </w:p>
    <w:p>
      <w:pPr>
        <w:spacing w:line="240" w:lineRule="auto" w:before="10"/>
        <w:rPr>
          <w:rFonts w:ascii="宋体" w:hAnsi="宋体" w:cs="宋体" w:eastAsia="宋体" w:hint="default"/>
          <w:sz w:val="21"/>
          <w:szCs w:val="21"/>
        </w:rPr>
      </w:pPr>
    </w:p>
    <w:p>
      <w:pPr>
        <w:pStyle w:val="Heading4"/>
        <w:spacing w:line="240" w:lineRule="auto"/>
        <w:ind w:right="108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59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7"/>
        <w:rPr>
          <w:rFonts w:ascii="宋体" w:hAnsi="宋体" w:cs="宋体" w:eastAsia="宋体" w:hint="default"/>
          <w:sz w:val="29"/>
          <w:szCs w:val="29"/>
        </w:rPr>
      </w:pPr>
    </w:p>
    <w:p>
      <w:pPr>
        <w:spacing w:line="472" w:lineRule="auto" w:before="0"/>
        <w:ind w:left="153" w:right="7109" w:firstLine="0"/>
        <w:jc w:val="left"/>
        <w:rPr>
          <w:rFonts w:ascii="宋体" w:hAnsi="宋体" w:cs="宋体" w:eastAsia="宋体" w:hint="default"/>
          <w:sz w:val="22"/>
          <w:szCs w:val="22"/>
        </w:rPr>
      </w:pPr>
      <w:r>
        <w:rPr/>
        <w:pict>
          <v:shape style="position:absolute;margin-left:56.459999pt;margin-top:46.02766pt;width:479.2pt;height:32.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8"/>
                    <w:gridCol w:w="4890"/>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前五名客户合计销售金额（千元）</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282,362</w:t>
                        </w:r>
                        <w:r>
                          <w:rPr>
                            <w:rFonts w:ascii="Times New Roman"/>
                            <w:sz w:val="22"/>
                          </w:rPr>
                        </w:r>
                      </w:p>
                    </w:tc>
                  </w:tr>
                  <w:tr>
                    <w:trPr>
                      <w:trHeight w:val="32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前五名客户合计销售金额占年度销售总额比例</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0.21%</w:t>
                        </w:r>
                        <w:r>
                          <w:rPr>
                            <w:rFonts w:ascii="Times New Roman"/>
                            <w:sz w:val="22"/>
                          </w:rPr>
                        </w:r>
                      </w:p>
                    </w:tc>
                  </w:tr>
                </w:tbl>
                <w:p>
                  <w:pPr/>
                </w:p>
              </w:txbxContent>
            </v:textbox>
            <w10:wrap type="none"/>
          </v:shape>
        </w:pict>
      </w:r>
      <w:bookmarkStart w:name="（8）主要销售客户和主要供应商情况" w:id="36"/>
      <w:bookmarkEnd w:id="36"/>
      <w:r>
        <w:rPr/>
      </w: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8</w:t>
      </w:r>
      <w:r>
        <w:rPr>
          <w:rFonts w:ascii="宋体" w:hAnsi="宋体" w:cs="宋体" w:eastAsia="宋体" w:hint="default"/>
          <w:b/>
          <w:bCs/>
          <w:sz w:val="22"/>
          <w:szCs w:val="22"/>
        </w:rPr>
        <w:t>）主要销售客户和主要供应商情况</w:t>
      </w:r>
      <w:r>
        <w:rPr>
          <w:rFonts w:ascii="宋体" w:hAnsi="宋体" w:cs="宋体" w:eastAsia="宋体" w:hint="default"/>
          <w:b/>
          <w:bCs/>
          <w:spacing w:val="1"/>
          <w:w w:val="99"/>
          <w:sz w:val="22"/>
          <w:szCs w:val="22"/>
        </w:rPr>
        <w:t> </w:t>
      </w:r>
      <w:r>
        <w:rPr>
          <w:rFonts w:ascii="宋体" w:hAnsi="宋体" w:cs="宋体" w:eastAsia="宋体" w:hint="default"/>
          <w:sz w:val="22"/>
          <w:szCs w:val="22"/>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94" w:lineRule="exact" w:before="168"/>
        <w:ind w:left="154" w:right="1082"/>
        <w:jc w:val="left"/>
      </w:pPr>
      <w:r>
        <w:rPr/>
        <w:t>公司前</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大客户资料</w:t>
      </w:r>
    </w:p>
    <w:p>
      <w:pPr>
        <w:pStyle w:val="BodyText"/>
        <w:spacing w:line="278" w:lineRule="exact"/>
        <w:ind w:left="0" w:right="1132"/>
        <w:jc w:val="right"/>
      </w:pPr>
      <w:r>
        <w:rPr>
          <w:w w:val="95"/>
        </w:rPr>
        <w:t>单位：千元</w:t>
      </w:r>
      <w:r>
        <w:rPr/>
      </w:r>
    </w:p>
    <w:p>
      <w:pPr>
        <w:spacing w:line="240" w:lineRule="auto" w:before="8"/>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295"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163" w:right="0"/>
              <w:jc w:val="left"/>
              <w:rPr>
                <w:rFonts w:ascii="宋体" w:hAnsi="宋体" w:cs="宋体" w:eastAsia="宋体" w:hint="default"/>
                <w:sz w:val="22"/>
                <w:szCs w:val="22"/>
              </w:rPr>
            </w:pPr>
            <w:r>
              <w:rPr>
                <w:rFonts w:ascii="宋体" w:hAnsi="宋体" w:cs="宋体" w:eastAsia="宋体" w:hint="default"/>
                <w:sz w:val="22"/>
                <w:szCs w:val="22"/>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9" w:right="0"/>
              <w:jc w:val="center"/>
              <w:rPr>
                <w:rFonts w:ascii="宋体" w:hAnsi="宋体" w:cs="宋体" w:eastAsia="宋体" w:hint="default"/>
                <w:sz w:val="22"/>
                <w:szCs w:val="22"/>
              </w:rPr>
            </w:pPr>
            <w:r>
              <w:rPr>
                <w:rFonts w:ascii="宋体" w:hAnsi="宋体" w:cs="宋体" w:eastAsia="宋体" w:hint="default"/>
                <w:sz w:val="22"/>
                <w:szCs w:val="22"/>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销售额</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576" w:right="0"/>
              <w:jc w:val="left"/>
              <w:rPr>
                <w:rFonts w:ascii="宋体" w:hAnsi="宋体" w:cs="宋体" w:eastAsia="宋体" w:hint="default"/>
                <w:sz w:val="22"/>
                <w:szCs w:val="22"/>
              </w:rPr>
            </w:pPr>
            <w:r>
              <w:rPr>
                <w:rFonts w:ascii="宋体" w:hAnsi="宋体" w:cs="宋体" w:eastAsia="宋体" w:hint="default"/>
                <w:sz w:val="22"/>
                <w:szCs w:val="22"/>
              </w:rPr>
              <w:t>占年度销售总额比例</w:t>
            </w: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83" w:lineRule="exact"/>
              <w:ind w:left="2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103,658</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0.08%</w:t>
            </w:r>
            <w:r>
              <w:rPr>
                <w:rFonts w:ascii="Times New Roman"/>
                <w:sz w:val="22"/>
              </w:rPr>
            </w:r>
          </w:p>
        </w:tc>
      </w:tr>
      <w:tr>
        <w:trPr>
          <w:trHeight w:val="32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80,399</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0.06%</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295"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75" w:right="0"/>
              <w:jc w:val="left"/>
              <w:rPr>
                <w:rFonts w:ascii="宋体" w:hAnsi="宋体" w:cs="宋体" w:eastAsia="宋体" w:hint="default"/>
                <w:sz w:val="22"/>
                <w:szCs w:val="22"/>
              </w:rPr>
            </w:pPr>
            <w:r>
              <w:rPr>
                <w:rFonts w:ascii="宋体" w:hAnsi="宋体" w:cs="宋体" w:eastAsia="宋体" w:hint="default"/>
                <w:sz w:val="22"/>
                <w:szCs w:val="22"/>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销售额</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576" w:right="0"/>
              <w:jc w:val="left"/>
              <w:rPr>
                <w:rFonts w:ascii="宋体" w:hAnsi="宋体" w:cs="宋体" w:eastAsia="宋体" w:hint="default"/>
                <w:sz w:val="22"/>
                <w:szCs w:val="22"/>
              </w:rPr>
            </w:pPr>
            <w:r>
              <w:rPr>
                <w:rFonts w:ascii="宋体" w:hAnsi="宋体" w:cs="宋体" w:eastAsia="宋体" w:hint="default"/>
                <w:sz w:val="22"/>
                <w:szCs w:val="22"/>
              </w:rPr>
              <w:t>占年度销售总额比例</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83" w:lineRule="exact"/>
              <w:ind w:left="1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42,579</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0.03%</w:t>
            </w:r>
            <w:r>
              <w:rPr>
                <w:rFonts w:ascii="Times New Roman"/>
                <w:sz w:val="22"/>
              </w:rPr>
            </w:r>
          </w:p>
        </w:tc>
      </w:tr>
      <w:tr>
        <w:trPr>
          <w:trHeight w:val="32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83" w:lineRule="exact"/>
              <w:ind w:left="1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w w:val="95"/>
                <w:sz w:val="22"/>
              </w:rPr>
              <w:t>27,933</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0.02%</w:t>
            </w:r>
            <w:r>
              <w:rPr>
                <w:rFonts w:ascii="Times New Roman"/>
                <w:sz w:val="22"/>
              </w:rPr>
            </w:r>
          </w:p>
        </w:tc>
      </w:tr>
      <w:tr>
        <w:trPr>
          <w:trHeight w:val="337"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3302" w:type="dxa"/>
            <w:tcBorders>
              <w:top w:val="single" w:sz="4" w:space="0" w:color="000000"/>
              <w:left w:val="single" w:sz="13" w:space="0" w:color="D2D2D2"/>
              <w:bottom w:val="single" w:sz="16" w:space="0" w:color="D2D2D2"/>
              <w:right w:val="single" w:sz="4" w:space="0" w:color="000000"/>
            </w:tcBorders>
          </w:tcPr>
          <w:p>
            <w:pPr>
              <w:pStyle w:val="TableParagraph"/>
              <w:spacing w:line="282" w:lineRule="exact"/>
              <w:ind w:left="1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27,793</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0.02%</w:t>
            </w:r>
            <w:r>
              <w:rPr>
                <w:rFonts w:ascii="Times New Roman"/>
                <w:sz w:val="22"/>
              </w:rPr>
            </w:r>
          </w:p>
        </w:tc>
      </w:tr>
      <w:tr>
        <w:trPr>
          <w:trHeight w:val="29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Times New Roman" w:hAnsi="Times New Roman" w:cs="Times New Roman" w:eastAsia="Times New Roman" w:hint="default"/>
                <w:sz w:val="22"/>
                <w:szCs w:val="22"/>
              </w:rPr>
            </w:pPr>
            <w:r>
              <w:rPr>
                <w:rFonts w:ascii="Times New Roman"/>
                <w:sz w:val="22"/>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5"/>
                <w:sz w:val="22"/>
              </w:rPr>
              <w:t>282,362</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0.21%</w:t>
            </w:r>
            <w:r>
              <w:rPr>
                <w:rFonts w:ascii="Times New Roman"/>
                <w:sz w:val="22"/>
              </w:rPr>
            </w:r>
          </w:p>
        </w:tc>
      </w:tr>
    </w:tbl>
    <w:p>
      <w:pPr>
        <w:spacing w:line="240" w:lineRule="auto" w:before="4"/>
        <w:rPr>
          <w:rFonts w:ascii="宋体" w:hAnsi="宋体" w:cs="宋体" w:eastAsia="宋体" w:hint="default"/>
          <w:sz w:val="15"/>
          <w:szCs w:val="15"/>
        </w:rPr>
      </w:pPr>
    </w:p>
    <w:p>
      <w:pPr>
        <w:pStyle w:val="BodyText"/>
        <w:spacing w:line="286" w:lineRule="exact" w:before="31"/>
        <w:ind w:left="154" w:right="1082"/>
        <w:jc w:val="left"/>
      </w:pPr>
      <w:r>
        <w:rPr/>
        <w:t>主要客户其他情况说明</w:t>
      </w:r>
    </w:p>
    <w:p>
      <w:pPr>
        <w:pStyle w:val="BodyText"/>
        <w:spacing w:line="424" w:lineRule="auto"/>
        <w:ind w:right="8773"/>
        <w:jc w:val="left"/>
      </w:pPr>
      <w:r>
        <w:rPr/>
        <w:pict>
          <v:shape style="position:absolute;margin-left:56.459999pt;margin-top:43.027645pt;width:479.2pt;height:3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1"/>
                    <w:gridCol w:w="4748"/>
                  </w:tblGrid>
                  <w:tr>
                    <w:trPr>
                      <w:trHeight w:val="295"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前五名供应商合计采购金额（千元）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38,209,275</w:t>
                        </w:r>
                        <w:r>
                          <w:rPr>
                            <w:rFonts w:ascii="Times New Roman"/>
                            <w:sz w:val="22"/>
                          </w:rPr>
                        </w:r>
                      </w:p>
                    </w:tc>
                  </w:tr>
                  <w:tr>
                    <w:trPr>
                      <w:trHeight w:val="295"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前五名供应商合计采购金额占年度采购总额比例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38.45%</w:t>
                        </w:r>
                        <w:r>
                          <w:rPr>
                            <w:rFonts w:ascii="Times New Roman"/>
                            <w:sz w:val="22"/>
                          </w:rPr>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r>
        <w:rPr>
          <w:w w:val="99"/>
        </w:rPr>
        <w:t> </w:t>
      </w:r>
      <w:r>
        <w:rPr/>
        <w:t>公司主要供应商情况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95" w:lineRule="exact" w:before="31"/>
        <w:ind w:left="154" w:right="1082"/>
        <w:jc w:val="left"/>
      </w:pPr>
      <w:r>
        <w:rPr/>
        <w:t>公司前</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名供应商资料</w:t>
      </w:r>
    </w:p>
    <w:p>
      <w:pPr>
        <w:pStyle w:val="BodyText"/>
        <w:spacing w:line="278" w:lineRule="exact"/>
        <w:ind w:left="0" w:right="1132"/>
        <w:jc w:val="right"/>
      </w:pPr>
      <w:r>
        <w:rPr>
          <w:w w:val="95"/>
        </w:rPr>
        <w:t>单位：千元</w:t>
      </w:r>
      <w:r>
        <w:rPr/>
      </w:r>
    </w:p>
    <w:p>
      <w:pPr>
        <w:spacing w:line="240" w:lineRule="auto" w:before="8"/>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29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41" w:right="0"/>
              <w:jc w:val="left"/>
              <w:rPr>
                <w:rFonts w:ascii="宋体" w:hAnsi="宋体" w:cs="宋体" w:eastAsia="宋体" w:hint="default"/>
                <w:sz w:val="22"/>
                <w:szCs w:val="22"/>
              </w:rPr>
            </w:pPr>
            <w:r>
              <w:rPr>
                <w:rFonts w:ascii="宋体" w:hAnsi="宋体" w:cs="宋体" w:eastAsia="宋体" w:hint="default"/>
                <w:sz w:val="22"/>
                <w:szCs w:val="22"/>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028" w:right="0"/>
              <w:jc w:val="left"/>
              <w:rPr>
                <w:rFonts w:ascii="宋体" w:hAnsi="宋体" w:cs="宋体" w:eastAsia="宋体" w:hint="default"/>
                <w:sz w:val="22"/>
                <w:szCs w:val="22"/>
              </w:rPr>
            </w:pPr>
            <w:r>
              <w:rPr>
                <w:rFonts w:ascii="宋体" w:hAnsi="宋体" w:cs="宋体" w:eastAsia="宋体" w:hint="default"/>
                <w:sz w:val="22"/>
                <w:szCs w:val="22"/>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采购额</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576" w:right="0"/>
              <w:jc w:val="left"/>
              <w:rPr>
                <w:rFonts w:ascii="宋体" w:hAnsi="宋体" w:cs="宋体" w:eastAsia="宋体" w:hint="default"/>
                <w:sz w:val="22"/>
                <w:szCs w:val="22"/>
              </w:rPr>
            </w:pPr>
            <w:r>
              <w:rPr>
                <w:rFonts w:ascii="宋体" w:hAnsi="宋体" w:cs="宋体" w:eastAsia="宋体" w:hint="default"/>
                <w:sz w:val="22"/>
                <w:szCs w:val="22"/>
              </w:rPr>
              <w:t>占年度采购总额比例</w:t>
            </w:r>
          </w:p>
        </w:tc>
      </w:tr>
      <w:tr>
        <w:trPr>
          <w:trHeight w:val="32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1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12,289,041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12.36%</w:t>
            </w:r>
            <w:r>
              <w:rPr>
                <w:rFonts w:ascii="Times New Roman"/>
                <w:sz w:val="22"/>
              </w:rPr>
            </w:r>
          </w:p>
        </w:tc>
      </w:tr>
      <w:tr>
        <w:trPr>
          <w:trHeight w:val="32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1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7,500,835</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7.55%</w:t>
            </w:r>
            <w:r>
              <w:rPr>
                <w:rFonts w:ascii="Times New Roman"/>
                <w:sz w:val="22"/>
              </w:rPr>
            </w:r>
          </w:p>
        </w:tc>
      </w:tr>
      <w:tr>
        <w:trPr>
          <w:trHeight w:val="32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83" w:lineRule="exact"/>
              <w:ind w:left="1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w w:val="95"/>
                <w:sz w:val="22"/>
              </w:rPr>
              <w:t>6,893,281</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6.94%</w:t>
            </w:r>
            <w:r>
              <w:rPr>
                <w:rFonts w:ascii="Times New Roman"/>
                <w:sz w:val="22"/>
              </w:rPr>
            </w:r>
          </w:p>
        </w:tc>
      </w:tr>
      <w:tr>
        <w:trPr>
          <w:trHeight w:val="32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1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6,628,608</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6.67%</w:t>
            </w:r>
            <w:r>
              <w:rPr>
                <w:rFonts w:ascii="Times New Roman"/>
                <w:sz w:val="22"/>
              </w:rPr>
            </w:r>
          </w:p>
        </w:tc>
      </w:tr>
      <w:tr>
        <w:trPr>
          <w:trHeight w:val="32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3168" w:type="dxa"/>
            <w:tcBorders>
              <w:top w:val="single" w:sz="4" w:space="0" w:color="000000"/>
              <w:left w:val="single" w:sz="13" w:space="0" w:color="D2D2D2"/>
              <w:bottom w:val="single" w:sz="16" w:space="0" w:color="D2D2D2"/>
              <w:right w:val="single" w:sz="4" w:space="0" w:color="000000"/>
            </w:tcBorders>
          </w:tcPr>
          <w:p>
            <w:pPr>
              <w:pStyle w:val="TableParagraph"/>
              <w:spacing w:line="282" w:lineRule="exact"/>
              <w:ind w:left="1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5"/>
                <w:sz w:val="22"/>
              </w:rPr>
              <w:t>4,897,510</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4.93%</w:t>
            </w:r>
            <w:r>
              <w:rPr>
                <w:rFonts w:ascii="Times New Roman"/>
                <w:sz w:val="22"/>
              </w:rPr>
            </w:r>
          </w:p>
        </w:tc>
      </w:tr>
      <w:tr>
        <w:trPr>
          <w:trHeight w:val="32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sz w:val="22"/>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38,209,275</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38.45%</w:t>
            </w:r>
            <w:r>
              <w:rPr>
                <w:rFonts w:ascii="Times New Roman"/>
                <w:sz w:val="22"/>
              </w:rPr>
            </w:r>
          </w:p>
        </w:tc>
      </w:tr>
    </w:tbl>
    <w:p>
      <w:pPr>
        <w:spacing w:line="240" w:lineRule="auto" w:before="10"/>
        <w:rPr>
          <w:rFonts w:ascii="宋体" w:hAnsi="宋体" w:cs="宋体" w:eastAsia="宋体" w:hint="default"/>
          <w:sz w:val="6"/>
          <w:szCs w:val="6"/>
        </w:rPr>
      </w:pPr>
    </w:p>
    <w:p>
      <w:pPr>
        <w:pStyle w:val="BodyText"/>
        <w:spacing w:line="240" w:lineRule="auto" w:before="31"/>
        <w:ind w:left="154" w:right="1082"/>
        <w:jc w:val="left"/>
      </w:pPr>
      <w:r>
        <w:rPr/>
        <w:t>注：前五名供应商按照品牌口径核算，即前五大品牌采购规模。</w:t>
      </w:r>
    </w:p>
    <w:p>
      <w:pPr>
        <w:spacing w:line="240" w:lineRule="auto" w:before="2"/>
        <w:rPr>
          <w:rFonts w:ascii="宋体" w:hAnsi="宋体" w:cs="宋体" w:eastAsia="宋体" w:hint="default"/>
          <w:sz w:val="19"/>
          <w:szCs w:val="19"/>
        </w:rPr>
      </w:pPr>
    </w:p>
    <w:p>
      <w:pPr>
        <w:pStyle w:val="BodyText"/>
        <w:spacing w:line="286" w:lineRule="exact"/>
        <w:ind w:left="154" w:right="1082"/>
        <w:jc w:val="left"/>
      </w:pPr>
      <w:r>
        <w:rPr/>
        <w:t>主要供应商其他情况说明</w:t>
      </w:r>
    </w:p>
    <w:p>
      <w:pPr>
        <w:pStyle w:val="BodyText"/>
        <w:spacing w:line="303" w:lineRule="exact"/>
        <w:ind w:left="15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8"/>
        <w:rPr>
          <w:rFonts w:ascii="宋体" w:hAnsi="宋体" w:cs="宋体" w:eastAsia="宋体" w:hint="default"/>
          <w:sz w:val="22"/>
          <w:szCs w:val="22"/>
        </w:rPr>
      </w:pPr>
    </w:p>
    <w:p>
      <w:pPr>
        <w:pStyle w:val="Heading4"/>
        <w:spacing w:line="240" w:lineRule="auto"/>
        <w:ind w:left="154" w:right="1082"/>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0"/>
          <w:szCs w:val="20"/>
        </w:rPr>
      </w:pPr>
    </w:p>
    <w:p>
      <w:pPr>
        <w:pStyle w:val="BodyText"/>
        <w:spacing w:line="240" w:lineRule="auto" w:before="31"/>
        <w:ind w:left="0" w:right="1132"/>
        <w:jc w:val="right"/>
      </w:pPr>
      <w:r>
        <w:rPr>
          <w:w w:val="95"/>
        </w:rPr>
        <w:t>单位：千元</w:t>
      </w:r>
      <w:r>
        <w:rPr/>
      </w:r>
    </w:p>
    <w:p>
      <w:pPr>
        <w:spacing w:line="240" w:lineRule="auto" w:before="8"/>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658"/>
        <w:gridCol w:w="1415"/>
        <w:gridCol w:w="1415"/>
        <w:gridCol w:w="1415"/>
        <w:gridCol w:w="1264"/>
        <w:gridCol w:w="1265"/>
        <w:gridCol w:w="1264"/>
      </w:tblGrid>
      <w:tr>
        <w:trPr>
          <w:trHeight w:val="152" w:hRule="exact"/>
        </w:trPr>
        <w:tc>
          <w:tcPr>
            <w:tcW w:w="1658" w:type="dxa"/>
            <w:vMerge w:val="restart"/>
            <w:tcBorders>
              <w:top w:val="single" w:sz="4" w:space="0" w:color="000000"/>
              <w:left w:val="single" w:sz="4" w:space="0" w:color="000000"/>
              <w:right w:val="single" w:sz="4" w:space="0" w:color="000000"/>
            </w:tcBorders>
            <w:shd w:val="clear" w:color="auto" w:fill="D2D2D2"/>
          </w:tcPr>
          <w:p>
            <w:pPr/>
          </w:p>
        </w:tc>
        <w:tc>
          <w:tcPr>
            <w:tcW w:w="2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8"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6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8"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265" w:type="dxa"/>
            <w:vMerge w:val="restart"/>
            <w:tcBorders>
              <w:top w:val="single" w:sz="4" w:space="0" w:color="000000"/>
              <w:left w:val="single" w:sz="4" w:space="0" w:color="000000"/>
              <w:right w:val="single" w:sz="4" w:space="0" w:color="000000"/>
            </w:tcBorders>
            <w:shd w:val="clear" w:color="auto" w:fill="D2D2D2"/>
          </w:tcPr>
          <w:p>
            <w:pPr/>
          </w:p>
        </w:tc>
        <w:tc>
          <w:tcPr>
            <w:tcW w:w="12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8" w:hRule="exact"/>
        </w:trPr>
        <w:tc>
          <w:tcPr>
            <w:tcW w:w="1658" w:type="dxa"/>
            <w:vMerge/>
            <w:tcBorders>
              <w:left w:val="single" w:sz="4" w:space="0" w:color="000000"/>
              <w:bottom w:val="nil" w:sz="6" w:space="0" w:color="auto"/>
              <w:right w:val="single" w:sz="4" w:space="0" w:color="000000"/>
            </w:tcBorders>
            <w:shd w:val="clear" w:color="auto" w:fill="D2D2D2"/>
          </w:tcPr>
          <w:p>
            <w:pPr/>
          </w:p>
        </w:tc>
        <w:tc>
          <w:tcPr>
            <w:tcW w:w="2830" w:type="dxa"/>
            <w:gridSpan w:val="2"/>
            <w:vMerge/>
            <w:tcBorders>
              <w:left w:val="single" w:sz="4" w:space="0" w:color="000000"/>
              <w:bottom w:val="single" w:sz="4" w:space="0" w:color="000000"/>
              <w:right w:val="single" w:sz="4" w:space="0" w:color="000000"/>
            </w:tcBorders>
            <w:shd w:val="clear" w:color="auto" w:fill="D2D2D2"/>
          </w:tcPr>
          <w:p>
            <w:pPr/>
          </w:p>
        </w:tc>
        <w:tc>
          <w:tcPr>
            <w:tcW w:w="2679" w:type="dxa"/>
            <w:gridSpan w:val="2"/>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51" w:lineRule="exact"/>
              <w:ind w:left="187" w:right="0"/>
              <w:jc w:val="left"/>
              <w:rPr>
                <w:rFonts w:ascii="宋体" w:hAnsi="宋体" w:cs="宋体" w:eastAsia="宋体" w:hint="default"/>
                <w:sz w:val="22"/>
                <w:szCs w:val="22"/>
              </w:rPr>
            </w:pPr>
            <w:r>
              <w:rPr>
                <w:rFonts w:ascii="宋体" w:hAnsi="宋体" w:cs="宋体" w:eastAsia="宋体" w:hint="default"/>
                <w:sz w:val="22"/>
                <w:szCs w:val="22"/>
              </w:rPr>
              <w:t>费用占比</w:t>
            </w:r>
          </w:p>
          <w:p>
            <w:pPr>
              <w:pStyle w:val="TableParagraph"/>
              <w:spacing w:line="287" w:lineRule="exact"/>
              <w:ind w:left="187"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152" w:hRule="exact"/>
        </w:trPr>
        <w:tc>
          <w:tcPr>
            <w:tcW w:w="1658" w:type="dxa"/>
            <w:vMerge w:val="restart"/>
            <w:tcBorders>
              <w:top w:val="nil" w:sz="6" w:space="0" w:color="auto"/>
              <w:left w:val="single" w:sz="4" w:space="0" w:color="000000"/>
              <w:right w:val="single" w:sz="4" w:space="0" w:color="000000"/>
            </w:tcBorders>
            <w:shd w:val="clear" w:color="auto" w:fill="D2D2D2"/>
          </w:tcPr>
          <w:p>
            <w:pPr/>
          </w:p>
        </w:tc>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55" w:lineRule="exact"/>
              <w:ind w:right="0"/>
              <w:jc w:val="center"/>
              <w:rPr>
                <w:rFonts w:ascii="宋体" w:hAnsi="宋体" w:cs="宋体" w:eastAsia="宋体" w:hint="default"/>
                <w:sz w:val="22"/>
                <w:szCs w:val="22"/>
              </w:rPr>
            </w:pPr>
            <w:r>
              <w:rPr>
                <w:rFonts w:ascii="宋体" w:hAnsi="宋体" w:cs="宋体" w:eastAsia="宋体" w:hint="default"/>
                <w:sz w:val="22"/>
                <w:szCs w:val="22"/>
              </w:rPr>
              <w:t>占主营业务收</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入比例</w:t>
            </w:r>
          </w:p>
        </w:tc>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55" w:lineRule="exact"/>
              <w:ind w:right="1"/>
              <w:jc w:val="center"/>
              <w:rPr>
                <w:rFonts w:ascii="宋体" w:hAnsi="宋体" w:cs="宋体" w:eastAsia="宋体" w:hint="default"/>
                <w:sz w:val="22"/>
                <w:szCs w:val="22"/>
              </w:rPr>
            </w:pPr>
            <w:r>
              <w:rPr>
                <w:rFonts w:ascii="宋体" w:hAnsi="宋体" w:cs="宋体" w:eastAsia="宋体" w:hint="default"/>
                <w:sz w:val="22"/>
                <w:szCs w:val="22"/>
              </w:rPr>
              <w:t>占主营业务</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收入比例</w:t>
            </w: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57" w:lineRule="exact"/>
              <w:ind w:left="188" w:right="0"/>
              <w:jc w:val="left"/>
              <w:rPr>
                <w:rFonts w:ascii="宋体" w:hAnsi="宋体" w:cs="宋体" w:eastAsia="宋体" w:hint="default"/>
                <w:sz w:val="22"/>
                <w:szCs w:val="22"/>
              </w:rPr>
            </w:pPr>
            <w:r>
              <w:rPr>
                <w:rFonts w:ascii="宋体" w:hAnsi="宋体" w:cs="宋体" w:eastAsia="宋体" w:hint="default"/>
                <w:sz w:val="22"/>
                <w:szCs w:val="22"/>
              </w:rPr>
              <w:t>同比增减</w:t>
            </w:r>
          </w:p>
        </w:tc>
        <w:tc>
          <w:tcPr>
            <w:tcW w:w="1264" w:type="dxa"/>
            <w:vMerge/>
            <w:tcBorders>
              <w:left w:val="single" w:sz="4" w:space="0" w:color="000000"/>
              <w:right w:val="single" w:sz="4" w:space="0" w:color="000000"/>
            </w:tcBorders>
            <w:shd w:val="clear" w:color="auto" w:fill="D2D2D2"/>
          </w:tcPr>
          <w:p>
            <w:pPr/>
          </w:p>
        </w:tc>
      </w:tr>
      <w:tr>
        <w:trPr>
          <w:trHeight w:val="130" w:hRule="exact"/>
        </w:trPr>
        <w:tc>
          <w:tcPr>
            <w:tcW w:w="1658" w:type="dxa"/>
            <w:vMerge/>
            <w:tcBorders>
              <w:left w:val="single" w:sz="4" w:space="0" w:color="000000"/>
              <w:bottom w:val="nil" w:sz="6" w:space="0" w:color="auto"/>
              <w:right w:val="single" w:sz="4" w:space="0" w:color="000000"/>
            </w:tcBorders>
            <w:shd w:val="clear" w:color="auto" w:fill="D2D2D2"/>
          </w:tcPr>
          <w:p>
            <w:pPr/>
          </w:p>
        </w:tc>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1415" w:type="dxa"/>
            <w:vMerge/>
            <w:tcBorders>
              <w:left w:val="single" w:sz="4" w:space="0" w:color="000000"/>
              <w:right w:val="single" w:sz="4" w:space="0" w:color="000000"/>
            </w:tcBorders>
            <w:shd w:val="clear" w:color="auto" w:fill="D2D2D2"/>
          </w:tcPr>
          <w:p>
            <w:pPr/>
          </w:p>
        </w:tc>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1264"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r>
      <w:tr>
        <w:trPr>
          <w:trHeight w:val="156" w:hRule="exact"/>
        </w:trPr>
        <w:tc>
          <w:tcPr>
            <w:tcW w:w="1658" w:type="dxa"/>
            <w:vMerge w:val="restart"/>
            <w:tcBorders>
              <w:top w:val="nil" w:sz="6" w:space="0" w:color="auto"/>
              <w:left w:val="single" w:sz="4" w:space="0" w:color="000000"/>
              <w:right w:val="single" w:sz="4" w:space="0" w:color="000000"/>
            </w:tcBorders>
            <w:shd w:val="clear" w:color="auto" w:fill="D2D2D2"/>
          </w:tcPr>
          <w:p>
            <w:pPr/>
          </w:p>
        </w:tc>
        <w:tc>
          <w:tcPr>
            <w:tcW w:w="1415" w:type="dxa"/>
            <w:vMerge/>
            <w:tcBorders>
              <w:left w:val="single" w:sz="4" w:space="0" w:color="000000"/>
              <w:bottom w:val="nil" w:sz="6" w:space="0" w:color="auto"/>
              <w:right w:val="single" w:sz="4" w:space="0" w:color="000000"/>
            </w:tcBorders>
            <w:shd w:val="clear" w:color="auto" w:fill="D2D2D2"/>
          </w:tcPr>
          <w:p>
            <w:pPr/>
          </w:p>
        </w:tc>
        <w:tc>
          <w:tcPr>
            <w:tcW w:w="1415" w:type="dxa"/>
            <w:vMerge/>
            <w:tcBorders>
              <w:left w:val="single" w:sz="4" w:space="0" w:color="000000"/>
              <w:right w:val="single" w:sz="4" w:space="0" w:color="000000"/>
            </w:tcBorders>
            <w:shd w:val="clear" w:color="auto" w:fill="D2D2D2"/>
          </w:tcPr>
          <w:p>
            <w:pPr/>
          </w:p>
        </w:tc>
        <w:tc>
          <w:tcPr>
            <w:tcW w:w="1415" w:type="dxa"/>
            <w:vMerge/>
            <w:tcBorders>
              <w:left w:val="single" w:sz="4" w:space="0" w:color="000000"/>
              <w:bottom w:val="nil" w:sz="6" w:space="0" w:color="auto"/>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r>
      <w:tr>
        <w:trPr>
          <w:trHeight w:val="150" w:hRule="exact"/>
        </w:trPr>
        <w:tc>
          <w:tcPr>
            <w:tcW w:w="1658" w:type="dxa"/>
            <w:vMerge/>
            <w:tcBorders>
              <w:left w:val="single" w:sz="4" w:space="0" w:color="000000"/>
              <w:bottom w:val="single" w:sz="4" w:space="0" w:color="000000"/>
              <w:right w:val="single" w:sz="4" w:space="0" w:color="000000"/>
            </w:tcBorders>
            <w:shd w:val="clear" w:color="auto" w:fill="D2D2D2"/>
          </w:tcPr>
          <w:p>
            <w:pPr/>
          </w:p>
        </w:tc>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5" w:type="dxa"/>
            <w:vMerge/>
            <w:tcBorders>
              <w:left w:val="single" w:sz="4" w:space="0" w:color="000000"/>
              <w:bottom w:val="single" w:sz="4" w:space="0" w:color="000000"/>
              <w:right w:val="single" w:sz="4" w:space="0" w:color="000000"/>
            </w:tcBorders>
            <w:shd w:val="clear" w:color="auto" w:fill="D2D2D2"/>
          </w:tcPr>
          <w:p>
            <w:pPr/>
          </w:p>
        </w:tc>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126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95" w:hRule="exact"/>
        </w:trPr>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3"/>
              <w:jc w:val="right"/>
              <w:rPr>
                <w:rFonts w:ascii="Times New Roman" w:hAnsi="Times New Roman" w:cs="Times New Roman" w:eastAsia="Times New Roman" w:hint="default"/>
                <w:sz w:val="22"/>
                <w:szCs w:val="22"/>
              </w:rPr>
            </w:pPr>
            <w:r>
              <w:rPr>
                <w:rFonts w:ascii="Times New Roman"/>
                <w:w w:val="95"/>
                <w:sz w:val="22"/>
              </w:rPr>
              <w:t>16,644,676</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12.43%</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Times New Roman" w:hAnsi="Times New Roman" w:cs="Times New Roman" w:eastAsia="Times New Roman" w:hint="default"/>
                <w:sz w:val="22"/>
                <w:szCs w:val="22"/>
              </w:rPr>
            </w:pPr>
            <w:r>
              <w:rPr>
                <w:rFonts w:ascii="Times New Roman"/>
                <w:w w:val="95"/>
                <w:sz w:val="22"/>
              </w:rPr>
              <w:t>14,105,025</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13.15%</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spacing w:val="-1"/>
                <w:sz w:val="22"/>
              </w:rPr>
              <w:t>18.01%</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-0.72%</w:t>
            </w:r>
            <w:r>
              <w:rPr>
                <w:rFonts w:ascii="Times New Roman"/>
                <w:sz w:val="22"/>
              </w:rPr>
            </w:r>
          </w:p>
        </w:tc>
      </w:tr>
      <w:tr>
        <w:trPr>
          <w:trHeight w:val="295" w:hRule="exact"/>
        </w:trPr>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3"/>
              <w:jc w:val="right"/>
              <w:rPr>
                <w:rFonts w:ascii="Times New Roman" w:hAnsi="Times New Roman" w:cs="Times New Roman" w:eastAsia="Times New Roman" w:hint="default"/>
                <w:sz w:val="22"/>
                <w:szCs w:val="22"/>
              </w:rPr>
            </w:pPr>
            <w:r>
              <w:rPr>
                <w:rFonts w:ascii="Times New Roman"/>
                <w:w w:val="95"/>
                <w:sz w:val="22"/>
              </w:rPr>
              <w:t>4,291,475</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3.21%</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Times New Roman" w:hAnsi="Times New Roman" w:cs="Times New Roman" w:eastAsia="Times New Roman" w:hint="default"/>
                <w:sz w:val="22"/>
                <w:szCs w:val="22"/>
              </w:rPr>
            </w:pPr>
            <w:r>
              <w:rPr>
                <w:rFonts w:ascii="Times New Roman"/>
                <w:w w:val="95"/>
                <w:sz w:val="22"/>
              </w:rPr>
              <w:t>3,356,570</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3.13%</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27.85%</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0.08%</w:t>
            </w:r>
            <w:r>
              <w:rPr>
                <w:rFonts w:ascii="Times New Roman"/>
                <w:sz w:val="22"/>
              </w:rPr>
            </w:r>
          </w:p>
        </w:tc>
      </w:tr>
      <w:tr>
        <w:trPr>
          <w:trHeight w:val="295" w:hRule="exact"/>
        </w:trPr>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104,282</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0.08%</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Times New Roman" w:hAnsi="Times New Roman" w:cs="Times New Roman" w:eastAsia="Times New Roman" w:hint="default"/>
                <w:sz w:val="22"/>
                <w:szCs w:val="22"/>
              </w:rPr>
            </w:pPr>
            <w:r>
              <w:rPr>
                <w:rFonts w:ascii="Times New Roman"/>
                <w:w w:val="95"/>
                <w:sz w:val="22"/>
              </w:rPr>
              <w:t>66,770</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0.06%</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56.18%</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0.02%</w:t>
            </w:r>
            <w:r>
              <w:rPr>
                <w:rFonts w:ascii="Times New Roman"/>
                <w:sz w:val="22"/>
              </w:rPr>
            </w:r>
          </w:p>
        </w:tc>
      </w:tr>
      <w:tr>
        <w:trPr>
          <w:trHeight w:val="295"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销售费用管理费用明细</w:t>
            </w:r>
          </w:p>
        </w:tc>
      </w:tr>
      <w:tr>
        <w:trPr>
          <w:trHeight w:val="29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人员费用</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Times New Roman" w:hAnsi="Times New Roman" w:cs="Times New Roman" w:eastAsia="Times New Roman" w:hint="default"/>
                <w:sz w:val="22"/>
                <w:szCs w:val="22"/>
              </w:rPr>
            </w:pPr>
            <w:r>
              <w:rPr>
                <w:rFonts w:ascii="Times New Roman"/>
                <w:w w:val="95"/>
                <w:sz w:val="22"/>
              </w:rPr>
              <w:t>6,615,983</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4.94%</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5,762,670</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5.37%</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14.81%</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-0.43%</w:t>
            </w:r>
            <w:r>
              <w:rPr>
                <w:rFonts w:ascii="Times New Roman"/>
                <w:sz w:val="22"/>
              </w:rPr>
            </w:r>
          </w:p>
        </w:tc>
      </w:tr>
      <w:tr>
        <w:trPr>
          <w:trHeight w:val="29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租赁费用</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Times New Roman" w:hAnsi="Times New Roman" w:cs="Times New Roman" w:eastAsia="Times New Roman" w:hint="default"/>
                <w:sz w:val="22"/>
                <w:szCs w:val="22"/>
              </w:rPr>
            </w:pPr>
            <w:r>
              <w:rPr>
                <w:rFonts w:ascii="Times New Roman"/>
                <w:w w:val="95"/>
                <w:sz w:val="22"/>
              </w:rPr>
              <w:t>5,276,791</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3.94%</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4,680,584</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4.36%</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spacing w:val="-1"/>
                <w:sz w:val="22"/>
              </w:rPr>
              <w:t>12.74%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-0.42%</w:t>
            </w:r>
            <w:r>
              <w:rPr>
                <w:rFonts w:ascii="Times New Roman"/>
                <w:sz w:val="22"/>
              </w:rPr>
            </w:r>
          </w:p>
        </w:tc>
      </w:tr>
      <w:tr>
        <w:trPr>
          <w:trHeight w:val="29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其他费用</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Times New Roman" w:hAnsi="Times New Roman" w:cs="Times New Roman" w:eastAsia="Times New Roman" w:hint="default"/>
                <w:sz w:val="22"/>
                <w:szCs w:val="22"/>
              </w:rPr>
            </w:pPr>
            <w:r>
              <w:rPr>
                <w:rFonts w:ascii="Times New Roman"/>
                <w:w w:val="95"/>
                <w:sz w:val="22"/>
              </w:rPr>
              <w:t>3,196,723</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2.39%</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2,732,603</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2.55%</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spacing w:val="-1"/>
                <w:sz w:val="22"/>
              </w:rPr>
              <w:t>16.98%</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r>
      <w:tr>
        <w:trPr>
          <w:trHeight w:val="29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广告促销费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Times New Roman" w:hAnsi="Times New Roman" w:cs="Times New Roman" w:eastAsia="Times New Roman" w:hint="default"/>
                <w:sz w:val="22"/>
                <w:szCs w:val="22"/>
              </w:rPr>
            </w:pPr>
            <w:r>
              <w:rPr>
                <w:rFonts w:ascii="Times New Roman"/>
                <w:w w:val="95"/>
                <w:sz w:val="22"/>
              </w:rPr>
              <w:t>2,963,255</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2.21%</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2,065,100</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1.93%</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43.49%</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0.28%</w:t>
            </w:r>
            <w:r>
              <w:rPr>
                <w:rFonts w:ascii="Times New Roman"/>
                <w:sz w:val="22"/>
              </w:rPr>
            </w:r>
          </w:p>
        </w:tc>
      </w:tr>
      <w:tr>
        <w:trPr>
          <w:trHeight w:val="29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运杂费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Times New Roman" w:hAnsi="Times New Roman" w:cs="Times New Roman" w:eastAsia="Times New Roman" w:hint="default"/>
                <w:sz w:val="22"/>
                <w:szCs w:val="22"/>
              </w:rPr>
            </w:pPr>
            <w:r>
              <w:rPr>
                <w:rFonts w:ascii="Times New Roman"/>
                <w:w w:val="95"/>
                <w:sz w:val="22"/>
              </w:rPr>
              <w:t>1,467,806</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1.10%</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1,009,482</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0.94%</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45.40%</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r>
      <w:tr>
        <w:trPr>
          <w:trHeight w:val="29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水电费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756,456</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0.57%</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726,243</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0.68%</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4.16%</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spacing w:val="-2"/>
                <w:sz w:val="22"/>
              </w:rPr>
              <w:t>-0.11%</w:t>
            </w:r>
          </w:p>
        </w:tc>
      </w:tr>
      <w:tr>
        <w:trPr>
          <w:trHeight w:val="29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装潢费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659,137</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0.49%</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484,913</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0.45%</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spacing w:val="-1"/>
                <w:sz w:val="22"/>
              </w:rPr>
              <w:t>35.93%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0.04%</w:t>
            </w:r>
            <w:r>
              <w:rPr>
                <w:rFonts w:ascii="Times New Roman"/>
                <w:sz w:val="22"/>
              </w:rPr>
            </w:r>
          </w:p>
        </w:tc>
      </w:tr>
      <w:tr>
        <w:trPr>
          <w:trHeight w:val="29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Times New Roman" w:hAnsi="Times New Roman" w:cs="Times New Roman" w:eastAsia="Times New Roman" w:hint="default"/>
                <w:sz w:val="22"/>
                <w:szCs w:val="22"/>
              </w:rPr>
            </w:pPr>
            <w:r>
              <w:rPr>
                <w:rFonts w:ascii="Times New Roman"/>
                <w:w w:val="95"/>
                <w:sz w:val="22"/>
              </w:rPr>
              <w:t>20,936,151</w:t>
            </w:r>
            <w:r>
              <w:rPr>
                <w:rFonts w:ascii="Times New Roman"/>
                <w:sz w:val="22"/>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1"/>
                <w:sz w:val="22"/>
              </w:rPr>
              <w:t>15.64%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17,461,595</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16.28%</w:t>
            </w:r>
            <w:r>
              <w:rPr>
                <w:rFonts w:ascii="Times New Roman"/>
                <w:sz w:val="2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19.90%</w:t>
            </w:r>
            <w:r>
              <w:rPr>
                <w:rFonts w:ascii="Times New Roman"/>
                <w:sz w:val="2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-0.64%</w:t>
            </w:r>
            <w:r>
              <w:rPr>
                <w:rFonts w:ascii="Times New Roman"/>
                <w:sz w:val="22"/>
              </w:rPr>
            </w:r>
          </w:p>
        </w:tc>
      </w:tr>
    </w:tbl>
    <w:p>
      <w:pPr>
        <w:spacing w:after="0" w:line="250" w:lineRule="exact"/>
        <w:jc w:val="right"/>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6"/>
        <w:ind w:left="594" w:right="0"/>
        <w:jc w:val="left"/>
      </w:pPr>
      <w:r>
        <w:rPr>
          <w:spacing w:val="2"/>
        </w:rPr>
        <w:t>报告期内，公司管理费用率和销售费用率合计较去年同期减少</w:t>
      </w:r>
      <w:r>
        <w:rPr>
          <w:spacing w:val="-58"/>
        </w:rPr>
        <w:t> </w:t>
      </w:r>
      <w:r>
        <w:rPr>
          <w:rFonts w:ascii="Times New Roman" w:hAnsi="Times New Roman" w:cs="Times New Roman" w:eastAsia="Times New Roman" w:hint="default"/>
          <w:spacing w:val="2"/>
        </w:rPr>
        <w:t>0.64%</w:t>
      </w:r>
      <w:r>
        <w:rPr>
          <w:spacing w:val="2"/>
        </w:rPr>
        <w:t>。主要费率变动分析如下：</w:t>
      </w:r>
    </w:p>
    <w:p>
      <w:pPr>
        <w:pStyle w:val="BodyText"/>
        <w:spacing w:line="369" w:lineRule="auto" w:before="163"/>
        <w:ind w:left="594" w:right="1127"/>
        <w:jc w:val="left"/>
      </w:pPr>
      <w:r>
        <w:rPr/>
        <w:t>（</w:t>
      </w:r>
      <w:r>
        <w:rPr>
          <w:rFonts w:ascii="Times New Roman" w:hAnsi="Times New Roman" w:cs="Times New Roman" w:eastAsia="Times New Roman" w:hint="default"/>
        </w:rPr>
        <w:t>1</w:t>
      </w:r>
      <w:r>
        <w:rPr/>
        <w:t>）人员费用率变动的主要原因</w:t>
      </w:r>
      <w:r>
        <w:rPr>
          <w:w w:val="99"/>
        </w:rPr>
        <w:t> </w:t>
      </w:r>
      <w:r>
        <w:rPr>
          <w:spacing w:val="-1"/>
        </w:rPr>
        <w:t>报告期内，公司提升员工薪酬待遇水平，以及随着公司业务拓展与变革，在互联网运营、</w:t>
      </w:r>
      <w:r>
        <w:rPr>
          <w:rFonts w:ascii="Times New Roman" w:hAnsi="Times New Roman" w:cs="Times New Roman" w:eastAsia="Times New Roman" w:hint="default"/>
          <w:spacing w:val="-1"/>
        </w:rPr>
        <w:t>IT</w:t>
      </w:r>
      <w:r>
        <w:rPr>
          <w:spacing w:val="-1"/>
        </w:rPr>
        <w:t>、金</w:t>
      </w:r>
      <w:r>
        <w:rPr/>
      </w:r>
    </w:p>
    <w:p>
      <w:pPr>
        <w:pStyle w:val="BodyText"/>
        <w:spacing w:line="391" w:lineRule="auto" w:before="32"/>
        <w:ind w:left="154" w:right="1082"/>
        <w:jc w:val="left"/>
      </w:pPr>
      <w:r>
        <w:rPr>
          <w:spacing w:val="-1"/>
          <w:w w:val="95"/>
        </w:rPr>
        <w:t>融等领域持续加大人才引进，人员费用保持较快增加。随着公司内部推进组织精简、流程优化，并加</w:t>
      </w:r>
      <w:r>
        <w:rPr>
          <w:spacing w:val="51"/>
          <w:w w:val="95"/>
        </w:rPr>
        <w:t> </w:t>
      </w:r>
      <w:r>
        <w:rPr>
          <w:spacing w:val="51"/>
          <w:w w:val="95"/>
        </w:rPr>
      </w:r>
      <w:r>
        <w:rPr/>
        <w:t>强目标绩效管理，人效水平有所提升，使得人员费用率有一定控制。</w:t>
      </w:r>
    </w:p>
    <w:p>
      <w:pPr>
        <w:pStyle w:val="BodyText"/>
        <w:spacing w:line="369" w:lineRule="auto" w:before="41"/>
        <w:ind w:left="594" w:right="1082"/>
        <w:jc w:val="left"/>
      </w:pPr>
      <w:r>
        <w:rPr/>
        <w:t>（</w:t>
      </w:r>
      <w:r>
        <w:rPr>
          <w:rFonts w:ascii="Times New Roman" w:hAnsi="Times New Roman" w:cs="Times New Roman" w:eastAsia="Times New Roman" w:hint="default"/>
        </w:rPr>
        <w:t>2</w:t>
      </w:r>
      <w:r>
        <w:rPr/>
        <w:t>）租赁费率、水电费率变动的主要原因</w:t>
      </w:r>
      <w:r>
        <w:rPr>
          <w:w w:val="99"/>
        </w:rPr>
        <w:t> </w:t>
      </w:r>
      <w:r>
        <w:rPr>
          <w:spacing w:val="-2"/>
        </w:rPr>
        <w:t>报告期内，公司注重店面结构优化及经营效益管理，加快低效店面的关闭，新开店上严格控制投</w:t>
      </w:r>
    </w:p>
    <w:p>
      <w:pPr>
        <w:pStyle w:val="BodyText"/>
        <w:spacing w:line="240" w:lineRule="auto" w:before="61"/>
        <w:ind w:left="154" w:right="0"/>
        <w:jc w:val="both"/>
      </w:pPr>
      <w:r>
        <w:rPr/>
        <w:t>入产出，加之可比店面收入增长，由此带来租赁费率、水电费率同比略有下降。</w:t>
      </w:r>
    </w:p>
    <w:p>
      <w:pPr>
        <w:pStyle w:val="BodyText"/>
        <w:spacing w:line="369" w:lineRule="auto" w:before="180"/>
        <w:ind w:left="594" w:right="1127"/>
        <w:jc w:val="left"/>
      </w:pPr>
      <w:r>
        <w:rPr/>
        <w:t>（</w:t>
      </w:r>
      <w:r>
        <w:rPr>
          <w:rFonts w:ascii="Times New Roman" w:hAnsi="Times New Roman" w:cs="Times New Roman" w:eastAsia="Times New Roman" w:hint="default"/>
        </w:rPr>
        <w:t>3</w:t>
      </w:r>
      <w:r>
        <w:rPr/>
        <w:t>）装潢费率变动主要原因</w:t>
      </w:r>
      <w:r>
        <w:rPr>
          <w:w w:val="99"/>
        </w:rPr>
        <w:t> </w:t>
      </w:r>
      <w:r>
        <w:rPr>
          <w:spacing w:val="-6"/>
          <w:w w:val="99"/>
        </w:rPr>
        <w:t>报告期内，公司积极实施店面互联网化建设，加大云店的升级改造，由此带来装潢费用有所增长。</w:t>
      </w:r>
      <w:r>
        <w:rPr>
          <w:spacing w:val="-6"/>
        </w:rPr>
      </w:r>
    </w:p>
    <w:p>
      <w:pPr>
        <w:pStyle w:val="BodyText"/>
        <w:spacing w:line="369" w:lineRule="auto" w:before="61"/>
        <w:ind w:left="594" w:right="1125"/>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）其他费用率变动的主要原因</w:t>
      </w:r>
      <w:r>
        <w:rPr>
          <w:w w:val="99"/>
        </w:rPr>
        <w:t> </w:t>
      </w:r>
      <w:r>
        <w:rPr>
          <w:spacing w:val="-11"/>
        </w:rPr>
        <w:t>报告期内，一方面公司物流基地、自建店投入运营，资产规模增加，带来折旧费用增加，以及</w:t>
      </w:r>
      <w:r>
        <w:rPr>
          <w:spacing w:val="-30"/>
        </w:rPr>
        <w:t> </w:t>
      </w:r>
      <w:r>
        <w:rPr>
          <w:rFonts w:ascii="Times New Roman" w:hAnsi="Times New Roman" w:cs="Times New Roman" w:eastAsia="Times New Roman" w:hint="default"/>
        </w:rPr>
        <w:t>PPTV</w:t>
      </w:r>
    </w:p>
    <w:p>
      <w:pPr>
        <w:pStyle w:val="BodyText"/>
        <w:spacing w:line="369" w:lineRule="auto" w:before="32"/>
        <w:ind w:right="1210"/>
        <w:jc w:val="both"/>
      </w:pPr>
      <w:r>
        <w:rPr/>
        <w:t>相关的视频技术及版权摊销带来无形资产摊销的增加；另一方面，公司加大</w:t>
      </w:r>
      <w:r>
        <w:rPr>
          <w:spacing w:val="-61"/>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方面的投入，带来研</w:t>
      </w:r>
      <w:r>
        <w:rPr>
          <w:w w:val="99"/>
        </w:rPr>
        <w:t> </w:t>
      </w:r>
      <w:r>
        <w:rPr/>
        <w:t>发投入费用的增加，由此带来其他费用较去年同期增加</w:t>
      </w:r>
      <w:r>
        <w:rPr>
          <w:spacing w:val="-63"/>
        </w:rPr>
        <w:t> </w:t>
      </w:r>
      <w:r>
        <w:rPr>
          <w:rFonts w:ascii="Times New Roman" w:hAnsi="Times New Roman" w:cs="Times New Roman" w:eastAsia="Times New Roman" w:hint="default"/>
        </w:rPr>
        <w:t>16.98%</w:t>
      </w:r>
      <w:r>
        <w:rPr/>
        <w:t>，随着公司周转效率的提升，其他费</w:t>
      </w:r>
      <w:r>
        <w:rPr>
          <w:w w:val="99"/>
        </w:rPr>
        <w:t> </w:t>
      </w:r>
      <w:r>
        <w:rPr/>
        <w:t>用有一定控制。</w:t>
      </w:r>
    </w:p>
    <w:p>
      <w:pPr>
        <w:pStyle w:val="BodyText"/>
        <w:spacing w:line="369" w:lineRule="auto" w:before="61"/>
        <w:ind w:left="594" w:right="1082"/>
        <w:jc w:val="left"/>
      </w:pPr>
      <w:r>
        <w:rPr/>
        <w:t>（</w:t>
      </w:r>
      <w:r>
        <w:rPr>
          <w:rFonts w:ascii="Times New Roman" w:hAnsi="Times New Roman" w:cs="Times New Roman" w:eastAsia="Times New Roman" w:hint="default"/>
        </w:rPr>
        <w:t>5</w:t>
      </w:r>
      <w:r>
        <w:rPr/>
        <w:t>）广告促销费率变动的主要原因</w:t>
      </w:r>
      <w:r>
        <w:rPr>
          <w:w w:val="99"/>
        </w:rPr>
        <w:t> </w:t>
      </w:r>
      <w:r>
        <w:rPr>
          <w:spacing w:val="-7"/>
        </w:rPr>
        <w:t>报告期内，公司持续加大品牌推广力度，以及在母婴、超市、百货等新品类，加大广告投放力度，</w:t>
      </w:r>
    </w:p>
    <w:p>
      <w:pPr>
        <w:pStyle w:val="BodyText"/>
        <w:spacing w:line="391" w:lineRule="auto" w:before="61"/>
        <w:ind w:right="1026"/>
        <w:jc w:val="left"/>
      </w:pPr>
      <w:r>
        <w:rPr/>
        <w:t>提高消费者认知度；同时为有效应对市场竞争，拉动销售，开展一系列促销活动，由此带来广告促销</w:t>
      </w:r>
      <w:r>
        <w:rPr>
          <w:w w:val="99"/>
        </w:rPr>
        <w:t> </w:t>
      </w:r>
      <w:r>
        <w:rPr/>
        <w:t>费率较去年同期增加</w:t>
      </w:r>
      <w:r>
        <w:rPr>
          <w:spacing w:val="-45"/>
        </w:rPr>
        <w:t> </w:t>
      </w:r>
      <w:r>
        <w:rPr>
          <w:rFonts w:ascii="Times New Roman" w:hAnsi="Times New Roman" w:cs="Times New Roman" w:eastAsia="Times New Roman" w:hint="default"/>
          <w:spacing w:val="2"/>
        </w:rPr>
        <w:t>0.28%</w:t>
      </w:r>
      <w:r>
        <w:rPr>
          <w:spacing w:val="2"/>
        </w:rPr>
        <w:t>。公司将充分运用大数据手段，开展精准营销，提高广告投入产出效率。</w:t>
      </w:r>
    </w:p>
    <w:p>
      <w:pPr>
        <w:pStyle w:val="BodyText"/>
        <w:spacing w:line="369" w:lineRule="auto" w:before="10"/>
        <w:ind w:left="594" w:right="1082"/>
        <w:jc w:val="left"/>
      </w:pPr>
      <w:r>
        <w:rPr/>
        <w:t>（</w:t>
      </w:r>
      <w:r>
        <w:rPr>
          <w:rFonts w:ascii="Times New Roman" w:hAnsi="Times New Roman" w:cs="Times New Roman" w:eastAsia="Times New Roman" w:hint="default"/>
        </w:rPr>
        <w:t>6</w:t>
      </w:r>
      <w:r>
        <w:rPr/>
        <w:t>）运杂费率变动的主要原因</w:t>
      </w:r>
      <w:r>
        <w:rPr>
          <w:w w:val="99"/>
        </w:rPr>
        <w:t> </w:t>
      </w:r>
      <w:r>
        <w:rPr>
          <w:spacing w:val="-2"/>
        </w:rPr>
        <w:t>随着线上销售规模的快速增加，以及母婴、超市等非电器类商品的销售规模提升，带来商品配送</w:t>
      </w:r>
    </w:p>
    <w:p>
      <w:pPr>
        <w:pStyle w:val="BodyText"/>
        <w:spacing w:line="240" w:lineRule="auto" w:before="61"/>
        <w:ind w:right="0"/>
        <w:jc w:val="both"/>
      </w:pPr>
      <w:r>
        <w:rPr/>
        <w:t>费用增长较快，运杂费率较去年同期增加</w:t>
      </w:r>
      <w:r>
        <w:rPr>
          <w:spacing w:val="-63"/>
        </w:rPr>
        <w:t> </w:t>
      </w:r>
      <w:r>
        <w:rPr>
          <w:rFonts w:ascii="Times New Roman" w:hAnsi="Times New Roman" w:cs="Times New Roman" w:eastAsia="Times New Roman" w:hint="default"/>
        </w:rPr>
        <w:t>0.16%</w:t>
      </w:r>
      <w:r>
        <w:rPr/>
        <w:t>。</w:t>
      </w:r>
    </w:p>
    <w:p>
      <w:pPr>
        <w:spacing w:line="240" w:lineRule="auto" w:before="7"/>
        <w:rPr>
          <w:rFonts w:ascii="宋体" w:hAnsi="宋体" w:cs="宋体" w:eastAsia="宋体" w:hint="default"/>
          <w:sz w:val="29"/>
          <w:szCs w:val="29"/>
        </w:rPr>
      </w:pPr>
    </w:p>
    <w:p>
      <w:pPr>
        <w:pStyle w:val="Heading4"/>
        <w:spacing w:line="240" w:lineRule="auto"/>
        <w:ind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1204" w:firstLine="440"/>
        <w:jc w:val="left"/>
      </w:pPr>
      <w:r>
        <w:rPr/>
        <w:t>围绕公司互联网零售转型升级，提升内部组织管理运营效率，公司在</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资源方面持续投入，搭</w:t>
      </w:r>
      <w:r>
        <w:rPr>
          <w:w w:val="99"/>
        </w:rPr>
        <w:t> </w:t>
      </w:r>
      <w:r>
        <w:rPr/>
        <w:t>建完整的互联网研发架构体系，截至</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年末，公司研发人员数量</w:t>
      </w:r>
      <w:r>
        <w:rPr>
          <w:spacing w:val="-59"/>
        </w:rPr>
        <w:t> </w:t>
      </w:r>
      <w:r>
        <w:rPr>
          <w:rFonts w:ascii="Times New Roman" w:hAnsi="Times New Roman" w:cs="Times New Roman" w:eastAsia="Times New Roman" w:hint="default"/>
        </w:rPr>
        <w:t>4589</w:t>
      </w:r>
      <w:r>
        <w:rPr>
          <w:rFonts w:ascii="Times New Roman" w:hAnsi="Times New Roman" w:cs="Times New Roman" w:eastAsia="Times New Roman" w:hint="default"/>
          <w:spacing w:val="-3"/>
        </w:rPr>
        <w:t> </w:t>
      </w:r>
      <w:r>
        <w:rPr/>
        <w:t>人。</w:t>
      </w:r>
    </w:p>
    <w:p>
      <w:pPr>
        <w:pStyle w:val="BodyText"/>
        <w:spacing w:line="384" w:lineRule="auto" w:before="32"/>
        <w:ind w:left="154" w:right="0" w:firstLine="440"/>
        <w:jc w:val="left"/>
      </w:pPr>
      <w:r>
        <w:rPr/>
        <w:t>围绕</w:t>
      </w:r>
      <w:r>
        <w:rPr>
          <w:spacing w:val="-58"/>
        </w:rPr>
        <w:t> </w:t>
      </w:r>
      <w:r>
        <w:rPr>
          <w:rFonts w:ascii="Times New Roman" w:hAnsi="Times New Roman" w:cs="Times New Roman" w:eastAsia="Times New Roman" w:hint="default"/>
        </w:rPr>
        <w:t>O2O</w:t>
      </w:r>
      <w:r>
        <w:rPr>
          <w:rFonts w:ascii="Times New Roman" w:hAnsi="Times New Roman" w:cs="Times New Roman" w:eastAsia="Times New Roman" w:hint="default"/>
          <w:spacing w:val="-3"/>
        </w:rPr>
        <w:t> </w:t>
      </w:r>
      <w:r>
        <w:rPr/>
        <w:t>加大资源投入，使得苏宁作为实质拥有多端平台能力的互联网零售企业，向消费者、</w:t>
      </w:r>
      <w:r>
        <w:rPr>
          <w:w w:val="99"/>
        </w:rPr>
        <w:t> </w:t>
      </w:r>
      <w:r>
        <w:rPr/>
        <w:t>供应商提供更为丰富、更有体验的应用服务；围绕大数据加快各类应用研发，使得从用户营销到供应</w:t>
      </w:r>
      <w:r>
        <w:rPr>
          <w:w w:val="99"/>
        </w:rPr>
        <w:t> </w:t>
      </w:r>
      <w:r>
        <w:rPr/>
        <w:t>链升级、到内部管理创新建立全新的支撑平台；围绕硬件、网络、内容协同的商业模式升级，从云、</w:t>
      </w:r>
      <w:r>
        <w:rPr>
          <w:spacing w:val="-80"/>
        </w:rPr>
        <w:t> </w:t>
      </w:r>
      <w:r>
        <w:rPr>
          <w:spacing w:val="-80"/>
        </w:rPr>
      </w:r>
      <w:r>
        <w:rPr>
          <w:spacing w:val="-6"/>
          <w:w w:val="99"/>
        </w:rPr>
        <w:t>管、端三个方面投入研发资源，从而提升公司对消费者的吸引与增值服务能力，形成差异化竞争优势。</w:t>
      </w:r>
      <w:r>
        <w:rPr>
          <w:spacing w:val="-6"/>
        </w:rPr>
      </w:r>
    </w:p>
    <w:p>
      <w:pPr>
        <w:spacing w:after="0" w:line="38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6"/>
        <w:ind w:left="594" w:right="1082"/>
        <w:jc w:val="left"/>
      </w:pPr>
      <w:r>
        <w:rPr/>
        <w:t>报告期内，公司研发投入情况如下：</w:t>
      </w:r>
    </w:p>
    <w:p>
      <w:pPr>
        <w:spacing w:line="240" w:lineRule="auto" w:before="7"/>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521"/>
        <w:gridCol w:w="2021"/>
        <w:gridCol w:w="2008"/>
        <w:gridCol w:w="2008"/>
      </w:tblGrid>
      <w:tr>
        <w:trPr>
          <w:trHeight w:val="295"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65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64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559" w:right="0"/>
              <w:jc w:val="left"/>
              <w:rPr>
                <w:rFonts w:ascii="宋体" w:hAnsi="宋体" w:cs="宋体" w:eastAsia="宋体" w:hint="default"/>
                <w:sz w:val="22"/>
                <w:szCs w:val="22"/>
              </w:rPr>
            </w:pPr>
            <w:r>
              <w:rPr>
                <w:rFonts w:ascii="宋体" w:hAnsi="宋体" w:cs="宋体" w:eastAsia="宋体" w:hint="default"/>
                <w:sz w:val="22"/>
                <w:szCs w:val="22"/>
              </w:rPr>
              <w:t>变动比例</w:t>
            </w: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研发人员数量（人）</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4589</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4021</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14.13%</w:t>
            </w:r>
            <w:r>
              <w:rPr>
                <w:rFonts w:ascii="Times New Roman"/>
                <w:sz w:val="22"/>
              </w:rPr>
            </w:r>
          </w:p>
        </w:tc>
      </w:tr>
      <w:tr>
        <w:trPr>
          <w:trHeight w:val="323"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研发人员数量占比</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6.98%</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5.36%</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1.62%</w:t>
            </w:r>
            <w:r>
              <w:rPr>
                <w:rFonts w:ascii="Times New Roman"/>
                <w:sz w:val="22"/>
              </w:rPr>
            </w: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研发投入金额（千元，注）</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1,007,014</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753,493</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33.65%</w:t>
            </w:r>
            <w:r>
              <w:rPr>
                <w:rFonts w:ascii="Times New Roman"/>
                <w:sz w:val="22"/>
              </w:rPr>
            </w: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研发投入占营业收入比例</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0.74%</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0.69%</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0.05%</w:t>
            </w:r>
            <w:r>
              <w:rPr>
                <w:rFonts w:ascii="Times New Roman"/>
                <w:sz w:val="22"/>
              </w:rPr>
            </w:r>
          </w:p>
        </w:tc>
      </w:tr>
      <w:tr>
        <w:trPr>
          <w:trHeight w:val="323"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研发投入资本化的金额（千元）</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22,778</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125,580</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-81.86%</w:t>
            </w:r>
            <w:r>
              <w:rPr>
                <w:rFonts w:ascii="Times New Roman"/>
                <w:sz w:val="22"/>
              </w:rPr>
            </w:r>
          </w:p>
        </w:tc>
      </w:tr>
      <w:tr>
        <w:trPr>
          <w:trHeight w:val="32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资本化研发投入占研发投入的比例</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2.26%</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16.67%</w:t>
            </w:r>
            <w:r>
              <w:rPr>
                <w:rFonts w:ascii="Times New Roman"/>
                <w:sz w:val="22"/>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-14.41%</w:t>
            </w:r>
            <w:r>
              <w:rPr>
                <w:rFonts w:ascii="Times New Roman"/>
                <w:sz w:val="22"/>
              </w:rPr>
            </w:r>
          </w:p>
        </w:tc>
      </w:tr>
    </w:tbl>
    <w:p>
      <w:pPr>
        <w:pStyle w:val="BodyText"/>
        <w:spacing w:line="240" w:lineRule="auto" w:before="55"/>
        <w:ind w:left="154" w:right="1082"/>
        <w:jc w:val="left"/>
      </w:pPr>
      <w:r>
        <w:rPr/>
        <w:t>注：研发投入金额统计范围主要为公司</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人员薪资以及</w:t>
      </w:r>
      <w:r>
        <w:rPr>
          <w:spacing w:val="-59"/>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相关硬件投入等。</w:t>
      </w:r>
    </w:p>
    <w:p>
      <w:pPr>
        <w:spacing w:line="240" w:lineRule="auto" w:before="5"/>
        <w:rPr>
          <w:rFonts w:ascii="宋体" w:hAnsi="宋体" w:cs="宋体" w:eastAsia="宋体" w:hint="default"/>
          <w:sz w:val="24"/>
          <w:szCs w:val="24"/>
        </w:rPr>
      </w:pPr>
    </w:p>
    <w:p>
      <w:pPr>
        <w:pStyle w:val="BodyText"/>
        <w:spacing w:line="240" w:lineRule="auto"/>
        <w:ind w:left="594" w:right="1082"/>
        <w:jc w:val="left"/>
      </w:pPr>
      <w:r>
        <w:rPr/>
        <w:t>研发投入总额占营业收入的比重较上年发生显著变化的原因</w:t>
      </w:r>
    </w:p>
    <w:p>
      <w:pPr>
        <w:pStyle w:val="BodyText"/>
        <w:spacing w:line="369" w:lineRule="auto" w:before="180"/>
        <w:ind w:left="594" w:right="5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研发投入资本化率大幅变动的原因及其合理性说明</w:t>
      </w:r>
    </w:p>
    <w:p>
      <w:pPr>
        <w:pStyle w:val="BodyText"/>
        <w:spacing w:line="379" w:lineRule="auto" w:before="61"/>
        <w:ind w:left="154" w:right="1082" w:firstLine="440"/>
        <w:jc w:val="left"/>
      </w:pPr>
      <w:r>
        <w:rPr/>
        <w:t>报告期内，公司</w:t>
      </w:r>
      <w:r>
        <w:rPr>
          <w:spacing w:val="-59"/>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体系在系统架构优化、基础数据运维、服务产品应用等方面加大研究开发，</w:t>
      </w:r>
      <w:r>
        <w:rPr>
          <w:w w:val="99"/>
        </w:rPr>
        <w:t> </w:t>
      </w:r>
      <w:r>
        <w:rPr>
          <w:spacing w:val="-1"/>
          <w:w w:val="95"/>
        </w:rPr>
        <w:t>全面支撑内部管理和业务创新发展，由此带来研发投入确认费用化金额有所增加，研发投入资本化金</w:t>
      </w:r>
      <w:r>
        <w:rPr>
          <w:spacing w:val="48"/>
          <w:w w:val="95"/>
        </w:rPr>
        <w:t> </w:t>
      </w:r>
      <w:r>
        <w:rPr>
          <w:spacing w:val="48"/>
          <w:w w:val="95"/>
        </w:rPr>
      </w:r>
      <w:r>
        <w:rPr/>
        <w:t>额较去年同期减少</w:t>
      </w:r>
      <w:r>
        <w:rPr>
          <w:spacing w:val="-60"/>
        </w:rPr>
        <w:t> </w:t>
      </w:r>
      <w:r>
        <w:rPr>
          <w:rFonts w:ascii="Times New Roman" w:hAnsi="Times New Roman" w:cs="Times New Roman" w:eastAsia="Times New Roman" w:hint="default"/>
        </w:rPr>
        <w:t>81.86%</w:t>
      </w:r>
      <w:r>
        <w:rPr/>
        <w:t>。</w:t>
      </w:r>
    </w:p>
    <w:p>
      <w:pPr>
        <w:spacing w:line="240" w:lineRule="auto" w:before="10"/>
        <w:rPr>
          <w:rFonts w:ascii="宋体" w:hAnsi="宋体" w:cs="宋体" w:eastAsia="宋体" w:hint="default"/>
          <w:sz w:val="18"/>
          <w:szCs w:val="18"/>
        </w:rPr>
      </w:pPr>
    </w:p>
    <w:p>
      <w:pPr>
        <w:pStyle w:val="Heading4"/>
        <w:spacing w:line="240" w:lineRule="auto"/>
        <w:ind w:right="1082"/>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left="0" w:right="1132"/>
        <w:jc w:val="right"/>
      </w:pPr>
      <w:r>
        <w:rPr>
          <w:w w:val="95"/>
        </w:rPr>
        <w:t>单位：千元</w:t>
      </w:r>
      <w:r>
        <w:rPr/>
      </w:r>
    </w:p>
    <w:p>
      <w:pPr>
        <w:spacing w:line="240" w:lineRule="auto" w:before="8"/>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2210"/>
        <w:gridCol w:w="2198"/>
        <w:gridCol w:w="2196"/>
      </w:tblGrid>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10"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652"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1" w:right="0"/>
              <w:jc w:val="left"/>
              <w:rPr>
                <w:rFonts w:ascii="宋体" w:hAnsi="宋体" w:cs="宋体" w:eastAsia="宋体" w:hint="default"/>
                <w:sz w:val="22"/>
                <w:szCs w:val="22"/>
              </w:rPr>
            </w:pPr>
            <w:r>
              <w:rPr>
                <w:rFonts w:ascii="宋体" w:hAnsi="宋体" w:cs="宋体" w:eastAsia="宋体" w:hint="default"/>
                <w:sz w:val="22"/>
                <w:szCs w:val="22"/>
              </w:rPr>
              <w:t>经营活动现金流入小计</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159,960,798</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130,105,849</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spacing w:val="-1"/>
                <w:sz w:val="22"/>
              </w:rPr>
              <w:t>22.95%</w:t>
            </w:r>
          </w:p>
        </w:tc>
      </w:tr>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1" w:right="0"/>
              <w:jc w:val="left"/>
              <w:rPr>
                <w:rFonts w:ascii="宋体" w:hAnsi="宋体" w:cs="宋体" w:eastAsia="宋体" w:hint="default"/>
                <w:sz w:val="22"/>
                <w:szCs w:val="22"/>
              </w:rPr>
            </w:pPr>
            <w:r>
              <w:rPr>
                <w:rFonts w:ascii="宋体" w:hAnsi="宋体" w:cs="宋体" w:eastAsia="宋体" w:hint="default"/>
                <w:sz w:val="22"/>
                <w:szCs w:val="22"/>
              </w:rPr>
              <w:t>经营活动现金流出小计</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158,227,459</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131,487,268</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spacing w:val="-1"/>
                <w:sz w:val="22"/>
              </w:rPr>
              <w:t>20.34%</w:t>
            </w:r>
          </w:p>
        </w:tc>
      </w:tr>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1"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1,733,339</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-1,381,419</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225.48%</w:t>
            </w:r>
            <w:r>
              <w:rPr>
                <w:rFonts w:ascii="Times New Roman"/>
                <w:sz w:val="22"/>
              </w:rPr>
            </w:r>
          </w:p>
        </w:tc>
      </w:tr>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1" w:right="0"/>
              <w:jc w:val="left"/>
              <w:rPr>
                <w:rFonts w:ascii="宋体" w:hAnsi="宋体" w:cs="宋体" w:eastAsia="宋体" w:hint="default"/>
                <w:sz w:val="22"/>
                <w:szCs w:val="22"/>
              </w:rPr>
            </w:pPr>
            <w:r>
              <w:rPr>
                <w:rFonts w:ascii="宋体" w:hAnsi="宋体" w:cs="宋体" w:eastAsia="宋体" w:hint="default"/>
                <w:sz w:val="22"/>
                <w:szCs w:val="22"/>
              </w:rPr>
              <w:t>投资活动现金流入小计</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2"/>
              <w:jc w:val="right"/>
              <w:rPr>
                <w:rFonts w:ascii="Times New Roman" w:hAnsi="Times New Roman" w:cs="Times New Roman" w:eastAsia="Times New Roman" w:hint="default"/>
                <w:sz w:val="22"/>
                <w:szCs w:val="22"/>
              </w:rPr>
            </w:pPr>
            <w:r>
              <w:rPr>
                <w:rFonts w:ascii="Times New Roman"/>
                <w:w w:val="95"/>
                <w:sz w:val="22"/>
              </w:rPr>
              <w:t>71,225,628</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52,141,742</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spacing w:val="-1"/>
                <w:sz w:val="22"/>
              </w:rPr>
              <w:t>36.60%</w:t>
            </w:r>
          </w:p>
        </w:tc>
      </w:tr>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11" w:right="0"/>
              <w:jc w:val="left"/>
              <w:rPr>
                <w:rFonts w:ascii="宋体" w:hAnsi="宋体" w:cs="宋体" w:eastAsia="宋体" w:hint="default"/>
                <w:sz w:val="22"/>
                <w:szCs w:val="22"/>
              </w:rPr>
            </w:pPr>
            <w:r>
              <w:rPr>
                <w:rFonts w:ascii="宋体" w:hAnsi="宋体" w:cs="宋体" w:eastAsia="宋体" w:hint="default"/>
                <w:sz w:val="22"/>
                <w:szCs w:val="22"/>
              </w:rPr>
              <w:t>投资活动现金流出小计</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2" w:lineRule="exact"/>
              <w:ind w:right="22"/>
              <w:jc w:val="right"/>
              <w:rPr>
                <w:rFonts w:ascii="Times New Roman" w:hAnsi="Times New Roman" w:cs="Times New Roman" w:eastAsia="Times New Roman" w:hint="default"/>
                <w:sz w:val="22"/>
                <w:szCs w:val="22"/>
              </w:rPr>
            </w:pPr>
            <w:r>
              <w:rPr>
                <w:rFonts w:ascii="Times New Roman"/>
                <w:spacing w:val="-1"/>
                <w:w w:val="95"/>
                <w:sz w:val="22"/>
              </w:rPr>
              <w:t>71,511,813</w:t>
            </w:r>
            <w:r>
              <w:rPr>
                <w:rFonts w:ascii="Times New Roman"/>
                <w:spacing w:val="-1"/>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54,148,790</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32.07%</w:t>
            </w:r>
            <w:r>
              <w:rPr>
                <w:rFonts w:ascii="Times New Roman"/>
                <w:sz w:val="22"/>
              </w:rPr>
            </w:r>
          </w:p>
        </w:tc>
      </w:tr>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11" w:right="0"/>
              <w:jc w:val="left"/>
              <w:rPr>
                <w:rFonts w:ascii="宋体" w:hAnsi="宋体" w:cs="宋体" w:eastAsia="宋体" w:hint="default"/>
                <w:sz w:val="22"/>
                <w:szCs w:val="22"/>
              </w:rPr>
            </w:pPr>
            <w:r>
              <w:rPr>
                <w:rFonts w:ascii="宋体" w:hAnsi="宋体" w:cs="宋体" w:eastAsia="宋体" w:hint="default"/>
                <w:sz w:val="22"/>
                <w:szCs w:val="22"/>
              </w:rPr>
              <w:t>投资活动产生的现金流量净额</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-286,185</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-2,007,048</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85.74%</w:t>
            </w:r>
            <w:r>
              <w:rPr>
                <w:rFonts w:ascii="Times New Roman"/>
                <w:sz w:val="22"/>
              </w:rPr>
            </w:r>
          </w:p>
        </w:tc>
      </w:tr>
      <w:tr>
        <w:trPr>
          <w:trHeight w:val="296"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11" w:right="0"/>
              <w:jc w:val="left"/>
              <w:rPr>
                <w:rFonts w:ascii="宋体" w:hAnsi="宋体" w:cs="宋体" w:eastAsia="宋体" w:hint="default"/>
                <w:sz w:val="22"/>
                <w:szCs w:val="22"/>
              </w:rPr>
            </w:pPr>
            <w:r>
              <w:rPr>
                <w:rFonts w:ascii="宋体" w:hAnsi="宋体" w:cs="宋体" w:eastAsia="宋体" w:hint="default"/>
                <w:sz w:val="22"/>
                <w:szCs w:val="22"/>
              </w:rPr>
              <w:t>筹资活动现金流入小计</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6,421,291</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3,125,098</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105.47%</w:t>
            </w:r>
            <w:r>
              <w:rPr>
                <w:rFonts w:ascii="Times New Roman"/>
                <w:sz w:val="22"/>
              </w:rPr>
            </w:r>
          </w:p>
        </w:tc>
      </w:tr>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1" w:right="0"/>
              <w:jc w:val="left"/>
              <w:rPr>
                <w:rFonts w:ascii="宋体" w:hAnsi="宋体" w:cs="宋体" w:eastAsia="宋体" w:hint="default"/>
                <w:sz w:val="22"/>
                <w:szCs w:val="22"/>
              </w:rPr>
            </w:pPr>
            <w:r>
              <w:rPr>
                <w:rFonts w:ascii="宋体" w:hAnsi="宋体" w:cs="宋体" w:eastAsia="宋体" w:hint="default"/>
                <w:sz w:val="22"/>
                <w:szCs w:val="22"/>
              </w:rPr>
              <w:t>筹资活动现金流出小计</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3,524,916</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Times New Roman" w:hAnsi="Times New Roman" w:cs="Times New Roman" w:eastAsia="Times New Roman" w:hint="default"/>
                <w:sz w:val="22"/>
                <w:szCs w:val="22"/>
              </w:rPr>
            </w:pPr>
            <w:r>
              <w:rPr>
                <w:rFonts w:ascii="Times New Roman"/>
                <w:w w:val="95"/>
                <w:sz w:val="22"/>
              </w:rPr>
              <w:t>2,496,554</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41.19%</w:t>
            </w:r>
            <w:r>
              <w:rPr>
                <w:rFonts w:ascii="Times New Roman"/>
                <w:sz w:val="22"/>
              </w:rPr>
            </w:r>
          </w:p>
        </w:tc>
      </w:tr>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1" w:right="0"/>
              <w:jc w:val="left"/>
              <w:rPr>
                <w:rFonts w:ascii="宋体" w:hAnsi="宋体" w:cs="宋体" w:eastAsia="宋体" w:hint="default"/>
                <w:sz w:val="22"/>
                <w:szCs w:val="22"/>
              </w:rPr>
            </w:pPr>
            <w:r>
              <w:rPr>
                <w:rFonts w:ascii="宋体" w:hAnsi="宋体" w:cs="宋体" w:eastAsia="宋体" w:hint="default"/>
                <w:sz w:val="22"/>
                <w:szCs w:val="22"/>
              </w:rPr>
              <w:t>筹资活动产生的现金流量净额</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2,896,375</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Times New Roman" w:hAnsi="Times New Roman" w:cs="Times New Roman" w:eastAsia="Times New Roman" w:hint="default"/>
                <w:sz w:val="22"/>
                <w:szCs w:val="22"/>
              </w:rPr>
            </w:pPr>
            <w:r>
              <w:rPr>
                <w:rFonts w:ascii="Times New Roman"/>
                <w:w w:val="95"/>
                <w:sz w:val="22"/>
              </w:rPr>
              <w:t>628,544</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360.81%</w:t>
            </w:r>
            <w:r>
              <w:rPr>
                <w:rFonts w:ascii="Times New Roman"/>
                <w:sz w:val="22"/>
              </w:rPr>
            </w:r>
          </w:p>
        </w:tc>
      </w:tr>
      <w:tr>
        <w:trPr>
          <w:trHeight w:val="29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1"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4,520,594</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2"/>
                <w:szCs w:val="22"/>
              </w:rPr>
            </w:pPr>
            <w:r>
              <w:rPr>
                <w:rFonts w:ascii="Times New Roman"/>
                <w:w w:val="95"/>
                <w:sz w:val="22"/>
              </w:rPr>
              <w:t>-2,820,520</w:t>
            </w:r>
            <w:r>
              <w:rPr>
                <w:rFonts w:ascii="Times New Roman"/>
                <w:sz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260.28%</w:t>
            </w:r>
            <w:r>
              <w:rPr>
                <w:rFonts w:ascii="Times New Roman"/>
                <w:sz w:val="22"/>
              </w:rPr>
            </w:r>
          </w:p>
        </w:tc>
      </w:tr>
    </w:tbl>
    <w:p>
      <w:pPr>
        <w:pStyle w:val="BodyText"/>
        <w:spacing w:line="240" w:lineRule="auto" w:before="55"/>
        <w:ind w:left="594" w:right="1082"/>
        <w:jc w:val="left"/>
      </w:pPr>
      <w:r>
        <w:rPr/>
        <w:t>相关数据同比发生重大变动的主要影响因素说明</w:t>
      </w:r>
    </w:p>
    <w:p>
      <w:pPr>
        <w:pStyle w:val="BodyText"/>
        <w:spacing w:line="240" w:lineRule="auto" w:before="180"/>
        <w:ind w:left="59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pStyle w:val="BodyText"/>
        <w:spacing w:line="369" w:lineRule="auto" w:before="163"/>
        <w:ind w:right="1130" w:firstLine="440"/>
        <w:jc w:val="both"/>
      </w:pPr>
      <w:r>
        <w:rPr/>
        <w:t>报告期内公司经营活动产生的现金流量净额同比增加</w:t>
      </w:r>
      <w:r>
        <w:rPr>
          <w:spacing w:val="-69"/>
        </w:rPr>
        <w:t> </w:t>
      </w:r>
      <w:r>
        <w:rPr>
          <w:rFonts w:ascii="Times New Roman" w:hAnsi="Times New Roman" w:cs="Times New Roman" w:eastAsia="Times New Roman" w:hint="default"/>
        </w:rPr>
        <w:t>225.48%</w:t>
      </w:r>
      <w:r>
        <w:rPr/>
        <w:t>，主要为报告期内公司销售收入增</w:t>
      </w:r>
      <w:r>
        <w:rPr>
          <w:w w:val="99"/>
        </w:rPr>
        <w:t> </w:t>
      </w:r>
      <w:r>
        <w:rPr/>
        <w:t>长快，且公司加强商品供应链管理，存货周转效率提升。</w:t>
      </w:r>
    </w:p>
    <w:p>
      <w:pPr>
        <w:pStyle w:val="BodyText"/>
        <w:spacing w:line="369" w:lineRule="auto" w:before="61"/>
        <w:ind w:right="1130" w:firstLine="440"/>
        <w:jc w:val="both"/>
      </w:pPr>
      <w:r>
        <w:rPr/>
        <w:t>报告期内投资活动产生的现金流量净额同比增加</w:t>
      </w:r>
      <w:r>
        <w:rPr>
          <w:spacing w:val="-59"/>
        </w:rPr>
        <w:t> </w:t>
      </w:r>
      <w:r>
        <w:rPr>
          <w:rFonts w:ascii="Times New Roman" w:hAnsi="Times New Roman" w:cs="Times New Roman" w:eastAsia="Times New Roman" w:hint="default"/>
        </w:rPr>
        <w:t>85.74%</w:t>
      </w:r>
      <w:r>
        <w:rPr/>
        <w:t>，主要为公司以</w:t>
      </w:r>
      <w:r>
        <w:rPr>
          <w:spacing w:val="-62"/>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家优质门店物业资产</w:t>
      </w:r>
      <w:r>
        <w:rPr>
          <w:w w:val="99"/>
        </w:rPr>
        <w:t> </w:t>
      </w:r>
      <w:r>
        <w:rPr/>
        <w:t>作为标的资产实施创新业务，收到门店权益转让价款，以及公司完成</w:t>
      </w:r>
      <w:r>
        <w:rPr>
          <w:spacing w:val="-81"/>
        </w:rPr>
        <w:t> </w:t>
      </w:r>
      <w:r>
        <w:rPr>
          <w:rFonts w:ascii="Times New Roman" w:hAnsi="Times New Roman" w:cs="Times New Roman" w:eastAsia="Times New Roman" w:hint="default"/>
        </w:rPr>
        <w:t>PPTV</w:t>
      </w:r>
      <w:r>
        <w:rPr>
          <w:rFonts w:ascii="Times New Roman" w:hAnsi="Times New Roman" w:cs="Times New Roman" w:eastAsia="Times New Roman" w:hint="default"/>
          <w:spacing w:val="-27"/>
        </w:rPr>
        <w:t> </w:t>
      </w:r>
      <w:r>
        <w:rPr>
          <w:rFonts w:ascii="Times New Roman" w:hAnsi="Times New Roman" w:cs="Times New Roman" w:eastAsia="Times New Roman" w:hint="default"/>
        </w:rPr>
        <w:t>68.08%</w:t>
      </w:r>
      <w:r>
        <w:rPr/>
        <w:t>股权转让，收到股</w:t>
      </w:r>
      <w:r>
        <w:rPr>
          <w:w w:val="99"/>
        </w:rPr>
        <w:t> </w:t>
      </w:r>
      <w:r>
        <w:rPr/>
        <w:t>权转让款，由此带来投资活动现金流入增加。</w:t>
      </w:r>
    </w:p>
    <w:p>
      <w:pPr>
        <w:spacing w:after="0" w:line="36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446.880005pt;margin-top:460.359985pt;width:88.1pt;height:42.8pt;mso-position-horizontal-relative:page;mso-position-vertical-relative:page;z-index:-1832296" coordorigin="8938,9207" coordsize="1762,856">
            <v:shape style="position:absolute;left:8938;top:9207;width:1762;height:856" coordorigin="8938,9207" coordsize="1762,856" path="m8938,10063l10699,10063,10699,9207,8938,9207,8938,10063xe" filled="true" fillcolor="#ffffff" stroked="false">
              <v:path arrowok="t"/>
              <v:fill type="solid"/>
            </v:shape>
            <w10:wrap type="none"/>
          </v:group>
        </w:pict>
      </w:r>
    </w:p>
    <w:p>
      <w:pPr>
        <w:pStyle w:val="BodyText"/>
        <w:spacing w:line="369" w:lineRule="auto" w:before="166"/>
        <w:ind w:right="896" w:firstLine="440"/>
        <w:jc w:val="left"/>
      </w:pPr>
      <w:r>
        <w:rPr>
          <w:w w:val="99"/>
        </w:rPr>
        <w:t>报告期内公司筹资活动产生的现金流量净额较同期增加</w:t>
      </w:r>
      <w:r>
        <w:rPr>
          <w:spacing w:val="-46"/>
          <w:w w:val="99"/>
        </w:rPr>
        <w:t> </w:t>
      </w:r>
      <w:r>
        <w:rPr>
          <w:rFonts w:ascii="Times New Roman" w:hAnsi="Times New Roman" w:cs="Times New Roman" w:eastAsia="Times New Roman" w:hint="default"/>
          <w:spacing w:val="-6"/>
          <w:w w:val="99"/>
        </w:rPr>
        <w:t>360.81%</w:t>
      </w:r>
      <w:r>
        <w:rPr>
          <w:spacing w:val="-6"/>
          <w:w w:val="99"/>
        </w:rPr>
        <w:t>，主要为公司及子公司业务需求，</w:t>
      </w:r>
      <w:r>
        <w:rPr>
          <w:w w:val="99"/>
        </w:rPr>
        <w:t> </w:t>
      </w:r>
      <w:r>
        <w:rPr/>
        <w:t>增加银行短期融资，同时报告期内子公司 </w:t>
      </w:r>
      <w:r>
        <w:rPr>
          <w:rFonts w:ascii="Times New Roman" w:hAnsi="Times New Roman" w:cs="Times New Roman" w:eastAsia="Times New Roman" w:hint="default"/>
        </w:rPr>
        <w:t>LAOX</w:t>
      </w:r>
      <w:r>
        <w:rPr>
          <w:rFonts w:ascii="Times New Roman" w:hAnsi="Times New Roman" w:cs="Times New Roman" w:eastAsia="Times New Roman" w:hint="default"/>
          <w:spacing w:val="-6"/>
        </w:rPr>
        <w:t> </w:t>
      </w:r>
      <w:r>
        <w:rPr/>
        <w:t>完成新股发行募集资金，使得筹资活动现金流入增</w:t>
      </w:r>
      <w:r>
        <w:rPr>
          <w:w w:val="99"/>
        </w:rPr>
        <w:t> </w:t>
      </w:r>
      <w:r>
        <w:rPr/>
        <w:t>加。</w:t>
      </w:r>
    </w:p>
    <w:p>
      <w:pPr>
        <w:pStyle w:val="BodyText"/>
        <w:spacing w:line="240" w:lineRule="auto" w:before="61"/>
        <w:ind w:left="594" w:right="1082"/>
        <w:jc w:val="left"/>
      </w:pPr>
      <w:r>
        <w:rPr/>
        <w:t>综上，报告期内现金及现金等价物净增加</w:t>
      </w:r>
      <w:r>
        <w:rPr>
          <w:rFonts w:ascii="Times New Roman" w:hAnsi="Times New Roman" w:cs="Times New Roman" w:eastAsia="Times New Roman" w:hint="default"/>
        </w:rPr>
        <w:t>45.21</w:t>
      </w:r>
      <w:r>
        <w:rPr/>
        <w:t>亿元。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left="594" w:right="1082"/>
        <w:jc w:val="left"/>
      </w:pPr>
      <w:r>
        <w:rPr/>
        <w:t>报告期内公司经营活动产生的现金净流量与本年度净利润存在重大差异的原因说明</w:t>
      </w:r>
    </w:p>
    <w:p>
      <w:pPr>
        <w:pStyle w:val="BodyText"/>
        <w:spacing w:line="369" w:lineRule="auto" w:before="180"/>
        <w:ind w:left="59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spacing w:val="-1"/>
          <w:w w:val="95"/>
        </w:rPr>
        <w:t>主要由于报告期内公司加强商品供应链管理，存货周转效率提升，存货规模下降，同时公司较多</w:t>
      </w:r>
      <w:r>
        <w:rPr>
          <w:spacing w:val="-1"/>
        </w:rPr>
      </w:r>
    </w:p>
    <w:p>
      <w:pPr>
        <w:pStyle w:val="BodyText"/>
        <w:spacing w:line="240" w:lineRule="auto" w:before="61"/>
        <w:ind w:right="1082"/>
        <w:jc w:val="left"/>
      </w:pPr>
      <w:r>
        <w:rPr/>
        <w:t>的采用银行承兑汇票方式支付货款。</w:t>
      </w:r>
    </w:p>
    <w:p>
      <w:pPr>
        <w:spacing w:line="240" w:lineRule="auto" w:before="9"/>
        <w:rPr>
          <w:rFonts w:ascii="宋体" w:hAnsi="宋体" w:cs="宋体" w:eastAsia="宋体" w:hint="default"/>
          <w:sz w:val="29"/>
          <w:szCs w:val="29"/>
        </w:rPr>
      </w:pPr>
    </w:p>
    <w:p>
      <w:pPr>
        <w:pStyle w:val="Heading2"/>
        <w:spacing w:line="240" w:lineRule="auto"/>
        <w:ind w:right="1082"/>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31"/>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spacing w:line="240" w:lineRule="auto" w:before="7"/>
        <w:ind w:left="0" w:right="1132"/>
        <w:jc w:val="right"/>
      </w:pPr>
      <w:r>
        <w:rPr>
          <w:w w:val="95"/>
        </w:rPr>
        <w:t>单位：千元</w:t>
      </w:r>
      <w:r>
        <w:rPr/>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1134"/>
        <w:gridCol w:w="4112"/>
        <w:gridCol w:w="1771"/>
      </w:tblGrid>
      <w:tr>
        <w:trPr>
          <w:trHeight w:val="148"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占利润总</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额比例</w:t>
            </w:r>
          </w:p>
        </w:tc>
        <w:tc>
          <w:tcPr>
            <w:tcW w:w="4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是否具有可持续</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w w:val="99"/>
                <w:sz w:val="22"/>
                <w:szCs w:val="22"/>
              </w:rPr>
              <w:t>性</w:t>
            </w:r>
            <w:r>
              <w:rPr>
                <w:rFonts w:ascii="宋体" w:hAnsi="宋体" w:cs="宋体" w:eastAsia="宋体" w:hint="default"/>
                <w:sz w:val="22"/>
                <w:szCs w:val="22"/>
              </w:rPr>
            </w:r>
          </w:p>
        </w:tc>
      </w:tr>
      <w:tr>
        <w:trPr>
          <w:trHeight w:val="110"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52" w:lineRule="exact"/>
              <w:ind w:left="340"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134" w:type="dxa"/>
            <w:vMerge/>
            <w:tcBorders>
              <w:left w:val="single" w:sz="4" w:space="0" w:color="000000"/>
              <w:right w:val="single" w:sz="4" w:space="0" w:color="000000"/>
            </w:tcBorders>
            <w:shd w:val="clear" w:color="auto" w:fill="D2D2D2"/>
          </w:tcPr>
          <w:p>
            <w:pPr/>
          </w:p>
        </w:tc>
        <w:tc>
          <w:tcPr>
            <w:tcW w:w="4112" w:type="dxa"/>
            <w:vMerge w:val="restart"/>
            <w:tcBorders>
              <w:top w:val="nil" w:sz="6" w:space="0" w:color="auto"/>
              <w:left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形成原因说明</w:t>
            </w:r>
          </w:p>
        </w:tc>
        <w:tc>
          <w:tcPr>
            <w:tcW w:w="1771" w:type="dxa"/>
            <w:vMerge/>
            <w:tcBorders>
              <w:left w:val="single" w:sz="4" w:space="0" w:color="000000"/>
              <w:right w:val="single" w:sz="4" w:space="0" w:color="000000"/>
            </w:tcBorders>
            <w:shd w:val="clear" w:color="auto" w:fill="D2D2D2"/>
          </w:tcPr>
          <w:p>
            <w:pPr/>
          </w:p>
        </w:tc>
      </w:tr>
      <w:tr>
        <w:trPr>
          <w:trHeight w:val="175"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4112" w:type="dxa"/>
            <w:vMerge/>
            <w:tcBorders>
              <w:left w:val="single" w:sz="4" w:space="0" w:color="000000"/>
              <w:bottom w:val="nil" w:sz="6" w:space="0" w:color="auto"/>
              <w:right w:val="single" w:sz="4" w:space="0" w:color="000000"/>
            </w:tcBorders>
            <w:shd w:val="clear" w:color="auto" w:fill="D2D2D2"/>
          </w:tcPr>
          <w:p>
            <w:pPr/>
          </w:p>
        </w:tc>
        <w:tc>
          <w:tcPr>
            <w:tcW w:w="1771" w:type="dxa"/>
            <w:vMerge/>
            <w:tcBorders>
              <w:left w:val="single" w:sz="4" w:space="0" w:color="000000"/>
              <w:right w:val="single" w:sz="4" w:space="0" w:color="000000"/>
            </w:tcBorders>
            <w:shd w:val="clear" w:color="auto" w:fill="D2D2D2"/>
          </w:tcPr>
          <w:p>
            <w:pPr/>
          </w:p>
        </w:tc>
      </w:tr>
      <w:tr>
        <w:trPr>
          <w:trHeight w:val="148"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4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290"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1134" w:type="dxa"/>
            <w:vMerge w:val="restart"/>
            <w:tcBorders>
              <w:top w:val="single" w:sz="4" w:space="0" w:color="000000"/>
              <w:left w:val="single" w:sz="9" w:space="0" w:color="D2D2D2"/>
              <w:right w:val="single" w:sz="4" w:space="0" w:color="000000"/>
            </w:tcBorders>
          </w:tcPr>
          <w:p>
            <w:pPr>
              <w:pStyle w:val="TableParagraph"/>
              <w:spacing w:line="250" w:lineRule="exact"/>
              <w:ind w:left="213" w:right="0"/>
              <w:jc w:val="left"/>
              <w:rPr>
                <w:rFonts w:ascii="Times New Roman" w:hAnsi="Times New Roman" w:cs="Times New Roman" w:eastAsia="Times New Roman" w:hint="default"/>
                <w:sz w:val="22"/>
                <w:szCs w:val="22"/>
              </w:rPr>
            </w:pPr>
            <w:r>
              <w:rPr>
                <w:rFonts w:ascii="Times New Roman"/>
                <w:sz w:val="22"/>
              </w:rPr>
              <w:t>1,654,764</w:t>
            </w:r>
          </w:p>
        </w:tc>
        <w:tc>
          <w:tcPr>
            <w:tcW w:w="1134" w:type="dxa"/>
            <w:vMerge w:val="restart"/>
            <w:tcBorders>
              <w:top w:val="single" w:sz="4" w:space="0" w:color="000000"/>
              <w:left w:val="single" w:sz="4" w:space="0" w:color="000000"/>
              <w:right w:val="single" w:sz="4" w:space="0" w:color="000000"/>
            </w:tcBorders>
          </w:tcPr>
          <w:p>
            <w:pPr>
              <w:pStyle w:val="TableParagraph"/>
              <w:spacing w:line="250" w:lineRule="exact"/>
              <w:ind w:left="312" w:right="0"/>
              <w:jc w:val="left"/>
              <w:rPr>
                <w:rFonts w:ascii="Times New Roman" w:hAnsi="Times New Roman" w:cs="Times New Roman" w:eastAsia="Times New Roman" w:hint="default"/>
                <w:sz w:val="22"/>
                <w:szCs w:val="22"/>
              </w:rPr>
            </w:pPr>
            <w:r>
              <w:rPr>
                <w:rFonts w:ascii="Times New Roman"/>
                <w:sz w:val="22"/>
              </w:rPr>
              <w:t>186.15%</w:t>
            </w:r>
          </w:p>
        </w:tc>
        <w:tc>
          <w:tcPr>
            <w:tcW w:w="4112" w:type="dxa"/>
            <w:vMerge w:val="restart"/>
            <w:tcBorders>
              <w:top w:val="single" w:sz="4" w:space="0" w:color="000000"/>
              <w:left w:val="single" w:sz="4" w:space="0" w:color="000000"/>
              <w:right w:val="single" w:sz="4" w:space="0" w:color="000000"/>
            </w:tcBorders>
          </w:tcPr>
          <w:p>
            <w:pPr>
              <w:pStyle w:val="TableParagraph"/>
              <w:spacing w:line="259" w:lineRule="exact"/>
              <w:ind w:left="22" w:right="0"/>
              <w:jc w:val="both"/>
              <w:rPr>
                <w:rFonts w:ascii="宋体" w:hAnsi="宋体" w:cs="宋体" w:eastAsia="宋体" w:hint="default"/>
                <w:sz w:val="22"/>
                <w:szCs w:val="22"/>
              </w:rPr>
            </w:pPr>
            <w:r>
              <w:rPr>
                <w:rFonts w:ascii="Times New Roman" w:hAnsi="Times New Roman" w:cs="Times New Roman" w:eastAsia="Times New Roman" w:hint="default"/>
                <w:spacing w:val="-6"/>
                <w:sz w:val="22"/>
                <w:szCs w:val="22"/>
              </w:rPr>
              <w:t>1</w:t>
            </w:r>
            <w:r>
              <w:rPr>
                <w:rFonts w:ascii="宋体" w:hAnsi="宋体" w:cs="宋体" w:eastAsia="宋体" w:hint="default"/>
                <w:spacing w:val="-6"/>
                <w:sz w:val="22"/>
                <w:szCs w:val="22"/>
              </w:rPr>
              <w:t>、</w:t>
            </w:r>
            <w:r>
              <w:rPr>
                <w:rFonts w:ascii="Times New Roman" w:hAnsi="Times New Roman" w:cs="Times New Roman" w:eastAsia="Times New Roman" w:hint="default"/>
                <w:spacing w:val="-6"/>
                <w:sz w:val="22"/>
                <w:szCs w:val="22"/>
              </w:rPr>
              <w:t>2015</w:t>
            </w:r>
            <w:r>
              <w:rPr>
                <w:rFonts w:ascii="Times New Roman" w:hAnsi="Times New Roman" w:cs="Times New Roman" w:eastAsia="Times New Roman" w:hint="default"/>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pacing w:val="-7"/>
                <w:sz w:val="22"/>
                <w:szCs w:val="22"/>
              </w:rPr>
              <w:t>月，公司完成</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PPTV</w:t>
            </w:r>
            <w:r>
              <w:rPr>
                <w:rFonts w:ascii="Times New Roman" w:hAnsi="Times New Roman" w:cs="Times New Roman" w:eastAsia="Times New Roman" w:hint="default"/>
                <w:spacing w:val="-4"/>
                <w:sz w:val="22"/>
                <w:szCs w:val="22"/>
              </w:rPr>
              <w:t> </w:t>
            </w:r>
            <w:r>
              <w:rPr>
                <w:rFonts w:ascii="Times New Roman" w:hAnsi="Times New Roman" w:cs="Times New Roman" w:eastAsia="Times New Roman" w:hint="default"/>
                <w:sz w:val="22"/>
                <w:szCs w:val="22"/>
              </w:rPr>
              <w:t>21.28%</w:t>
            </w:r>
            <w:r>
              <w:rPr>
                <w:rFonts w:ascii="宋体" w:hAnsi="宋体" w:cs="宋体" w:eastAsia="宋体" w:hint="default"/>
                <w:sz w:val="22"/>
                <w:szCs w:val="22"/>
              </w:rPr>
              <w:t>的</w:t>
            </w:r>
          </w:p>
          <w:p>
            <w:pPr>
              <w:pStyle w:val="TableParagraph"/>
              <w:spacing w:line="230" w:lineRule="auto" w:before="1"/>
              <w:ind w:left="22" w:right="-47"/>
              <w:jc w:val="both"/>
              <w:rPr>
                <w:rFonts w:ascii="宋体" w:hAnsi="宋体" w:cs="宋体" w:eastAsia="宋体" w:hint="default"/>
                <w:sz w:val="22"/>
                <w:szCs w:val="22"/>
              </w:rPr>
            </w:pPr>
            <w:r>
              <w:rPr>
                <w:rFonts w:ascii="宋体" w:hAnsi="宋体" w:cs="宋体" w:eastAsia="宋体" w:hint="default"/>
                <w:sz w:val="22"/>
                <w:szCs w:val="22"/>
              </w:rPr>
              <w:t>股权受让，将 </w:t>
            </w:r>
            <w:r>
              <w:rPr>
                <w:rFonts w:ascii="Times New Roman" w:hAnsi="Times New Roman" w:cs="Times New Roman" w:eastAsia="Times New Roman" w:hint="default"/>
                <w:sz w:val="22"/>
                <w:szCs w:val="22"/>
              </w:rPr>
              <w:t>PPTV</w:t>
            </w:r>
            <w:r>
              <w:rPr>
                <w:rFonts w:ascii="Times New Roman" w:hAnsi="Times New Roman" w:cs="Times New Roman" w:eastAsia="Times New Roman" w:hint="default"/>
                <w:spacing w:val="48"/>
                <w:sz w:val="22"/>
                <w:szCs w:val="22"/>
              </w:rPr>
              <w:t> </w:t>
            </w:r>
            <w:r>
              <w:rPr>
                <w:rFonts w:ascii="宋体" w:hAnsi="宋体" w:cs="宋体" w:eastAsia="宋体" w:hint="default"/>
                <w:sz w:val="22"/>
                <w:szCs w:val="22"/>
              </w:rPr>
              <w:t>纳入合并范围；</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pacing w:val="-10"/>
                <w:sz w:val="22"/>
                <w:szCs w:val="22"/>
              </w:rPr>
              <w:t>月，公司将持有的</w:t>
            </w:r>
            <w:r>
              <w:rPr>
                <w:rFonts w:ascii="宋体" w:hAnsi="宋体" w:cs="宋体" w:eastAsia="宋体" w:hint="default"/>
                <w:spacing w:val="-1"/>
                <w:sz w:val="22"/>
                <w:szCs w:val="22"/>
              </w:rPr>
              <w:t> </w:t>
            </w:r>
            <w:r>
              <w:rPr>
                <w:rFonts w:ascii="Times New Roman" w:hAnsi="Times New Roman" w:cs="Times New Roman" w:eastAsia="Times New Roman" w:hint="default"/>
                <w:sz w:val="22"/>
                <w:szCs w:val="22"/>
              </w:rPr>
              <w:t>PPTV</w:t>
            </w:r>
            <w:r>
              <w:rPr>
                <w:rFonts w:ascii="Times New Roman" w:hAnsi="Times New Roman" w:cs="Times New Roman" w:eastAsia="Times New Roman" w:hint="default"/>
                <w:spacing w:val="-5"/>
                <w:sz w:val="22"/>
                <w:szCs w:val="22"/>
              </w:rPr>
              <w:t> </w:t>
            </w:r>
            <w:r>
              <w:rPr>
                <w:rFonts w:ascii="Times New Roman" w:hAnsi="Times New Roman" w:cs="Times New Roman" w:eastAsia="Times New Roman" w:hint="default"/>
                <w:sz w:val="22"/>
                <w:szCs w:val="22"/>
              </w:rPr>
              <w:t>68.08%</w:t>
            </w:r>
            <w:r>
              <w:rPr>
                <w:rFonts w:ascii="宋体" w:hAnsi="宋体" w:cs="宋体" w:eastAsia="宋体" w:hint="default"/>
                <w:sz w:val="22"/>
                <w:szCs w:val="22"/>
              </w:rPr>
              <w:t>的股</w:t>
            </w:r>
            <w:r>
              <w:rPr>
                <w:rFonts w:ascii="宋体" w:hAnsi="宋体" w:cs="宋体" w:eastAsia="宋体" w:hint="default"/>
                <w:w w:val="99"/>
                <w:sz w:val="22"/>
                <w:szCs w:val="22"/>
              </w:rPr>
              <w:t> </w:t>
            </w:r>
            <w:r>
              <w:rPr>
                <w:rFonts w:ascii="宋体" w:hAnsi="宋体" w:cs="宋体" w:eastAsia="宋体" w:hint="default"/>
                <w:spacing w:val="6"/>
                <w:sz w:val="22"/>
                <w:szCs w:val="22"/>
              </w:rPr>
              <w:t>权全部转让于苏宁文化投资管理有限公司</w:t>
            </w:r>
            <w:r>
              <w:rPr>
                <w:rFonts w:ascii="宋体" w:hAnsi="宋体" w:cs="宋体" w:eastAsia="宋体" w:hint="default"/>
                <w:spacing w:val="6"/>
                <w:w w:val="99"/>
                <w:sz w:val="22"/>
                <w:szCs w:val="22"/>
              </w:rPr>
              <w:t> </w:t>
            </w:r>
            <w:r>
              <w:rPr>
                <w:rFonts w:ascii="宋体" w:hAnsi="宋体" w:cs="宋体" w:eastAsia="宋体" w:hint="default"/>
                <w:spacing w:val="6"/>
                <w:sz w:val="22"/>
                <w:szCs w:val="22"/>
              </w:rPr>
              <w:t>的境外子公司，前述交易对公司财务状况</w:t>
            </w:r>
            <w:r>
              <w:rPr>
                <w:rFonts w:ascii="宋体" w:hAnsi="宋体" w:cs="宋体" w:eastAsia="宋体" w:hint="default"/>
                <w:spacing w:val="6"/>
                <w:w w:val="99"/>
                <w:sz w:val="22"/>
                <w:szCs w:val="22"/>
              </w:rPr>
              <w:t> </w:t>
            </w:r>
            <w:r>
              <w:rPr>
                <w:rFonts w:ascii="宋体" w:hAnsi="宋体" w:cs="宋体" w:eastAsia="宋体" w:hint="default"/>
                <w:sz w:val="22"/>
                <w:szCs w:val="22"/>
              </w:rPr>
              <w:t>产生影响，增加公司投资收益</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14.47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亿元。</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、报告期内公司及子公司开展投资理财，</w:t>
            </w:r>
            <w:r>
              <w:rPr>
                <w:rFonts w:ascii="宋体" w:hAnsi="宋体" w:cs="宋体" w:eastAsia="宋体" w:hint="default"/>
                <w:w w:val="99"/>
                <w:sz w:val="22"/>
                <w:szCs w:val="22"/>
              </w:rPr>
              <w:t> </w:t>
            </w:r>
            <w:r>
              <w:rPr>
                <w:rFonts w:ascii="宋体" w:hAnsi="宋体" w:cs="宋体" w:eastAsia="宋体" w:hint="default"/>
                <w:sz w:val="22"/>
                <w:szCs w:val="22"/>
              </w:rPr>
              <w:t>获得投资收益</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2.37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亿元。</w:t>
            </w:r>
          </w:p>
        </w:tc>
        <w:tc>
          <w:tcPr>
            <w:tcW w:w="1771" w:type="dxa"/>
            <w:vMerge w:val="restart"/>
            <w:tcBorders>
              <w:top w:val="single" w:sz="4" w:space="0" w:color="000000"/>
              <w:left w:val="single" w:sz="4" w:space="0" w:color="000000"/>
              <w:right w:val="single" w:sz="4" w:space="0" w:color="000000"/>
            </w:tcBorders>
          </w:tcPr>
          <w:p>
            <w:pPr>
              <w:pStyle w:val="TableParagraph"/>
              <w:spacing w:line="251" w:lineRule="exact"/>
              <w:ind w:left="22" w:right="0"/>
              <w:jc w:val="both"/>
              <w:rPr>
                <w:rFonts w:ascii="宋体" w:hAnsi="宋体" w:cs="宋体" w:eastAsia="宋体" w:hint="default"/>
                <w:sz w:val="22"/>
                <w:szCs w:val="22"/>
              </w:rPr>
            </w:pPr>
            <w:r>
              <w:rPr>
                <w:rFonts w:ascii="宋体" w:hAnsi="宋体" w:cs="宋体" w:eastAsia="宋体" w:hint="default"/>
                <w:spacing w:val="-6"/>
                <w:sz w:val="22"/>
                <w:szCs w:val="22"/>
              </w:rPr>
              <w:t>否，此外，公司将</w:t>
            </w:r>
          </w:p>
          <w:p>
            <w:pPr>
              <w:pStyle w:val="TableParagraph"/>
              <w:spacing w:line="237" w:lineRule="auto" w:before="1"/>
              <w:ind w:left="22" w:right="22"/>
              <w:jc w:val="both"/>
              <w:rPr>
                <w:rFonts w:ascii="宋体" w:hAnsi="宋体" w:cs="宋体" w:eastAsia="宋体" w:hint="default"/>
                <w:sz w:val="22"/>
                <w:szCs w:val="22"/>
              </w:rPr>
            </w:pPr>
            <w:r>
              <w:rPr>
                <w:rFonts w:ascii="宋体" w:hAnsi="宋体" w:cs="宋体" w:eastAsia="宋体" w:hint="default"/>
                <w:sz w:val="22"/>
                <w:szCs w:val="22"/>
              </w:rPr>
              <w:t>持</w:t>
            </w:r>
            <w:r>
              <w:rPr>
                <w:rFonts w:ascii="宋体" w:hAnsi="宋体" w:cs="宋体" w:eastAsia="宋体" w:hint="default"/>
                <w:spacing w:val="-82"/>
                <w:sz w:val="22"/>
                <w:szCs w:val="22"/>
              </w:rPr>
              <w:t> </w:t>
            </w:r>
            <w:r>
              <w:rPr>
                <w:rFonts w:ascii="宋体" w:hAnsi="宋体" w:cs="宋体" w:eastAsia="宋体" w:hint="default"/>
                <w:sz w:val="22"/>
                <w:szCs w:val="22"/>
              </w:rPr>
              <w:t>续</w:t>
            </w:r>
            <w:r>
              <w:rPr>
                <w:rFonts w:ascii="宋体" w:hAnsi="宋体" w:cs="宋体" w:eastAsia="宋体" w:hint="default"/>
                <w:spacing w:val="-83"/>
                <w:sz w:val="22"/>
                <w:szCs w:val="22"/>
              </w:rPr>
              <w:t> </w:t>
            </w:r>
            <w:r>
              <w:rPr>
                <w:rFonts w:ascii="宋体" w:hAnsi="宋体" w:cs="宋体" w:eastAsia="宋体" w:hint="default"/>
                <w:sz w:val="22"/>
                <w:szCs w:val="22"/>
              </w:rPr>
              <w:t>开</w:t>
            </w:r>
            <w:r>
              <w:rPr>
                <w:rFonts w:ascii="宋体" w:hAnsi="宋体" w:cs="宋体" w:eastAsia="宋体" w:hint="default"/>
                <w:spacing w:val="-82"/>
                <w:sz w:val="22"/>
                <w:szCs w:val="22"/>
              </w:rPr>
              <w:t> </w:t>
            </w:r>
            <w:r>
              <w:rPr>
                <w:rFonts w:ascii="宋体" w:hAnsi="宋体" w:cs="宋体" w:eastAsia="宋体" w:hint="default"/>
                <w:sz w:val="22"/>
                <w:szCs w:val="22"/>
              </w:rPr>
              <w:t>展</w:t>
            </w:r>
            <w:r>
              <w:rPr>
                <w:rFonts w:ascii="宋体" w:hAnsi="宋体" w:cs="宋体" w:eastAsia="宋体" w:hint="default"/>
                <w:spacing w:val="-82"/>
                <w:sz w:val="22"/>
                <w:szCs w:val="22"/>
              </w:rPr>
              <w:t> </w:t>
            </w:r>
            <w:r>
              <w:rPr>
                <w:rFonts w:ascii="宋体" w:hAnsi="宋体" w:cs="宋体" w:eastAsia="宋体" w:hint="default"/>
                <w:sz w:val="22"/>
                <w:szCs w:val="22"/>
              </w:rPr>
              <w:t>投</w:t>
            </w:r>
            <w:r>
              <w:rPr>
                <w:rFonts w:ascii="宋体" w:hAnsi="宋体" w:cs="宋体" w:eastAsia="宋体" w:hint="default"/>
                <w:spacing w:val="-82"/>
                <w:sz w:val="22"/>
                <w:szCs w:val="22"/>
              </w:rPr>
              <w:t> </w:t>
            </w:r>
            <w:r>
              <w:rPr>
                <w:rFonts w:ascii="宋体" w:hAnsi="宋体" w:cs="宋体" w:eastAsia="宋体" w:hint="default"/>
                <w:sz w:val="22"/>
                <w:szCs w:val="22"/>
              </w:rPr>
              <w:t>资</w:t>
            </w:r>
            <w:r>
              <w:rPr>
                <w:rFonts w:ascii="宋体" w:hAnsi="宋体" w:cs="宋体" w:eastAsia="宋体" w:hint="default"/>
                <w:spacing w:val="-83"/>
                <w:sz w:val="22"/>
                <w:szCs w:val="22"/>
              </w:rPr>
              <w:t> </w:t>
            </w:r>
            <w:r>
              <w:rPr>
                <w:rFonts w:ascii="宋体" w:hAnsi="宋体" w:cs="宋体" w:eastAsia="宋体" w:hint="default"/>
                <w:sz w:val="22"/>
                <w:szCs w:val="22"/>
              </w:rPr>
              <w:t>理</w:t>
            </w:r>
            <w:r>
              <w:rPr>
                <w:rFonts w:ascii="宋体" w:hAnsi="宋体" w:cs="宋体" w:eastAsia="宋体" w:hint="default"/>
                <w:w w:val="99"/>
                <w:sz w:val="22"/>
                <w:szCs w:val="22"/>
              </w:rPr>
              <w:t> </w:t>
            </w:r>
            <w:r>
              <w:rPr>
                <w:rFonts w:ascii="宋体" w:hAnsi="宋体" w:cs="宋体" w:eastAsia="宋体" w:hint="default"/>
                <w:spacing w:val="-6"/>
                <w:sz w:val="22"/>
                <w:szCs w:val="22"/>
              </w:rPr>
              <w:t>财相关业务，对投</w:t>
            </w:r>
            <w:r>
              <w:rPr>
                <w:rFonts w:ascii="宋体" w:hAnsi="宋体" w:cs="宋体" w:eastAsia="宋体" w:hint="default"/>
                <w:w w:val="99"/>
                <w:sz w:val="22"/>
                <w:szCs w:val="22"/>
              </w:rPr>
              <w:t> </w:t>
            </w:r>
            <w:r>
              <w:rPr>
                <w:rFonts w:ascii="宋体" w:hAnsi="宋体" w:cs="宋体" w:eastAsia="宋体" w:hint="default"/>
                <w:sz w:val="22"/>
                <w:szCs w:val="22"/>
              </w:rPr>
              <w:t>资</w:t>
            </w:r>
            <w:r>
              <w:rPr>
                <w:rFonts w:ascii="宋体" w:hAnsi="宋体" w:cs="宋体" w:eastAsia="宋体" w:hint="default"/>
                <w:spacing w:val="-82"/>
                <w:sz w:val="22"/>
                <w:szCs w:val="22"/>
              </w:rPr>
              <w:t> </w:t>
            </w:r>
            <w:r>
              <w:rPr>
                <w:rFonts w:ascii="宋体" w:hAnsi="宋体" w:cs="宋体" w:eastAsia="宋体" w:hint="default"/>
                <w:sz w:val="22"/>
                <w:szCs w:val="22"/>
              </w:rPr>
              <w:t>收</w:t>
            </w:r>
            <w:r>
              <w:rPr>
                <w:rFonts w:ascii="宋体" w:hAnsi="宋体" w:cs="宋体" w:eastAsia="宋体" w:hint="default"/>
                <w:spacing w:val="-83"/>
                <w:sz w:val="22"/>
                <w:szCs w:val="22"/>
              </w:rPr>
              <w:t> </w:t>
            </w:r>
            <w:r>
              <w:rPr>
                <w:rFonts w:ascii="宋体" w:hAnsi="宋体" w:cs="宋体" w:eastAsia="宋体" w:hint="default"/>
                <w:sz w:val="22"/>
                <w:szCs w:val="22"/>
              </w:rPr>
              <w:t>益</w:t>
            </w:r>
            <w:r>
              <w:rPr>
                <w:rFonts w:ascii="宋体" w:hAnsi="宋体" w:cs="宋体" w:eastAsia="宋体" w:hint="default"/>
                <w:spacing w:val="-82"/>
                <w:sz w:val="22"/>
                <w:szCs w:val="22"/>
              </w:rPr>
              <w:t> </w:t>
            </w:r>
            <w:r>
              <w:rPr>
                <w:rFonts w:ascii="宋体" w:hAnsi="宋体" w:cs="宋体" w:eastAsia="宋体" w:hint="default"/>
                <w:sz w:val="22"/>
                <w:szCs w:val="22"/>
              </w:rPr>
              <w:t>产</w:t>
            </w:r>
            <w:r>
              <w:rPr>
                <w:rFonts w:ascii="宋体" w:hAnsi="宋体" w:cs="宋体" w:eastAsia="宋体" w:hint="default"/>
                <w:spacing w:val="-82"/>
                <w:sz w:val="22"/>
                <w:szCs w:val="22"/>
              </w:rPr>
              <w:t> </w:t>
            </w:r>
            <w:r>
              <w:rPr>
                <w:rFonts w:ascii="宋体" w:hAnsi="宋体" w:cs="宋体" w:eastAsia="宋体" w:hint="default"/>
                <w:sz w:val="22"/>
                <w:szCs w:val="22"/>
              </w:rPr>
              <w:t>生</w:t>
            </w:r>
            <w:r>
              <w:rPr>
                <w:rFonts w:ascii="宋体" w:hAnsi="宋体" w:cs="宋体" w:eastAsia="宋体" w:hint="default"/>
                <w:spacing w:val="-82"/>
                <w:sz w:val="22"/>
                <w:szCs w:val="22"/>
              </w:rPr>
              <w:t> </w:t>
            </w:r>
            <w:r>
              <w:rPr>
                <w:rFonts w:ascii="宋体" w:hAnsi="宋体" w:cs="宋体" w:eastAsia="宋体" w:hint="default"/>
                <w:sz w:val="22"/>
                <w:szCs w:val="22"/>
              </w:rPr>
              <w:t>积</w:t>
            </w:r>
            <w:r>
              <w:rPr>
                <w:rFonts w:ascii="宋体" w:hAnsi="宋体" w:cs="宋体" w:eastAsia="宋体" w:hint="default"/>
                <w:spacing w:val="-83"/>
                <w:sz w:val="22"/>
                <w:szCs w:val="22"/>
              </w:rPr>
              <w:t> </w:t>
            </w:r>
            <w:r>
              <w:rPr>
                <w:rFonts w:ascii="宋体" w:hAnsi="宋体" w:cs="宋体" w:eastAsia="宋体" w:hint="default"/>
                <w:sz w:val="22"/>
                <w:szCs w:val="22"/>
              </w:rPr>
              <w:t>极</w:t>
            </w:r>
            <w:r>
              <w:rPr>
                <w:rFonts w:ascii="宋体" w:hAnsi="宋体" w:cs="宋体" w:eastAsia="宋体" w:hint="default"/>
                <w:w w:val="99"/>
                <w:sz w:val="22"/>
                <w:szCs w:val="22"/>
              </w:rPr>
              <w:t> </w:t>
            </w:r>
            <w:r>
              <w:rPr>
                <w:rFonts w:ascii="宋体" w:hAnsi="宋体" w:cs="宋体" w:eastAsia="宋体" w:hint="default"/>
                <w:sz w:val="22"/>
                <w:szCs w:val="22"/>
              </w:rPr>
              <w:t>影响。</w:t>
            </w:r>
          </w:p>
        </w:tc>
      </w:tr>
      <w:tr>
        <w:trPr>
          <w:trHeight w:val="2002"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576"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51" w:lineRule="exact"/>
              <w:ind w:left="22" w:right="0"/>
              <w:jc w:val="left"/>
              <w:rPr>
                <w:rFonts w:ascii="宋体" w:hAnsi="宋体" w:cs="宋体" w:eastAsia="宋体" w:hint="default"/>
                <w:sz w:val="22"/>
                <w:szCs w:val="22"/>
              </w:rPr>
            </w:pPr>
            <w:r>
              <w:rPr>
                <w:rFonts w:ascii="宋体" w:hAnsi="宋体" w:cs="宋体" w:eastAsia="宋体" w:hint="default"/>
                <w:spacing w:val="7"/>
                <w:sz w:val="22"/>
                <w:szCs w:val="22"/>
              </w:rPr>
              <w:t>公允价值变动</w:t>
            </w:r>
          </w:p>
          <w:p>
            <w:pPr>
              <w:pStyle w:val="TableParagraph"/>
              <w:spacing w:line="286" w:lineRule="exact"/>
              <w:ind w:left="22" w:right="0"/>
              <w:jc w:val="left"/>
              <w:rPr>
                <w:rFonts w:ascii="宋体" w:hAnsi="宋体" w:cs="宋体" w:eastAsia="宋体" w:hint="default"/>
                <w:sz w:val="22"/>
                <w:szCs w:val="22"/>
              </w:rPr>
            </w:pPr>
            <w:r>
              <w:rPr>
                <w:rFonts w:ascii="宋体" w:hAnsi="宋体" w:cs="宋体" w:eastAsia="宋体" w:hint="default"/>
                <w:sz w:val="22"/>
                <w:szCs w:val="22"/>
              </w:rPr>
              <w:t>损益</w:t>
            </w:r>
          </w:p>
        </w:tc>
        <w:tc>
          <w:tcPr>
            <w:tcW w:w="1134" w:type="dxa"/>
            <w:vMerge w:val="restart"/>
            <w:tcBorders>
              <w:top w:val="single" w:sz="4" w:space="0" w:color="000000"/>
              <w:left w:val="single" w:sz="9" w:space="0" w:color="D2D2D2"/>
              <w:right w:val="single" w:sz="4" w:space="0" w:color="000000"/>
            </w:tcBorders>
          </w:tcPr>
          <w:p>
            <w:pPr>
              <w:pStyle w:val="TableParagraph"/>
              <w:spacing w:line="252" w:lineRule="exact"/>
              <w:ind w:left="525" w:right="0"/>
              <w:jc w:val="left"/>
              <w:rPr>
                <w:rFonts w:ascii="Times New Roman" w:hAnsi="Times New Roman" w:cs="Times New Roman" w:eastAsia="Times New Roman" w:hint="default"/>
                <w:sz w:val="22"/>
                <w:szCs w:val="22"/>
              </w:rPr>
            </w:pPr>
            <w:r>
              <w:rPr>
                <w:rFonts w:ascii="Times New Roman"/>
                <w:sz w:val="22"/>
              </w:rPr>
              <w:t>-6,920</w:t>
            </w:r>
          </w:p>
        </w:tc>
        <w:tc>
          <w:tcPr>
            <w:tcW w:w="1134" w:type="dxa"/>
            <w:vMerge w:val="restart"/>
            <w:tcBorders>
              <w:top w:val="single" w:sz="4" w:space="0" w:color="000000"/>
              <w:left w:val="single" w:sz="4" w:space="0" w:color="000000"/>
              <w:right w:val="single" w:sz="4" w:space="0" w:color="000000"/>
            </w:tcBorders>
          </w:tcPr>
          <w:p>
            <w:pPr>
              <w:pStyle w:val="TableParagraph"/>
              <w:spacing w:line="252" w:lineRule="exact"/>
              <w:ind w:left="458" w:right="0"/>
              <w:jc w:val="left"/>
              <w:rPr>
                <w:rFonts w:ascii="Times New Roman" w:hAnsi="Times New Roman" w:cs="Times New Roman" w:eastAsia="Times New Roman" w:hint="default"/>
                <w:sz w:val="22"/>
                <w:szCs w:val="22"/>
              </w:rPr>
            </w:pPr>
            <w:r>
              <w:rPr>
                <w:rFonts w:ascii="Times New Roman"/>
                <w:sz w:val="22"/>
              </w:rPr>
              <w:t>-0.78%</w:t>
            </w:r>
          </w:p>
        </w:tc>
        <w:tc>
          <w:tcPr>
            <w:tcW w:w="4112" w:type="dxa"/>
            <w:vMerge w:val="restart"/>
            <w:tcBorders>
              <w:top w:val="single" w:sz="4" w:space="0" w:color="000000"/>
              <w:left w:val="single" w:sz="4" w:space="0" w:color="000000"/>
              <w:right w:val="single" w:sz="4" w:space="0" w:color="000000"/>
            </w:tcBorders>
          </w:tcPr>
          <w:p>
            <w:pPr>
              <w:pStyle w:val="TableParagraph"/>
              <w:spacing w:line="251" w:lineRule="exact"/>
              <w:ind w:left="22" w:right="0"/>
              <w:jc w:val="both"/>
              <w:rPr>
                <w:rFonts w:ascii="宋体" w:hAnsi="宋体" w:cs="宋体" w:eastAsia="宋体" w:hint="default"/>
                <w:sz w:val="22"/>
                <w:szCs w:val="22"/>
              </w:rPr>
            </w:pPr>
            <w:r>
              <w:rPr>
                <w:rFonts w:ascii="宋体" w:hAnsi="宋体" w:cs="宋体" w:eastAsia="宋体" w:hint="default"/>
                <w:spacing w:val="6"/>
                <w:sz w:val="22"/>
                <w:szCs w:val="22"/>
              </w:rPr>
              <w:t>为提高资金收益，报告期内公司购买银行</w:t>
            </w:r>
            <w:r>
              <w:rPr>
                <w:rFonts w:ascii="宋体" w:hAnsi="宋体" w:cs="宋体" w:eastAsia="宋体" w:hint="default"/>
                <w:sz w:val="22"/>
                <w:szCs w:val="22"/>
              </w:rPr>
            </w:r>
          </w:p>
          <w:p>
            <w:pPr>
              <w:pStyle w:val="TableParagraph"/>
              <w:spacing w:line="286" w:lineRule="exact" w:before="26"/>
              <w:ind w:left="22" w:right="16"/>
              <w:jc w:val="both"/>
              <w:rPr>
                <w:rFonts w:ascii="宋体" w:hAnsi="宋体" w:cs="宋体" w:eastAsia="宋体" w:hint="default"/>
                <w:sz w:val="22"/>
                <w:szCs w:val="22"/>
              </w:rPr>
            </w:pPr>
            <w:r>
              <w:rPr>
                <w:rFonts w:ascii="宋体" w:hAnsi="宋体" w:cs="宋体" w:eastAsia="宋体" w:hint="default"/>
                <w:spacing w:val="6"/>
                <w:sz w:val="22"/>
                <w:szCs w:val="22"/>
              </w:rPr>
              <w:t>理财产品及货币市场基金，由于收回理财</w:t>
            </w:r>
            <w:r>
              <w:rPr>
                <w:rFonts w:ascii="宋体" w:hAnsi="宋体" w:cs="宋体" w:eastAsia="宋体" w:hint="default"/>
                <w:spacing w:val="6"/>
                <w:w w:val="99"/>
                <w:sz w:val="22"/>
                <w:szCs w:val="22"/>
              </w:rPr>
              <w:t> </w:t>
            </w:r>
            <w:r>
              <w:rPr>
                <w:rFonts w:ascii="宋体" w:hAnsi="宋体" w:cs="宋体" w:eastAsia="宋体" w:hint="default"/>
                <w:spacing w:val="6"/>
                <w:sz w:val="22"/>
                <w:szCs w:val="22"/>
              </w:rPr>
              <w:t>本金及收益，同时结转计提的公允价值变</w:t>
            </w:r>
            <w:r>
              <w:rPr>
                <w:rFonts w:ascii="宋体" w:hAnsi="宋体" w:cs="宋体" w:eastAsia="宋体" w:hint="default"/>
                <w:spacing w:val="6"/>
                <w:w w:val="99"/>
                <w:sz w:val="22"/>
                <w:szCs w:val="22"/>
              </w:rPr>
              <w:t> </w:t>
            </w:r>
            <w:r>
              <w:rPr>
                <w:rFonts w:ascii="宋体" w:hAnsi="宋体" w:cs="宋体" w:eastAsia="宋体" w:hint="default"/>
                <w:sz w:val="22"/>
                <w:szCs w:val="22"/>
              </w:rPr>
              <w:t>动收益。</w:t>
            </w:r>
          </w:p>
        </w:tc>
        <w:tc>
          <w:tcPr>
            <w:tcW w:w="1771" w:type="dxa"/>
            <w:vMerge w:val="restart"/>
            <w:tcBorders>
              <w:top w:val="single" w:sz="4" w:space="0" w:color="000000"/>
              <w:left w:val="single" w:sz="4" w:space="0" w:color="000000"/>
              <w:right w:val="single" w:sz="4" w:space="0" w:color="000000"/>
            </w:tcBorders>
          </w:tcPr>
          <w:p>
            <w:pPr>
              <w:pStyle w:val="TableParagraph"/>
              <w:spacing w:line="251" w:lineRule="exact"/>
              <w:ind w:left="22" w:right="0"/>
              <w:jc w:val="both"/>
              <w:rPr>
                <w:rFonts w:ascii="宋体" w:hAnsi="宋体" w:cs="宋体" w:eastAsia="宋体" w:hint="default"/>
                <w:sz w:val="22"/>
                <w:szCs w:val="22"/>
              </w:rPr>
            </w:pPr>
            <w:r>
              <w:rPr>
                <w:rFonts w:ascii="宋体" w:hAnsi="宋体" w:cs="宋体" w:eastAsia="宋体" w:hint="default"/>
                <w:spacing w:val="-6"/>
                <w:sz w:val="22"/>
                <w:szCs w:val="22"/>
              </w:rPr>
              <w:t>是，公司将持续开</w:t>
            </w:r>
          </w:p>
          <w:p>
            <w:pPr>
              <w:pStyle w:val="TableParagraph"/>
              <w:spacing w:line="286" w:lineRule="exact" w:before="26"/>
              <w:ind w:left="22" w:right="-20"/>
              <w:jc w:val="both"/>
              <w:rPr>
                <w:rFonts w:ascii="宋体" w:hAnsi="宋体" w:cs="宋体" w:eastAsia="宋体" w:hint="default"/>
                <w:sz w:val="22"/>
                <w:szCs w:val="22"/>
              </w:rPr>
            </w:pPr>
            <w:r>
              <w:rPr>
                <w:rFonts w:ascii="宋体" w:hAnsi="宋体" w:cs="宋体" w:eastAsia="宋体" w:hint="default"/>
                <w:sz w:val="22"/>
                <w:szCs w:val="22"/>
              </w:rPr>
              <w:t>展投资理财业务，</w:t>
            </w:r>
            <w:r>
              <w:rPr>
                <w:rFonts w:ascii="宋体" w:hAnsi="宋体" w:cs="宋体" w:eastAsia="宋体" w:hint="default"/>
                <w:w w:val="99"/>
                <w:sz w:val="22"/>
                <w:szCs w:val="22"/>
              </w:rPr>
              <w:t> </w:t>
            </w:r>
            <w:r>
              <w:rPr>
                <w:rFonts w:ascii="宋体" w:hAnsi="宋体" w:cs="宋体" w:eastAsia="宋体" w:hint="default"/>
                <w:sz w:val="22"/>
                <w:szCs w:val="22"/>
              </w:rPr>
              <w:t>对</w:t>
            </w:r>
            <w:r>
              <w:rPr>
                <w:rFonts w:ascii="宋体" w:hAnsi="宋体" w:cs="宋体" w:eastAsia="宋体" w:hint="default"/>
                <w:spacing w:val="-82"/>
                <w:sz w:val="22"/>
                <w:szCs w:val="22"/>
              </w:rPr>
              <w:t> </w:t>
            </w:r>
            <w:r>
              <w:rPr>
                <w:rFonts w:ascii="宋体" w:hAnsi="宋体" w:cs="宋体" w:eastAsia="宋体" w:hint="default"/>
                <w:sz w:val="22"/>
                <w:szCs w:val="22"/>
              </w:rPr>
              <w:t>公</w:t>
            </w:r>
            <w:r>
              <w:rPr>
                <w:rFonts w:ascii="宋体" w:hAnsi="宋体" w:cs="宋体" w:eastAsia="宋体" w:hint="default"/>
                <w:spacing w:val="-83"/>
                <w:sz w:val="22"/>
                <w:szCs w:val="22"/>
              </w:rPr>
              <w:t> </w:t>
            </w:r>
            <w:r>
              <w:rPr>
                <w:rFonts w:ascii="宋体" w:hAnsi="宋体" w:cs="宋体" w:eastAsia="宋体" w:hint="default"/>
                <w:sz w:val="22"/>
                <w:szCs w:val="22"/>
              </w:rPr>
              <w:t>允</w:t>
            </w:r>
            <w:r>
              <w:rPr>
                <w:rFonts w:ascii="宋体" w:hAnsi="宋体" w:cs="宋体" w:eastAsia="宋体" w:hint="default"/>
                <w:spacing w:val="-82"/>
                <w:sz w:val="22"/>
                <w:szCs w:val="22"/>
              </w:rPr>
              <w:t> </w:t>
            </w:r>
            <w:r>
              <w:rPr>
                <w:rFonts w:ascii="宋体" w:hAnsi="宋体" w:cs="宋体" w:eastAsia="宋体" w:hint="default"/>
                <w:sz w:val="22"/>
                <w:szCs w:val="22"/>
              </w:rPr>
              <w:t>价</w:t>
            </w:r>
            <w:r>
              <w:rPr>
                <w:rFonts w:ascii="宋体" w:hAnsi="宋体" w:cs="宋体" w:eastAsia="宋体" w:hint="default"/>
                <w:spacing w:val="-82"/>
                <w:sz w:val="22"/>
                <w:szCs w:val="22"/>
              </w:rPr>
              <w:t> </w:t>
            </w:r>
            <w:r>
              <w:rPr>
                <w:rFonts w:ascii="宋体" w:hAnsi="宋体" w:cs="宋体" w:eastAsia="宋体" w:hint="default"/>
                <w:sz w:val="22"/>
                <w:szCs w:val="22"/>
              </w:rPr>
              <w:t>值</w:t>
            </w:r>
            <w:r>
              <w:rPr>
                <w:rFonts w:ascii="宋体" w:hAnsi="宋体" w:cs="宋体" w:eastAsia="宋体" w:hint="default"/>
                <w:spacing w:val="-82"/>
                <w:sz w:val="22"/>
                <w:szCs w:val="22"/>
              </w:rPr>
              <w:t> </w:t>
            </w:r>
            <w:r>
              <w:rPr>
                <w:rFonts w:ascii="宋体" w:hAnsi="宋体" w:cs="宋体" w:eastAsia="宋体" w:hint="default"/>
                <w:sz w:val="22"/>
                <w:szCs w:val="22"/>
              </w:rPr>
              <w:t>变</w:t>
            </w:r>
            <w:r>
              <w:rPr>
                <w:rFonts w:ascii="宋体" w:hAnsi="宋体" w:cs="宋体" w:eastAsia="宋体" w:hint="default"/>
                <w:spacing w:val="-83"/>
                <w:sz w:val="22"/>
                <w:szCs w:val="22"/>
              </w:rPr>
              <w:t> </w:t>
            </w:r>
            <w:r>
              <w:rPr>
                <w:rFonts w:ascii="宋体" w:hAnsi="宋体" w:cs="宋体" w:eastAsia="宋体" w:hint="default"/>
                <w:sz w:val="22"/>
                <w:szCs w:val="22"/>
              </w:rPr>
              <w:t>动</w:t>
            </w:r>
            <w:r>
              <w:rPr>
                <w:rFonts w:ascii="宋体" w:hAnsi="宋体" w:cs="宋体" w:eastAsia="宋体" w:hint="default"/>
                <w:w w:val="99"/>
                <w:sz w:val="22"/>
                <w:szCs w:val="22"/>
              </w:rPr>
              <w:t> </w:t>
            </w:r>
            <w:r>
              <w:rPr>
                <w:rFonts w:ascii="宋体" w:hAnsi="宋体" w:cs="宋体" w:eastAsia="宋体" w:hint="default"/>
                <w:sz w:val="22"/>
                <w:szCs w:val="22"/>
              </w:rPr>
              <w:t>损益产生影响。</w:t>
            </w:r>
          </w:p>
        </w:tc>
      </w:tr>
      <w:tr>
        <w:trPr>
          <w:trHeight w:val="576"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290"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1134" w:type="dxa"/>
            <w:vMerge w:val="restart"/>
            <w:tcBorders>
              <w:top w:val="single" w:sz="4" w:space="0" w:color="000000"/>
              <w:left w:val="single" w:sz="9" w:space="0" w:color="D2D2D2"/>
              <w:right w:val="single" w:sz="4" w:space="0" w:color="000000"/>
            </w:tcBorders>
          </w:tcPr>
          <w:p>
            <w:pPr>
              <w:pStyle w:val="TableParagraph"/>
              <w:spacing w:line="250" w:lineRule="exact"/>
              <w:ind w:left="378" w:right="0"/>
              <w:jc w:val="left"/>
              <w:rPr>
                <w:rFonts w:ascii="Times New Roman" w:hAnsi="Times New Roman" w:cs="Times New Roman" w:eastAsia="Times New Roman" w:hint="default"/>
                <w:sz w:val="22"/>
                <w:szCs w:val="22"/>
              </w:rPr>
            </w:pPr>
            <w:r>
              <w:rPr>
                <w:rFonts w:ascii="Times New Roman"/>
                <w:sz w:val="22"/>
              </w:rPr>
              <w:t>198,087</w:t>
            </w:r>
          </w:p>
        </w:tc>
        <w:tc>
          <w:tcPr>
            <w:tcW w:w="1134" w:type="dxa"/>
            <w:vMerge w:val="restart"/>
            <w:tcBorders>
              <w:top w:val="single" w:sz="4" w:space="0" w:color="000000"/>
              <w:left w:val="single" w:sz="4" w:space="0" w:color="000000"/>
              <w:right w:val="single" w:sz="4" w:space="0" w:color="000000"/>
            </w:tcBorders>
          </w:tcPr>
          <w:p>
            <w:pPr>
              <w:pStyle w:val="TableParagraph"/>
              <w:spacing w:line="250" w:lineRule="exact"/>
              <w:ind w:left="422" w:right="0"/>
              <w:jc w:val="left"/>
              <w:rPr>
                <w:rFonts w:ascii="Times New Roman" w:hAnsi="Times New Roman" w:cs="Times New Roman" w:eastAsia="Times New Roman" w:hint="default"/>
                <w:sz w:val="22"/>
                <w:szCs w:val="22"/>
              </w:rPr>
            </w:pPr>
            <w:r>
              <w:rPr>
                <w:rFonts w:ascii="Times New Roman"/>
                <w:sz w:val="22"/>
              </w:rPr>
              <w:t>22.28%</w:t>
            </w:r>
          </w:p>
        </w:tc>
        <w:tc>
          <w:tcPr>
            <w:tcW w:w="4112" w:type="dxa"/>
            <w:vMerge w:val="restart"/>
            <w:tcBorders>
              <w:top w:val="single" w:sz="4" w:space="0" w:color="000000"/>
              <w:left w:val="single" w:sz="4" w:space="0" w:color="000000"/>
              <w:right w:val="single" w:sz="4" w:space="0" w:color="000000"/>
            </w:tcBorders>
          </w:tcPr>
          <w:p>
            <w:pPr>
              <w:pStyle w:val="TableParagraph"/>
              <w:spacing w:line="251"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报告期内，公司计提坏账准备及存货跌价</w:t>
            </w:r>
            <w:r>
              <w:rPr>
                <w:rFonts w:ascii="宋体" w:hAnsi="宋体" w:cs="宋体" w:eastAsia="宋体" w:hint="default"/>
                <w:sz w:val="22"/>
                <w:szCs w:val="22"/>
              </w:rPr>
            </w:r>
          </w:p>
          <w:p>
            <w:pPr>
              <w:pStyle w:val="TableParagraph"/>
              <w:spacing w:line="287" w:lineRule="exact"/>
              <w:ind w:left="22" w:right="0"/>
              <w:jc w:val="left"/>
              <w:rPr>
                <w:rFonts w:ascii="宋体" w:hAnsi="宋体" w:cs="宋体" w:eastAsia="宋体" w:hint="default"/>
                <w:sz w:val="22"/>
                <w:szCs w:val="22"/>
              </w:rPr>
            </w:pPr>
            <w:r>
              <w:rPr>
                <w:rFonts w:ascii="宋体" w:hAnsi="宋体" w:cs="宋体" w:eastAsia="宋体" w:hint="default"/>
                <w:sz w:val="22"/>
                <w:szCs w:val="22"/>
              </w:rPr>
              <w:t>准备。</w:t>
            </w:r>
          </w:p>
        </w:tc>
        <w:tc>
          <w:tcPr>
            <w:tcW w:w="1771" w:type="dxa"/>
            <w:vMerge w:val="restart"/>
            <w:tcBorders>
              <w:top w:val="single" w:sz="4" w:space="0" w:color="000000"/>
              <w:left w:val="single" w:sz="4" w:space="0" w:color="000000"/>
              <w:right w:val="single" w:sz="4" w:space="0" w:color="000000"/>
            </w:tcBorders>
          </w:tcPr>
          <w:p>
            <w:pPr>
              <w:pStyle w:val="TableParagraph"/>
              <w:spacing w:line="251" w:lineRule="exact"/>
              <w:ind w:left="22" w:right="0"/>
              <w:jc w:val="both"/>
              <w:rPr>
                <w:rFonts w:ascii="宋体" w:hAnsi="宋体" w:cs="宋体" w:eastAsia="宋体" w:hint="default"/>
                <w:sz w:val="22"/>
                <w:szCs w:val="22"/>
              </w:rPr>
            </w:pPr>
            <w:r>
              <w:rPr>
                <w:rFonts w:ascii="宋体" w:hAnsi="宋体" w:cs="宋体" w:eastAsia="宋体" w:hint="default"/>
                <w:spacing w:val="-6"/>
                <w:sz w:val="22"/>
                <w:szCs w:val="22"/>
              </w:rPr>
              <w:t>是，公司资产减值</w:t>
            </w:r>
          </w:p>
          <w:p>
            <w:pPr>
              <w:pStyle w:val="TableParagraph"/>
              <w:spacing w:line="237" w:lineRule="auto" w:before="1"/>
              <w:ind w:left="22" w:right="23"/>
              <w:jc w:val="both"/>
              <w:rPr>
                <w:rFonts w:ascii="宋体" w:hAnsi="宋体" w:cs="宋体" w:eastAsia="宋体" w:hint="default"/>
                <w:sz w:val="22"/>
                <w:szCs w:val="22"/>
              </w:rPr>
            </w:pPr>
            <w:r>
              <w:rPr>
                <w:rFonts w:ascii="宋体" w:hAnsi="宋体" w:cs="宋体" w:eastAsia="宋体" w:hint="default"/>
                <w:sz w:val="22"/>
                <w:szCs w:val="22"/>
              </w:rPr>
              <w:t>损</w:t>
            </w:r>
            <w:r>
              <w:rPr>
                <w:rFonts w:ascii="宋体" w:hAnsi="宋体" w:cs="宋体" w:eastAsia="宋体" w:hint="default"/>
                <w:spacing w:val="-82"/>
                <w:sz w:val="22"/>
                <w:szCs w:val="22"/>
              </w:rPr>
              <w:t> </w:t>
            </w:r>
            <w:r>
              <w:rPr>
                <w:rFonts w:ascii="宋体" w:hAnsi="宋体" w:cs="宋体" w:eastAsia="宋体" w:hint="default"/>
                <w:sz w:val="22"/>
                <w:szCs w:val="22"/>
              </w:rPr>
              <w:t>失</w:t>
            </w:r>
            <w:r>
              <w:rPr>
                <w:rFonts w:ascii="宋体" w:hAnsi="宋体" w:cs="宋体" w:eastAsia="宋体" w:hint="default"/>
                <w:spacing w:val="-83"/>
                <w:sz w:val="22"/>
                <w:szCs w:val="22"/>
              </w:rPr>
              <w:t> </w:t>
            </w:r>
            <w:r>
              <w:rPr>
                <w:rFonts w:ascii="宋体" w:hAnsi="宋体" w:cs="宋体" w:eastAsia="宋体" w:hint="default"/>
                <w:sz w:val="22"/>
                <w:szCs w:val="22"/>
              </w:rPr>
              <w:t>计</w:t>
            </w:r>
            <w:r>
              <w:rPr>
                <w:rFonts w:ascii="宋体" w:hAnsi="宋体" w:cs="宋体" w:eastAsia="宋体" w:hint="default"/>
                <w:spacing w:val="-82"/>
                <w:sz w:val="22"/>
                <w:szCs w:val="22"/>
              </w:rPr>
              <w:t> </w:t>
            </w:r>
            <w:r>
              <w:rPr>
                <w:rFonts w:ascii="宋体" w:hAnsi="宋体" w:cs="宋体" w:eastAsia="宋体" w:hint="default"/>
                <w:sz w:val="22"/>
                <w:szCs w:val="22"/>
              </w:rPr>
              <w:t>提</w:t>
            </w:r>
            <w:r>
              <w:rPr>
                <w:rFonts w:ascii="宋体" w:hAnsi="宋体" w:cs="宋体" w:eastAsia="宋体" w:hint="default"/>
                <w:spacing w:val="-82"/>
                <w:sz w:val="22"/>
                <w:szCs w:val="22"/>
              </w:rPr>
              <w:t> </w:t>
            </w:r>
            <w:r>
              <w:rPr>
                <w:rFonts w:ascii="宋体" w:hAnsi="宋体" w:cs="宋体" w:eastAsia="宋体" w:hint="default"/>
                <w:sz w:val="22"/>
                <w:szCs w:val="22"/>
              </w:rPr>
              <w:t>范</w:t>
            </w:r>
            <w:r>
              <w:rPr>
                <w:rFonts w:ascii="宋体" w:hAnsi="宋体" w:cs="宋体" w:eastAsia="宋体" w:hint="default"/>
                <w:spacing w:val="-82"/>
                <w:sz w:val="22"/>
                <w:szCs w:val="22"/>
              </w:rPr>
              <w:t> </w:t>
            </w:r>
            <w:r>
              <w:rPr>
                <w:rFonts w:ascii="宋体" w:hAnsi="宋体" w:cs="宋体" w:eastAsia="宋体" w:hint="default"/>
                <w:sz w:val="22"/>
                <w:szCs w:val="22"/>
              </w:rPr>
              <w:t>围</w:t>
            </w:r>
            <w:r>
              <w:rPr>
                <w:rFonts w:ascii="宋体" w:hAnsi="宋体" w:cs="宋体" w:eastAsia="宋体" w:hint="default"/>
                <w:spacing w:val="-83"/>
                <w:sz w:val="22"/>
                <w:szCs w:val="22"/>
              </w:rPr>
              <w:t> </w:t>
            </w:r>
            <w:r>
              <w:rPr>
                <w:rFonts w:ascii="宋体" w:hAnsi="宋体" w:cs="宋体" w:eastAsia="宋体" w:hint="default"/>
                <w:sz w:val="22"/>
                <w:szCs w:val="22"/>
              </w:rPr>
              <w:t>均</w:t>
            </w:r>
            <w:r>
              <w:rPr>
                <w:rFonts w:ascii="宋体" w:hAnsi="宋体" w:cs="宋体" w:eastAsia="宋体" w:hint="default"/>
                <w:w w:val="99"/>
                <w:sz w:val="22"/>
                <w:szCs w:val="22"/>
              </w:rPr>
              <w:t> </w:t>
            </w:r>
            <w:r>
              <w:rPr>
                <w:rFonts w:ascii="宋体" w:hAnsi="宋体" w:cs="宋体" w:eastAsia="宋体" w:hint="default"/>
                <w:sz w:val="22"/>
                <w:szCs w:val="22"/>
              </w:rPr>
              <w:t>为</w:t>
            </w:r>
            <w:r>
              <w:rPr>
                <w:rFonts w:ascii="宋体" w:hAnsi="宋体" w:cs="宋体" w:eastAsia="宋体" w:hint="default"/>
                <w:spacing w:val="-82"/>
                <w:sz w:val="22"/>
                <w:szCs w:val="22"/>
              </w:rPr>
              <w:t> </w:t>
            </w:r>
            <w:r>
              <w:rPr>
                <w:rFonts w:ascii="宋体" w:hAnsi="宋体" w:cs="宋体" w:eastAsia="宋体" w:hint="default"/>
                <w:sz w:val="22"/>
                <w:szCs w:val="22"/>
              </w:rPr>
              <w:t>公</w:t>
            </w:r>
            <w:r>
              <w:rPr>
                <w:rFonts w:ascii="宋体" w:hAnsi="宋体" w:cs="宋体" w:eastAsia="宋体" w:hint="default"/>
                <w:spacing w:val="-83"/>
                <w:sz w:val="22"/>
                <w:szCs w:val="22"/>
              </w:rPr>
              <w:t> </w:t>
            </w:r>
            <w:r>
              <w:rPr>
                <w:rFonts w:ascii="宋体" w:hAnsi="宋体" w:cs="宋体" w:eastAsia="宋体" w:hint="default"/>
                <w:sz w:val="22"/>
                <w:szCs w:val="22"/>
              </w:rPr>
              <w:t>司</w:t>
            </w:r>
            <w:r>
              <w:rPr>
                <w:rFonts w:ascii="宋体" w:hAnsi="宋体" w:cs="宋体" w:eastAsia="宋体" w:hint="default"/>
                <w:spacing w:val="-82"/>
                <w:sz w:val="22"/>
                <w:szCs w:val="22"/>
              </w:rPr>
              <w:t> </w:t>
            </w:r>
            <w:r>
              <w:rPr>
                <w:rFonts w:ascii="宋体" w:hAnsi="宋体" w:cs="宋体" w:eastAsia="宋体" w:hint="default"/>
                <w:sz w:val="22"/>
                <w:szCs w:val="22"/>
              </w:rPr>
              <w:t>开</w:t>
            </w:r>
            <w:r>
              <w:rPr>
                <w:rFonts w:ascii="宋体" w:hAnsi="宋体" w:cs="宋体" w:eastAsia="宋体" w:hint="default"/>
                <w:spacing w:val="-82"/>
                <w:sz w:val="22"/>
                <w:szCs w:val="22"/>
              </w:rPr>
              <w:t> </w:t>
            </w:r>
            <w:r>
              <w:rPr>
                <w:rFonts w:ascii="宋体" w:hAnsi="宋体" w:cs="宋体" w:eastAsia="宋体" w:hint="default"/>
                <w:sz w:val="22"/>
                <w:szCs w:val="22"/>
              </w:rPr>
              <w:t>展</w:t>
            </w:r>
            <w:r>
              <w:rPr>
                <w:rFonts w:ascii="宋体" w:hAnsi="宋体" w:cs="宋体" w:eastAsia="宋体" w:hint="default"/>
                <w:spacing w:val="-82"/>
                <w:sz w:val="22"/>
                <w:szCs w:val="22"/>
              </w:rPr>
              <w:t> </w:t>
            </w:r>
            <w:r>
              <w:rPr>
                <w:rFonts w:ascii="宋体" w:hAnsi="宋体" w:cs="宋体" w:eastAsia="宋体" w:hint="default"/>
                <w:sz w:val="22"/>
                <w:szCs w:val="22"/>
              </w:rPr>
              <w:t>日</w:t>
            </w:r>
            <w:r>
              <w:rPr>
                <w:rFonts w:ascii="宋体" w:hAnsi="宋体" w:cs="宋体" w:eastAsia="宋体" w:hint="default"/>
                <w:spacing w:val="-83"/>
                <w:sz w:val="22"/>
                <w:szCs w:val="22"/>
              </w:rPr>
              <w:t> </w:t>
            </w:r>
            <w:r>
              <w:rPr>
                <w:rFonts w:ascii="宋体" w:hAnsi="宋体" w:cs="宋体" w:eastAsia="宋体" w:hint="default"/>
                <w:sz w:val="22"/>
                <w:szCs w:val="22"/>
              </w:rPr>
              <w:t>常</w:t>
            </w:r>
            <w:r>
              <w:rPr>
                <w:rFonts w:ascii="宋体" w:hAnsi="宋体" w:cs="宋体" w:eastAsia="宋体" w:hint="default"/>
                <w:w w:val="99"/>
                <w:sz w:val="22"/>
                <w:szCs w:val="22"/>
              </w:rPr>
              <w:t> </w:t>
            </w:r>
            <w:r>
              <w:rPr>
                <w:rFonts w:ascii="宋体" w:hAnsi="宋体" w:cs="宋体" w:eastAsia="宋体" w:hint="default"/>
                <w:sz w:val="22"/>
                <w:szCs w:val="22"/>
              </w:rPr>
              <w:t>业务所产生。</w:t>
            </w:r>
          </w:p>
        </w:tc>
      </w:tr>
      <w:tr>
        <w:trPr>
          <w:trHeight w:val="860"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290"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1134" w:type="dxa"/>
            <w:vMerge w:val="restart"/>
            <w:tcBorders>
              <w:top w:val="single" w:sz="4" w:space="0" w:color="000000"/>
              <w:left w:val="single" w:sz="9" w:space="0" w:color="D2D2D2"/>
              <w:right w:val="single" w:sz="4" w:space="0" w:color="000000"/>
            </w:tcBorders>
          </w:tcPr>
          <w:p>
            <w:pPr>
              <w:pStyle w:val="TableParagraph"/>
              <w:spacing w:line="250" w:lineRule="exact"/>
              <w:ind w:left="214" w:right="0"/>
              <w:jc w:val="left"/>
              <w:rPr>
                <w:rFonts w:ascii="Times New Roman" w:hAnsi="Times New Roman" w:cs="Times New Roman" w:eastAsia="Times New Roman" w:hint="default"/>
                <w:sz w:val="22"/>
                <w:szCs w:val="22"/>
              </w:rPr>
            </w:pPr>
            <w:r>
              <w:rPr>
                <w:rFonts w:ascii="Times New Roman"/>
                <w:sz w:val="22"/>
              </w:rPr>
              <w:t>1,665,224</w:t>
            </w:r>
          </w:p>
        </w:tc>
        <w:tc>
          <w:tcPr>
            <w:tcW w:w="1134" w:type="dxa"/>
            <w:vMerge w:val="restart"/>
            <w:tcBorders>
              <w:top w:val="single" w:sz="4" w:space="0" w:color="000000"/>
              <w:left w:val="single" w:sz="4" w:space="0" w:color="000000"/>
              <w:right w:val="single" w:sz="4" w:space="0" w:color="000000"/>
            </w:tcBorders>
          </w:tcPr>
          <w:p>
            <w:pPr>
              <w:pStyle w:val="TableParagraph"/>
              <w:spacing w:line="250" w:lineRule="exact"/>
              <w:ind w:left="312" w:right="0"/>
              <w:jc w:val="left"/>
              <w:rPr>
                <w:rFonts w:ascii="Times New Roman" w:hAnsi="Times New Roman" w:cs="Times New Roman" w:eastAsia="Times New Roman" w:hint="default"/>
                <w:sz w:val="22"/>
                <w:szCs w:val="22"/>
              </w:rPr>
            </w:pPr>
            <w:r>
              <w:rPr>
                <w:rFonts w:ascii="Times New Roman"/>
                <w:sz w:val="22"/>
              </w:rPr>
              <w:t>187.32%</w:t>
            </w:r>
          </w:p>
        </w:tc>
        <w:tc>
          <w:tcPr>
            <w:tcW w:w="4112" w:type="dxa"/>
            <w:vMerge w:val="restart"/>
            <w:tcBorders>
              <w:top w:val="single" w:sz="4" w:space="0" w:color="000000"/>
              <w:left w:val="single" w:sz="4" w:space="0" w:color="000000"/>
              <w:right w:val="single" w:sz="4" w:space="0" w:color="000000"/>
            </w:tcBorders>
          </w:tcPr>
          <w:p>
            <w:pPr>
              <w:pStyle w:val="TableParagraph"/>
              <w:spacing w:line="259" w:lineRule="exact"/>
              <w:ind w:left="22" w:right="0"/>
              <w:jc w:val="both"/>
              <w:rPr>
                <w:rFonts w:ascii="宋体" w:hAnsi="宋体" w:cs="宋体" w:eastAsia="宋体" w:hint="default"/>
                <w:sz w:val="22"/>
                <w:szCs w:val="22"/>
              </w:rPr>
            </w:pPr>
            <w:r>
              <w:rPr>
                <w:rFonts w:ascii="宋体" w:hAnsi="宋体" w:cs="宋体" w:eastAsia="宋体" w:hint="default"/>
                <w:sz w:val="22"/>
                <w:szCs w:val="22"/>
              </w:rPr>
              <w:t>报告期内，公司以</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处门店物业开展创新</w:t>
            </w:r>
          </w:p>
          <w:p>
            <w:pPr>
              <w:pStyle w:val="TableParagraph"/>
              <w:spacing w:line="235" w:lineRule="auto"/>
              <w:ind w:left="22" w:right="16"/>
              <w:jc w:val="both"/>
              <w:rPr>
                <w:rFonts w:ascii="宋体" w:hAnsi="宋体" w:cs="宋体" w:eastAsia="宋体" w:hint="default"/>
                <w:sz w:val="22"/>
                <w:szCs w:val="22"/>
              </w:rPr>
            </w:pPr>
            <w:r>
              <w:rPr>
                <w:rFonts w:ascii="宋体" w:hAnsi="宋体" w:cs="宋体" w:eastAsia="宋体" w:hint="default"/>
                <w:spacing w:val="6"/>
                <w:sz w:val="22"/>
                <w:szCs w:val="22"/>
              </w:rPr>
              <w:t>资产运作模式，该交易价格与账面价值的</w:t>
            </w:r>
            <w:r>
              <w:rPr>
                <w:rFonts w:ascii="宋体" w:hAnsi="宋体" w:cs="宋体" w:eastAsia="宋体" w:hint="default"/>
                <w:spacing w:val="6"/>
                <w:w w:val="99"/>
                <w:sz w:val="22"/>
                <w:szCs w:val="22"/>
              </w:rPr>
              <w:t> </w:t>
            </w:r>
            <w:r>
              <w:rPr>
                <w:rFonts w:ascii="宋体" w:hAnsi="宋体" w:cs="宋体" w:eastAsia="宋体" w:hint="default"/>
                <w:spacing w:val="6"/>
                <w:sz w:val="22"/>
                <w:szCs w:val="22"/>
              </w:rPr>
              <w:t>差额扣除相关税费并确认以公允价值计量</w:t>
            </w:r>
            <w:r>
              <w:rPr>
                <w:rFonts w:ascii="宋体" w:hAnsi="宋体" w:cs="宋体" w:eastAsia="宋体" w:hint="default"/>
                <w:spacing w:val="6"/>
                <w:w w:val="99"/>
                <w:sz w:val="22"/>
                <w:szCs w:val="22"/>
              </w:rPr>
              <w:t> </w:t>
            </w:r>
            <w:r>
              <w:rPr>
                <w:rFonts w:ascii="宋体" w:hAnsi="宋体" w:cs="宋体" w:eastAsia="宋体" w:hint="default"/>
                <w:spacing w:val="6"/>
                <w:sz w:val="22"/>
                <w:szCs w:val="22"/>
              </w:rPr>
              <w:t>且其变动计入当期损益的金融负债后的盈</w:t>
            </w:r>
            <w:r>
              <w:rPr>
                <w:rFonts w:ascii="宋体" w:hAnsi="宋体" w:cs="宋体" w:eastAsia="宋体" w:hint="default"/>
                <w:spacing w:val="6"/>
                <w:w w:val="99"/>
                <w:sz w:val="22"/>
                <w:szCs w:val="22"/>
              </w:rPr>
              <w:t> </w:t>
            </w:r>
            <w:r>
              <w:rPr>
                <w:rFonts w:ascii="宋体" w:hAnsi="宋体" w:cs="宋体" w:eastAsia="宋体" w:hint="default"/>
                <w:sz w:val="22"/>
                <w:szCs w:val="22"/>
              </w:rPr>
              <w:t>余，人民币 </w:t>
            </w:r>
            <w:r>
              <w:rPr>
                <w:rFonts w:ascii="Times New Roman" w:hAnsi="Times New Roman" w:cs="Times New Roman" w:eastAsia="Times New Roman" w:hint="default"/>
                <w:sz w:val="22"/>
                <w:szCs w:val="22"/>
              </w:rPr>
              <w:t>13.88</w:t>
            </w:r>
            <w:r>
              <w:rPr>
                <w:rFonts w:ascii="Times New Roman" w:hAnsi="Times New Roman" w:cs="Times New Roman" w:eastAsia="Times New Roman" w:hint="default"/>
                <w:spacing w:val="10"/>
                <w:sz w:val="22"/>
                <w:szCs w:val="22"/>
              </w:rPr>
              <w:t> </w:t>
            </w:r>
            <w:r>
              <w:rPr>
                <w:rFonts w:ascii="宋体" w:hAnsi="宋体" w:cs="宋体" w:eastAsia="宋体" w:hint="default"/>
                <w:spacing w:val="2"/>
                <w:sz w:val="22"/>
                <w:szCs w:val="22"/>
              </w:rPr>
              <w:t>亿元计入当期营业外收</w:t>
            </w:r>
            <w:r>
              <w:rPr>
                <w:rFonts w:ascii="宋体" w:hAnsi="宋体" w:cs="宋体" w:eastAsia="宋体" w:hint="default"/>
                <w:w w:val="99"/>
                <w:sz w:val="22"/>
                <w:szCs w:val="22"/>
              </w:rPr>
              <w:t> </w:t>
            </w:r>
            <w:r>
              <w:rPr>
                <w:rFonts w:ascii="宋体" w:hAnsi="宋体" w:cs="宋体" w:eastAsia="宋体" w:hint="default"/>
                <w:sz w:val="22"/>
                <w:szCs w:val="22"/>
              </w:rPr>
              <w:t>入。</w:t>
            </w:r>
          </w:p>
        </w:tc>
        <w:tc>
          <w:tcPr>
            <w:tcW w:w="1771" w:type="dxa"/>
            <w:vMerge w:val="restart"/>
            <w:tcBorders>
              <w:top w:val="single" w:sz="4" w:space="0" w:color="000000"/>
              <w:left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1432"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290"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1134" w:type="dxa"/>
            <w:vMerge w:val="restart"/>
            <w:tcBorders>
              <w:top w:val="single" w:sz="4" w:space="0" w:color="000000"/>
              <w:left w:val="single" w:sz="9" w:space="0" w:color="D2D2D2"/>
              <w:right w:val="single" w:sz="4" w:space="0" w:color="000000"/>
            </w:tcBorders>
          </w:tcPr>
          <w:p>
            <w:pPr>
              <w:pStyle w:val="TableParagraph"/>
              <w:spacing w:line="250" w:lineRule="exact"/>
              <w:ind w:left="378" w:right="0"/>
              <w:jc w:val="left"/>
              <w:rPr>
                <w:rFonts w:ascii="Times New Roman" w:hAnsi="Times New Roman" w:cs="Times New Roman" w:eastAsia="Times New Roman" w:hint="default"/>
                <w:sz w:val="22"/>
                <w:szCs w:val="22"/>
              </w:rPr>
            </w:pPr>
            <w:r>
              <w:rPr>
                <w:rFonts w:ascii="Times New Roman"/>
                <w:sz w:val="22"/>
              </w:rPr>
              <w:t>166,246</w:t>
            </w:r>
          </w:p>
        </w:tc>
        <w:tc>
          <w:tcPr>
            <w:tcW w:w="1134" w:type="dxa"/>
            <w:vMerge w:val="restart"/>
            <w:tcBorders>
              <w:top w:val="single" w:sz="4" w:space="0" w:color="000000"/>
              <w:left w:val="single" w:sz="4" w:space="0" w:color="000000"/>
              <w:right w:val="single" w:sz="4" w:space="0" w:color="000000"/>
            </w:tcBorders>
          </w:tcPr>
          <w:p>
            <w:pPr>
              <w:pStyle w:val="TableParagraph"/>
              <w:spacing w:line="250" w:lineRule="exact"/>
              <w:ind w:left="422" w:right="0"/>
              <w:jc w:val="left"/>
              <w:rPr>
                <w:rFonts w:ascii="Times New Roman" w:hAnsi="Times New Roman" w:cs="Times New Roman" w:eastAsia="Times New Roman" w:hint="default"/>
                <w:sz w:val="22"/>
                <w:szCs w:val="22"/>
              </w:rPr>
            </w:pPr>
            <w:r>
              <w:rPr>
                <w:rFonts w:ascii="Times New Roman"/>
                <w:sz w:val="22"/>
              </w:rPr>
              <w:t>18.70%</w:t>
            </w:r>
          </w:p>
        </w:tc>
        <w:tc>
          <w:tcPr>
            <w:tcW w:w="4112" w:type="dxa"/>
            <w:vMerge w:val="restart"/>
            <w:tcBorders>
              <w:top w:val="single" w:sz="4" w:space="0" w:color="000000"/>
              <w:left w:val="single" w:sz="4" w:space="0" w:color="000000"/>
              <w:right w:val="single" w:sz="4" w:space="0" w:color="000000"/>
            </w:tcBorders>
          </w:tcPr>
          <w:p>
            <w:pPr>
              <w:pStyle w:val="TableParagraph"/>
              <w:spacing w:line="251" w:lineRule="exact"/>
              <w:ind w:left="22" w:right="0"/>
              <w:jc w:val="left"/>
              <w:rPr>
                <w:rFonts w:ascii="宋体" w:hAnsi="宋体" w:cs="宋体" w:eastAsia="宋体" w:hint="default"/>
                <w:sz w:val="22"/>
                <w:szCs w:val="22"/>
              </w:rPr>
            </w:pPr>
            <w:r>
              <w:rPr>
                <w:rFonts w:ascii="宋体" w:hAnsi="宋体" w:cs="宋体" w:eastAsia="宋体" w:hint="default"/>
                <w:spacing w:val="18"/>
                <w:sz w:val="22"/>
                <w:szCs w:val="22"/>
              </w:rPr>
              <w:t>营业外支出主要包括非流动资产处置损</w:t>
            </w:r>
          </w:p>
          <w:p>
            <w:pPr>
              <w:pStyle w:val="TableParagraph"/>
              <w:spacing w:line="287" w:lineRule="exact"/>
              <w:ind w:left="22" w:right="0"/>
              <w:jc w:val="left"/>
              <w:rPr>
                <w:rFonts w:ascii="宋体" w:hAnsi="宋体" w:cs="宋体" w:eastAsia="宋体" w:hint="default"/>
                <w:sz w:val="22"/>
                <w:szCs w:val="22"/>
              </w:rPr>
            </w:pPr>
            <w:r>
              <w:rPr>
                <w:rFonts w:ascii="宋体" w:hAnsi="宋体" w:cs="宋体" w:eastAsia="宋体" w:hint="default"/>
                <w:sz w:val="22"/>
                <w:szCs w:val="22"/>
              </w:rPr>
              <w:t>失、罚款及违约金、对外捐赠等支出。</w:t>
            </w:r>
          </w:p>
        </w:tc>
        <w:tc>
          <w:tcPr>
            <w:tcW w:w="1771" w:type="dxa"/>
            <w:vMerge w:val="restart"/>
            <w:tcBorders>
              <w:top w:val="single" w:sz="4" w:space="0" w:color="000000"/>
              <w:left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290"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2"/>
        <w:spacing w:line="240" w:lineRule="auto" w:before="26"/>
        <w:ind w:right="1082"/>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82"/>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宋体" w:hAnsi="宋体" w:cs="宋体" w:eastAsia="宋体" w:hint="default"/>
          <w:b/>
          <w:bCs/>
          <w:sz w:val="27"/>
          <w:szCs w:val="27"/>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单位：千元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38"/>
        <w:ind w:left="0" w:right="1030" w:firstLine="0"/>
        <w:jc w:val="right"/>
        <w:rPr>
          <w:rFonts w:ascii="宋体" w:hAnsi="宋体" w:cs="宋体" w:eastAsia="宋体" w:hint="default"/>
          <w:sz w:val="20"/>
          <w:szCs w:val="20"/>
        </w:rPr>
      </w:pPr>
      <w:r>
        <w:rPr/>
        <w:pict>
          <v:shape style="position:absolute;margin-left:55.650002pt;margin-top:-128.200302pt;width:484.9pt;height:533.0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5"/>
                    <w:gridCol w:w="1397"/>
                    <w:gridCol w:w="1068"/>
                    <w:gridCol w:w="1036"/>
                    <w:gridCol w:w="758"/>
                    <w:gridCol w:w="918"/>
                    <w:gridCol w:w="3111"/>
                  </w:tblGrid>
                  <w:tr>
                    <w:trPr>
                      <w:trHeight w:val="269"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8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年末</w:t>
                        </w:r>
                      </w:p>
                    </w:tc>
                    <w:tc>
                      <w:tcPr>
                        <w:tcW w:w="17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46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年末</w:t>
                        </w:r>
                      </w:p>
                    </w:tc>
                    <w:tc>
                      <w:tcPr>
                        <w:tcW w:w="91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6" w:hRule="exact"/>
                    </w:trPr>
                    <w:tc>
                      <w:tcPr>
                        <w:tcW w:w="1395"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442"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
                            <w:sz w:val="20"/>
                            <w:szCs w:val="20"/>
                          </w:rPr>
                          <w:t> </w:t>
                        </w:r>
                        <w:r>
                          <w:rPr>
                            <w:rFonts w:ascii="宋体" w:hAnsi="宋体" w:cs="宋体" w:eastAsia="宋体" w:hint="default"/>
                            <w:sz w:val="20"/>
                            <w:szCs w:val="20"/>
                          </w:rPr>
                          <w:t>目</w:t>
                        </w:r>
                      </w:p>
                    </w:tc>
                    <w:tc>
                      <w:tcPr>
                        <w:tcW w:w="13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占总资产比</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例</w:t>
                        </w:r>
                      </w:p>
                    </w:tc>
                    <w:tc>
                      <w:tcPr>
                        <w:tcW w:w="10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73" w:right="0"/>
                          <w:jc w:val="left"/>
                          <w:rPr>
                            <w:rFonts w:ascii="宋体" w:hAnsi="宋体" w:cs="宋体" w:eastAsia="宋体" w:hint="default"/>
                            <w:sz w:val="20"/>
                            <w:szCs w:val="20"/>
                          </w:rPr>
                        </w:pPr>
                        <w:r>
                          <w:rPr>
                            <w:rFonts w:ascii="宋体" w:hAnsi="宋体" w:cs="宋体" w:eastAsia="宋体" w:hint="default"/>
                            <w:sz w:val="20"/>
                            <w:szCs w:val="20"/>
                          </w:rPr>
                          <w:t>占总资</w:t>
                        </w:r>
                      </w:p>
                      <w:p>
                        <w:pPr>
                          <w:pStyle w:val="TableParagraph"/>
                          <w:spacing w:line="260" w:lineRule="exact"/>
                          <w:ind w:left="73" w:right="0"/>
                          <w:jc w:val="left"/>
                          <w:rPr>
                            <w:rFonts w:ascii="宋体" w:hAnsi="宋体" w:cs="宋体" w:eastAsia="宋体" w:hint="default"/>
                            <w:sz w:val="20"/>
                            <w:szCs w:val="20"/>
                          </w:rPr>
                        </w:pPr>
                        <w:r>
                          <w:rPr>
                            <w:rFonts w:ascii="宋体" w:hAnsi="宋体" w:cs="宋体" w:eastAsia="宋体" w:hint="default"/>
                            <w:sz w:val="20"/>
                            <w:szCs w:val="20"/>
                          </w:rPr>
                          <w:t>产比例</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53" w:right="0"/>
                          <w:jc w:val="left"/>
                          <w:rPr>
                            <w:rFonts w:ascii="宋体" w:hAnsi="宋体" w:cs="宋体" w:eastAsia="宋体" w:hint="default"/>
                            <w:sz w:val="20"/>
                            <w:szCs w:val="20"/>
                          </w:rPr>
                        </w:pPr>
                        <w:r>
                          <w:rPr>
                            <w:rFonts w:ascii="宋体" w:hAnsi="宋体" w:cs="宋体" w:eastAsia="宋体" w:hint="default"/>
                            <w:sz w:val="20"/>
                            <w:szCs w:val="20"/>
                          </w:rPr>
                          <w:t>比重增减</w:t>
                        </w:r>
                      </w:p>
                    </w:tc>
                    <w:tc>
                      <w:tcPr>
                        <w:tcW w:w="3111"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950" w:right="0"/>
                          <w:jc w:val="left"/>
                          <w:rPr>
                            <w:rFonts w:ascii="宋体" w:hAnsi="宋体" w:cs="宋体" w:eastAsia="宋体" w:hint="default"/>
                            <w:sz w:val="20"/>
                            <w:szCs w:val="20"/>
                          </w:rPr>
                        </w:pPr>
                        <w:r>
                          <w:rPr>
                            <w:rFonts w:ascii="宋体" w:hAnsi="宋体" w:cs="宋体" w:eastAsia="宋体" w:hint="default"/>
                            <w:sz w:val="20"/>
                            <w:szCs w:val="20"/>
                          </w:rPr>
                          <w:t>重大变动说明</w:t>
                        </w:r>
                      </w:p>
                    </w:tc>
                  </w:tr>
                  <w:tr>
                    <w:trPr>
                      <w:trHeight w:val="125"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1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68" w:type="dxa"/>
                        <w:vMerge/>
                        <w:tcBorders>
                          <w:left w:val="single" w:sz="4" w:space="0" w:color="000000"/>
                          <w:right w:val="single" w:sz="4" w:space="0" w:color="000000"/>
                        </w:tcBorders>
                        <w:shd w:val="clear" w:color="auto" w:fill="D2D2D2"/>
                      </w:tcPr>
                      <w:p>
                        <w:pPr/>
                      </w:p>
                    </w:tc>
                    <w:tc>
                      <w:tcPr>
                        <w:tcW w:w="1036"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313"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58" w:type="dxa"/>
                        <w:vMerge/>
                        <w:tcBorders>
                          <w:left w:val="single" w:sz="4" w:space="0" w:color="000000"/>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3111" w:type="dxa"/>
                        <w:vMerge/>
                        <w:tcBorders>
                          <w:left w:val="single" w:sz="4" w:space="0" w:color="000000"/>
                          <w:bottom w:val="nil" w:sz="6" w:space="0" w:color="auto"/>
                          <w:right w:val="single" w:sz="4" w:space="0" w:color="000000"/>
                        </w:tcBorders>
                        <w:shd w:val="clear" w:color="auto" w:fill="D2D2D2"/>
                      </w:tcPr>
                      <w:p>
                        <w:pPr/>
                      </w:p>
                    </w:tc>
                  </w:tr>
                  <w:tr>
                    <w:trPr>
                      <w:trHeight w:val="269"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758" w:type="dxa"/>
                        <w:vMerge/>
                        <w:tcBorders>
                          <w:left w:val="single" w:sz="4" w:space="0" w:color="000000"/>
                          <w:bottom w:val="single" w:sz="4" w:space="0" w:color="000000"/>
                          <w:right w:val="single" w:sz="4" w:space="0" w:color="000000"/>
                        </w:tcBorders>
                        <w:shd w:val="clear" w:color="auto" w:fill="D2D2D2"/>
                      </w:tcPr>
                      <w:p>
                        <w:pPr/>
                      </w:p>
                    </w:tc>
                    <w:tc>
                      <w:tcPr>
                        <w:tcW w:w="91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29"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1" w:right="0"/>
                          <w:jc w:val="left"/>
                          <w:rPr>
                            <w:rFonts w:ascii="宋体" w:hAnsi="宋体" w:cs="宋体" w:eastAsia="宋体" w:hint="default"/>
                            <w:sz w:val="20"/>
                            <w:szCs w:val="20"/>
                          </w:rPr>
                        </w:pPr>
                        <w:r>
                          <w:rPr>
                            <w:rFonts w:ascii="宋体" w:hAnsi="宋体" w:cs="宋体" w:eastAsia="宋体" w:hint="default"/>
                            <w:sz w:val="20"/>
                            <w:szCs w:val="20"/>
                          </w:rPr>
                          <w:t>发</w:t>
                        </w:r>
                        <w:r>
                          <w:rPr>
                            <w:rFonts w:ascii="宋体" w:hAnsi="宋体" w:cs="宋体" w:eastAsia="宋体" w:hint="default"/>
                            <w:spacing w:val="-68"/>
                            <w:sz w:val="20"/>
                            <w:szCs w:val="20"/>
                          </w:rPr>
                          <w:t> </w:t>
                        </w:r>
                        <w:r>
                          <w:rPr>
                            <w:rFonts w:ascii="宋体" w:hAnsi="宋体" w:cs="宋体" w:eastAsia="宋体" w:hint="default"/>
                            <w:sz w:val="20"/>
                            <w:szCs w:val="20"/>
                          </w:rPr>
                          <w:t>放</w:t>
                        </w:r>
                        <w:r>
                          <w:rPr>
                            <w:rFonts w:ascii="宋体" w:hAnsi="宋体" w:cs="宋体" w:eastAsia="宋体" w:hint="default"/>
                            <w:spacing w:val="-68"/>
                            <w:sz w:val="20"/>
                            <w:szCs w:val="20"/>
                          </w:rPr>
                          <w:t> </w:t>
                        </w:r>
                        <w:r>
                          <w:rPr>
                            <w:rFonts w:ascii="宋体" w:hAnsi="宋体" w:cs="宋体" w:eastAsia="宋体" w:hint="default"/>
                            <w:sz w:val="20"/>
                            <w:szCs w:val="20"/>
                          </w:rPr>
                          <w:t>贷</w:t>
                        </w:r>
                        <w:r>
                          <w:rPr>
                            <w:rFonts w:ascii="宋体" w:hAnsi="宋体" w:cs="宋体" w:eastAsia="宋体" w:hint="default"/>
                            <w:spacing w:val="-68"/>
                            <w:sz w:val="20"/>
                            <w:szCs w:val="20"/>
                          </w:rPr>
                          <w:t> </w:t>
                        </w:r>
                        <w:r>
                          <w:rPr>
                            <w:rFonts w:ascii="宋体" w:hAnsi="宋体" w:cs="宋体" w:eastAsia="宋体" w:hint="default"/>
                            <w:sz w:val="20"/>
                            <w:szCs w:val="20"/>
                          </w:rPr>
                          <w:t>款</w:t>
                        </w:r>
                        <w:r>
                          <w:rPr>
                            <w:rFonts w:ascii="宋体" w:hAnsi="宋体" w:cs="宋体" w:eastAsia="宋体" w:hint="default"/>
                            <w:spacing w:val="-69"/>
                            <w:sz w:val="20"/>
                            <w:szCs w:val="20"/>
                          </w:rPr>
                          <w:t> </w:t>
                        </w:r>
                        <w:r>
                          <w:rPr>
                            <w:rFonts w:ascii="宋体" w:hAnsi="宋体" w:cs="宋体" w:eastAsia="宋体" w:hint="default"/>
                            <w:sz w:val="20"/>
                            <w:szCs w:val="20"/>
                          </w:rPr>
                          <w:t>及</w:t>
                        </w:r>
                        <w:r>
                          <w:rPr>
                            <w:rFonts w:ascii="宋体" w:hAnsi="宋体" w:cs="宋体" w:eastAsia="宋体" w:hint="default"/>
                            <w:spacing w:val="-69"/>
                            <w:sz w:val="20"/>
                            <w:szCs w:val="20"/>
                          </w:rPr>
                          <w:t> </w:t>
                        </w:r>
                        <w:r>
                          <w:rPr>
                            <w:rFonts w:ascii="宋体" w:hAnsi="宋体" w:cs="宋体" w:eastAsia="宋体" w:hint="default"/>
                            <w:sz w:val="20"/>
                            <w:szCs w:val="20"/>
                          </w:rPr>
                          <w:t>垫</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w w:val="100"/>
                            <w:sz w:val="20"/>
                            <w:szCs w:val="20"/>
                          </w:rPr>
                          <w:t>款</w:t>
                        </w:r>
                      </w:p>
                    </w:tc>
                    <w:tc>
                      <w:tcPr>
                        <w:tcW w:w="1397" w:type="dxa"/>
                        <w:tcBorders>
                          <w:top w:val="single" w:sz="56" w:space="0" w:color="D2D2D2"/>
                          <w:left w:val="single" w:sz="13" w:space="0" w:color="D2D2D2"/>
                          <w:bottom w:val="single" w:sz="4" w:space="0" w:color="000000"/>
                          <w:right w:val="single" w:sz="4" w:space="0" w:color="000000"/>
                        </w:tcBorders>
                      </w:tcPr>
                      <w:p>
                        <w:pPr>
                          <w:pStyle w:val="TableParagraph"/>
                          <w:spacing w:line="162" w:lineRule="exact"/>
                          <w:ind w:right="19"/>
                          <w:jc w:val="right"/>
                          <w:rPr>
                            <w:rFonts w:ascii="Times New Roman" w:hAnsi="Times New Roman" w:cs="Times New Roman" w:eastAsia="Times New Roman" w:hint="default"/>
                            <w:sz w:val="20"/>
                            <w:szCs w:val="20"/>
                          </w:rPr>
                        </w:pPr>
                        <w:r>
                          <w:rPr>
                            <w:rFonts w:ascii="Times New Roman"/>
                            <w:spacing w:val="-1"/>
                            <w:sz w:val="20"/>
                          </w:rPr>
                          <w:t>1,311,668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z w:val="20"/>
                          </w:rPr>
                          <w:t>1.49%</w:t>
                        </w:r>
                      </w:p>
                    </w:tc>
                    <w:tc>
                      <w:tcPr>
                        <w:tcW w:w="1036" w:type="dxa"/>
                        <w:tcBorders>
                          <w:top w:val="single" w:sz="56" w:space="0" w:color="D2D2D2"/>
                          <w:left w:val="single" w:sz="4" w:space="0" w:color="000000"/>
                          <w:bottom w:val="single" w:sz="4" w:space="0" w:color="000000"/>
                          <w:right w:val="single" w:sz="4" w:space="0" w:color="000000"/>
                        </w:tcBorders>
                      </w:tcPr>
                      <w:p>
                        <w:pPr>
                          <w:pStyle w:val="TableParagraph"/>
                          <w:spacing w:line="162" w:lineRule="exact"/>
                          <w:ind w:right="20"/>
                          <w:jc w:val="right"/>
                          <w:rPr>
                            <w:rFonts w:ascii="Times New Roman" w:hAnsi="Times New Roman" w:cs="Times New Roman" w:eastAsia="Times New Roman" w:hint="default"/>
                            <w:sz w:val="20"/>
                            <w:szCs w:val="20"/>
                          </w:rPr>
                        </w:pPr>
                        <w:r>
                          <w:rPr>
                            <w:rFonts w:ascii="Times New Roman"/>
                            <w:spacing w:val="-1"/>
                            <w:sz w:val="20"/>
                          </w:rPr>
                          <w:t>505,866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z w:val="20"/>
                          </w:rPr>
                          <w:t>0.62%</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z w:val="20"/>
                          </w:rPr>
                          <w:t>0.87%</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公司小贷及保理业务放款规模增加</w:t>
                        </w:r>
                      </w:p>
                    </w:tc>
                  </w:tr>
                  <w:tr>
                    <w:trPr>
                      <w:trHeight w:val="104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1" w:right="0"/>
                          <w:jc w:val="both"/>
                          <w:rPr>
                            <w:rFonts w:ascii="宋体" w:hAnsi="宋体" w:cs="宋体" w:eastAsia="宋体" w:hint="default"/>
                            <w:sz w:val="20"/>
                            <w:szCs w:val="20"/>
                          </w:rPr>
                        </w:pPr>
                        <w:r>
                          <w:rPr>
                            <w:rFonts w:ascii="宋体" w:hAnsi="宋体" w:cs="宋体" w:eastAsia="宋体" w:hint="default"/>
                            <w:sz w:val="20"/>
                            <w:szCs w:val="20"/>
                          </w:rPr>
                          <w:t>以</w:t>
                        </w:r>
                        <w:r>
                          <w:rPr>
                            <w:rFonts w:ascii="宋体" w:hAnsi="宋体" w:cs="宋体" w:eastAsia="宋体" w:hint="default"/>
                            <w:spacing w:val="-68"/>
                            <w:sz w:val="20"/>
                            <w:szCs w:val="20"/>
                          </w:rPr>
                          <w:t> </w:t>
                        </w:r>
                        <w:r>
                          <w:rPr>
                            <w:rFonts w:ascii="宋体" w:hAnsi="宋体" w:cs="宋体" w:eastAsia="宋体" w:hint="default"/>
                            <w:sz w:val="20"/>
                            <w:szCs w:val="20"/>
                          </w:rPr>
                          <w:t>公</w:t>
                        </w:r>
                        <w:r>
                          <w:rPr>
                            <w:rFonts w:ascii="宋体" w:hAnsi="宋体" w:cs="宋体" w:eastAsia="宋体" w:hint="default"/>
                            <w:spacing w:val="-68"/>
                            <w:sz w:val="20"/>
                            <w:szCs w:val="20"/>
                          </w:rPr>
                          <w:t> </w:t>
                        </w:r>
                        <w:r>
                          <w:rPr>
                            <w:rFonts w:ascii="宋体" w:hAnsi="宋体" w:cs="宋体" w:eastAsia="宋体" w:hint="default"/>
                            <w:sz w:val="20"/>
                            <w:szCs w:val="20"/>
                          </w:rPr>
                          <w:t>允</w:t>
                        </w:r>
                        <w:r>
                          <w:rPr>
                            <w:rFonts w:ascii="宋体" w:hAnsi="宋体" w:cs="宋体" w:eastAsia="宋体" w:hint="default"/>
                            <w:spacing w:val="-68"/>
                            <w:sz w:val="20"/>
                            <w:szCs w:val="20"/>
                          </w:rPr>
                          <w:t> </w:t>
                        </w:r>
                        <w:r>
                          <w:rPr>
                            <w:rFonts w:ascii="宋体" w:hAnsi="宋体" w:cs="宋体" w:eastAsia="宋体" w:hint="default"/>
                            <w:sz w:val="20"/>
                            <w:szCs w:val="20"/>
                          </w:rPr>
                          <w:t>价</w:t>
                        </w:r>
                        <w:r>
                          <w:rPr>
                            <w:rFonts w:ascii="宋体" w:hAnsi="宋体" w:cs="宋体" w:eastAsia="宋体" w:hint="default"/>
                            <w:spacing w:val="-69"/>
                            <w:sz w:val="20"/>
                            <w:szCs w:val="20"/>
                          </w:rPr>
                          <w:t> </w:t>
                        </w:r>
                        <w:r>
                          <w:rPr>
                            <w:rFonts w:ascii="宋体" w:hAnsi="宋体" w:cs="宋体" w:eastAsia="宋体" w:hint="default"/>
                            <w:sz w:val="20"/>
                            <w:szCs w:val="20"/>
                          </w:rPr>
                          <w:t>值</w:t>
                        </w:r>
                        <w:r>
                          <w:rPr>
                            <w:rFonts w:ascii="宋体" w:hAnsi="宋体" w:cs="宋体" w:eastAsia="宋体" w:hint="default"/>
                            <w:spacing w:val="-69"/>
                            <w:sz w:val="20"/>
                            <w:szCs w:val="20"/>
                          </w:rPr>
                          <w:t> </w:t>
                        </w:r>
                        <w:r>
                          <w:rPr>
                            <w:rFonts w:ascii="宋体" w:hAnsi="宋体" w:cs="宋体" w:eastAsia="宋体" w:hint="default"/>
                            <w:sz w:val="20"/>
                            <w:szCs w:val="20"/>
                          </w:rPr>
                          <w:t>计</w:t>
                        </w:r>
                      </w:p>
                      <w:p>
                        <w:pPr>
                          <w:pStyle w:val="TableParagraph"/>
                          <w:spacing w:line="260" w:lineRule="exact" w:before="24"/>
                          <w:ind w:left="11" w:right="10"/>
                          <w:jc w:val="both"/>
                          <w:rPr>
                            <w:rFonts w:ascii="宋体" w:hAnsi="宋体" w:cs="宋体" w:eastAsia="宋体" w:hint="default"/>
                            <w:sz w:val="20"/>
                            <w:szCs w:val="20"/>
                          </w:rPr>
                        </w:pPr>
                        <w:r>
                          <w:rPr>
                            <w:rFonts w:ascii="宋体" w:hAnsi="宋体" w:cs="宋体" w:eastAsia="宋体" w:hint="default"/>
                            <w:sz w:val="20"/>
                            <w:szCs w:val="20"/>
                          </w:rPr>
                          <w:t>量</w:t>
                        </w:r>
                        <w:r>
                          <w:rPr>
                            <w:rFonts w:ascii="宋体" w:hAnsi="宋体" w:cs="宋体" w:eastAsia="宋体" w:hint="default"/>
                            <w:spacing w:val="-68"/>
                            <w:sz w:val="20"/>
                            <w:szCs w:val="20"/>
                          </w:rPr>
                          <w:t> </w:t>
                        </w:r>
                        <w:r>
                          <w:rPr>
                            <w:rFonts w:ascii="宋体" w:hAnsi="宋体" w:cs="宋体" w:eastAsia="宋体" w:hint="default"/>
                            <w:sz w:val="20"/>
                            <w:szCs w:val="20"/>
                          </w:rPr>
                          <w:t>且</w:t>
                        </w:r>
                        <w:r>
                          <w:rPr>
                            <w:rFonts w:ascii="宋体" w:hAnsi="宋体" w:cs="宋体" w:eastAsia="宋体" w:hint="default"/>
                            <w:spacing w:val="-68"/>
                            <w:sz w:val="20"/>
                            <w:szCs w:val="20"/>
                          </w:rPr>
                          <w:t> </w:t>
                        </w:r>
                        <w:r>
                          <w:rPr>
                            <w:rFonts w:ascii="宋体" w:hAnsi="宋体" w:cs="宋体" w:eastAsia="宋体" w:hint="default"/>
                            <w:sz w:val="20"/>
                            <w:szCs w:val="20"/>
                          </w:rPr>
                          <w:t>其</w:t>
                        </w:r>
                        <w:r>
                          <w:rPr>
                            <w:rFonts w:ascii="宋体" w:hAnsi="宋体" w:cs="宋体" w:eastAsia="宋体" w:hint="default"/>
                            <w:spacing w:val="-68"/>
                            <w:sz w:val="20"/>
                            <w:szCs w:val="20"/>
                          </w:rPr>
                          <w:t> </w:t>
                        </w:r>
                        <w:r>
                          <w:rPr>
                            <w:rFonts w:ascii="宋体" w:hAnsi="宋体" w:cs="宋体" w:eastAsia="宋体" w:hint="default"/>
                            <w:sz w:val="20"/>
                            <w:szCs w:val="20"/>
                          </w:rPr>
                          <w:t>变</w:t>
                        </w:r>
                        <w:r>
                          <w:rPr>
                            <w:rFonts w:ascii="宋体" w:hAnsi="宋体" w:cs="宋体" w:eastAsia="宋体" w:hint="default"/>
                            <w:spacing w:val="-69"/>
                            <w:sz w:val="20"/>
                            <w:szCs w:val="20"/>
                          </w:rPr>
                          <w:t> </w:t>
                        </w:r>
                        <w:r>
                          <w:rPr>
                            <w:rFonts w:ascii="宋体" w:hAnsi="宋体" w:cs="宋体" w:eastAsia="宋体" w:hint="default"/>
                            <w:sz w:val="20"/>
                            <w:szCs w:val="20"/>
                          </w:rPr>
                          <w:t>动</w:t>
                        </w:r>
                        <w:r>
                          <w:rPr>
                            <w:rFonts w:ascii="宋体" w:hAnsi="宋体" w:cs="宋体" w:eastAsia="宋体" w:hint="default"/>
                            <w:spacing w:val="-69"/>
                            <w:sz w:val="20"/>
                            <w:szCs w:val="20"/>
                          </w:rPr>
                          <w:t> </w:t>
                        </w:r>
                        <w:r>
                          <w:rPr>
                            <w:rFonts w:ascii="宋体" w:hAnsi="宋体" w:cs="宋体" w:eastAsia="宋体" w:hint="default"/>
                            <w:sz w:val="20"/>
                            <w:szCs w:val="20"/>
                          </w:rPr>
                          <w:t>计</w:t>
                        </w:r>
                        <w:r>
                          <w:rPr>
                            <w:rFonts w:ascii="宋体" w:hAnsi="宋体" w:cs="宋体" w:eastAsia="宋体" w:hint="default"/>
                            <w:w w:val="100"/>
                            <w:sz w:val="20"/>
                            <w:szCs w:val="20"/>
                          </w:rPr>
                          <w:t> </w:t>
                        </w:r>
                        <w:r>
                          <w:rPr>
                            <w:rFonts w:ascii="宋体" w:hAnsi="宋体" w:cs="宋体" w:eastAsia="宋体" w:hint="default"/>
                            <w:sz w:val="20"/>
                            <w:szCs w:val="20"/>
                          </w:rPr>
                          <w:t>入</w:t>
                        </w:r>
                        <w:r>
                          <w:rPr>
                            <w:rFonts w:ascii="宋体" w:hAnsi="宋体" w:cs="宋体" w:eastAsia="宋体" w:hint="default"/>
                            <w:spacing w:val="-68"/>
                            <w:sz w:val="20"/>
                            <w:szCs w:val="20"/>
                          </w:rPr>
                          <w:t> </w:t>
                        </w:r>
                        <w:r>
                          <w:rPr>
                            <w:rFonts w:ascii="宋体" w:hAnsi="宋体" w:cs="宋体" w:eastAsia="宋体" w:hint="default"/>
                            <w:sz w:val="20"/>
                            <w:szCs w:val="20"/>
                          </w:rPr>
                          <w:t>当</w:t>
                        </w:r>
                        <w:r>
                          <w:rPr>
                            <w:rFonts w:ascii="宋体" w:hAnsi="宋体" w:cs="宋体" w:eastAsia="宋体" w:hint="default"/>
                            <w:spacing w:val="-68"/>
                            <w:sz w:val="20"/>
                            <w:szCs w:val="20"/>
                          </w:rPr>
                          <w:t> </w:t>
                        </w:r>
                        <w:r>
                          <w:rPr>
                            <w:rFonts w:ascii="宋体" w:hAnsi="宋体" w:cs="宋体" w:eastAsia="宋体" w:hint="default"/>
                            <w:sz w:val="20"/>
                            <w:szCs w:val="20"/>
                          </w:rPr>
                          <w:t>期</w:t>
                        </w:r>
                        <w:r>
                          <w:rPr>
                            <w:rFonts w:ascii="宋体" w:hAnsi="宋体" w:cs="宋体" w:eastAsia="宋体" w:hint="default"/>
                            <w:spacing w:val="-68"/>
                            <w:sz w:val="20"/>
                            <w:szCs w:val="20"/>
                          </w:rPr>
                          <w:t> </w:t>
                        </w:r>
                        <w:r>
                          <w:rPr>
                            <w:rFonts w:ascii="宋体" w:hAnsi="宋体" w:cs="宋体" w:eastAsia="宋体" w:hint="default"/>
                            <w:sz w:val="20"/>
                            <w:szCs w:val="20"/>
                          </w:rPr>
                          <w:t>损</w:t>
                        </w:r>
                        <w:r>
                          <w:rPr>
                            <w:rFonts w:ascii="宋体" w:hAnsi="宋体" w:cs="宋体" w:eastAsia="宋体" w:hint="default"/>
                            <w:spacing w:val="-69"/>
                            <w:sz w:val="20"/>
                            <w:szCs w:val="20"/>
                          </w:rPr>
                          <w:t> </w:t>
                        </w:r>
                        <w:r>
                          <w:rPr>
                            <w:rFonts w:ascii="宋体" w:hAnsi="宋体" w:cs="宋体" w:eastAsia="宋体" w:hint="default"/>
                            <w:sz w:val="20"/>
                            <w:szCs w:val="20"/>
                          </w:rPr>
                          <w:t>益</w:t>
                        </w:r>
                        <w:r>
                          <w:rPr>
                            <w:rFonts w:ascii="宋体" w:hAnsi="宋体" w:cs="宋体" w:eastAsia="宋体" w:hint="default"/>
                            <w:spacing w:val="-69"/>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z w:val="20"/>
                            <w:szCs w:val="20"/>
                          </w:rPr>
                          <w:t>金融资产</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678,871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z w:val="20"/>
                          </w:rPr>
                          <w:t>0.77%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2,644,705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z w:val="20"/>
                          </w:rPr>
                          <w:t>3.22%</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pacing w:val="-1"/>
                            <w:sz w:val="20"/>
                          </w:rPr>
                          <w:t>-2.45%</w:t>
                        </w:r>
                      </w:p>
                    </w:tc>
                    <w:tc>
                      <w:tcPr>
                        <w:tcW w:w="3111" w:type="dxa"/>
                        <w:vMerge w:val="restart"/>
                        <w:tcBorders>
                          <w:top w:val="single" w:sz="4" w:space="0" w:color="000000"/>
                          <w:left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2"/>
                            <w:sz w:val="20"/>
                            <w:szCs w:val="20"/>
                          </w:rPr>
                          <w:t>报告期内，公司使用自有资金购买</w:t>
                        </w:r>
                      </w:p>
                      <w:p>
                        <w:pPr>
                          <w:pStyle w:val="TableParagraph"/>
                          <w:spacing w:line="235" w:lineRule="auto" w:before="3"/>
                          <w:ind w:left="23" w:right="19"/>
                          <w:jc w:val="left"/>
                          <w:rPr>
                            <w:rFonts w:ascii="宋体" w:hAnsi="宋体" w:cs="宋体" w:eastAsia="宋体" w:hint="default"/>
                            <w:sz w:val="20"/>
                            <w:szCs w:val="20"/>
                          </w:rPr>
                        </w:pPr>
                        <w:r>
                          <w:rPr>
                            <w:rFonts w:ascii="宋体" w:hAnsi="宋体" w:cs="宋体" w:eastAsia="宋体" w:hint="default"/>
                            <w:spacing w:val="2"/>
                            <w:sz w:val="20"/>
                            <w:szCs w:val="20"/>
                          </w:rPr>
                          <w:t>银行理财产品以及货币市场基金，</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会计核算上，根据理财产品</w:t>
                        </w:r>
                        <w:r>
                          <w:rPr>
                            <w:rFonts w:ascii="Times New Roman" w:hAnsi="Times New Roman" w:cs="Times New Roman" w:eastAsia="Times New Roman" w:hint="default"/>
                            <w:sz w:val="20"/>
                            <w:szCs w:val="20"/>
                          </w:rPr>
                          <w:t>/</w:t>
                        </w:r>
                        <w:r>
                          <w:rPr>
                            <w:rFonts w:ascii="宋体" w:hAnsi="宋体" w:cs="宋体" w:eastAsia="宋体" w:hint="default"/>
                            <w:sz w:val="20"/>
                            <w:szCs w:val="20"/>
                          </w:rPr>
                          <w:t>货币基</w:t>
                        </w:r>
                        <w:r>
                          <w:rPr>
                            <w:rFonts w:ascii="宋体" w:hAnsi="宋体" w:cs="宋体" w:eastAsia="宋体" w:hint="default"/>
                            <w:w w:val="100"/>
                            <w:sz w:val="20"/>
                            <w:szCs w:val="20"/>
                          </w:rPr>
                          <w:t> </w:t>
                        </w:r>
                        <w:r>
                          <w:rPr>
                            <w:rFonts w:ascii="宋体" w:hAnsi="宋体" w:cs="宋体" w:eastAsia="宋体" w:hint="default"/>
                            <w:spacing w:val="2"/>
                            <w:sz w:val="20"/>
                            <w:szCs w:val="20"/>
                          </w:rPr>
                          <w:t>金不同类型分别将其计入以公允价</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
                            <w:sz w:val="20"/>
                            <w:szCs w:val="20"/>
                          </w:rPr>
                          <w:t>值计量且其变动计入当期损益的金</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
                            <w:sz w:val="20"/>
                            <w:szCs w:val="20"/>
                          </w:rPr>
                          <w:t>融资产、其他流动资产等会计科目</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由此带来相关会计科目的变动</w:t>
                        </w:r>
                      </w:p>
                    </w:tc>
                  </w:tr>
                  <w:tr>
                    <w:trPr>
                      <w:trHeight w:val="265"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397" w:type="dxa"/>
                        <w:vMerge w:val="restart"/>
                        <w:tcBorders>
                          <w:top w:val="single" w:sz="4" w:space="0" w:color="000000"/>
                          <w:left w:val="single" w:sz="9" w:space="0" w:color="D2D2D2"/>
                          <w:right w:val="single" w:sz="4" w:space="0" w:color="000000"/>
                        </w:tcBorders>
                      </w:tcPr>
                      <w:p>
                        <w:pPr>
                          <w:pStyle w:val="TableParagraph"/>
                          <w:spacing w:line="228" w:lineRule="exact"/>
                          <w:ind w:left="558" w:right="0"/>
                          <w:jc w:val="left"/>
                          <w:rPr>
                            <w:rFonts w:ascii="Times New Roman" w:hAnsi="Times New Roman" w:cs="Times New Roman" w:eastAsia="Times New Roman" w:hint="default"/>
                            <w:sz w:val="20"/>
                            <w:szCs w:val="20"/>
                          </w:rPr>
                        </w:pPr>
                        <w:r>
                          <w:rPr>
                            <w:rFonts w:ascii="Times New Roman"/>
                            <w:sz w:val="20"/>
                          </w:rPr>
                          <w:t>3,724,748</w:t>
                        </w:r>
                      </w:p>
                    </w:tc>
                    <w:tc>
                      <w:tcPr>
                        <w:tcW w:w="1068" w:type="dxa"/>
                        <w:vMerge w:val="restart"/>
                        <w:tcBorders>
                          <w:top w:val="single" w:sz="4" w:space="0" w:color="000000"/>
                          <w:left w:val="single" w:sz="4" w:space="0" w:color="000000"/>
                          <w:right w:val="single" w:sz="4" w:space="0" w:color="000000"/>
                        </w:tcBorders>
                      </w:tcPr>
                      <w:p>
                        <w:pPr>
                          <w:pStyle w:val="TableParagraph"/>
                          <w:spacing w:line="228" w:lineRule="exact"/>
                          <w:ind w:left="519" w:right="0"/>
                          <w:jc w:val="left"/>
                          <w:rPr>
                            <w:rFonts w:ascii="Times New Roman" w:hAnsi="Times New Roman" w:cs="Times New Roman" w:eastAsia="Times New Roman" w:hint="default"/>
                            <w:sz w:val="20"/>
                            <w:szCs w:val="20"/>
                          </w:rPr>
                        </w:pPr>
                        <w:r>
                          <w:rPr>
                            <w:rFonts w:ascii="Times New Roman"/>
                            <w:sz w:val="20"/>
                          </w:rPr>
                          <w:t>4.23%</w:t>
                        </w:r>
                      </w:p>
                    </w:tc>
                    <w:tc>
                      <w:tcPr>
                        <w:tcW w:w="1036" w:type="dxa"/>
                        <w:vMerge w:val="restart"/>
                        <w:tcBorders>
                          <w:top w:val="single" w:sz="4" w:space="0" w:color="000000"/>
                          <w:left w:val="single" w:sz="4" w:space="0" w:color="000000"/>
                          <w:right w:val="single" w:sz="4" w:space="0" w:color="000000"/>
                        </w:tcBorders>
                      </w:tcPr>
                      <w:p>
                        <w:pPr>
                          <w:pStyle w:val="TableParagraph"/>
                          <w:spacing w:line="228" w:lineRule="exact"/>
                          <w:ind w:left="202" w:right="0"/>
                          <w:jc w:val="left"/>
                          <w:rPr>
                            <w:rFonts w:ascii="Times New Roman" w:hAnsi="Times New Roman" w:cs="Times New Roman" w:eastAsia="Times New Roman" w:hint="default"/>
                            <w:sz w:val="20"/>
                            <w:szCs w:val="20"/>
                          </w:rPr>
                        </w:pPr>
                        <w:r>
                          <w:rPr>
                            <w:rFonts w:ascii="Times New Roman"/>
                            <w:sz w:val="20"/>
                          </w:rPr>
                          <w:t>2,807,402</w:t>
                        </w:r>
                      </w:p>
                    </w:tc>
                    <w:tc>
                      <w:tcPr>
                        <w:tcW w:w="758" w:type="dxa"/>
                        <w:vMerge w:val="restart"/>
                        <w:tcBorders>
                          <w:top w:val="single" w:sz="4" w:space="0" w:color="000000"/>
                          <w:left w:val="single" w:sz="4" w:space="0" w:color="000000"/>
                          <w:right w:val="single" w:sz="4" w:space="0" w:color="000000"/>
                        </w:tcBorders>
                      </w:tcPr>
                      <w:p>
                        <w:pPr>
                          <w:pStyle w:val="TableParagraph"/>
                          <w:spacing w:line="228" w:lineRule="exact"/>
                          <w:ind w:left="208" w:right="0"/>
                          <w:jc w:val="left"/>
                          <w:rPr>
                            <w:rFonts w:ascii="Times New Roman" w:hAnsi="Times New Roman" w:cs="Times New Roman" w:eastAsia="Times New Roman" w:hint="default"/>
                            <w:sz w:val="20"/>
                            <w:szCs w:val="20"/>
                          </w:rPr>
                        </w:pPr>
                        <w:r>
                          <w:rPr>
                            <w:rFonts w:ascii="Times New Roman"/>
                            <w:sz w:val="20"/>
                          </w:rPr>
                          <w:t>3.42%</w:t>
                        </w:r>
                      </w:p>
                    </w:tc>
                    <w:tc>
                      <w:tcPr>
                        <w:tcW w:w="918" w:type="dxa"/>
                        <w:vMerge w:val="restart"/>
                        <w:tcBorders>
                          <w:top w:val="single" w:sz="4" w:space="0" w:color="000000"/>
                          <w:left w:val="single" w:sz="4" w:space="0" w:color="000000"/>
                          <w:right w:val="single" w:sz="4" w:space="0" w:color="000000"/>
                        </w:tcBorders>
                      </w:tcPr>
                      <w:p>
                        <w:pPr>
                          <w:pStyle w:val="TableParagraph"/>
                          <w:spacing w:line="228" w:lineRule="exact"/>
                          <w:ind w:left="369" w:right="0"/>
                          <w:jc w:val="left"/>
                          <w:rPr>
                            <w:rFonts w:ascii="Times New Roman" w:hAnsi="Times New Roman" w:cs="Times New Roman" w:eastAsia="Times New Roman" w:hint="default"/>
                            <w:sz w:val="20"/>
                            <w:szCs w:val="20"/>
                          </w:rPr>
                        </w:pPr>
                        <w:r>
                          <w:rPr>
                            <w:rFonts w:ascii="Times New Roman"/>
                            <w:sz w:val="20"/>
                          </w:rPr>
                          <w:t>0.81%</w:t>
                        </w:r>
                      </w:p>
                    </w:tc>
                    <w:tc>
                      <w:tcPr>
                        <w:tcW w:w="3111" w:type="dxa"/>
                        <w:vMerge/>
                        <w:tcBorders>
                          <w:left w:val="single" w:sz="4" w:space="0" w:color="000000"/>
                          <w:right w:val="single" w:sz="4" w:space="0" w:color="000000"/>
                        </w:tcBorders>
                      </w:tcPr>
                      <w:p>
                        <w:pPr/>
                      </w:p>
                    </w:tc>
                  </w:tr>
                  <w:tr>
                    <w:trPr>
                      <w:trHeight w:val="514"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3111" w:type="dxa"/>
                        <w:vMerge/>
                        <w:tcBorders>
                          <w:left w:val="single" w:sz="4" w:space="0" w:color="000000"/>
                          <w:bottom w:val="single" w:sz="4" w:space="0" w:color="000000"/>
                          <w:right w:val="single" w:sz="4" w:space="0" w:color="000000"/>
                        </w:tcBorders>
                      </w:tcPr>
                      <w:p>
                        <w:pPr/>
                      </w:p>
                    </w:tc>
                  </w:tr>
                  <w:tr>
                    <w:trPr>
                      <w:trHeight w:val="264"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397" w:type="dxa"/>
                        <w:vMerge w:val="restart"/>
                        <w:tcBorders>
                          <w:top w:val="single" w:sz="4" w:space="0" w:color="000000"/>
                          <w:left w:val="single" w:sz="9" w:space="0" w:color="D2D2D2"/>
                          <w:right w:val="single" w:sz="4" w:space="0" w:color="000000"/>
                        </w:tcBorders>
                      </w:tcPr>
                      <w:p>
                        <w:pPr>
                          <w:pStyle w:val="TableParagraph"/>
                          <w:spacing w:line="227" w:lineRule="exact"/>
                          <w:ind w:left="708" w:right="0"/>
                          <w:jc w:val="left"/>
                          <w:rPr>
                            <w:rFonts w:ascii="Times New Roman" w:hAnsi="Times New Roman" w:cs="Times New Roman" w:eastAsia="Times New Roman" w:hint="default"/>
                            <w:sz w:val="20"/>
                            <w:szCs w:val="20"/>
                          </w:rPr>
                        </w:pPr>
                        <w:r>
                          <w:rPr>
                            <w:rFonts w:ascii="Times New Roman"/>
                            <w:sz w:val="20"/>
                          </w:rPr>
                          <w:t>705,617</w:t>
                        </w:r>
                      </w:p>
                    </w:tc>
                    <w:tc>
                      <w:tcPr>
                        <w:tcW w:w="1068" w:type="dxa"/>
                        <w:vMerge w:val="restart"/>
                        <w:tcBorders>
                          <w:top w:val="single" w:sz="4" w:space="0" w:color="000000"/>
                          <w:left w:val="single" w:sz="4" w:space="0" w:color="000000"/>
                          <w:right w:val="single" w:sz="4" w:space="0" w:color="000000"/>
                        </w:tcBorders>
                      </w:tcPr>
                      <w:p>
                        <w:pPr>
                          <w:pStyle w:val="TableParagraph"/>
                          <w:spacing w:line="227" w:lineRule="exact"/>
                          <w:ind w:left="519" w:right="0"/>
                          <w:jc w:val="left"/>
                          <w:rPr>
                            <w:rFonts w:ascii="Times New Roman" w:hAnsi="Times New Roman" w:cs="Times New Roman" w:eastAsia="Times New Roman" w:hint="default"/>
                            <w:sz w:val="20"/>
                            <w:szCs w:val="20"/>
                          </w:rPr>
                        </w:pPr>
                        <w:r>
                          <w:rPr>
                            <w:rFonts w:ascii="Times New Roman"/>
                            <w:sz w:val="20"/>
                          </w:rPr>
                          <w:t>0.80%</w:t>
                        </w:r>
                      </w:p>
                    </w:tc>
                    <w:tc>
                      <w:tcPr>
                        <w:tcW w:w="1036" w:type="dxa"/>
                        <w:vMerge w:val="restart"/>
                        <w:tcBorders>
                          <w:top w:val="single" w:sz="4" w:space="0" w:color="000000"/>
                          <w:left w:val="single" w:sz="4" w:space="0" w:color="000000"/>
                          <w:right w:val="single" w:sz="4" w:space="0" w:color="000000"/>
                        </w:tcBorders>
                      </w:tcPr>
                      <w:p>
                        <w:pPr>
                          <w:pStyle w:val="TableParagraph"/>
                          <w:spacing w:line="227" w:lineRule="exact"/>
                          <w:ind w:left="352" w:right="0"/>
                          <w:jc w:val="left"/>
                          <w:rPr>
                            <w:rFonts w:ascii="Times New Roman" w:hAnsi="Times New Roman" w:cs="Times New Roman" w:eastAsia="Times New Roman" w:hint="default"/>
                            <w:sz w:val="20"/>
                            <w:szCs w:val="20"/>
                          </w:rPr>
                        </w:pPr>
                        <w:r>
                          <w:rPr>
                            <w:rFonts w:ascii="Times New Roman"/>
                            <w:sz w:val="20"/>
                          </w:rPr>
                          <w:t>535,579</w:t>
                        </w:r>
                      </w:p>
                    </w:tc>
                    <w:tc>
                      <w:tcPr>
                        <w:tcW w:w="758" w:type="dxa"/>
                        <w:vMerge w:val="restart"/>
                        <w:tcBorders>
                          <w:top w:val="single" w:sz="4" w:space="0" w:color="000000"/>
                          <w:left w:val="single" w:sz="4" w:space="0" w:color="000000"/>
                          <w:right w:val="single" w:sz="4" w:space="0" w:color="000000"/>
                        </w:tcBorders>
                      </w:tcPr>
                      <w:p>
                        <w:pPr>
                          <w:pStyle w:val="TableParagraph"/>
                          <w:spacing w:line="227" w:lineRule="exact"/>
                          <w:ind w:left="208" w:right="0"/>
                          <w:jc w:val="left"/>
                          <w:rPr>
                            <w:rFonts w:ascii="Times New Roman" w:hAnsi="Times New Roman" w:cs="Times New Roman" w:eastAsia="Times New Roman" w:hint="default"/>
                            <w:sz w:val="20"/>
                            <w:szCs w:val="20"/>
                          </w:rPr>
                        </w:pPr>
                        <w:r>
                          <w:rPr>
                            <w:rFonts w:ascii="Times New Roman"/>
                            <w:sz w:val="20"/>
                          </w:rPr>
                          <w:t>0.65%</w:t>
                        </w:r>
                      </w:p>
                    </w:tc>
                    <w:tc>
                      <w:tcPr>
                        <w:tcW w:w="918" w:type="dxa"/>
                        <w:vMerge w:val="restart"/>
                        <w:tcBorders>
                          <w:top w:val="single" w:sz="4" w:space="0" w:color="000000"/>
                          <w:left w:val="single" w:sz="4" w:space="0" w:color="000000"/>
                          <w:right w:val="single" w:sz="4" w:space="0" w:color="000000"/>
                        </w:tcBorders>
                      </w:tcPr>
                      <w:p>
                        <w:pPr>
                          <w:pStyle w:val="TableParagraph"/>
                          <w:spacing w:line="227" w:lineRule="exact"/>
                          <w:ind w:left="369" w:right="0"/>
                          <w:jc w:val="left"/>
                          <w:rPr>
                            <w:rFonts w:ascii="Times New Roman" w:hAnsi="Times New Roman" w:cs="Times New Roman" w:eastAsia="Times New Roman" w:hint="default"/>
                            <w:sz w:val="20"/>
                            <w:szCs w:val="20"/>
                          </w:rPr>
                        </w:pPr>
                        <w:r>
                          <w:rPr>
                            <w:rFonts w:ascii="Times New Roman"/>
                            <w:sz w:val="20"/>
                          </w:rPr>
                          <w:t>0.15%</w:t>
                        </w:r>
                      </w:p>
                    </w:tc>
                    <w:tc>
                      <w:tcPr>
                        <w:tcW w:w="3111" w:type="dxa"/>
                        <w:vMerge w:val="restart"/>
                        <w:tcBorders>
                          <w:top w:val="single" w:sz="4" w:space="0" w:color="000000"/>
                          <w:left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2"/>
                            <w:sz w:val="20"/>
                            <w:szCs w:val="20"/>
                          </w:rPr>
                          <w:t>报告期内公司应收天猫苏宁易购频</w:t>
                        </w:r>
                      </w:p>
                      <w:p>
                        <w:pPr>
                          <w:pStyle w:val="TableParagraph"/>
                          <w:spacing w:line="240" w:lineRule="auto"/>
                          <w:ind w:left="23" w:right="17"/>
                          <w:jc w:val="left"/>
                          <w:rPr>
                            <w:rFonts w:ascii="宋体" w:hAnsi="宋体" w:cs="宋体" w:eastAsia="宋体" w:hint="default"/>
                            <w:sz w:val="20"/>
                            <w:szCs w:val="20"/>
                          </w:rPr>
                        </w:pPr>
                        <w:r>
                          <w:rPr>
                            <w:rFonts w:ascii="宋体" w:hAnsi="宋体" w:cs="宋体" w:eastAsia="宋体" w:hint="default"/>
                            <w:spacing w:val="3"/>
                            <w:sz w:val="20"/>
                            <w:szCs w:val="20"/>
                          </w:rPr>
                          <w:t>道销售货款，以及公司开展客户线</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上理财、众筹业务应收信息服务费</w:t>
                        </w:r>
                      </w:p>
                    </w:tc>
                  </w:tr>
                  <w:tr>
                    <w:trPr>
                      <w:trHeight w:val="524"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3111" w:type="dxa"/>
                        <w:vMerge/>
                        <w:tcBorders>
                          <w:left w:val="single" w:sz="4" w:space="0" w:color="000000"/>
                          <w:bottom w:val="single" w:sz="4" w:space="0" w:color="000000"/>
                          <w:right w:val="single" w:sz="4" w:space="0" w:color="000000"/>
                        </w:tcBorders>
                      </w:tcPr>
                      <w:p>
                        <w:pPr/>
                      </w:p>
                    </w:tc>
                  </w:tr>
                  <w:tr>
                    <w:trPr>
                      <w:trHeight w:val="264"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397" w:type="dxa"/>
                        <w:vMerge w:val="restart"/>
                        <w:tcBorders>
                          <w:top w:val="single" w:sz="4" w:space="0" w:color="000000"/>
                          <w:left w:val="single" w:sz="9" w:space="0" w:color="D2D2D2"/>
                          <w:right w:val="single" w:sz="4" w:space="0" w:color="000000"/>
                        </w:tcBorders>
                      </w:tcPr>
                      <w:p>
                        <w:pPr>
                          <w:pStyle w:val="TableParagraph"/>
                          <w:spacing w:line="227" w:lineRule="exact"/>
                          <w:ind w:left="558" w:right="0"/>
                          <w:jc w:val="left"/>
                          <w:rPr>
                            <w:rFonts w:ascii="Times New Roman" w:hAnsi="Times New Roman" w:cs="Times New Roman" w:eastAsia="Times New Roman" w:hint="default"/>
                            <w:sz w:val="20"/>
                            <w:szCs w:val="20"/>
                          </w:rPr>
                        </w:pPr>
                        <w:r>
                          <w:rPr>
                            <w:rFonts w:ascii="Times New Roman"/>
                            <w:sz w:val="20"/>
                          </w:rPr>
                          <w:t>6,706,522</w:t>
                        </w:r>
                      </w:p>
                    </w:tc>
                    <w:tc>
                      <w:tcPr>
                        <w:tcW w:w="1068" w:type="dxa"/>
                        <w:vMerge w:val="restart"/>
                        <w:tcBorders>
                          <w:top w:val="single" w:sz="4" w:space="0" w:color="000000"/>
                          <w:left w:val="single" w:sz="4" w:space="0" w:color="000000"/>
                          <w:right w:val="single" w:sz="4" w:space="0" w:color="000000"/>
                        </w:tcBorders>
                      </w:tcPr>
                      <w:p>
                        <w:pPr>
                          <w:pStyle w:val="TableParagraph"/>
                          <w:spacing w:line="227" w:lineRule="exact"/>
                          <w:ind w:left="519" w:right="0"/>
                          <w:jc w:val="left"/>
                          <w:rPr>
                            <w:rFonts w:ascii="Times New Roman" w:hAnsi="Times New Roman" w:cs="Times New Roman" w:eastAsia="Times New Roman" w:hint="default"/>
                            <w:sz w:val="20"/>
                            <w:szCs w:val="20"/>
                          </w:rPr>
                        </w:pPr>
                        <w:r>
                          <w:rPr>
                            <w:rFonts w:ascii="Times New Roman"/>
                            <w:sz w:val="20"/>
                          </w:rPr>
                          <w:t>7.61%</w:t>
                        </w:r>
                      </w:p>
                    </w:tc>
                    <w:tc>
                      <w:tcPr>
                        <w:tcW w:w="1036" w:type="dxa"/>
                        <w:vMerge w:val="restart"/>
                        <w:tcBorders>
                          <w:top w:val="single" w:sz="4" w:space="0" w:color="000000"/>
                          <w:left w:val="single" w:sz="4" w:space="0" w:color="000000"/>
                          <w:right w:val="single" w:sz="4" w:space="0" w:color="000000"/>
                        </w:tcBorders>
                      </w:tcPr>
                      <w:p>
                        <w:pPr>
                          <w:pStyle w:val="TableParagraph"/>
                          <w:spacing w:line="227" w:lineRule="exact"/>
                          <w:ind w:left="202" w:right="0"/>
                          <w:jc w:val="left"/>
                          <w:rPr>
                            <w:rFonts w:ascii="Times New Roman" w:hAnsi="Times New Roman" w:cs="Times New Roman" w:eastAsia="Times New Roman" w:hint="default"/>
                            <w:sz w:val="20"/>
                            <w:szCs w:val="20"/>
                          </w:rPr>
                        </w:pPr>
                        <w:r>
                          <w:rPr>
                            <w:rFonts w:ascii="Times New Roman"/>
                            <w:sz w:val="20"/>
                          </w:rPr>
                          <w:t>3,851,804</w:t>
                        </w:r>
                      </w:p>
                    </w:tc>
                    <w:tc>
                      <w:tcPr>
                        <w:tcW w:w="758" w:type="dxa"/>
                        <w:vMerge w:val="restart"/>
                        <w:tcBorders>
                          <w:top w:val="single" w:sz="4" w:space="0" w:color="000000"/>
                          <w:left w:val="single" w:sz="4" w:space="0" w:color="000000"/>
                          <w:right w:val="single" w:sz="4" w:space="0" w:color="000000"/>
                        </w:tcBorders>
                      </w:tcPr>
                      <w:p>
                        <w:pPr>
                          <w:pStyle w:val="TableParagraph"/>
                          <w:spacing w:line="227" w:lineRule="exact"/>
                          <w:ind w:left="208" w:right="0"/>
                          <w:jc w:val="left"/>
                          <w:rPr>
                            <w:rFonts w:ascii="Times New Roman" w:hAnsi="Times New Roman" w:cs="Times New Roman" w:eastAsia="Times New Roman" w:hint="default"/>
                            <w:sz w:val="20"/>
                            <w:szCs w:val="20"/>
                          </w:rPr>
                        </w:pPr>
                        <w:r>
                          <w:rPr>
                            <w:rFonts w:ascii="Times New Roman"/>
                            <w:sz w:val="20"/>
                          </w:rPr>
                          <w:t>4.69%</w:t>
                        </w:r>
                      </w:p>
                    </w:tc>
                    <w:tc>
                      <w:tcPr>
                        <w:tcW w:w="918" w:type="dxa"/>
                        <w:vMerge w:val="restart"/>
                        <w:tcBorders>
                          <w:top w:val="single" w:sz="4" w:space="0" w:color="000000"/>
                          <w:left w:val="single" w:sz="4" w:space="0" w:color="000000"/>
                          <w:right w:val="single" w:sz="4" w:space="0" w:color="000000"/>
                        </w:tcBorders>
                      </w:tcPr>
                      <w:p>
                        <w:pPr>
                          <w:pStyle w:val="TableParagraph"/>
                          <w:spacing w:line="227" w:lineRule="exact"/>
                          <w:ind w:left="369" w:right="0"/>
                          <w:jc w:val="left"/>
                          <w:rPr>
                            <w:rFonts w:ascii="Times New Roman" w:hAnsi="Times New Roman" w:cs="Times New Roman" w:eastAsia="Times New Roman" w:hint="default"/>
                            <w:sz w:val="20"/>
                            <w:szCs w:val="20"/>
                          </w:rPr>
                        </w:pPr>
                        <w:r>
                          <w:rPr>
                            <w:rFonts w:ascii="Times New Roman"/>
                            <w:sz w:val="20"/>
                          </w:rPr>
                          <w:t>2.92%</w:t>
                        </w:r>
                      </w:p>
                    </w:tc>
                    <w:tc>
                      <w:tcPr>
                        <w:tcW w:w="3111" w:type="dxa"/>
                        <w:vMerge w:val="restart"/>
                        <w:tcBorders>
                          <w:top w:val="single" w:sz="4" w:space="0" w:color="000000"/>
                          <w:left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4"/>
                            <w:sz w:val="20"/>
                            <w:szCs w:val="20"/>
                          </w:rPr>
                          <w:t>报告期内，公司加强对供应商支持</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付款方式上加大预付款</w:t>
                        </w:r>
                      </w:p>
                    </w:tc>
                  </w:tr>
                  <w:tr>
                    <w:trPr>
                      <w:trHeight w:val="398"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3111" w:type="dxa"/>
                        <w:vMerge/>
                        <w:tcBorders>
                          <w:left w:val="single" w:sz="4" w:space="0" w:color="000000"/>
                          <w:bottom w:val="single" w:sz="4" w:space="0" w:color="000000"/>
                          <w:right w:val="single" w:sz="4" w:space="0" w:color="000000"/>
                        </w:tcBorders>
                      </w:tcPr>
                      <w:p>
                        <w:pPr/>
                      </w:p>
                    </w:tc>
                  </w:tr>
                  <w:tr>
                    <w:trPr>
                      <w:trHeight w:val="265"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397" w:type="dxa"/>
                        <w:vMerge w:val="restart"/>
                        <w:tcBorders>
                          <w:top w:val="single" w:sz="4" w:space="0" w:color="000000"/>
                          <w:left w:val="single" w:sz="9" w:space="0" w:color="D2D2D2"/>
                          <w:right w:val="single" w:sz="4" w:space="0" w:color="000000"/>
                        </w:tcBorders>
                      </w:tcPr>
                      <w:p>
                        <w:pPr>
                          <w:pStyle w:val="TableParagraph"/>
                          <w:spacing w:line="228" w:lineRule="exact"/>
                          <w:ind w:left="558" w:right="0"/>
                          <w:jc w:val="left"/>
                          <w:rPr>
                            <w:rFonts w:ascii="Times New Roman" w:hAnsi="Times New Roman" w:cs="Times New Roman" w:eastAsia="Times New Roman" w:hint="default"/>
                            <w:sz w:val="20"/>
                            <w:szCs w:val="20"/>
                          </w:rPr>
                        </w:pPr>
                        <w:r>
                          <w:rPr>
                            <w:rFonts w:ascii="Times New Roman"/>
                            <w:sz w:val="20"/>
                          </w:rPr>
                          <w:t>1,586,676</w:t>
                        </w:r>
                      </w:p>
                    </w:tc>
                    <w:tc>
                      <w:tcPr>
                        <w:tcW w:w="1068" w:type="dxa"/>
                        <w:vMerge w:val="restart"/>
                        <w:tcBorders>
                          <w:top w:val="single" w:sz="4" w:space="0" w:color="000000"/>
                          <w:left w:val="single" w:sz="4" w:space="0" w:color="000000"/>
                          <w:right w:val="single" w:sz="4" w:space="0" w:color="000000"/>
                        </w:tcBorders>
                      </w:tcPr>
                      <w:p>
                        <w:pPr>
                          <w:pStyle w:val="TableParagraph"/>
                          <w:spacing w:line="228" w:lineRule="exact"/>
                          <w:ind w:left="519" w:right="0"/>
                          <w:jc w:val="left"/>
                          <w:rPr>
                            <w:rFonts w:ascii="Times New Roman" w:hAnsi="Times New Roman" w:cs="Times New Roman" w:eastAsia="Times New Roman" w:hint="default"/>
                            <w:sz w:val="20"/>
                            <w:szCs w:val="20"/>
                          </w:rPr>
                        </w:pPr>
                        <w:r>
                          <w:rPr>
                            <w:rFonts w:ascii="Times New Roman"/>
                            <w:sz w:val="20"/>
                          </w:rPr>
                          <w:t>1.80%</w:t>
                        </w:r>
                      </w:p>
                    </w:tc>
                    <w:tc>
                      <w:tcPr>
                        <w:tcW w:w="1036" w:type="dxa"/>
                        <w:vMerge w:val="restart"/>
                        <w:tcBorders>
                          <w:top w:val="single" w:sz="4" w:space="0" w:color="000000"/>
                          <w:left w:val="single" w:sz="4" w:space="0" w:color="000000"/>
                          <w:right w:val="single" w:sz="4" w:space="0" w:color="000000"/>
                        </w:tcBorders>
                      </w:tcPr>
                      <w:p>
                        <w:pPr>
                          <w:pStyle w:val="TableParagraph"/>
                          <w:spacing w:line="228" w:lineRule="exact"/>
                          <w:ind w:left="202" w:right="0"/>
                          <w:jc w:val="left"/>
                          <w:rPr>
                            <w:rFonts w:ascii="Times New Roman" w:hAnsi="Times New Roman" w:cs="Times New Roman" w:eastAsia="Times New Roman" w:hint="default"/>
                            <w:sz w:val="20"/>
                            <w:szCs w:val="20"/>
                          </w:rPr>
                        </w:pPr>
                        <w:r>
                          <w:rPr>
                            <w:rFonts w:ascii="Times New Roman"/>
                            <w:sz w:val="20"/>
                          </w:rPr>
                          <w:t>1,014,057</w:t>
                        </w:r>
                      </w:p>
                    </w:tc>
                    <w:tc>
                      <w:tcPr>
                        <w:tcW w:w="758" w:type="dxa"/>
                        <w:vMerge w:val="restart"/>
                        <w:tcBorders>
                          <w:top w:val="single" w:sz="4" w:space="0" w:color="000000"/>
                          <w:left w:val="single" w:sz="4" w:space="0" w:color="000000"/>
                          <w:right w:val="single" w:sz="4" w:space="0" w:color="000000"/>
                        </w:tcBorders>
                      </w:tcPr>
                      <w:p>
                        <w:pPr>
                          <w:pStyle w:val="TableParagraph"/>
                          <w:spacing w:line="228" w:lineRule="exact"/>
                          <w:ind w:left="208" w:right="0"/>
                          <w:jc w:val="left"/>
                          <w:rPr>
                            <w:rFonts w:ascii="Times New Roman" w:hAnsi="Times New Roman" w:cs="Times New Roman" w:eastAsia="Times New Roman" w:hint="default"/>
                            <w:sz w:val="20"/>
                            <w:szCs w:val="20"/>
                          </w:rPr>
                        </w:pPr>
                        <w:r>
                          <w:rPr>
                            <w:rFonts w:ascii="Times New Roman"/>
                            <w:sz w:val="20"/>
                          </w:rPr>
                          <w:t>1.23%</w:t>
                        </w:r>
                      </w:p>
                    </w:tc>
                    <w:tc>
                      <w:tcPr>
                        <w:tcW w:w="918" w:type="dxa"/>
                        <w:vMerge w:val="restart"/>
                        <w:tcBorders>
                          <w:top w:val="single" w:sz="4" w:space="0" w:color="000000"/>
                          <w:left w:val="single" w:sz="4" w:space="0" w:color="000000"/>
                          <w:right w:val="single" w:sz="4" w:space="0" w:color="000000"/>
                        </w:tcBorders>
                      </w:tcPr>
                      <w:p>
                        <w:pPr>
                          <w:pStyle w:val="TableParagraph"/>
                          <w:spacing w:line="228" w:lineRule="exact"/>
                          <w:ind w:left="369" w:right="0"/>
                          <w:jc w:val="left"/>
                          <w:rPr>
                            <w:rFonts w:ascii="Times New Roman" w:hAnsi="Times New Roman" w:cs="Times New Roman" w:eastAsia="Times New Roman" w:hint="default"/>
                            <w:sz w:val="20"/>
                            <w:szCs w:val="20"/>
                          </w:rPr>
                        </w:pPr>
                        <w:r>
                          <w:rPr>
                            <w:rFonts w:ascii="Times New Roman"/>
                            <w:sz w:val="20"/>
                          </w:rPr>
                          <w:t>0.57%</w:t>
                        </w:r>
                      </w:p>
                    </w:tc>
                    <w:tc>
                      <w:tcPr>
                        <w:tcW w:w="3111" w:type="dxa"/>
                        <w:vMerge w:val="restart"/>
                        <w:tcBorders>
                          <w:top w:val="single" w:sz="4" w:space="0" w:color="000000"/>
                          <w:left w:val="single" w:sz="4" w:space="0" w:color="000000"/>
                          <w:right w:val="single" w:sz="4" w:space="0" w:color="000000"/>
                        </w:tcBorders>
                      </w:tcPr>
                      <w:p>
                        <w:pPr>
                          <w:pStyle w:val="TableParagraph"/>
                          <w:spacing w:line="230" w:lineRule="exact"/>
                          <w:ind w:left="23" w:right="0"/>
                          <w:jc w:val="both"/>
                          <w:rPr>
                            <w:rFonts w:ascii="宋体" w:hAnsi="宋体" w:cs="宋体" w:eastAsia="宋体" w:hint="default"/>
                            <w:sz w:val="20"/>
                            <w:szCs w:val="20"/>
                          </w:rPr>
                        </w:pPr>
                        <w:r>
                          <w:rPr>
                            <w:rFonts w:ascii="宋体" w:hAnsi="宋体" w:cs="宋体" w:eastAsia="宋体" w:hint="default"/>
                            <w:spacing w:val="2"/>
                            <w:sz w:val="20"/>
                            <w:szCs w:val="20"/>
                          </w:rPr>
                          <w:t>报告期内公司加强对物业的招商运</w:t>
                        </w:r>
                      </w:p>
                      <w:p>
                        <w:pPr>
                          <w:pStyle w:val="TableParagraph"/>
                          <w:spacing w:line="260" w:lineRule="exact" w:before="24"/>
                          <w:ind w:left="23" w:right="23"/>
                          <w:jc w:val="both"/>
                          <w:rPr>
                            <w:rFonts w:ascii="宋体" w:hAnsi="宋体" w:cs="宋体" w:eastAsia="宋体" w:hint="default"/>
                            <w:sz w:val="20"/>
                            <w:szCs w:val="20"/>
                          </w:rPr>
                        </w:pPr>
                        <w:r>
                          <w:rPr>
                            <w:rFonts w:ascii="宋体" w:hAnsi="宋体" w:cs="宋体" w:eastAsia="宋体" w:hint="default"/>
                            <w:spacing w:val="2"/>
                            <w:sz w:val="20"/>
                            <w:szCs w:val="20"/>
                          </w:rPr>
                          <w:t>营，提高资产利用效率，使得自建</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
                            <w:sz w:val="20"/>
                            <w:szCs w:val="20"/>
                          </w:rPr>
                          <w:t>店在转固同时转租的面积增加，由</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此带来投资性房地产期末余额增加</w:t>
                        </w:r>
                      </w:p>
                    </w:tc>
                  </w:tr>
                  <w:tr>
                    <w:trPr>
                      <w:trHeight w:val="783"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3111" w:type="dxa"/>
                        <w:vMerge/>
                        <w:tcBorders>
                          <w:left w:val="single" w:sz="4" w:space="0" w:color="000000"/>
                          <w:bottom w:val="single" w:sz="4" w:space="0" w:color="000000"/>
                          <w:right w:val="single" w:sz="4" w:space="0" w:color="000000"/>
                        </w:tcBorders>
                      </w:tcPr>
                      <w:p>
                        <w:pPr/>
                      </w:p>
                    </w:tc>
                  </w:tr>
                  <w:tr>
                    <w:trPr>
                      <w:trHeight w:val="265"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397" w:type="dxa"/>
                        <w:vMerge w:val="restart"/>
                        <w:tcBorders>
                          <w:top w:val="single" w:sz="4" w:space="0" w:color="000000"/>
                          <w:left w:val="single" w:sz="9" w:space="0" w:color="D2D2D2"/>
                          <w:right w:val="single" w:sz="4" w:space="0" w:color="000000"/>
                        </w:tcBorders>
                      </w:tcPr>
                      <w:p>
                        <w:pPr>
                          <w:pStyle w:val="TableParagraph"/>
                          <w:spacing w:line="227" w:lineRule="exact"/>
                          <w:ind w:left="558" w:right="0"/>
                          <w:jc w:val="left"/>
                          <w:rPr>
                            <w:rFonts w:ascii="Times New Roman" w:hAnsi="Times New Roman" w:cs="Times New Roman" w:eastAsia="Times New Roman" w:hint="default"/>
                            <w:sz w:val="20"/>
                            <w:szCs w:val="20"/>
                          </w:rPr>
                        </w:pPr>
                        <w:r>
                          <w:rPr>
                            <w:rFonts w:ascii="Times New Roman"/>
                            <w:sz w:val="20"/>
                          </w:rPr>
                          <w:t>1,915,103</w:t>
                        </w:r>
                      </w:p>
                    </w:tc>
                    <w:tc>
                      <w:tcPr>
                        <w:tcW w:w="1068" w:type="dxa"/>
                        <w:vMerge w:val="restart"/>
                        <w:tcBorders>
                          <w:top w:val="single" w:sz="4" w:space="0" w:color="000000"/>
                          <w:left w:val="single" w:sz="4" w:space="0" w:color="000000"/>
                          <w:right w:val="single" w:sz="4" w:space="0" w:color="000000"/>
                        </w:tcBorders>
                      </w:tcPr>
                      <w:p>
                        <w:pPr>
                          <w:pStyle w:val="TableParagraph"/>
                          <w:spacing w:line="227" w:lineRule="exact"/>
                          <w:ind w:left="519" w:right="0"/>
                          <w:jc w:val="left"/>
                          <w:rPr>
                            <w:rFonts w:ascii="Times New Roman" w:hAnsi="Times New Roman" w:cs="Times New Roman" w:eastAsia="Times New Roman" w:hint="default"/>
                            <w:sz w:val="20"/>
                            <w:szCs w:val="20"/>
                          </w:rPr>
                        </w:pPr>
                        <w:r>
                          <w:rPr>
                            <w:rFonts w:ascii="Times New Roman"/>
                            <w:sz w:val="20"/>
                          </w:rPr>
                          <w:t>2.17%</w:t>
                        </w:r>
                      </w:p>
                    </w:tc>
                    <w:tc>
                      <w:tcPr>
                        <w:tcW w:w="1036" w:type="dxa"/>
                        <w:vMerge w:val="restart"/>
                        <w:tcBorders>
                          <w:top w:val="single" w:sz="4" w:space="0" w:color="000000"/>
                          <w:left w:val="single" w:sz="4" w:space="0" w:color="000000"/>
                          <w:right w:val="single" w:sz="4" w:space="0" w:color="000000"/>
                        </w:tcBorders>
                      </w:tcPr>
                      <w:p>
                        <w:pPr>
                          <w:pStyle w:val="TableParagraph"/>
                          <w:spacing w:line="227" w:lineRule="exact"/>
                          <w:ind w:left="202" w:right="0"/>
                          <w:jc w:val="left"/>
                          <w:rPr>
                            <w:rFonts w:ascii="Times New Roman" w:hAnsi="Times New Roman" w:cs="Times New Roman" w:eastAsia="Times New Roman" w:hint="default"/>
                            <w:sz w:val="20"/>
                            <w:szCs w:val="20"/>
                          </w:rPr>
                        </w:pPr>
                        <w:r>
                          <w:rPr>
                            <w:rFonts w:ascii="Times New Roman"/>
                            <w:sz w:val="20"/>
                          </w:rPr>
                          <w:t>3,230,834</w:t>
                        </w:r>
                      </w:p>
                    </w:tc>
                    <w:tc>
                      <w:tcPr>
                        <w:tcW w:w="758" w:type="dxa"/>
                        <w:vMerge w:val="restart"/>
                        <w:tcBorders>
                          <w:top w:val="single" w:sz="4" w:space="0" w:color="000000"/>
                          <w:left w:val="single" w:sz="4" w:space="0" w:color="000000"/>
                          <w:right w:val="single" w:sz="4" w:space="0" w:color="000000"/>
                        </w:tcBorders>
                      </w:tcPr>
                      <w:p>
                        <w:pPr>
                          <w:pStyle w:val="TableParagraph"/>
                          <w:spacing w:line="227" w:lineRule="exact"/>
                          <w:ind w:left="208" w:right="0"/>
                          <w:jc w:val="left"/>
                          <w:rPr>
                            <w:rFonts w:ascii="Times New Roman" w:hAnsi="Times New Roman" w:cs="Times New Roman" w:eastAsia="Times New Roman" w:hint="default"/>
                            <w:sz w:val="20"/>
                            <w:szCs w:val="20"/>
                          </w:rPr>
                        </w:pPr>
                        <w:r>
                          <w:rPr>
                            <w:rFonts w:ascii="Times New Roman"/>
                            <w:sz w:val="20"/>
                          </w:rPr>
                          <w:t>3.93%</w:t>
                        </w:r>
                      </w:p>
                    </w:tc>
                    <w:tc>
                      <w:tcPr>
                        <w:tcW w:w="918" w:type="dxa"/>
                        <w:vMerge w:val="restart"/>
                        <w:tcBorders>
                          <w:top w:val="single" w:sz="4" w:space="0" w:color="000000"/>
                          <w:left w:val="single" w:sz="4" w:space="0" w:color="000000"/>
                          <w:right w:val="single" w:sz="4" w:space="0" w:color="000000"/>
                        </w:tcBorders>
                      </w:tcPr>
                      <w:p>
                        <w:pPr>
                          <w:pStyle w:val="TableParagraph"/>
                          <w:spacing w:line="227" w:lineRule="exact"/>
                          <w:ind w:left="302" w:right="0"/>
                          <w:jc w:val="left"/>
                          <w:rPr>
                            <w:rFonts w:ascii="Times New Roman" w:hAnsi="Times New Roman" w:cs="Times New Roman" w:eastAsia="Times New Roman" w:hint="default"/>
                            <w:sz w:val="20"/>
                            <w:szCs w:val="20"/>
                          </w:rPr>
                        </w:pPr>
                        <w:r>
                          <w:rPr>
                            <w:rFonts w:ascii="Times New Roman"/>
                            <w:sz w:val="20"/>
                          </w:rPr>
                          <w:t>-1.76%</w:t>
                        </w:r>
                      </w:p>
                    </w:tc>
                    <w:tc>
                      <w:tcPr>
                        <w:tcW w:w="3111" w:type="dxa"/>
                        <w:vMerge w:val="restart"/>
                        <w:tcBorders>
                          <w:top w:val="single" w:sz="4" w:space="0" w:color="000000"/>
                          <w:left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pacing w:val="2"/>
                            <w:sz w:val="20"/>
                            <w:szCs w:val="20"/>
                          </w:rPr>
                          <w:t>报告期内公司物流基地、自建店完</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成转固</w:t>
                        </w:r>
                      </w:p>
                    </w:tc>
                  </w:tr>
                  <w:tr>
                    <w:trPr>
                      <w:trHeight w:val="264"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3111" w:type="dxa"/>
                        <w:vMerge/>
                        <w:tcBorders>
                          <w:left w:val="single" w:sz="4" w:space="0" w:color="000000"/>
                          <w:bottom w:val="single" w:sz="4" w:space="0" w:color="000000"/>
                          <w:right w:val="single" w:sz="4" w:space="0" w:color="000000"/>
                        </w:tcBorders>
                      </w:tcPr>
                      <w:p>
                        <w:pPr/>
                      </w:p>
                    </w:tc>
                  </w:tr>
                  <w:tr>
                    <w:trPr>
                      <w:trHeight w:val="528"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1" w:right="0"/>
                          <w:jc w:val="left"/>
                          <w:rPr>
                            <w:rFonts w:ascii="宋体" w:hAnsi="宋体" w:cs="宋体" w:eastAsia="宋体" w:hint="default"/>
                            <w:sz w:val="20"/>
                            <w:szCs w:val="20"/>
                          </w:rPr>
                        </w:pPr>
                        <w:r>
                          <w:rPr>
                            <w:rFonts w:ascii="宋体" w:hAnsi="宋体" w:cs="宋体" w:eastAsia="宋体" w:hint="default"/>
                            <w:sz w:val="20"/>
                            <w:szCs w:val="20"/>
                          </w:rPr>
                          <w:t>递</w:t>
                        </w:r>
                        <w:r>
                          <w:rPr>
                            <w:rFonts w:ascii="宋体" w:hAnsi="宋体" w:cs="宋体" w:eastAsia="宋体" w:hint="default"/>
                            <w:spacing w:val="-68"/>
                            <w:sz w:val="20"/>
                            <w:szCs w:val="20"/>
                          </w:rPr>
                          <w:t> </w:t>
                        </w:r>
                        <w:r>
                          <w:rPr>
                            <w:rFonts w:ascii="宋体" w:hAnsi="宋体" w:cs="宋体" w:eastAsia="宋体" w:hint="default"/>
                            <w:sz w:val="20"/>
                            <w:szCs w:val="20"/>
                          </w:rPr>
                          <w:t>延</w:t>
                        </w:r>
                        <w:r>
                          <w:rPr>
                            <w:rFonts w:ascii="宋体" w:hAnsi="宋体" w:cs="宋体" w:eastAsia="宋体" w:hint="default"/>
                            <w:spacing w:val="-68"/>
                            <w:sz w:val="20"/>
                            <w:szCs w:val="20"/>
                          </w:rPr>
                          <w:t> </w:t>
                        </w:r>
                        <w:r>
                          <w:rPr>
                            <w:rFonts w:ascii="宋体" w:hAnsi="宋体" w:cs="宋体" w:eastAsia="宋体" w:hint="default"/>
                            <w:sz w:val="20"/>
                            <w:szCs w:val="20"/>
                          </w:rPr>
                          <w:t>所</w:t>
                        </w:r>
                        <w:r>
                          <w:rPr>
                            <w:rFonts w:ascii="宋体" w:hAnsi="宋体" w:cs="宋体" w:eastAsia="宋体" w:hint="default"/>
                            <w:spacing w:val="-68"/>
                            <w:sz w:val="20"/>
                            <w:szCs w:val="20"/>
                          </w:rPr>
                          <w:t> </w:t>
                        </w:r>
                        <w:r>
                          <w:rPr>
                            <w:rFonts w:ascii="宋体" w:hAnsi="宋体" w:cs="宋体" w:eastAsia="宋体" w:hint="default"/>
                            <w:sz w:val="20"/>
                            <w:szCs w:val="20"/>
                          </w:rPr>
                          <w:t>得</w:t>
                        </w:r>
                        <w:r>
                          <w:rPr>
                            <w:rFonts w:ascii="宋体" w:hAnsi="宋体" w:cs="宋体" w:eastAsia="宋体" w:hint="default"/>
                            <w:spacing w:val="-69"/>
                            <w:sz w:val="20"/>
                            <w:szCs w:val="20"/>
                          </w:rPr>
                          <w:t> </w:t>
                        </w:r>
                        <w:r>
                          <w:rPr>
                            <w:rFonts w:ascii="宋体" w:hAnsi="宋体" w:cs="宋体" w:eastAsia="宋体" w:hint="default"/>
                            <w:sz w:val="20"/>
                            <w:szCs w:val="20"/>
                          </w:rPr>
                          <w:t>税</w:t>
                        </w:r>
                        <w:r>
                          <w:rPr>
                            <w:rFonts w:ascii="宋体" w:hAnsi="宋体" w:cs="宋体" w:eastAsia="宋体" w:hint="default"/>
                            <w:spacing w:val="-69"/>
                            <w:sz w:val="20"/>
                            <w:szCs w:val="20"/>
                          </w:rPr>
                          <w:t> </w:t>
                        </w:r>
                        <w:r>
                          <w:rPr>
                            <w:rFonts w:ascii="宋体" w:hAnsi="宋体" w:cs="宋体" w:eastAsia="宋体" w:hint="default"/>
                            <w:sz w:val="20"/>
                            <w:szCs w:val="20"/>
                          </w:rPr>
                          <w:t>资</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2,193,459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pacing w:val="-1"/>
                            <w:sz w:val="20"/>
                          </w:rPr>
                          <w:t>2.49%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1,664,361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z w:val="20"/>
                          </w:rPr>
                          <w:t>2.02%</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pacing w:val="-1"/>
                            <w:sz w:val="20"/>
                          </w:rPr>
                          <w:t>0.47%</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报告期内公司子公司亏损增加</w:t>
                        </w:r>
                      </w:p>
                    </w:tc>
                  </w:tr>
                  <w:tr>
                    <w:trPr>
                      <w:trHeight w:val="270"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28" w:lineRule="exact"/>
                          <w:ind w:right="20"/>
                          <w:jc w:val="right"/>
                          <w:rPr>
                            <w:rFonts w:ascii="Times New Roman" w:hAnsi="Times New Roman" w:cs="Times New Roman" w:eastAsia="Times New Roman" w:hint="default"/>
                            <w:sz w:val="20"/>
                            <w:szCs w:val="20"/>
                          </w:rPr>
                        </w:pPr>
                        <w:r>
                          <w:rPr>
                            <w:rFonts w:ascii="Times New Roman"/>
                            <w:spacing w:val="-1"/>
                            <w:sz w:val="20"/>
                          </w:rPr>
                          <w:t>3,225,641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9"/>
                          <w:jc w:val="right"/>
                          <w:rPr>
                            <w:rFonts w:ascii="Times New Roman" w:hAnsi="Times New Roman" w:cs="Times New Roman" w:eastAsia="Times New Roman" w:hint="default"/>
                            <w:sz w:val="20"/>
                            <w:szCs w:val="20"/>
                          </w:rPr>
                        </w:pPr>
                        <w:r>
                          <w:rPr>
                            <w:rFonts w:ascii="Times New Roman"/>
                            <w:spacing w:val="-1"/>
                            <w:sz w:val="20"/>
                          </w:rPr>
                          <w:t>3.66%</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0"/>
                          <w:jc w:val="right"/>
                          <w:rPr>
                            <w:rFonts w:ascii="Times New Roman" w:hAnsi="Times New Roman" w:cs="Times New Roman" w:eastAsia="Times New Roman" w:hint="default"/>
                            <w:sz w:val="20"/>
                            <w:szCs w:val="20"/>
                          </w:rPr>
                        </w:pPr>
                        <w:r>
                          <w:rPr>
                            <w:rFonts w:ascii="Times New Roman"/>
                            <w:spacing w:val="-1"/>
                            <w:sz w:val="20"/>
                          </w:rPr>
                          <w:t>1,836,529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0"/>
                          <w:jc w:val="right"/>
                          <w:rPr>
                            <w:rFonts w:ascii="Times New Roman" w:hAnsi="Times New Roman" w:cs="Times New Roman" w:eastAsia="Times New Roman" w:hint="default"/>
                            <w:sz w:val="20"/>
                            <w:szCs w:val="20"/>
                          </w:rPr>
                        </w:pPr>
                        <w:r>
                          <w:rPr>
                            <w:rFonts w:ascii="Times New Roman"/>
                            <w:sz w:val="20"/>
                          </w:rPr>
                          <w:t>2.23%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9"/>
                          <w:jc w:val="right"/>
                          <w:rPr>
                            <w:rFonts w:ascii="Times New Roman" w:hAnsi="Times New Roman" w:cs="Times New Roman" w:eastAsia="Times New Roman" w:hint="default"/>
                            <w:sz w:val="20"/>
                            <w:szCs w:val="20"/>
                          </w:rPr>
                        </w:pPr>
                        <w:r>
                          <w:rPr>
                            <w:rFonts w:ascii="Times New Roman"/>
                            <w:spacing w:val="-1"/>
                            <w:sz w:val="20"/>
                          </w:rPr>
                          <w:t>1.43%</w:t>
                        </w:r>
                      </w:p>
                    </w:tc>
                    <w:tc>
                      <w:tcPr>
                        <w:tcW w:w="3111" w:type="dxa"/>
                        <w:vMerge w:val="restart"/>
                        <w:tcBorders>
                          <w:top w:val="single" w:sz="4" w:space="0" w:color="000000"/>
                          <w:left w:val="single" w:sz="4" w:space="0" w:color="000000"/>
                          <w:right w:val="single" w:sz="4" w:space="0" w:color="000000"/>
                        </w:tcBorders>
                      </w:tcPr>
                      <w:p>
                        <w:pPr>
                          <w:pStyle w:val="TableParagraph"/>
                          <w:spacing w:line="237" w:lineRule="exact"/>
                          <w:ind w:left="23" w:right="0"/>
                          <w:jc w:val="both"/>
                          <w:rPr>
                            <w:rFonts w:ascii="宋体" w:hAnsi="宋体" w:cs="宋体" w:eastAsia="宋体" w:hint="default"/>
                            <w:sz w:val="20"/>
                            <w:szCs w:val="20"/>
                          </w:rPr>
                        </w:pPr>
                        <w:r>
                          <w:rPr>
                            <w:rFonts w:ascii="宋体" w:hAnsi="宋体" w:cs="宋体" w:eastAsia="宋体" w:hint="default"/>
                            <w:sz w:val="20"/>
                            <w:szCs w:val="20"/>
                          </w:rPr>
                          <w:t>公司为战略投资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申请并购贷</w:t>
                        </w:r>
                      </w:p>
                      <w:p>
                        <w:pPr>
                          <w:pStyle w:val="TableParagraph"/>
                          <w:spacing w:line="260" w:lineRule="exact" w:before="16"/>
                          <w:ind w:left="23" w:right="19"/>
                          <w:jc w:val="both"/>
                          <w:rPr>
                            <w:rFonts w:ascii="宋体" w:hAnsi="宋体" w:cs="宋体" w:eastAsia="宋体" w:hint="default"/>
                            <w:sz w:val="20"/>
                            <w:szCs w:val="20"/>
                          </w:rPr>
                        </w:pPr>
                        <w:r>
                          <w:rPr>
                            <w:rFonts w:ascii="宋体" w:hAnsi="宋体" w:cs="宋体" w:eastAsia="宋体" w:hint="default"/>
                            <w:sz w:val="20"/>
                            <w:szCs w:val="20"/>
                          </w:rPr>
                          <w:t>款，报告期内公司将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股权进</w:t>
                        </w:r>
                        <w:r>
                          <w:rPr>
                            <w:rFonts w:ascii="宋体" w:hAnsi="宋体" w:cs="宋体" w:eastAsia="宋体" w:hint="default"/>
                            <w:w w:val="100"/>
                            <w:sz w:val="20"/>
                            <w:szCs w:val="20"/>
                          </w:rPr>
                          <w:t> </w:t>
                        </w:r>
                        <w:r>
                          <w:rPr>
                            <w:rFonts w:ascii="宋体" w:hAnsi="宋体" w:cs="宋体" w:eastAsia="宋体" w:hint="default"/>
                            <w:spacing w:val="2"/>
                            <w:sz w:val="20"/>
                            <w:szCs w:val="20"/>
                          </w:rPr>
                          <w:t>行转让，依据借款协议安排，将其</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
                            <w:sz w:val="20"/>
                            <w:szCs w:val="20"/>
                          </w:rPr>
                          <w:t>由长期借款、一年内到期的非流动</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负债科目重分类至短期借款。</w:t>
                        </w:r>
                      </w:p>
                    </w:tc>
                  </w:tr>
                  <w:tr>
                    <w:trPr>
                      <w:trHeight w:val="528"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1" w:right="0"/>
                          <w:jc w:val="left"/>
                          <w:rPr>
                            <w:rFonts w:ascii="宋体" w:hAnsi="宋体" w:cs="宋体" w:eastAsia="宋体" w:hint="default"/>
                            <w:sz w:val="20"/>
                            <w:szCs w:val="20"/>
                          </w:rPr>
                        </w:pPr>
                        <w:r>
                          <w:rPr>
                            <w:rFonts w:ascii="宋体" w:hAnsi="宋体" w:cs="宋体" w:eastAsia="宋体" w:hint="default"/>
                            <w:sz w:val="20"/>
                            <w:szCs w:val="20"/>
                          </w:rPr>
                          <w:t>一年内到期的</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144,393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pacing w:val="-1"/>
                            <w:sz w:val="20"/>
                          </w:rPr>
                          <w:t>0.16%</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217,187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z w:val="20"/>
                          </w:rPr>
                          <w:t>0.26%</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pacing w:val="-1"/>
                            <w:sz w:val="20"/>
                          </w:rPr>
                          <w:t>-0.10%</w:t>
                        </w:r>
                      </w:p>
                    </w:tc>
                    <w:tc>
                      <w:tcPr>
                        <w:tcW w:w="3111" w:type="dxa"/>
                        <w:vMerge/>
                        <w:tcBorders>
                          <w:left w:val="single" w:sz="4" w:space="0" w:color="000000"/>
                          <w:right w:val="single" w:sz="4" w:space="0" w:color="000000"/>
                        </w:tcBorders>
                      </w:tcPr>
                      <w:p>
                        <w:pPr/>
                      </w:p>
                    </w:tc>
                  </w:tr>
                  <w:tr>
                    <w:trPr>
                      <w:trHeight w:val="265"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397" w:type="dxa"/>
                        <w:vMerge w:val="restart"/>
                        <w:tcBorders>
                          <w:top w:val="single" w:sz="4" w:space="0" w:color="000000"/>
                          <w:left w:val="single" w:sz="9" w:space="0" w:color="D2D2D2"/>
                          <w:right w:val="single" w:sz="4" w:space="0" w:color="000000"/>
                        </w:tcBorders>
                      </w:tcPr>
                      <w:p>
                        <w:pPr>
                          <w:pStyle w:val="TableParagraph"/>
                          <w:spacing w:line="228" w:lineRule="exact"/>
                          <w:ind w:left="708" w:right="0"/>
                          <w:jc w:val="left"/>
                          <w:rPr>
                            <w:rFonts w:ascii="Times New Roman" w:hAnsi="Times New Roman" w:cs="Times New Roman" w:eastAsia="Times New Roman" w:hint="default"/>
                            <w:sz w:val="20"/>
                            <w:szCs w:val="20"/>
                          </w:rPr>
                        </w:pPr>
                        <w:r>
                          <w:rPr>
                            <w:rFonts w:ascii="Times New Roman"/>
                            <w:sz w:val="20"/>
                          </w:rPr>
                          <w:t>357,918</w:t>
                        </w:r>
                      </w:p>
                    </w:tc>
                    <w:tc>
                      <w:tcPr>
                        <w:tcW w:w="1068" w:type="dxa"/>
                        <w:vMerge w:val="restart"/>
                        <w:tcBorders>
                          <w:top w:val="single" w:sz="4" w:space="0" w:color="000000"/>
                          <w:left w:val="single" w:sz="4" w:space="0" w:color="000000"/>
                          <w:right w:val="single" w:sz="4" w:space="0" w:color="000000"/>
                        </w:tcBorders>
                      </w:tcPr>
                      <w:p>
                        <w:pPr>
                          <w:pStyle w:val="TableParagraph"/>
                          <w:spacing w:line="228" w:lineRule="exact"/>
                          <w:ind w:left="519" w:right="0"/>
                          <w:jc w:val="left"/>
                          <w:rPr>
                            <w:rFonts w:ascii="Times New Roman" w:hAnsi="Times New Roman" w:cs="Times New Roman" w:eastAsia="Times New Roman" w:hint="default"/>
                            <w:sz w:val="20"/>
                            <w:szCs w:val="20"/>
                          </w:rPr>
                        </w:pPr>
                        <w:r>
                          <w:rPr>
                            <w:rFonts w:ascii="Times New Roman"/>
                            <w:sz w:val="20"/>
                          </w:rPr>
                          <w:t>0.41%</w:t>
                        </w:r>
                      </w:p>
                    </w:tc>
                    <w:tc>
                      <w:tcPr>
                        <w:tcW w:w="1036" w:type="dxa"/>
                        <w:vMerge w:val="restart"/>
                        <w:tcBorders>
                          <w:top w:val="single" w:sz="4" w:space="0" w:color="000000"/>
                          <w:left w:val="single" w:sz="4" w:space="0" w:color="000000"/>
                          <w:right w:val="single" w:sz="4" w:space="0" w:color="000000"/>
                        </w:tcBorders>
                      </w:tcPr>
                      <w:p>
                        <w:pPr>
                          <w:pStyle w:val="TableParagraph"/>
                          <w:spacing w:line="228" w:lineRule="exact"/>
                          <w:ind w:left="352" w:right="0"/>
                          <w:jc w:val="left"/>
                          <w:rPr>
                            <w:rFonts w:ascii="Times New Roman" w:hAnsi="Times New Roman" w:cs="Times New Roman" w:eastAsia="Times New Roman" w:hint="default"/>
                            <w:sz w:val="20"/>
                            <w:szCs w:val="20"/>
                          </w:rPr>
                        </w:pPr>
                        <w:r>
                          <w:rPr>
                            <w:rFonts w:ascii="Times New Roman"/>
                            <w:sz w:val="20"/>
                          </w:rPr>
                          <w:t>914,214</w:t>
                        </w:r>
                      </w:p>
                    </w:tc>
                    <w:tc>
                      <w:tcPr>
                        <w:tcW w:w="758" w:type="dxa"/>
                        <w:vMerge w:val="restart"/>
                        <w:tcBorders>
                          <w:top w:val="single" w:sz="4" w:space="0" w:color="000000"/>
                          <w:left w:val="single" w:sz="4" w:space="0" w:color="000000"/>
                          <w:right w:val="single" w:sz="4" w:space="0" w:color="000000"/>
                        </w:tcBorders>
                      </w:tcPr>
                      <w:p>
                        <w:pPr>
                          <w:pStyle w:val="TableParagraph"/>
                          <w:spacing w:line="228" w:lineRule="exact"/>
                          <w:ind w:left="216" w:right="0"/>
                          <w:jc w:val="left"/>
                          <w:rPr>
                            <w:rFonts w:ascii="Times New Roman" w:hAnsi="Times New Roman" w:cs="Times New Roman" w:eastAsia="Times New Roman" w:hint="default"/>
                            <w:sz w:val="20"/>
                            <w:szCs w:val="20"/>
                          </w:rPr>
                        </w:pPr>
                        <w:r>
                          <w:rPr>
                            <w:rFonts w:ascii="Times New Roman"/>
                            <w:sz w:val="20"/>
                          </w:rPr>
                          <w:t>1.11%</w:t>
                        </w:r>
                      </w:p>
                    </w:tc>
                    <w:tc>
                      <w:tcPr>
                        <w:tcW w:w="918" w:type="dxa"/>
                        <w:vMerge w:val="restart"/>
                        <w:tcBorders>
                          <w:top w:val="single" w:sz="4" w:space="0" w:color="000000"/>
                          <w:left w:val="single" w:sz="4" w:space="0" w:color="000000"/>
                          <w:right w:val="single" w:sz="4" w:space="0" w:color="000000"/>
                        </w:tcBorders>
                      </w:tcPr>
                      <w:p>
                        <w:pPr>
                          <w:pStyle w:val="TableParagraph"/>
                          <w:spacing w:line="228" w:lineRule="exact"/>
                          <w:ind w:left="302" w:right="0"/>
                          <w:jc w:val="left"/>
                          <w:rPr>
                            <w:rFonts w:ascii="Times New Roman" w:hAnsi="Times New Roman" w:cs="Times New Roman" w:eastAsia="Times New Roman" w:hint="default"/>
                            <w:sz w:val="20"/>
                            <w:szCs w:val="20"/>
                          </w:rPr>
                        </w:pPr>
                        <w:r>
                          <w:rPr>
                            <w:rFonts w:ascii="Times New Roman"/>
                            <w:sz w:val="20"/>
                          </w:rPr>
                          <w:t>-0.70%</w:t>
                        </w:r>
                      </w:p>
                    </w:tc>
                    <w:tc>
                      <w:tcPr>
                        <w:tcW w:w="3111" w:type="dxa"/>
                        <w:vMerge/>
                        <w:tcBorders>
                          <w:left w:val="single" w:sz="4" w:space="0" w:color="000000"/>
                          <w:right w:val="single" w:sz="4" w:space="0" w:color="000000"/>
                        </w:tcBorders>
                      </w:tcPr>
                      <w:p>
                        <w:pPr/>
                      </w:p>
                    </w:tc>
                  </w:tr>
                  <w:tr>
                    <w:trPr>
                      <w:trHeight w:val="244"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3111" w:type="dxa"/>
                        <w:vMerge/>
                        <w:tcBorders>
                          <w:left w:val="single" w:sz="4" w:space="0" w:color="000000"/>
                          <w:bottom w:val="single" w:sz="4" w:space="0" w:color="000000"/>
                          <w:right w:val="single" w:sz="4" w:space="0" w:color="000000"/>
                        </w:tcBorders>
                      </w:tcPr>
                      <w:p>
                        <w:pPr/>
                      </w:p>
                    </w:tc>
                  </w:tr>
                  <w:tr>
                    <w:trPr>
                      <w:trHeight w:val="270"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28" w:lineRule="exact"/>
                          <w:ind w:right="20"/>
                          <w:jc w:val="right"/>
                          <w:rPr>
                            <w:rFonts w:ascii="Times New Roman" w:hAnsi="Times New Roman" w:cs="Times New Roman" w:eastAsia="Times New Roman" w:hint="default"/>
                            <w:sz w:val="20"/>
                            <w:szCs w:val="20"/>
                          </w:rPr>
                        </w:pPr>
                        <w:r>
                          <w:rPr>
                            <w:rFonts w:ascii="Times New Roman"/>
                            <w:spacing w:val="-1"/>
                            <w:sz w:val="20"/>
                          </w:rPr>
                          <w:t>219,796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9"/>
                          <w:jc w:val="right"/>
                          <w:rPr>
                            <w:rFonts w:ascii="Times New Roman" w:hAnsi="Times New Roman" w:cs="Times New Roman" w:eastAsia="Times New Roman" w:hint="default"/>
                            <w:sz w:val="20"/>
                            <w:szCs w:val="20"/>
                          </w:rPr>
                        </w:pPr>
                        <w:r>
                          <w:rPr>
                            <w:rFonts w:ascii="Times New Roman"/>
                            <w:sz w:val="20"/>
                          </w:rPr>
                          <w:t>0.25%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0"/>
                          <w:jc w:val="right"/>
                          <w:rPr>
                            <w:rFonts w:ascii="Times New Roman" w:hAnsi="Times New Roman" w:cs="Times New Roman" w:eastAsia="Times New Roman" w:hint="default"/>
                            <w:sz w:val="20"/>
                            <w:szCs w:val="20"/>
                          </w:rPr>
                        </w:pPr>
                        <w:r>
                          <w:rPr>
                            <w:rFonts w:ascii="Times New Roman"/>
                            <w:spacing w:val="-1"/>
                            <w:sz w:val="20"/>
                          </w:rPr>
                          <w:t>1,346,853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0"/>
                          <w:jc w:val="right"/>
                          <w:rPr>
                            <w:rFonts w:ascii="Times New Roman" w:hAnsi="Times New Roman" w:cs="Times New Roman" w:eastAsia="Times New Roman" w:hint="default"/>
                            <w:sz w:val="20"/>
                            <w:szCs w:val="20"/>
                          </w:rPr>
                        </w:pPr>
                        <w:r>
                          <w:rPr>
                            <w:rFonts w:ascii="Times New Roman"/>
                            <w:sz w:val="20"/>
                          </w:rPr>
                          <w:t>1.64%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9"/>
                          <w:jc w:val="right"/>
                          <w:rPr>
                            <w:rFonts w:ascii="Times New Roman" w:hAnsi="Times New Roman" w:cs="Times New Roman" w:eastAsia="Times New Roman" w:hint="default"/>
                            <w:sz w:val="20"/>
                            <w:szCs w:val="20"/>
                          </w:rPr>
                        </w:pPr>
                        <w:r>
                          <w:rPr>
                            <w:rFonts w:ascii="Times New Roman"/>
                            <w:spacing w:val="-1"/>
                            <w:sz w:val="20"/>
                          </w:rPr>
                          <w:t>-1.39%</w:t>
                        </w:r>
                      </w:p>
                    </w:tc>
                    <w:tc>
                      <w:tcPr>
                        <w:tcW w:w="3111" w:type="dxa"/>
                        <w:vMerge w:val="restart"/>
                        <w:tcBorders>
                          <w:top w:val="single" w:sz="4" w:space="0" w:color="000000"/>
                          <w:left w:val="single" w:sz="4" w:space="0" w:color="000000"/>
                          <w:right w:val="single" w:sz="4" w:space="0" w:color="000000"/>
                        </w:tcBorders>
                      </w:tcPr>
                      <w:p>
                        <w:pPr>
                          <w:pStyle w:val="TableParagraph"/>
                          <w:spacing w:line="237" w:lineRule="exact"/>
                          <w:ind w:left="23" w:right="0"/>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pacing w:val="13"/>
                            <w:sz w:val="20"/>
                            <w:szCs w:val="20"/>
                          </w:rPr>
                          <w:t>年末，公司支付受让</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PPTV</w:t>
                        </w:r>
                      </w:p>
                      <w:p>
                        <w:pPr>
                          <w:pStyle w:val="TableParagraph"/>
                          <w:spacing w:line="260" w:lineRule="exact" w:before="16"/>
                          <w:ind w:left="23" w:right="19"/>
                          <w:jc w:val="both"/>
                          <w:rPr>
                            <w:rFonts w:ascii="宋体" w:hAnsi="宋体" w:cs="宋体" w:eastAsia="宋体" w:hint="default"/>
                            <w:sz w:val="20"/>
                            <w:szCs w:val="20"/>
                          </w:rPr>
                        </w:pPr>
                        <w:r>
                          <w:rPr>
                            <w:rFonts w:ascii="Times New Roman" w:hAnsi="Times New Roman" w:cs="Times New Roman" w:eastAsia="Times New Roman" w:hint="default"/>
                            <w:sz w:val="20"/>
                            <w:szCs w:val="20"/>
                          </w:rPr>
                          <w:t>21.28%</w:t>
                        </w:r>
                        <w:r>
                          <w:rPr>
                            <w:rFonts w:ascii="宋体" w:hAnsi="宋体" w:cs="宋体" w:eastAsia="宋体" w:hint="default"/>
                            <w:sz w:val="20"/>
                            <w:szCs w:val="20"/>
                          </w:rPr>
                          <w:t>股权对价款，</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年实施完</w:t>
                        </w:r>
                        <w:r>
                          <w:rPr>
                            <w:rFonts w:ascii="宋体" w:hAnsi="宋体" w:cs="宋体" w:eastAsia="宋体" w:hint="default"/>
                            <w:w w:val="100"/>
                            <w:sz w:val="20"/>
                            <w:szCs w:val="20"/>
                          </w:rPr>
                          <w:t> </w:t>
                        </w:r>
                        <w:r>
                          <w:rPr>
                            <w:rFonts w:ascii="宋体" w:hAnsi="宋体" w:cs="宋体" w:eastAsia="宋体" w:hint="default"/>
                            <w:sz w:val="20"/>
                            <w:szCs w:val="20"/>
                          </w:rPr>
                          <w:t>成股权受让，并完成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非同一</w:t>
                        </w:r>
                        <w:r>
                          <w:rPr>
                            <w:rFonts w:ascii="宋体" w:hAnsi="宋体" w:cs="宋体" w:eastAsia="宋体" w:hint="default"/>
                            <w:w w:val="100"/>
                            <w:sz w:val="20"/>
                            <w:szCs w:val="20"/>
                          </w:rPr>
                          <w:t> </w:t>
                        </w:r>
                        <w:r>
                          <w:rPr>
                            <w:rFonts w:ascii="宋体" w:hAnsi="宋体" w:cs="宋体" w:eastAsia="宋体" w:hint="default"/>
                            <w:spacing w:val="2"/>
                            <w:sz w:val="20"/>
                            <w:szCs w:val="20"/>
                          </w:rPr>
                          <w:t>控制下的企业合并，将其由联营企</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
                            <w:sz w:val="20"/>
                            <w:szCs w:val="20"/>
                          </w:rPr>
                          <w:t>业转入子公司核算，由此带来相关</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科目余额发生变化</w:t>
                        </w:r>
                      </w:p>
                    </w:tc>
                  </w:tr>
                  <w:tr>
                    <w:trPr>
                      <w:trHeight w:val="529"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1" w:right="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68"/>
                            <w:sz w:val="20"/>
                            <w:szCs w:val="20"/>
                          </w:rPr>
                          <w:t> </w:t>
                        </w:r>
                        <w:r>
                          <w:rPr>
                            <w:rFonts w:ascii="宋体" w:hAnsi="宋体" w:cs="宋体" w:eastAsia="宋体" w:hint="default"/>
                            <w:sz w:val="20"/>
                            <w:szCs w:val="20"/>
                          </w:rPr>
                          <w:t>他</w:t>
                        </w:r>
                        <w:r>
                          <w:rPr>
                            <w:rFonts w:ascii="宋体" w:hAnsi="宋体" w:cs="宋体" w:eastAsia="宋体" w:hint="default"/>
                            <w:spacing w:val="-68"/>
                            <w:sz w:val="20"/>
                            <w:szCs w:val="20"/>
                          </w:rPr>
                          <w:t> </w:t>
                        </w:r>
                        <w:r>
                          <w:rPr>
                            <w:rFonts w:ascii="宋体" w:hAnsi="宋体" w:cs="宋体" w:eastAsia="宋体" w:hint="default"/>
                            <w:sz w:val="20"/>
                            <w:szCs w:val="20"/>
                          </w:rPr>
                          <w:t>非</w:t>
                        </w:r>
                        <w:r>
                          <w:rPr>
                            <w:rFonts w:ascii="宋体" w:hAnsi="宋体" w:cs="宋体" w:eastAsia="宋体" w:hint="default"/>
                            <w:spacing w:val="-68"/>
                            <w:sz w:val="20"/>
                            <w:szCs w:val="20"/>
                          </w:rPr>
                          <w:t> </w:t>
                        </w:r>
                        <w:r>
                          <w:rPr>
                            <w:rFonts w:ascii="宋体" w:hAnsi="宋体" w:cs="宋体" w:eastAsia="宋体" w:hint="default"/>
                            <w:sz w:val="20"/>
                            <w:szCs w:val="20"/>
                          </w:rPr>
                          <w:t>流</w:t>
                        </w:r>
                        <w:r>
                          <w:rPr>
                            <w:rFonts w:ascii="宋体" w:hAnsi="宋体" w:cs="宋体" w:eastAsia="宋体" w:hint="default"/>
                            <w:spacing w:val="-69"/>
                            <w:sz w:val="20"/>
                            <w:szCs w:val="20"/>
                          </w:rPr>
                          <w:t> </w:t>
                        </w:r>
                        <w:r>
                          <w:rPr>
                            <w:rFonts w:ascii="宋体" w:hAnsi="宋体" w:cs="宋体" w:eastAsia="宋体" w:hint="default"/>
                            <w:sz w:val="20"/>
                            <w:szCs w:val="20"/>
                          </w:rPr>
                          <w:t>动</w:t>
                        </w:r>
                        <w:r>
                          <w:rPr>
                            <w:rFonts w:ascii="宋体" w:hAnsi="宋体" w:cs="宋体" w:eastAsia="宋体" w:hint="default"/>
                            <w:spacing w:val="-69"/>
                            <w:sz w:val="20"/>
                            <w:szCs w:val="20"/>
                          </w:rPr>
                          <w:t> </w:t>
                        </w:r>
                        <w:r>
                          <w:rPr>
                            <w:rFonts w:ascii="宋体" w:hAnsi="宋体" w:cs="宋体" w:eastAsia="宋体" w:hint="default"/>
                            <w:sz w:val="20"/>
                            <w:szCs w:val="20"/>
                          </w:rPr>
                          <w:t>资</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762,761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z w:val="20"/>
                          </w:rPr>
                          <w:t>0.87%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1,289,284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z w:val="20"/>
                          </w:rPr>
                          <w:t>1.57%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pacing w:val="-1"/>
                            <w:sz w:val="20"/>
                          </w:rPr>
                          <w:t>-0.70%</w:t>
                        </w:r>
                      </w:p>
                    </w:tc>
                    <w:tc>
                      <w:tcPr>
                        <w:tcW w:w="3111" w:type="dxa"/>
                        <w:vMerge/>
                        <w:tcBorders>
                          <w:left w:val="single" w:sz="4" w:space="0" w:color="000000"/>
                          <w:right w:val="single" w:sz="4" w:space="0" w:color="000000"/>
                        </w:tcBorders>
                      </w:tcPr>
                      <w:p>
                        <w:pPr/>
                      </w:p>
                    </w:tc>
                  </w:tr>
                  <w:tr>
                    <w:trPr>
                      <w:trHeight w:val="104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1" w:right="0"/>
                          <w:jc w:val="both"/>
                          <w:rPr>
                            <w:rFonts w:ascii="宋体" w:hAnsi="宋体" w:cs="宋体" w:eastAsia="宋体" w:hint="default"/>
                            <w:sz w:val="20"/>
                            <w:szCs w:val="20"/>
                          </w:rPr>
                        </w:pPr>
                        <w:r>
                          <w:rPr>
                            <w:rFonts w:ascii="宋体" w:hAnsi="宋体" w:cs="宋体" w:eastAsia="宋体" w:hint="default"/>
                            <w:sz w:val="20"/>
                            <w:szCs w:val="20"/>
                          </w:rPr>
                          <w:t>以</w:t>
                        </w:r>
                        <w:r>
                          <w:rPr>
                            <w:rFonts w:ascii="宋体" w:hAnsi="宋体" w:cs="宋体" w:eastAsia="宋体" w:hint="default"/>
                            <w:spacing w:val="-68"/>
                            <w:sz w:val="20"/>
                            <w:szCs w:val="20"/>
                          </w:rPr>
                          <w:t> </w:t>
                        </w:r>
                        <w:r>
                          <w:rPr>
                            <w:rFonts w:ascii="宋体" w:hAnsi="宋体" w:cs="宋体" w:eastAsia="宋体" w:hint="default"/>
                            <w:sz w:val="20"/>
                            <w:szCs w:val="20"/>
                          </w:rPr>
                          <w:t>公</w:t>
                        </w:r>
                        <w:r>
                          <w:rPr>
                            <w:rFonts w:ascii="宋体" w:hAnsi="宋体" w:cs="宋体" w:eastAsia="宋体" w:hint="default"/>
                            <w:spacing w:val="-68"/>
                            <w:sz w:val="20"/>
                            <w:szCs w:val="20"/>
                          </w:rPr>
                          <w:t> </w:t>
                        </w:r>
                        <w:r>
                          <w:rPr>
                            <w:rFonts w:ascii="宋体" w:hAnsi="宋体" w:cs="宋体" w:eastAsia="宋体" w:hint="default"/>
                            <w:sz w:val="20"/>
                            <w:szCs w:val="20"/>
                          </w:rPr>
                          <w:t>允</w:t>
                        </w:r>
                        <w:r>
                          <w:rPr>
                            <w:rFonts w:ascii="宋体" w:hAnsi="宋体" w:cs="宋体" w:eastAsia="宋体" w:hint="default"/>
                            <w:spacing w:val="-68"/>
                            <w:sz w:val="20"/>
                            <w:szCs w:val="20"/>
                          </w:rPr>
                          <w:t> </w:t>
                        </w:r>
                        <w:r>
                          <w:rPr>
                            <w:rFonts w:ascii="宋体" w:hAnsi="宋体" w:cs="宋体" w:eastAsia="宋体" w:hint="default"/>
                            <w:sz w:val="20"/>
                            <w:szCs w:val="20"/>
                          </w:rPr>
                          <w:t>价</w:t>
                        </w:r>
                        <w:r>
                          <w:rPr>
                            <w:rFonts w:ascii="宋体" w:hAnsi="宋体" w:cs="宋体" w:eastAsia="宋体" w:hint="default"/>
                            <w:spacing w:val="-69"/>
                            <w:sz w:val="20"/>
                            <w:szCs w:val="20"/>
                          </w:rPr>
                          <w:t> </w:t>
                        </w:r>
                        <w:r>
                          <w:rPr>
                            <w:rFonts w:ascii="宋体" w:hAnsi="宋体" w:cs="宋体" w:eastAsia="宋体" w:hint="default"/>
                            <w:sz w:val="20"/>
                            <w:szCs w:val="20"/>
                          </w:rPr>
                          <w:t>值</w:t>
                        </w:r>
                        <w:r>
                          <w:rPr>
                            <w:rFonts w:ascii="宋体" w:hAnsi="宋体" w:cs="宋体" w:eastAsia="宋体" w:hint="default"/>
                            <w:spacing w:val="-69"/>
                            <w:sz w:val="20"/>
                            <w:szCs w:val="20"/>
                          </w:rPr>
                          <w:t> </w:t>
                        </w:r>
                        <w:r>
                          <w:rPr>
                            <w:rFonts w:ascii="宋体" w:hAnsi="宋体" w:cs="宋体" w:eastAsia="宋体" w:hint="default"/>
                            <w:sz w:val="20"/>
                            <w:szCs w:val="20"/>
                          </w:rPr>
                          <w:t>计</w:t>
                        </w:r>
                      </w:p>
                      <w:p>
                        <w:pPr>
                          <w:pStyle w:val="TableParagraph"/>
                          <w:spacing w:line="260" w:lineRule="exact" w:before="24"/>
                          <w:ind w:left="11" w:right="10"/>
                          <w:jc w:val="both"/>
                          <w:rPr>
                            <w:rFonts w:ascii="宋体" w:hAnsi="宋体" w:cs="宋体" w:eastAsia="宋体" w:hint="default"/>
                            <w:sz w:val="20"/>
                            <w:szCs w:val="20"/>
                          </w:rPr>
                        </w:pPr>
                        <w:r>
                          <w:rPr>
                            <w:rFonts w:ascii="宋体" w:hAnsi="宋体" w:cs="宋体" w:eastAsia="宋体" w:hint="default"/>
                            <w:sz w:val="20"/>
                            <w:szCs w:val="20"/>
                          </w:rPr>
                          <w:t>量</w:t>
                        </w:r>
                        <w:r>
                          <w:rPr>
                            <w:rFonts w:ascii="宋体" w:hAnsi="宋体" w:cs="宋体" w:eastAsia="宋体" w:hint="default"/>
                            <w:spacing w:val="-68"/>
                            <w:sz w:val="20"/>
                            <w:szCs w:val="20"/>
                          </w:rPr>
                          <w:t> </w:t>
                        </w:r>
                        <w:r>
                          <w:rPr>
                            <w:rFonts w:ascii="宋体" w:hAnsi="宋体" w:cs="宋体" w:eastAsia="宋体" w:hint="default"/>
                            <w:sz w:val="20"/>
                            <w:szCs w:val="20"/>
                          </w:rPr>
                          <w:t>且</w:t>
                        </w:r>
                        <w:r>
                          <w:rPr>
                            <w:rFonts w:ascii="宋体" w:hAnsi="宋体" w:cs="宋体" w:eastAsia="宋体" w:hint="default"/>
                            <w:spacing w:val="-68"/>
                            <w:sz w:val="20"/>
                            <w:szCs w:val="20"/>
                          </w:rPr>
                          <w:t> </w:t>
                        </w:r>
                        <w:r>
                          <w:rPr>
                            <w:rFonts w:ascii="宋体" w:hAnsi="宋体" w:cs="宋体" w:eastAsia="宋体" w:hint="default"/>
                            <w:sz w:val="20"/>
                            <w:szCs w:val="20"/>
                          </w:rPr>
                          <w:t>其</w:t>
                        </w:r>
                        <w:r>
                          <w:rPr>
                            <w:rFonts w:ascii="宋体" w:hAnsi="宋体" w:cs="宋体" w:eastAsia="宋体" w:hint="default"/>
                            <w:spacing w:val="-68"/>
                            <w:sz w:val="20"/>
                            <w:szCs w:val="20"/>
                          </w:rPr>
                          <w:t> </w:t>
                        </w:r>
                        <w:r>
                          <w:rPr>
                            <w:rFonts w:ascii="宋体" w:hAnsi="宋体" w:cs="宋体" w:eastAsia="宋体" w:hint="default"/>
                            <w:sz w:val="20"/>
                            <w:szCs w:val="20"/>
                          </w:rPr>
                          <w:t>变</w:t>
                        </w:r>
                        <w:r>
                          <w:rPr>
                            <w:rFonts w:ascii="宋体" w:hAnsi="宋体" w:cs="宋体" w:eastAsia="宋体" w:hint="default"/>
                            <w:spacing w:val="-69"/>
                            <w:sz w:val="20"/>
                            <w:szCs w:val="20"/>
                          </w:rPr>
                          <w:t> </w:t>
                        </w:r>
                        <w:r>
                          <w:rPr>
                            <w:rFonts w:ascii="宋体" w:hAnsi="宋体" w:cs="宋体" w:eastAsia="宋体" w:hint="default"/>
                            <w:sz w:val="20"/>
                            <w:szCs w:val="20"/>
                          </w:rPr>
                          <w:t>动</w:t>
                        </w:r>
                        <w:r>
                          <w:rPr>
                            <w:rFonts w:ascii="宋体" w:hAnsi="宋体" w:cs="宋体" w:eastAsia="宋体" w:hint="default"/>
                            <w:spacing w:val="-69"/>
                            <w:sz w:val="20"/>
                            <w:szCs w:val="20"/>
                          </w:rPr>
                          <w:t> </w:t>
                        </w:r>
                        <w:r>
                          <w:rPr>
                            <w:rFonts w:ascii="宋体" w:hAnsi="宋体" w:cs="宋体" w:eastAsia="宋体" w:hint="default"/>
                            <w:sz w:val="20"/>
                            <w:szCs w:val="20"/>
                          </w:rPr>
                          <w:t>计</w:t>
                        </w:r>
                        <w:r>
                          <w:rPr>
                            <w:rFonts w:ascii="宋体" w:hAnsi="宋体" w:cs="宋体" w:eastAsia="宋体" w:hint="default"/>
                            <w:w w:val="100"/>
                            <w:sz w:val="20"/>
                            <w:szCs w:val="20"/>
                          </w:rPr>
                          <w:t> </w:t>
                        </w:r>
                        <w:r>
                          <w:rPr>
                            <w:rFonts w:ascii="宋体" w:hAnsi="宋体" w:cs="宋体" w:eastAsia="宋体" w:hint="default"/>
                            <w:sz w:val="20"/>
                            <w:szCs w:val="20"/>
                          </w:rPr>
                          <w:t>入</w:t>
                        </w:r>
                        <w:r>
                          <w:rPr>
                            <w:rFonts w:ascii="宋体" w:hAnsi="宋体" w:cs="宋体" w:eastAsia="宋体" w:hint="default"/>
                            <w:spacing w:val="-68"/>
                            <w:sz w:val="20"/>
                            <w:szCs w:val="20"/>
                          </w:rPr>
                          <w:t> </w:t>
                        </w:r>
                        <w:r>
                          <w:rPr>
                            <w:rFonts w:ascii="宋体" w:hAnsi="宋体" w:cs="宋体" w:eastAsia="宋体" w:hint="default"/>
                            <w:sz w:val="20"/>
                            <w:szCs w:val="20"/>
                          </w:rPr>
                          <w:t>当</w:t>
                        </w:r>
                        <w:r>
                          <w:rPr>
                            <w:rFonts w:ascii="宋体" w:hAnsi="宋体" w:cs="宋体" w:eastAsia="宋体" w:hint="default"/>
                            <w:spacing w:val="-68"/>
                            <w:sz w:val="20"/>
                            <w:szCs w:val="20"/>
                          </w:rPr>
                          <w:t> </w:t>
                        </w:r>
                        <w:r>
                          <w:rPr>
                            <w:rFonts w:ascii="宋体" w:hAnsi="宋体" w:cs="宋体" w:eastAsia="宋体" w:hint="default"/>
                            <w:sz w:val="20"/>
                            <w:szCs w:val="20"/>
                          </w:rPr>
                          <w:t>期</w:t>
                        </w:r>
                        <w:r>
                          <w:rPr>
                            <w:rFonts w:ascii="宋体" w:hAnsi="宋体" w:cs="宋体" w:eastAsia="宋体" w:hint="default"/>
                            <w:spacing w:val="-68"/>
                            <w:sz w:val="20"/>
                            <w:szCs w:val="20"/>
                          </w:rPr>
                          <w:t> </w:t>
                        </w:r>
                        <w:r>
                          <w:rPr>
                            <w:rFonts w:ascii="宋体" w:hAnsi="宋体" w:cs="宋体" w:eastAsia="宋体" w:hint="default"/>
                            <w:sz w:val="20"/>
                            <w:szCs w:val="20"/>
                          </w:rPr>
                          <w:t>损</w:t>
                        </w:r>
                        <w:r>
                          <w:rPr>
                            <w:rFonts w:ascii="宋体" w:hAnsi="宋体" w:cs="宋体" w:eastAsia="宋体" w:hint="default"/>
                            <w:spacing w:val="-69"/>
                            <w:sz w:val="20"/>
                            <w:szCs w:val="20"/>
                          </w:rPr>
                          <w:t> </w:t>
                        </w:r>
                        <w:r>
                          <w:rPr>
                            <w:rFonts w:ascii="宋体" w:hAnsi="宋体" w:cs="宋体" w:eastAsia="宋体" w:hint="default"/>
                            <w:sz w:val="20"/>
                            <w:szCs w:val="20"/>
                          </w:rPr>
                          <w:t>益</w:t>
                        </w:r>
                        <w:r>
                          <w:rPr>
                            <w:rFonts w:ascii="宋体" w:hAnsi="宋体" w:cs="宋体" w:eastAsia="宋体" w:hint="default"/>
                            <w:spacing w:val="-69"/>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z w:val="20"/>
                            <w:szCs w:val="20"/>
                          </w:rPr>
                          <w:t>金融负债</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14,910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z w:val="20"/>
                          </w:rPr>
                          <w:t>0.02%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137,200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z w:val="20"/>
                          </w:rPr>
                          <w:t>0.17%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pacing w:val="-1"/>
                            <w:sz w:val="20"/>
                          </w:rPr>
                          <w:t>-0.15%</w:t>
                        </w:r>
                      </w:p>
                    </w:tc>
                    <w:tc>
                      <w:tcPr>
                        <w:tcW w:w="3111" w:type="dxa"/>
                        <w:vMerge/>
                        <w:tcBorders>
                          <w:left w:val="single" w:sz="4" w:space="0" w:color="000000"/>
                          <w:bottom w:val="single" w:sz="4" w:space="0" w:color="000000"/>
                          <w:right w:val="single" w:sz="4" w:space="0" w:color="000000"/>
                        </w:tcBorders>
                      </w:tcPr>
                      <w:p>
                        <w:pPr/>
                      </w:p>
                    </w:tc>
                  </w:tr>
                  <w:tr>
                    <w:trPr>
                      <w:trHeight w:val="265"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397" w:type="dxa"/>
                        <w:vMerge w:val="restart"/>
                        <w:tcBorders>
                          <w:top w:val="single" w:sz="4" w:space="0" w:color="000000"/>
                          <w:left w:val="single" w:sz="9" w:space="0" w:color="D2D2D2"/>
                          <w:right w:val="single" w:sz="4" w:space="0" w:color="000000"/>
                        </w:tcBorders>
                      </w:tcPr>
                      <w:p>
                        <w:pPr>
                          <w:pStyle w:val="TableParagraph"/>
                          <w:spacing w:line="228" w:lineRule="exact"/>
                          <w:ind w:left="708" w:right="0"/>
                          <w:jc w:val="left"/>
                          <w:rPr>
                            <w:rFonts w:ascii="Times New Roman" w:hAnsi="Times New Roman" w:cs="Times New Roman" w:eastAsia="Times New Roman" w:hint="default"/>
                            <w:sz w:val="20"/>
                            <w:szCs w:val="20"/>
                          </w:rPr>
                        </w:pPr>
                        <w:r>
                          <w:rPr>
                            <w:rFonts w:ascii="Times New Roman"/>
                            <w:sz w:val="20"/>
                          </w:rPr>
                          <w:t>982,758</w:t>
                        </w:r>
                      </w:p>
                    </w:tc>
                    <w:tc>
                      <w:tcPr>
                        <w:tcW w:w="1068" w:type="dxa"/>
                        <w:vMerge w:val="restart"/>
                        <w:tcBorders>
                          <w:top w:val="single" w:sz="4" w:space="0" w:color="000000"/>
                          <w:left w:val="single" w:sz="4" w:space="0" w:color="000000"/>
                          <w:right w:val="single" w:sz="4" w:space="0" w:color="000000"/>
                        </w:tcBorders>
                      </w:tcPr>
                      <w:p>
                        <w:pPr>
                          <w:pStyle w:val="TableParagraph"/>
                          <w:spacing w:line="228" w:lineRule="exact"/>
                          <w:ind w:left="519" w:right="0"/>
                          <w:jc w:val="left"/>
                          <w:rPr>
                            <w:rFonts w:ascii="Times New Roman" w:hAnsi="Times New Roman" w:cs="Times New Roman" w:eastAsia="Times New Roman" w:hint="default"/>
                            <w:sz w:val="20"/>
                            <w:szCs w:val="20"/>
                          </w:rPr>
                        </w:pPr>
                        <w:r>
                          <w:rPr>
                            <w:rFonts w:ascii="Times New Roman"/>
                            <w:sz w:val="20"/>
                          </w:rPr>
                          <w:t>1.12%</w:t>
                        </w:r>
                      </w:p>
                    </w:tc>
                    <w:tc>
                      <w:tcPr>
                        <w:tcW w:w="1036" w:type="dxa"/>
                        <w:vMerge w:val="restart"/>
                        <w:tcBorders>
                          <w:top w:val="single" w:sz="4" w:space="0" w:color="000000"/>
                          <w:left w:val="single" w:sz="4" w:space="0" w:color="000000"/>
                          <w:right w:val="single" w:sz="4" w:space="0" w:color="000000"/>
                        </w:tcBorders>
                      </w:tcPr>
                      <w:p>
                        <w:pPr>
                          <w:pStyle w:val="TableParagraph"/>
                          <w:spacing w:line="228" w:lineRule="exact"/>
                          <w:ind w:left="202" w:right="0"/>
                          <w:jc w:val="left"/>
                          <w:rPr>
                            <w:rFonts w:ascii="Times New Roman" w:hAnsi="Times New Roman" w:cs="Times New Roman" w:eastAsia="Times New Roman" w:hint="default"/>
                            <w:sz w:val="20"/>
                            <w:szCs w:val="20"/>
                          </w:rPr>
                        </w:pPr>
                        <w:r>
                          <w:rPr>
                            <w:rFonts w:ascii="Times New Roman"/>
                            <w:sz w:val="20"/>
                          </w:rPr>
                          <w:t>1,451,732</w:t>
                        </w:r>
                      </w:p>
                    </w:tc>
                    <w:tc>
                      <w:tcPr>
                        <w:tcW w:w="758" w:type="dxa"/>
                        <w:vMerge w:val="restart"/>
                        <w:tcBorders>
                          <w:top w:val="single" w:sz="4" w:space="0" w:color="000000"/>
                          <w:left w:val="single" w:sz="4" w:space="0" w:color="000000"/>
                          <w:right w:val="single" w:sz="4" w:space="0" w:color="000000"/>
                        </w:tcBorders>
                      </w:tcPr>
                      <w:p>
                        <w:pPr>
                          <w:pStyle w:val="TableParagraph"/>
                          <w:spacing w:line="228" w:lineRule="exact"/>
                          <w:ind w:left="208" w:right="0"/>
                          <w:jc w:val="left"/>
                          <w:rPr>
                            <w:rFonts w:ascii="Times New Roman" w:hAnsi="Times New Roman" w:cs="Times New Roman" w:eastAsia="Times New Roman" w:hint="default"/>
                            <w:sz w:val="20"/>
                            <w:szCs w:val="20"/>
                          </w:rPr>
                        </w:pPr>
                        <w:r>
                          <w:rPr>
                            <w:rFonts w:ascii="Times New Roman"/>
                            <w:sz w:val="20"/>
                          </w:rPr>
                          <w:t>1.77%</w:t>
                        </w:r>
                      </w:p>
                    </w:tc>
                    <w:tc>
                      <w:tcPr>
                        <w:tcW w:w="918" w:type="dxa"/>
                        <w:vMerge w:val="restart"/>
                        <w:tcBorders>
                          <w:top w:val="single" w:sz="4" w:space="0" w:color="000000"/>
                          <w:left w:val="single" w:sz="4" w:space="0" w:color="000000"/>
                          <w:right w:val="single" w:sz="4" w:space="0" w:color="000000"/>
                        </w:tcBorders>
                      </w:tcPr>
                      <w:p>
                        <w:pPr>
                          <w:pStyle w:val="TableParagraph"/>
                          <w:spacing w:line="228" w:lineRule="exact"/>
                          <w:ind w:left="302" w:right="0"/>
                          <w:jc w:val="left"/>
                          <w:rPr>
                            <w:rFonts w:ascii="Times New Roman" w:hAnsi="Times New Roman" w:cs="Times New Roman" w:eastAsia="Times New Roman" w:hint="default"/>
                            <w:sz w:val="20"/>
                            <w:szCs w:val="20"/>
                          </w:rPr>
                        </w:pPr>
                        <w:r>
                          <w:rPr>
                            <w:rFonts w:ascii="Times New Roman"/>
                            <w:sz w:val="20"/>
                          </w:rPr>
                          <w:t>-0.65%</w:t>
                        </w:r>
                      </w:p>
                    </w:tc>
                    <w:tc>
                      <w:tcPr>
                        <w:tcW w:w="3111" w:type="dxa"/>
                        <w:vMerge w:val="restart"/>
                        <w:tcBorders>
                          <w:top w:val="single" w:sz="4" w:space="0" w:color="000000"/>
                          <w:left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2"/>
                            <w:sz w:val="20"/>
                            <w:szCs w:val="20"/>
                          </w:rPr>
                          <w:t>报告期内公司预售自建配套物业部</w:t>
                        </w:r>
                      </w:p>
                      <w:p>
                        <w:pPr>
                          <w:pStyle w:val="TableParagraph"/>
                          <w:spacing w:line="260" w:lineRule="exact" w:before="24"/>
                          <w:ind w:left="23" w:right="23"/>
                          <w:jc w:val="left"/>
                          <w:rPr>
                            <w:rFonts w:ascii="宋体" w:hAnsi="宋体" w:cs="宋体" w:eastAsia="宋体" w:hint="default"/>
                            <w:sz w:val="20"/>
                            <w:szCs w:val="20"/>
                          </w:rPr>
                        </w:pPr>
                        <w:r>
                          <w:rPr>
                            <w:rFonts w:ascii="宋体" w:hAnsi="宋体" w:cs="宋体" w:eastAsia="宋体" w:hint="default"/>
                            <w:spacing w:val="2"/>
                            <w:sz w:val="20"/>
                            <w:szCs w:val="20"/>
                          </w:rPr>
                          <w:t>分完成交割，结转预收款项，确认</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收入</w:t>
                        </w:r>
                      </w:p>
                    </w:tc>
                  </w:tr>
                  <w:tr>
                    <w:trPr>
                      <w:trHeight w:val="525"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3111"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5"/>
        <w:ind w:left="0" w:right="1030" w:firstLine="0"/>
        <w:jc w:val="right"/>
        <w:rPr>
          <w:rFonts w:ascii="宋体" w:hAnsi="宋体" w:cs="宋体" w:eastAsia="宋体" w:hint="default"/>
          <w:sz w:val="20"/>
          <w:szCs w:val="20"/>
        </w:rPr>
      </w:pPr>
      <w:r>
        <w:rPr>
          <w:rFonts w:ascii="宋体" w:hAnsi="宋体" w:cs="宋体" w:eastAsia="宋体" w:hint="default"/>
          <w:w w:val="100"/>
          <w:sz w:val="20"/>
          <w:szCs w:val="20"/>
        </w:rPr>
        <w:t>，</w:t>
      </w:r>
    </w:p>
    <w:p>
      <w:pPr>
        <w:spacing w:after="0"/>
        <w:jc w:val="righ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20" w:right="0"/>
        </w:sectPr>
      </w:pPr>
    </w:p>
    <w:p>
      <w:pPr>
        <w:pStyle w:val="BodyText"/>
        <w:spacing w:line="240" w:lineRule="auto" w:before="166"/>
        <w:ind w:left="213" w:right="0"/>
        <w:jc w:val="left"/>
      </w:pPr>
      <w:r>
        <w:rPr>
          <w:w w:val="95"/>
        </w:rPr>
        <w:t>报告期内，公司偿债能力和各项资产运营能力财务指标列示及分析</w:t>
      </w:r>
      <w:r>
        <w:rPr/>
      </w:r>
    </w:p>
    <w:p>
      <w:pPr>
        <w:pStyle w:val="BodyText"/>
        <w:spacing w:line="240" w:lineRule="auto" w:before="143"/>
        <w:ind w:left="213" w:right="0"/>
        <w:jc w:val="left"/>
      </w:pPr>
      <w:r>
        <w:rPr/>
        <w:t>（</w:t>
      </w:r>
      <w:r>
        <w:rPr>
          <w:rFonts w:ascii="Times New Roman" w:hAnsi="Times New Roman" w:cs="Times New Roman" w:eastAsia="Times New Roman" w:hint="default"/>
        </w:rPr>
        <w:t>1</w:t>
      </w:r>
      <w:r>
        <w:rPr/>
        <w:t>）主要债权债务关系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213" w:right="0" w:firstLine="0"/>
        <w:jc w:val="left"/>
        <w:rPr>
          <w:rFonts w:ascii="宋体" w:hAnsi="宋体" w:cs="宋体" w:eastAsia="宋体" w:hint="default"/>
          <w:sz w:val="21"/>
          <w:szCs w:val="21"/>
        </w:rPr>
      </w:pPr>
      <w:r>
        <w:rPr>
          <w:rFonts w:ascii="宋体" w:hAnsi="宋体" w:cs="宋体" w:eastAsia="宋体" w:hint="default"/>
          <w:sz w:val="21"/>
          <w:szCs w:val="21"/>
        </w:rPr>
        <w:t>单位：千元</w:t>
      </w:r>
    </w:p>
    <w:p>
      <w:pPr>
        <w:spacing w:after="0"/>
        <w:jc w:val="left"/>
        <w:rPr>
          <w:rFonts w:ascii="宋体" w:hAnsi="宋体" w:cs="宋体" w:eastAsia="宋体" w:hint="default"/>
          <w:sz w:val="21"/>
          <w:szCs w:val="21"/>
        </w:rPr>
        <w:sectPr>
          <w:type w:val="continuous"/>
          <w:pgSz w:w="11910" w:h="16840"/>
          <w:pgMar w:top="1060" w:bottom="1160" w:left="920" w:right="0"/>
          <w:cols w:num="2" w:equalWidth="0">
            <w:col w:w="6592" w:space="1998"/>
            <w:col w:w="2400"/>
          </w:cols>
        </w:sectPr>
      </w:pPr>
    </w:p>
    <w:p>
      <w:pPr>
        <w:spacing w:line="240" w:lineRule="auto" w:before="1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338"/>
        <w:gridCol w:w="2255"/>
        <w:gridCol w:w="2403"/>
        <w:gridCol w:w="1860"/>
      </w:tblGrid>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1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8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84" w:right="0"/>
              <w:jc w:val="left"/>
              <w:rPr>
                <w:rFonts w:ascii="宋体" w:hAnsi="宋体" w:cs="宋体" w:eastAsia="宋体" w:hint="default"/>
                <w:sz w:val="22"/>
                <w:szCs w:val="22"/>
              </w:rPr>
            </w:pPr>
            <w:r>
              <w:rPr>
                <w:rFonts w:ascii="宋体" w:hAnsi="宋体" w:cs="宋体" w:eastAsia="宋体" w:hint="default"/>
                <w:sz w:val="22"/>
                <w:szCs w:val="22"/>
              </w:rPr>
              <w:t>增减变动</w:t>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3,225,641</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1,836,529</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75.64%</w:t>
            </w:r>
            <w:r>
              <w:rPr>
                <w:rFonts w:ascii="Times New Roman"/>
                <w:sz w:val="22"/>
              </w:rPr>
            </w:r>
          </w:p>
        </w:tc>
      </w:tr>
      <w:tr>
        <w:trPr>
          <w:trHeight w:val="323"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357,918</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914,214</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-60.85%</w:t>
            </w:r>
            <w:r>
              <w:rPr>
                <w:rFonts w:ascii="Times New Roman"/>
                <w:sz w:val="22"/>
              </w:rPr>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7,977,095</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7,961,177</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0.20%</w:t>
            </w:r>
            <w:r>
              <w:rPr>
                <w:rFonts w:ascii="Times New Roman"/>
                <w:sz w:val="22"/>
              </w:rPr>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应付票据余额</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23,890,061</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22,442,132</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6.45%</w:t>
            </w:r>
            <w:r>
              <w:rPr>
                <w:rFonts w:ascii="Times New Roman"/>
                <w:sz w:val="22"/>
              </w:rPr>
            </w:r>
          </w:p>
        </w:tc>
      </w:tr>
      <w:tr>
        <w:trPr>
          <w:trHeight w:val="323"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应付票据周转天数（天）</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spacing w:val="-1"/>
                <w:sz w:val="22"/>
              </w:rPr>
              <w:t>72.18</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93.38</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-21.20</w:t>
            </w:r>
            <w:r>
              <w:rPr>
                <w:rFonts w:ascii="Times New Roman"/>
                <w:sz w:val="22"/>
              </w:rPr>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应付账款余额</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9,058,853</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8,427,397</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7.49%</w:t>
            </w:r>
            <w:r>
              <w:rPr>
                <w:rFonts w:ascii="Times New Roman"/>
                <w:sz w:val="22"/>
              </w:rPr>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应付账款周转天数（天）</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27.24</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37.13</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-9.89</w:t>
            </w:r>
            <w:r>
              <w:rPr>
                <w:rFonts w:ascii="Times New Roman"/>
                <w:sz w:val="22"/>
              </w:rPr>
            </w:r>
          </w:p>
        </w:tc>
      </w:tr>
      <w:tr>
        <w:trPr>
          <w:trHeight w:val="323"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应收账款余额</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705,617</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535,579</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31.75%</w:t>
            </w:r>
            <w:r>
              <w:rPr>
                <w:rFonts w:ascii="Times New Roman"/>
                <w:sz w:val="22"/>
              </w:rPr>
            </w:r>
          </w:p>
        </w:tc>
      </w:tr>
    </w:tbl>
    <w:p>
      <w:pPr>
        <w:pStyle w:val="BodyText"/>
        <w:spacing w:line="240" w:lineRule="auto" w:before="55"/>
        <w:ind w:left="654" w:right="1019"/>
        <w:jc w:val="left"/>
      </w:pPr>
      <w:r>
        <w:rPr/>
        <w:t>报告期内公司优化供应链，加强供应商合作，应付账款、应付票据周转率显著提升。</w:t>
      </w:r>
    </w:p>
    <w:p>
      <w:pPr>
        <w:pStyle w:val="BodyText"/>
        <w:spacing w:line="240" w:lineRule="auto" w:before="143"/>
        <w:ind w:left="214" w:right="1019"/>
        <w:jc w:val="left"/>
      </w:pPr>
      <w:r>
        <w:rPr/>
        <w:t>（</w:t>
      </w:r>
      <w:r>
        <w:rPr>
          <w:rFonts w:ascii="Times New Roman" w:hAnsi="Times New Roman" w:cs="Times New Roman" w:eastAsia="Times New Roman" w:hint="default"/>
        </w:rPr>
        <w:t>2</w:t>
      </w:r>
      <w:r>
        <w:rPr/>
        <w:t>）偿债能力分析</w:t>
      </w:r>
    </w:p>
    <w:p>
      <w:pPr>
        <w:spacing w:line="240" w:lineRule="auto" w:before="1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369"/>
        <w:gridCol w:w="2162"/>
        <w:gridCol w:w="2163"/>
        <w:gridCol w:w="2162"/>
      </w:tblGrid>
      <w:tr>
        <w:trPr>
          <w:trHeight w:val="36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1" w:lineRule="exact"/>
              <w:ind w:left="16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1" w:lineRule="exact"/>
              <w:ind w:left="16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635" w:right="0"/>
              <w:jc w:val="left"/>
              <w:rPr>
                <w:rFonts w:ascii="宋体" w:hAnsi="宋体" w:cs="宋体" w:eastAsia="宋体" w:hint="default"/>
                <w:sz w:val="22"/>
                <w:szCs w:val="22"/>
              </w:rPr>
            </w:pPr>
            <w:r>
              <w:rPr>
                <w:rFonts w:ascii="宋体" w:hAnsi="宋体" w:cs="宋体" w:eastAsia="宋体" w:hint="default"/>
                <w:sz w:val="22"/>
                <w:szCs w:val="22"/>
              </w:rPr>
              <w:t>增减变动</w:t>
            </w:r>
          </w:p>
        </w:tc>
      </w:tr>
      <w:tr>
        <w:trPr>
          <w:trHeight w:val="34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流动比率</w:t>
            </w:r>
          </w:p>
        </w:tc>
        <w:tc>
          <w:tcPr>
            <w:tcW w:w="2162"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22"/>
                <w:szCs w:val="22"/>
              </w:rPr>
            </w:pPr>
            <w:r>
              <w:rPr>
                <w:rFonts w:ascii="Times New Roman"/>
                <w:w w:val="95"/>
                <w:sz w:val="22"/>
              </w:rPr>
              <w:t>1.24</w:t>
            </w:r>
            <w:r>
              <w:rPr>
                <w:rFonts w:ascii="Times New Roman"/>
                <w:sz w:val="22"/>
              </w:rPr>
            </w:r>
          </w:p>
        </w:tc>
        <w:tc>
          <w:tcPr>
            <w:tcW w:w="2163"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1.20</w:t>
            </w:r>
            <w:r>
              <w:rPr>
                <w:rFonts w:ascii="Times New Roman"/>
                <w:sz w:val="22"/>
              </w:rPr>
            </w:r>
          </w:p>
        </w:tc>
        <w:tc>
          <w:tcPr>
            <w:tcW w:w="2162"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0.04</w:t>
            </w:r>
            <w:r>
              <w:rPr>
                <w:rFonts w:ascii="Times New Roman"/>
                <w:sz w:val="22"/>
              </w:rPr>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速动比率</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0.85</w:t>
            </w:r>
            <w:r>
              <w:rPr>
                <w:rFonts w:ascii="Times New Roman"/>
                <w:sz w:val="22"/>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0.76</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0.09</w:t>
            </w:r>
            <w:r>
              <w:rPr>
                <w:rFonts w:ascii="Times New Roman"/>
                <w:sz w:val="22"/>
              </w:rPr>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资产负债率</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63.75%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64.06%</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-0.31%</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left="654" w:right="1019"/>
        <w:jc w:val="left"/>
      </w:pPr>
      <w:r>
        <w:rPr/>
        <w:t>报告期内，公司继续保持较好的偿债能力，各项指标较年初未发生较大变化。</w:t>
      </w:r>
    </w:p>
    <w:p>
      <w:pPr>
        <w:pStyle w:val="BodyText"/>
        <w:spacing w:line="240" w:lineRule="auto" w:before="143"/>
        <w:ind w:left="213" w:right="1019"/>
        <w:jc w:val="left"/>
      </w:pPr>
      <w:r>
        <w:rPr/>
        <w:t>（</w:t>
      </w:r>
      <w:r>
        <w:rPr>
          <w:rFonts w:ascii="Times New Roman" w:hAnsi="Times New Roman" w:cs="Times New Roman" w:eastAsia="Times New Roman" w:hint="default"/>
        </w:rPr>
        <w:t>3</w:t>
      </w:r>
      <w:r>
        <w:rPr/>
        <w:t>）资产运营能力分析</w:t>
      </w:r>
    </w:p>
    <w:p>
      <w:pPr>
        <w:spacing w:line="240" w:lineRule="auto" w:before="5"/>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369"/>
        <w:gridCol w:w="2162"/>
        <w:gridCol w:w="2163"/>
        <w:gridCol w:w="2162"/>
      </w:tblGrid>
      <w:tr>
        <w:trPr>
          <w:trHeight w:val="418"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6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6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635" w:right="0"/>
              <w:jc w:val="left"/>
              <w:rPr>
                <w:rFonts w:ascii="宋体" w:hAnsi="宋体" w:cs="宋体" w:eastAsia="宋体" w:hint="default"/>
                <w:sz w:val="22"/>
                <w:szCs w:val="22"/>
              </w:rPr>
            </w:pPr>
            <w:r>
              <w:rPr>
                <w:rFonts w:ascii="宋体" w:hAnsi="宋体" w:cs="宋体" w:eastAsia="宋体" w:hint="default"/>
                <w:sz w:val="22"/>
                <w:szCs w:val="22"/>
              </w:rPr>
              <w:t>增减变动</w:t>
            </w:r>
          </w:p>
        </w:tc>
      </w:tr>
      <w:tr>
        <w:trPr>
          <w:trHeight w:val="325"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应收账款周转天数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1.67</w:t>
            </w:r>
            <w:r>
              <w:rPr>
                <w:rFonts w:ascii="Times New Roman"/>
                <w:sz w:val="22"/>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2"/>
                <w:szCs w:val="22"/>
              </w:rPr>
            </w:pPr>
            <w:r>
              <w:rPr>
                <w:rFonts w:ascii="Times New Roman"/>
                <w:w w:val="95"/>
                <w:sz w:val="22"/>
              </w:rPr>
              <w:t>2.02</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-0.35</w:t>
            </w:r>
            <w:r>
              <w:rPr>
                <w:rFonts w:ascii="Times New Roman"/>
                <w:sz w:val="22"/>
              </w:rPr>
            </w:r>
          </w:p>
        </w:tc>
      </w:tr>
      <w:tr>
        <w:trPr>
          <w:trHeight w:val="325"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存货周转天数（注）</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spacing w:val="-1"/>
                <w:sz w:val="22"/>
              </w:rPr>
              <w:t>42.39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2"/>
                <w:szCs w:val="22"/>
              </w:rPr>
            </w:pPr>
            <w:r>
              <w:rPr>
                <w:rFonts w:ascii="Times New Roman"/>
                <w:w w:val="95"/>
                <w:sz w:val="22"/>
              </w:rPr>
              <w:t>62.00</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spacing w:val="-1"/>
                <w:sz w:val="22"/>
              </w:rPr>
              <w:t>-19.61</w:t>
            </w:r>
          </w:p>
        </w:tc>
      </w:tr>
      <w:tr>
        <w:trPr>
          <w:trHeight w:val="325"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流动资产周转天数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22"/>
                <w:szCs w:val="22"/>
              </w:rPr>
            </w:pPr>
            <w:r>
              <w:rPr>
                <w:rFonts w:ascii="Times New Roman"/>
                <w:spacing w:val="-1"/>
                <w:sz w:val="22"/>
              </w:rPr>
              <w:t>144.38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176.14</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-31.76</w:t>
            </w:r>
            <w:r>
              <w:rPr>
                <w:rFonts w:ascii="Times New Roman"/>
                <w:sz w:val="22"/>
              </w:rPr>
            </w:r>
          </w:p>
        </w:tc>
      </w:tr>
      <w:tr>
        <w:trPr>
          <w:trHeight w:val="325"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总资产周转天数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22"/>
                <w:szCs w:val="22"/>
              </w:rPr>
            </w:pPr>
            <w:r>
              <w:rPr>
                <w:rFonts w:ascii="Times New Roman"/>
                <w:w w:val="95"/>
                <w:sz w:val="22"/>
              </w:rPr>
              <w:t>228.90</w:t>
            </w:r>
            <w:r>
              <w:rPr>
                <w:rFonts w:ascii="Times New Roman"/>
                <w:sz w:val="22"/>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277.30</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spacing w:val="-1"/>
                <w:sz w:val="22"/>
              </w:rPr>
              <w:t>-48.40</w:t>
            </w:r>
            <w:r>
              <w:rPr>
                <w:rFonts w:ascii="Times New Roman"/>
                <w:sz w:val="22"/>
              </w:rPr>
            </w:r>
          </w:p>
        </w:tc>
      </w:tr>
    </w:tbl>
    <w:p>
      <w:pPr>
        <w:spacing w:before="63"/>
        <w:ind w:left="634" w:right="1019" w:firstLine="0"/>
        <w:jc w:val="left"/>
        <w:rPr>
          <w:rFonts w:ascii="宋体" w:hAnsi="宋体" w:cs="宋体" w:eastAsia="宋体" w:hint="default"/>
          <w:sz w:val="21"/>
          <w:szCs w:val="21"/>
        </w:rPr>
      </w:pPr>
      <w:r>
        <w:rPr>
          <w:rFonts w:ascii="宋体" w:hAnsi="宋体" w:cs="宋体" w:eastAsia="宋体" w:hint="default"/>
          <w:sz w:val="21"/>
          <w:szCs w:val="21"/>
        </w:rPr>
        <w:t>注：存货周转天数为库存商品的周转天数，不包括公司自建店建设中形成的开发成本。</w:t>
      </w:r>
    </w:p>
    <w:p>
      <w:pPr>
        <w:spacing w:line="240" w:lineRule="auto" w:before="2"/>
        <w:rPr>
          <w:rFonts w:ascii="宋体" w:hAnsi="宋体" w:cs="宋体" w:eastAsia="宋体" w:hint="default"/>
          <w:sz w:val="14"/>
          <w:szCs w:val="14"/>
        </w:rPr>
      </w:pPr>
    </w:p>
    <w:p>
      <w:pPr>
        <w:pStyle w:val="BodyText"/>
        <w:spacing w:line="391" w:lineRule="auto"/>
        <w:ind w:left="213" w:right="1131" w:firstLine="440"/>
        <w:jc w:val="both"/>
      </w:pPr>
      <w:r>
        <w:rPr>
          <w:spacing w:val="-1"/>
        </w:rPr>
        <w:t>报告期内，公司持续优化供应链建设，加强存货管理，随着公司物流网络的布局完善，期末存货</w:t>
      </w:r>
      <w:r>
        <w:rPr>
          <w:w w:val="99"/>
        </w:rPr>
        <w:t> </w:t>
      </w:r>
      <w:r>
        <w:rPr>
          <w:spacing w:val="-1"/>
        </w:rPr>
        <w:t>规模下降，存货周转效率显著提升。随着公司商品经营的专业化程度逐步加深，以及物流运作能力的</w:t>
      </w:r>
      <w:r>
        <w:rPr>
          <w:w w:val="99"/>
        </w:rPr>
        <w:t> </w:t>
      </w:r>
      <w:r>
        <w:rPr/>
        <w:t>加强，公司资产运营能力会逐步改善。</w:t>
      </w:r>
    </w:p>
    <w:p>
      <w:pPr>
        <w:spacing w:after="0" w:line="391" w:lineRule="auto"/>
        <w:jc w:val="both"/>
        <w:sectPr>
          <w:type w:val="continuous"/>
          <w:pgSz w:w="11910" w:h="16840"/>
          <w:pgMar w:top="1060" w:bottom="1160" w:left="920" w:right="0"/>
        </w:sectPr>
      </w:pPr>
    </w:p>
    <w:p>
      <w:pPr>
        <w:spacing w:line="240" w:lineRule="auto" w:before="5"/>
        <w:rPr>
          <w:rFonts w:ascii="宋体" w:hAnsi="宋体" w:cs="宋体" w:eastAsia="宋体" w:hint="default"/>
          <w:sz w:val="24"/>
          <w:szCs w:val="24"/>
        </w:rPr>
      </w:pPr>
    </w:p>
    <w:p>
      <w:pPr>
        <w:pStyle w:val="Heading4"/>
        <w:spacing w:line="240" w:lineRule="auto" w:before="31"/>
        <w:ind w:left="213" w:right="1019"/>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1"/>
        <w:rPr>
          <w:rFonts w:ascii="宋体" w:hAnsi="宋体" w:cs="宋体" w:eastAsia="宋体" w:hint="default"/>
          <w:b/>
          <w:bCs/>
          <w:sz w:val="19"/>
          <w:szCs w:val="19"/>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单位：千元</w:t>
      </w:r>
    </w:p>
    <w:p>
      <w:pPr>
        <w:spacing w:line="240" w:lineRule="auto" w:before="3"/>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1419"/>
        <w:gridCol w:w="1018"/>
        <w:gridCol w:w="1209"/>
        <w:gridCol w:w="1213"/>
        <w:gridCol w:w="1093"/>
        <w:gridCol w:w="1280"/>
        <w:gridCol w:w="1267"/>
        <w:gridCol w:w="1073"/>
      </w:tblGrid>
      <w:tr>
        <w:trPr>
          <w:trHeight w:val="136"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计入权益的</w:t>
            </w:r>
          </w:p>
          <w:p>
            <w:pPr>
              <w:pStyle w:val="TableParagraph"/>
              <w:spacing w:line="260" w:lineRule="exact" w:before="24"/>
              <w:ind w:left="301" w:right="99" w:hanging="201"/>
              <w:jc w:val="left"/>
              <w:rPr>
                <w:rFonts w:ascii="宋体" w:hAnsi="宋体" w:cs="宋体" w:eastAsia="宋体" w:hint="default"/>
                <w:sz w:val="20"/>
                <w:szCs w:val="20"/>
              </w:rPr>
            </w:pPr>
            <w:r>
              <w:rPr>
                <w:rFonts w:ascii="宋体" w:hAnsi="宋体" w:cs="宋体" w:eastAsia="宋体" w:hint="default"/>
                <w:sz w:val="20"/>
                <w:szCs w:val="20"/>
              </w:rPr>
              <w:t>累计公允价</w:t>
            </w:r>
            <w:r>
              <w:rPr>
                <w:rFonts w:ascii="宋体" w:hAnsi="宋体" w:cs="宋体" w:eastAsia="宋体" w:hint="default"/>
                <w:w w:val="100"/>
                <w:sz w:val="20"/>
                <w:szCs w:val="20"/>
              </w:rPr>
              <w:t> </w:t>
            </w:r>
            <w:r>
              <w:rPr>
                <w:rFonts w:ascii="宋体" w:hAnsi="宋体" w:cs="宋体" w:eastAsia="宋体" w:hint="default"/>
                <w:sz w:val="20"/>
                <w:szCs w:val="20"/>
              </w:rPr>
              <w:t>值变动</w:t>
            </w:r>
          </w:p>
        </w:tc>
        <w:tc>
          <w:tcPr>
            <w:tcW w:w="10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0" w:type="dxa"/>
            <w:vMerge w:val="restart"/>
            <w:tcBorders>
              <w:top w:val="single" w:sz="4" w:space="0" w:color="000000"/>
              <w:left w:val="single" w:sz="4" w:space="0" w:color="000000"/>
              <w:right w:val="single" w:sz="4" w:space="0" w:color="000000"/>
            </w:tcBorders>
            <w:shd w:val="clear" w:color="auto" w:fill="D2D2D2"/>
          </w:tcPr>
          <w:p>
            <w:pPr/>
          </w:p>
        </w:tc>
        <w:tc>
          <w:tcPr>
            <w:tcW w:w="1267"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30"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bottom w:val="nil" w:sz="6" w:space="0" w:color="auto"/>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sz w:val="20"/>
                <w:szCs w:val="20"/>
              </w:rPr>
              <w:t>本期公允价</w:t>
            </w:r>
          </w:p>
          <w:p>
            <w:pPr>
              <w:pStyle w:val="TableParagraph"/>
              <w:spacing w:line="261" w:lineRule="exact"/>
              <w:ind w:left="97" w:right="0"/>
              <w:jc w:val="left"/>
              <w:rPr>
                <w:rFonts w:ascii="宋体" w:hAnsi="宋体" w:cs="宋体" w:eastAsia="宋体" w:hint="default"/>
                <w:sz w:val="20"/>
                <w:szCs w:val="20"/>
              </w:rPr>
            </w:pPr>
            <w:r>
              <w:rPr>
                <w:rFonts w:ascii="宋体" w:hAnsi="宋体" w:cs="宋体" w:eastAsia="宋体" w:hint="default"/>
                <w:sz w:val="20"/>
                <w:szCs w:val="20"/>
              </w:rPr>
              <w:t>值变动损益</w:t>
            </w:r>
          </w:p>
        </w:tc>
        <w:tc>
          <w:tcPr>
            <w:tcW w:w="1213" w:type="dxa"/>
            <w:vMerge/>
            <w:tcBorders>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6" w:right="0"/>
              <w:jc w:val="center"/>
              <w:rPr>
                <w:rFonts w:ascii="宋体" w:hAnsi="宋体" w:cs="宋体" w:eastAsia="宋体" w:hint="default"/>
                <w:sz w:val="20"/>
                <w:szCs w:val="20"/>
              </w:rPr>
            </w:pPr>
            <w:r>
              <w:rPr>
                <w:rFonts w:ascii="宋体" w:hAnsi="宋体" w:cs="宋体" w:eastAsia="宋体" w:hint="default"/>
                <w:sz w:val="20"/>
                <w:szCs w:val="20"/>
              </w:rPr>
              <w:t>本期计提的</w:t>
            </w:r>
          </w:p>
          <w:p>
            <w:pPr>
              <w:pStyle w:val="TableParagraph"/>
              <w:spacing w:line="261" w:lineRule="exact"/>
              <w:ind w:left="6" w:right="0"/>
              <w:jc w:val="center"/>
              <w:rPr>
                <w:rFonts w:ascii="宋体" w:hAnsi="宋体" w:cs="宋体" w:eastAsia="宋体" w:hint="default"/>
                <w:sz w:val="20"/>
                <w:szCs w:val="20"/>
              </w:rPr>
            </w:pPr>
            <w:r>
              <w:rPr>
                <w:rFonts w:ascii="宋体" w:hAnsi="宋体" w:cs="宋体" w:eastAsia="宋体" w:hint="default"/>
                <w:sz w:val="20"/>
                <w:szCs w:val="20"/>
              </w:rPr>
              <w:t>减值</w:t>
            </w:r>
          </w:p>
        </w:tc>
        <w:tc>
          <w:tcPr>
            <w:tcW w:w="1280" w:type="dxa"/>
            <w:vMerge/>
            <w:tcBorders>
              <w:left w:val="single" w:sz="4" w:space="0" w:color="000000"/>
              <w:bottom w:val="nil" w:sz="6" w:space="0" w:color="auto"/>
              <w:right w:val="single" w:sz="4" w:space="0" w:color="000000"/>
            </w:tcBorders>
            <w:shd w:val="clear" w:color="auto" w:fill="D2D2D2"/>
          </w:tcPr>
          <w:p>
            <w:pPr/>
          </w:p>
        </w:tc>
        <w:tc>
          <w:tcPr>
            <w:tcW w:w="1267"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260"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left="201"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209"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280" w:type="dxa"/>
            <w:tcBorders>
              <w:top w:val="nil" w:sz="6" w:space="0" w:color="auto"/>
              <w:left w:val="single" w:sz="23" w:space="0" w:color="D2D2D2"/>
              <w:bottom w:val="nil" w:sz="6" w:space="0" w:color="auto"/>
              <w:right w:val="single" w:sz="9" w:space="0" w:color="D2D2D2"/>
            </w:tcBorders>
          </w:tcPr>
          <w:p>
            <w:pPr>
              <w:pStyle w:val="TableParagraph"/>
              <w:spacing w:line="230" w:lineRule="exact"/>
              <w:ind w:right="24"/>
              <w:jc w:val="righ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pacing w:val="-1"/>
                <w:sz w:val="20"/>
                <w:szCs w:val="20"/>
                <w:shd w:fill="D2D2D2" w:color="auto" w:val="clear"/>
              </w:rPr>
              <w:t>本期购买金额</w:t>
            </w:r>
            <w:r>
              <w:rPr>
                <w:rFonts w:ascii="宋体" w:hAnsi="宋体" w:cs="宋体" w:eastAsia="宋体" w:hint="default"/>
                <w:spacing w:val="-1"/>
                <w:sz w:val="20"/>
                <w:szCs w:val="20"/>
              </w:rPr>
            </w:r>
          </w:p>
        </w:tc>
        <w:tc>
          <w:tcPr>
            <w:tcW w:w="12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right="26"/>
              <w:jc w:val="right"/>
              <w:rPr>
                <w:rFonts w:ascii="宋体" w:hAnsi="宋体" w:cs="宋体" w:eastAsia="宋体" w:hint="default"/>
                <w:sz w:val="20"/>
                <w:szCs w:val="20"/>
              </w:rPr>
            </w:pPr>
            <w:r>
              <w:rPr>
                <w:rFonts w:ascii="宋体" w:hAnsi="宋体" w:cs="宋体" w:eastAsia="宋体" w:hint="default"/>
                <w:spacing w:val="-1"/>
                <w:sz w:val="20"/>
                <w:szCs w:val="20"/>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left="231"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249"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2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7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22"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81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2"/>
              <w:ind w:left="22" w:right="-14"/>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以公允价值计</w:t>
            </w:r>
            <w:r>
              <w:rPr>
                <w:rFonts w:ascii="宋体" w:hAnsi="宋体" w:cs="宋体" w:eastAsia="宋体" w:hint="default"/>
                <w:w w:val="100"/>
                <w:sz w:val="20"/>
                <w:szCs w:val="20"/>
              </w:rPr>
              <w:t> </w:t>
            </w:r>
            <w:r>
              <w:rPr>
                <w:rFonts w:ascii="宋体" w:hAnsi="宋体" w:cs="宋体" w:eastAsia="宋体" w:hint="default"/>
                <w:sz w:val="20"/>
                <w:szCs w:val="20"/>
              </w:rPr>
              <w:t>量且其变动计</w:t>
            </w:r>
            <w:r>
              <w:rPr>
                <w:rFonts w:ascii="宋体" w:hAnsi="宋体" w:cs="宋体" w:eastAsia="宋体" w:hint="default"/>
                <w:w w:val="100"/>
                <w:sz w:val="20"/>
                <w:szCs w:val="20"/>
              </w:rPr>
              <w:t> </w:t>
            </w:r>
            <w:r>
              <w:rPr>
                <w:rFonts w:ascii="宋体" w:hAnsi="宋体" w:cs="宋体" w:eastAsia="宋体" w:hint="default"/>
                <w:sz w:val="20"/>
                <w:szCs w:val="20"/>
              </w:rPr>
              <w:t>入当期损益的</w:t>
            </w:r>
            <w:r>
              <w:rPr>
                <w:rFonts w:ascii="宋体" w:hAnsi="宋体" w:cs="宋体" w:eastAsia="宋体" w:hint="default"/>
                <w:w w:val="100"/>
                <w:sz w:val="20"/>
                <w:szCs w:val="20"/>
              </w:rPr>
              <w:t> </w:t>
            </w:r>
            <w:r>
              <w:rPr>
                <w:rFonts w:ascii="宋体" w:hAnsi="宋体" w:cs="宋体" w:eastAsia="宋体" w:hint="default"/>
                <w:spacing w:val="-7"/>
                <w:sz w:val="20"/>
                <w:szCs w:val="20"/>
              </w:rPr>
              <w:t>金融资产（不含</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衍生金融资产）</w:t>
            </w:r>
          </w:p>
        </w:tc>
        <w:tc>
          <w:tcPr>
            <w:tcW w:w="1018"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pacing w:val="-1"/>
                <w:sz w:val="20"/>
              </w:rPr>
              <w:t>2,644,705</w:t>
            </w:r>
          </w:p>
        </w:tc>
        <w:tc>
          <w:tcPr>
            <w:tcW w:w="1209"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-49,618</w:t>
            </w:r>
          </w:p>
        </w:tc>
        <w:tc>
          <w:tcPr>
            <w:tcW w:w="121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100"/>
                <w:sz w:val="20"/>
              </w:rPr>
              <w:t>-</w:t>
            </w:r>
          </w:p>
        </w:tc>
        <w:tc>
          <w:tcPr>
            <w:tcW w:w="109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20"/>
                <w:szCs w:val="20"/>
              </w:rPr>
            </w:pPr>
            <w:r>
              <w:rPr>
                <w:rFonts w:ascii="Times New Roman"/>
                <w:w w:val="100"/>
                <w:sz w:val="20"/>
              </w:rPr>
              <w:t>-</w:t>
            </w:r>
          </w:p>
        </w:tc>
        <w:tc>
          <w:tcPr>
            <w:tcW w:w="1280"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11,917,784</w:t>
            </w:r>
          </w:p>
        </w:tc>
        <w:tc>
          <w:tcPr>
            <w:tcW w:w="1267"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-13,834,000</w:t>
            </w:r>
          </w:p>
        </w:tc>
        <w:tc>
          <w:tcPr>
            <w:tcW w:w="107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678,871</w:t>
            </w:r>
          </w:p>
        </w:tc>
      </w:tr>
      <w:tr>
        <w:trPr>
          <w:trHeight w:val="269"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衍生金融资产</w:t>
            </w:r>
          </w:p>
        </w:tc>
        <w:tc>
          <w:tcPr>
            <w:tcW w:w="1018" w:type="dxa"/>
            <w:tcBorders>
              <w:top w:val="single" w:sz="4" w:space="0" w:color="000000"/>
              <w:left w:val="single" w:sz="13" w:space="0" w:color="D2D2D2"/>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可供出售金融</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1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5"/>
              <w:jc w:val="right"/>
              <w:rPr>
                <w:rFonts w:ascii="Times New Roman" w:hAnsi="Times New Roman" w:cs="Times New Roman" w:eastAsia="Times New Roman" w:hint="default"/>
                <w:sz w:val="20"/>
                <w:szCs w:val="20"/>
              </w:rPr>
            </w:pPr>
            <w:r>
              <w:rPr>
                <w:rFonts w:ascii="Times New Roman"/>
                <w:spacing w:val="-1"/>
                <w:sz w:val="20"/>
              </w:rPr>
              <w:t>2,258,150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w w:val="100"/>
                <w:sz w:val="20"/>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2"/>
                <w:sz w:val="20"/>
              </w:rPr>
              <w:t>211,530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
              <w:jc w:val="right"/>
              <w:rPr>
                <w:rFonts w:ascii="Times New Roman" w:hAnsi="Times New Roman" w:cs="Times New Roman" w:eastAsia="Times New Roman" w:hint="default"/>
                <w:sz w:val="20"/>
                <w:szCs w:val="20"/>
              </w:rPr>
            </w:pPr>
            <w:r>
              <w:rPr>
                <w:rFonts w:ascii="Times New Roman"/>
                <w:w w:val="100"/>
                <w:sz w:val="20"/>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48,816,497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-47,965,197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3,320,980</w:t>
            </w:r>
          </w:p>
        </w:tc>
      </w:tr>
      <w:tr>
        <w:trPr>
          <w:trHeight w:val="269"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金融资产小计</w:t>
            </w:r>
          </w:p>
        </w:tc>
        <w:tc>
          <w:tcPr>
            <w:tcW w:w="1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5"/>
              <w:jc w:val="right"/>
              <w:rPr>
                <w:rFonts w:ascii="Times New Roman" w:hAnsi="Times New Roman" w:cs="Times New Roman" w:eastAsia="Times New Roman" w:hint="default"/>
                <w:sz w:val="20"/>
                <w:szCs w:val="20"/>
              </w:rPr>
            </w:pPr>
            <w:r>
              <w:rPr>
                <w:rFonts w:ascii="Times New Roman"/>
                <w:spacing w:val="-1"/>
                <w:sz w:val="20"/>
              </w:rPr>
              <w:t>4,902,855</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0"/>
                <w:szCs w:val="20"/>
              </w:rPr>
            </w:pPr>
            <w:r>
              <w:rPr>
                <w:rFonts w:ascii="Times New Roman"/>
                <w:spacing w:val="-1"/>
                <w:sz w:val="20"/>
              </w:rPr>
              <w:t>-49,618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0"/>
                <w:szCs w:val="20"/>
              </w:rPr>
            </w:pPr>
            <w:r>
              <w:rPr>
                <w:rFonts w:ascii="Times New Roman"/>
                <w:spacing w:val="-2"/>
                <w:sz w:val="20"/>
              </w:rPr>
              <w:t>211,530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
              <w:jc w:val="right"/>
              <w:rPr>
                <w:rFonts w:ascii="Times New Roman" w:hAnsi="Times New Roman" w:cs="Times New Roman" w:eastAsia="Times New Roman" w:hint="default"/>
                <w:sz w:val="20"/>
                <w:szCs w:val="20"/>
              </w:rPr>
            </w:pPr>
            <w:r>
              <w:rPr>
                <w:rFonts w:ascii="Times New Roman"/>
                <w:w w:val="100"/>
                <w:sz w:val="20"/>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0"/>
                <w:szCs w:val="20"/>
              </w:rPr>
            </w:pPr>
            <w:r>
              <w:rPr>
                <w:rFonts w:ascii="Times New Roman"/>
                <w:spacing w:val="-1"/>
                <w:sz w:val="20"/>
              </w:rPr>
              <w:t>60,734,281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0"/>
                <w:szCs w:val="20"/>
              </w:rPr>
            </w:pPr>
            <w:r>
              <w:rPr>
                <w:rFonts w:ascii="Times New Roman"/>
                <w:spacing w:val="-1"/>
                <w:sz w:val="20"/>
              </w:rPr>
              <w:t>-61,799,197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0"/>
                <w:szCs w:val="20"/>
              </w:rPr>
            </w:pPr>
            <w:r>
              <w:rPr>
                <w:rFonts w:ascii="Times New Roman"/>
                <w:spacing w:val="-1"/>
                <w:sz w:val="20"/>
              </w:rPr>
              <w:t>3,999,851</w:t>
            </w:r>
          </w:p>
        </w:tc>
      </w:tr>
      <w:tr>
        <w:trPr>
          <w:trHeight w:val="27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018" w:type="dxa"/>
            <w:tcBorders>
              <w:top w:val="single" w:sz="4" w:space="0" w:color="000000"/>
              <w:left w:val="single" w:sz="13" w:space="0" w:color="D2D2D2"/>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z w:val="20"/>
                <w:szCs w:val="20"/>
              </w:rPr>
              <w:t>生产性生物资</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018" w:type="dxa"/>
            <w:tcBorders>
              <w:top w:val="single" w:sz="4" w:space="0" w:color="000000"/>
              <w:left w:val="single" w:sz="13" w:space="0" w:color="D2D2D2"/>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018" w:type="dxa"/>
            <w:tcBorders>
              <w:top w:val="single" w:sz="4" w:space="0" w:color="000000"/>
              <w:left w:val="single" w:sz="13" w:space="0" w:color="D2D2D2"/>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上述合计</w:t>
            </w:r>
          </w:p>
        </w:tc>
        <w:tc>
          <w:tcPr>
            <w:tcW w:w="1018"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1"/>
              <w:ind w:right="25"/>
              <w:jc w:val="right"/>
              <w:rPr>
                <w:rFonts w:ascii="Times New Roman" w:hAnsi="Times New Roman" w:cs="Times New Roman" w:eastAsia="Times New Roman" w:hint="default"/>
                <w:sz w:val="20"/>
                <w:szCs w:val="20"/>
              </w:rPr>
            </w:pPr>
            <w:r>
              <w:rPr>
                <w:rFonts w:ascii="Times New Roman"/>
                <w:spacing w:val="-1"/>
                <w:sz w:val="20"/>
              </w:rPr>
              <w:t>4,902,855</w:t>
            </w:r>
          </w:p>
        </w:tc>
        <w:tc>
          <w:tcPr>
            <w:tcW w:w="120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0"/>
                <w:szCs w:val="20"/>
              </w:rPr>
            </w:pPr>
            <w:r>
              <w:rPr>
                <w:rFonts w:ascii="Times New Roman"/>
                <w:spacing w:val="-1"/>
                <w:sz w:val="20"/>
              </w:rPr>
              <w:t>-49,618</w:t>
            </w:r>
          </w:p>
        </w:tc>
        <w:tc>
          <w:tcPr>
            <w:tcW w:w="121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0"/>
                <w:szCs w:val="20"/>
              </w:rPr>
            </w:pPr>
            <w:r>
              <w:rPr>
                <w:rFonts w:ascii="Times New Roman"/>
                <w:spacing w:val="-2"/>
                <w:sz w:val="20"/>
              </w:rPr>
              <w:t>211,530</w:t>
            </w:r>
          </w:p>
        </w:tc>
        <w:tc>
          <w:tcPr>
            <w:tcW w:w="109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1"/>
              <w:ind w:right="16"/>
              <w:jc w:val="right"/>
              <w:rPr>
                <w:rFonts w:ascii="Times New Roman" w:hAnsi="Times New Roman" w:cs="Times New Roman" w:eastAsia="Times New Roman" w:hint="default"/>
                <w:sz w:val="20"/>
                <w:szCs w:val="20"/>
              </w:rPr>
            </w:pPr>
            <w:r>
              <w:rPr>
                <w:rFonts w:ascii="Times New Roman"/>
                <w:w w:val="100"/>
                <w:sz w:val="20"/>
              </w:rPr>
              <w:t>-</w:t>
            </w:r>
          </w:p>
        </w:tc>
        <w:tc>
          <w:tcPr>
            <w:tcW w:w="128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0"/>
                <w:szCs w:val="20"/>
              </w:rPr>
            </w:pPr>
            <w:r>
              <w:rPr>
                <w:rFonts w:ascii="Times New Roman"/>
                <w:spacing w:val="-1"/>
                <w:sz w:val="20"/>
              </w:rPr>
              <w:t>60,734,281</w:t>
            </w:r>
          </w:p>
        </w:tc>
        <w:tc>
          <w:tcPr>
            <w:tcW w:w="12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0"/>
                <w:szCs w:val="20"/>
              </w:rPr>
            </w:pPr>
            <w:r>
              <w:rPr>
                <w:rFonts w:ascii="Times New Roman"/>
                <w:spacing w:val="-1"/>
                <w:sz w:val="20"/>
              </w:rPr>
              <w:t>-61,799,197</w:t>
            </w:r>
          </w:p>
        </w:tc>
        <w:tc>
          <w:tcPr>
            <w:tcW w:w="107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0"/>
                <w:szCs w:val="20"/>
              </w:rPr>
            </w:pPr>
            <w:r>
              <w:rPr>
                <w:rFonts w:ascii="Times New Roman"/>
                <w:spacing w:val="-1"/>
                <w:sz w:val="20"/>
              </w:rPr>
              <w:t>3,999,851</w:t>
            </w:r>
          </w:p>
        </w:tc>
      </w:tr>
      <w:tr>
        <w:trPr>
          <w:trHeight w:val="25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81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5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1"/>
              <w:ind w:left="22" w:right="183"/>
              <w:jc w:val="both"/>
              <w:rPr>
                <w:rFonts w:ascii="宋体" w:hAnsi="宋体" w:cs="宋体" w:eastAsia="宋体" w:hint="default"/>
                <w:sz w:val="20"/>
                <w:szCs w:val="20"/>
              </w:rPr>
            </w:pPr>
            <w:r>
              <w:rPr>
                <w:rFonts w:ascii="宋体" w:hAnsi="宋体" w:cs="宋体" w:eastAsia="宋体" w:hint="default"/>
                <w:sz w:val="20"/>
                <w:szCs w:val="20"/>
              </w:rPr>
              <w:t>以公允价值计</w:t>
            </w:r>
            <w:r>
              <w:rPr>
                <w:rFonts w:ascii="宋体" w:hAnsi="宋体" w:cs="宋体" w:eastAsia="宋体" w:hint="default"/>
                <w:w w:val="100"/>
                <w:sz w:val="20"/>
                <w:szCs w:val="20"/>
              </w:rPr>
              <w:t> </w:t>
            </w:r>
            <w:r>
              <w:rPr>
                <w:rFonts w:ascii="宋体" w:hAnsi="宋体" w:cs="宋体" w:eastAsia="宋体" w:hint="default"/>
                <w:sz w:val="20"/>
                <w:szCs w:val="20"/>
              </w:rPr>
              <w:t>量且其变动计</w:t>
            </w:r>
            <w:r>
              <w:rPr>
                <w:rFonts w:ascii="宋体" w:hAnsi="宋体" w:cs="宋体" w:eastAsia="宋体" w:hint="default"/>
                <w:w w:val="100"/>
                <w:sz w:val="20"/>
                <w:szCs w:val="20"/>
              </w:rPr>
              <w:t> </w:t>
            </w:r>
            <w:r>
              <w:rPr>
                <w:rFonts w:ascii="宋体" w:hAnsi="宋体" w:cs="宋体" w:eastAsia="宋体" w:hint="default"/>
                <w:sz w:val="20"/>
                <w:szCs w:val="20"/>
              </w:rPr>
              <w:t>入当期损益的</w:t>
            </w:r>
          </w:p>
          <w:p>
            <w:pPr>
              <w:pStyle w:val="TableParagraph"/>
              <w:spacing w:line="236" w:lineRule="exact"/>
              <w:ind w:left="22" w:right="0"/>
              <w:jc w:val="both"/>
              <w:rPr>
                <w:rFonts w:ascii="宋体" w:hAnsi="宋体" w:cs="宋体" w:eastAsia="宋体" w:hint="default"/>
                <w:sz w:val="20"/>
                <w:szCs w:val="20"/>
              </w:rPr>
            </w:pPr>
            <w:r>
              <w:rPr>
                <w:rFonts w:ascii="宋体" w:hAnsi="宋体" w:cs="宋体" w:eastAsia="宋体" w:hint="default"/>
                <w:sz w:val="20"/>
                <w:szCs w:val="20"/>
              </w:rPr>
              <w:t>金融负债</w:t>
            </w:r>
          </w:p>
        </w:tc>
        <w:tc>
          <w:tcPr>
            <w:tcW w:w="1018"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before="1"/>
              <w:ind w:right="24"/>
              <w:jc w:val="right"/>
              <w:rPr>
                <w:rFonts w:ascii="Times New Roman" w:hAnsi="Times New Roman" w:cs="Times New Roman" w:eastAsia="Times New Roman" w:hint="default"/>
                <w:sz w:val="20"/>
                <w:szCs w:val="20"/>
              </w:rPr>
            </w:pPr>
            <w:r>
              <w:rPr>
                <w:rFonts w:ascii="Times New Roman"/>
                <w:spacing w:val="-1"/>
                <w:sz w:val="20"/>
              </w:rPr>
              <w:t>137,200</w:t>
            </w:r>
          </w:p>
        </w:tc>
        <w:tc>
          <w:tcPr>
            <w:tcW w:w="1209"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20"/>
                <w:szCs w:val="20"/>
              </w:rPr>
            </w:pPr>
            <w:r>
              <w:rPr>
                <w:rFonts w:ascii="Times New Roman"/>
                <w:spacing w:val="-1"/>
                <w:sz w:val="20"/>
              </w:rPr>
              <w:t>-58,020</w:t>
            </w:r>
          </w:p>
        </w:tc>
        <w:tc>
          <w:tcPr>
            <w:tcW w:w="121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20"/>
                <w:szCs w:val="20"/>
              </w:rPr>
            </w:pPr>
            <w:r>
              <w:rPr>
                <w:rFonts w:ascii="Times New Roman"/>
                <w:w w:val="100"/>
                <w:sz w:val="20"/>
              </w:rPr>
              <w:t>-</w:t>
            </w:r>
          </w:p>
        </w:tc>
        <w:tc>
          <w:tcPr>
            <w:tcW w:w="109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
              <w:ind w:right="16"/>
              <w:jc w:val="right"/>
              <w:rPr>
                <w:rFonts w:ascii="Times New Roman" w:hAnsi="Times New Roman" w:cs="Times New Roman" w:eastAsia="Times New Roman" w:hint="default"/>
                <w:sz w:val="20"/>
                <w:szCs w:val="20"/>
              </w:rPr>
            </w:pPr>
            <w:r>
              <w:rPr>
                <w:rFonts w:ascii="Times New Roman"/>
                <w:w w:val="100"/>
                <w:sz w:val="20"/>
              </w:rPr>
              <w:t>-</w:t>
            </w:r>
          </w:p>
        </w:tc>
        <w:tc>
          <w:tcPr>
            <w:tcW w:w="1280"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20"/>
                <w:szCs w:val="20"/>
              </w:rPr>
            </w:pPr>
            <w:r>
              <w:rPr>
                <w:rFonts w:ascii="Times New Roman"/>
                <w:spacing w:val="-1"/>
                <w:sz w:val="20"/>
              </w:rPr>
              <w:t>26,130</w:t>
            </w:r>
          </w:p>
        </w:tc>
        <w:tc>
          <w:tcPr>
            <w:tcW w:w="1267"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20"/>
                <w:szCs w:val="20"/>
              </w:rPr>
            </w:pPr>
            <w:r>
              <w:rPr>
                <w:rFonts w:ascii="Times New Roman"/>
                <w:spacing w:val="-1"/>
                <w:sz w:val="20"/>
              </w:rPr>
              <w:t>-90,400</w:t>
            </w:r>
          </w:p>
        </w:tc>
        <w:tc>
          <w:tcPr>
            <w:tcW w:w="107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20"/>
                <w:szCs w:val="20"/>
              </w:rPr>
            </w:pPr>
            <w:r>
              <w:rPr>
                <w:rFonts w:ascii="Times New Roman"/>
                <w:spacing w:val="-1"/>
                <w:sz w:val="20"/>
              </w:rPr>
              <w:t>14,910</w:t>
            </w:r>
          </w:p>
        </w:tc>
      </w:tr>
      <w:tr>
        <w:trPr>
          <w:trHeight w:val="529"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z w:val="20"/>
                <w:szCs w:val="20"/>
              </w:rPr>
              <w:t>其他非流动负</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债</w:t>
            </w:r>
          </w:p>
        </w:tc>
        <w:tc>
          <w:tcPr>
            <w:tcW w:w="1018" w:type="dxa"/>
            <w:tcBorders>
              <w:top w:val="single" w:sz="4" w:space="0" w:color="000000"/>
              <w:left w:val="single" w:sz="13" w:space="0" w:color="D2D2D2"/>
              <w:bottom w:val="single" w:sz="4" w:space="0" w:color="000000"/>
              <w:right w:val="single" w:sz="4" w:space="0" w:color="000000"/>
            </w:tcBorders>
          </w:tcPr>
          <w:p>
            <w:pPr>
              <w:pStyle w:val="TableParagraph"/>
              <w:spacing w:line="227" w:lineRule="exact"/>
              <w:ind w:right="25"/>
              <w:jc w:val="right"/>
              <w:rPr>
                <w:rFonts w:ascii="Times New Roman" w:hAnsi="Times New Roman" w:cs="Times New Roman" w:eastAsia="Times New Roman" w:hint="default"/>
                <w:sz w:val="20"/>
                <w:szCs w:val="20"/>
              </w:rPr>
            </w:pPr>
            <w:r>
              <w:rPr>
                <w:rFonts w:ascii="Times New Roman"/>
                <w:spacing w:val="-1"/>
                <w:sz w:val="20"/>
              </w:rPr>
              <w:t>4,873</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1"/>
              <w:jc w:val="right"/>
              <w:rPr>
                <w:rFonts w:ascii="Times New Roman" w:hAnsi="Times New Roman" w:cs="Times New Roman" w:eastAsia="Times New Roman" w:hint="default"/>
                <w:sz w:val="20"/>
                <w:szCs w:val="20"/>
              </w:rPr>
            </w:pPr>
            <w:r>
              <w:rPr>
                <w:rFonts w:ascii="Times New Roman"/>
                <w:spacing w:val="-1"/>
                <w:sz w:val="20"/>
              </w:rPr>
              <w:t>15,626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w w:val="100"/>
                <w:sz w:val="20"/>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6"/>
              <w:jc w:val="right"/>
              <w:rPr>
                <w:rFonts w:ascii="Times New Roman" w:hAnsi="Times New Roman" w:cs="Times New Roman" w:eastAsia="Times New Roman" w:hint="default"/>
                <w:sz w:val="20"/>
                <w:szCs w:val="20"/>
              </w:rPr>
            </w:pPr>
            <w:r>
              <w:rPr>
                <w:rFonts w:ascii="Times New Roman"/>
                <w:w w:val="100"/>
                <w:sz w:val="20"/>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w w:val="100"/>
                <w:sz w:val="20"/>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1"/>
              <w:jc w:val="right"/>
              <w:rPr>
                <w:rFonts w:ascii="Times New Roman" w:hAnsi="Times New Roman" w:cs="Times New Roman" w:eastAsia="Times New Roman" w:hint="default"/>
                <w:sz w:val="20"/>
                <w:szCs w:val="20"/>
              </w:rPr>
            </w:pPr>
            <w:r>
              <w:rPr>
                <w:rFonts w:ascii="Times New Roman"/>
                <w:w w:val="100"/>
                <w:sz w:val="20"/>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pacing w:val="-1"/>
                <w:sz w:val="20"/>
              </w:rPr>
              <w:t>20,499</w:t>
            </w:r>
          </w:p>
        </w:tc>
      </w:tr>
    </w:tbl>
    <w:p>
      <w:pPr>
        <w:spacing w:line="240" w:lineRule="auto" w:before="1"/>
        <w:rPr>
          <w:rFonts w:ascii="宋体" w:hAnsi="宋体" w:cs="宋体" w:eastAsia="宋体" w:hint="default"/>
          <w:sz w:val="14"/>
          <w:szCs w:val="14"/>
        </w:rPr>
      </w:pPr>
    </w:p>
    <w:p>
      <w:pPr>
        <w:pStyle w:val="BodyText"/>
        <w:spacing w:line="287" w:lineRule="exact" w:before="31"/>
        <w:ind w:left="214" w:right="1019"/>
        <w:jc w:val="left"/>
      </w:pPr>
      <w:r>
        <w:rPr/>
        <w:t>报告期内公司主要资产计量属性是否发生重大变化</w:t>
      </w:r>
    </w:p>
    <w:p>
      <w:pPr>
        <w:spacing w:line="470" w:lineRule="auto" w:before="0"/>
        <w:ind w:left="213" w:right="882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 </w:t>
      </w:r>
      <w:r>
        <w:rPr>
          <w:rFonts w:ascii="宋体" w:hAnsi="宋体" w:cs="宋体" w:eastAsia="宋体" w:hint="default"/>
          <w:sz w:val="22"/>
          <w:szCs w:val="22"/>
        </w:rPr>
        <w:t>是 </w:t>
      </w: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53"/>
          <w:sz w:val="22"/>
          <w:szCs w:val="22"/>
        </w:rPr>
        <w:t> </w:t>
      </w:r>
      <w:r>
        <w:rPr>
          <w:rFonts w:ascii="宋体" w:hAnsi="宋体" w:cs="宋体" w:eastAsia="宋体" w:hint="default"/>
          <w:sz w:val="22"/>
          <w:szCs w:val="22"/>
        </w:rPr>
        <w:t>否</w:t>
      </w:r>
      <w:r>
        <w:rPr>
          <w:rFonts w:ascii="宋体" w:hAnsi="宋体" w:cs="宋体" w:eastAsia="宋体" w:hint="default"/>
          <w:w w:val="99"/>
          <w:sz w:val="22"/>
          <w:szCs w:val="22"/>
        </w:rPr>
        <w:t> </w:t>
      </w:r>
      <w:bookmarkStart w:name="五、投资状况分析" w:id="44"/>
      <w:bookmarkEnd w:id="44"/>
      <w:r>
        <w:rPr>
          <w:rFonts w:ascii="宋体" w:hAnsi="宋体" w:cs="宋体" w:eastAsia="宋体" w:hint="default"/>
          <w:w w:val="99"/>
          <w:sz w:val="22"/>
          <w:szCs w:val="22"/>
        </w:rPr>
      </w: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bookmarkStart w:name="1、总体情况" w:id="45"/>
      <w:bookmarkEnd w:id="45"/>
      <w:r>
        <w:rPr>
          <w:rFonts w:ascii="宋体" w:hAnsi="宋体" w:cs="宋体" w:eastAsia="宋体" w:hint="default"/>
          <w:b/>
          <w:bCs/>
          <w:w w:val="99"/>
          <w:sz w:val="24"/>
          <w:szCs w:val="24"/>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、总体情况</w:t>
      </w:r>
      <w:r>
        <w:rPr>
          <w:rFonts w:ascii="宋体" w:hAnsi="宋体" w:cs="宋体" w:eastAsia="宋体" w:hint="default"/>
          <w:sz w:val="22"/>
          <w:szCs w:val="22"/>
        </w:rPr>
      </w:r>
    </w:p>
    <w:p>
      <w:pPr>
        <w:pStyle w:val="BodyText"/>
        <w:spacing w:line="240" w:lineRule="auto" w:before="97"/>
        <w:ind w:left="0" w:right="1130"/>
        <w:jc w:val="right"/>
      </w:pPr>
      <w:r>
        <w:rPr/>
        <w:t>单位：亿元</w:t>
      </w:r>
    </w:p>
    <w:p>
      <w:pPr>
        <w:spacing w:line="240" w:lineRule="auto" w:before="4"/>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1"/>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报告期投资额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上年同期投资额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151"/>
              <w:jc w:val="right"/>
              <w:rPr>
                <w:rFonts w:ascii="宋体" w:hAnsi="宋体" w:cs="宋体" w:eastAsia="宋体" w:hint="default"/>
                <w:sz w:val="22"/>
                <w:szCs w:val="22"/>
              </w:rPr>
            </w:pPr>
            <w:r>
              <w:rPr>
                <w:rFonts w:ascii="宋体" w:hAnsi="宋体" w:cs="宋体" w:eastAsia="宋体" w:hint="default"/>
                <w:w w:val="95"/>
                <w:sz w:val="22"/>
                <w:szCs w:val="22"/>
              </w:rPr>
              <w:t>变动幅度</w:t>
            </w:r>
            <w:r>
              <w:rPr>
                <w:rFonts w:ascii="宋体" w:hAnsi="宋体" w:cs="宋体" w:eastAsia="宋体" w:hint="default"/>
                <w:sz w:val="22"/>
                <w:szCs w:val="22"/>
              </w:rPr>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12.90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11"/>
              <w:jc w:val="right"/>
              <w:rPr>
                <w:rFonts w:ascii="Times New Roman" w:hAnsi="Times New Roman" w:cs="Times New Roman" w:eastAsia="Times New Roman" w:hint="default"/>
                <w:sz w:val="22"/>
                <w:szCs w:val="22"/>
              </w:rPr>
            </w:pPr>
            <w:r>
              <w:rPr>
                <w:rFonts w:ascii="Times New Roman"/>
                <w:w w:val="95"/>
                <w:sz w:val="22"/>
              </w:rPr>
              <w:t>-60.47%</w:t>
            </w:r>
            <w:r>
              <w:rPr>
                <w:rFonts w:ascii="Times New Roman"/>
                <w:sz w:val="22"/>
              </w:rPr>
            </w:r>
          </w:p>
        </w:tc>
      </w:tr>
    </w:tbl>
    <w:p>
      <w:pPr>
        <w:spacing w:line="240" w:lineRule="auto" w:before="8"/>
        <w:rPr>
          <w:rFonts w:ascii="宋体" w:hAnsi="宋体" w:cs="宋体" w:eastAsia="宋体" w:hint="default"/>
          <w:sz w:val="9"/>
          <w:szCs w:val="9"/>
        </w:rPr>
      </w:pPr>
    </w:p>
    <w:p>
      <w:pPr>
        <w:pStyle w:val="BodyText"/>
        <w:spacing w:line="240" w:lineRule="auto" w:before="31"/>
        <w:ind w:left="214" w:right="1019"/>
        <w:jc w:val="left"/>
      </w:pPr>
      <w:r>
        <w:rPr/>
        <w:t>说明：</w:t>
      </w:r>
    </w:p>
    <w:p>
      <w:pPr>
        <w:spacing w:before="165"/>
        <w:ind w:left="213" w:right="1019" w:firstLine="0"/>
        <w:jc w:val="left"/>
        <w:rPr>
          <w:rFonts w:ascii="宋体" w:hAnsi="宋体" w:cs="宋体" w:eastAsia="宋体" w:hint="default"/>
          <w:sz w:val="21"/>
          <w:szCs w:val="21"/>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z w:val="21"/>
          <w:szCs w:val="21"/>
        </w:rPr>
        <w:t>报告期内，公司发起设立子公司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家，合计投入实收资本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18,094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万元，具体公司明细如下：</w:t>
      </w:r>
    </w:p>
    <w:p>
      <w:pPr>
        <w:spacing w:line="240" w:lineRule="auto" w:before="4"/>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322"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b/>
                <w:bCs/>
                <w:sz w:val="22"/>
                <w:szCs w:val="22"/>
              </w:rPr>
              <w:t>权益占比</w:t>
            </w:r>
            <w:r>
              <w:rPr>
                <w:rFonts w:ascii="宋体" w:hAnsi="宋体" w:cs="宋体" w:eastAsia="宋体" w:hint="default"/>
                <w:sz w:val="22"/>
                <w:szCs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南通苏宁云商商贸有限公司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张家界苏宁云商有限公司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雅安苏宁云商销售有限公司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本溪苏宁云商销售有限公司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322"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b/>
                <w:bCs/>
                <w:sz w:val="22"/>
                <w:szCs w:val="22"/>
              </w:rPr>
              <w:t>权益占比</w:t>
            </w:r>
            <w:r>
              <w:rPr>
                <w:rFonts w:ascii="宋体" w:hAnsi="宋体" w:cs="宋体" w:eastAsia="宋体" w:hint="default"/>
                <w:sz w:val="22"/>
                <w:szCs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临夏州苏宁云商销售有限公司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双鸭山苏宁云商有限公司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三门峡苏宁云商销售有限公司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仙桃苏宁云商销售有限公司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潜江苏宁云商销售有限公司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文山苏宁云商销售有限公司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黔东南州苏宁云商销售有限公司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江苏苏宁股权众筹服务有限公司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南京苏宁基金销售有限公司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江苏苏宁征信服务有限公司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南京苏宁富宝投资管理有限公司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苏宁云商集团南京苏宁易购投资有限公司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杭州苏宁易购商业运营管理有限公司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上海苏宁信息技术有限公司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芜湖苏宁易达物流投资有限公司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郑州苏宁物流有限公司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平顶山苏宁物流有限公司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深圳苏宁易达物流投资有限公司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江苏苏宁报关代理服务有限公司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宁波苏宁易达物流投资有限公司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郑州苏宁易达物流有限公司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2"/>
                <w:szCs w:val="22"/>
              </w:rPr>
            </w:pPr>
            <w:r>
              <w:rPr>
                <w:rFonts w:ascii="Times New Roman"/>
                <w:sz w:val="22"/>
              </w:rPr>
              <w:t>Shiny Lion</w:t>
            </w:r>
            <w:r>
              <w:rPr>
                <w:rFonts w:ascii="Times New Roman"/>
                <w:spacing w:val="-4"/>
                <w:sz w:val="22"/>
              </w:rPr>
              <w:t> </w:t>
            </w:r>
            <w:r>
              <w:rPr>
                <w:rFonts w:ascii="Times New Roman"/>
                <w:sz w:val="22"/>
              </w:rPr>
              <w:t>Limited</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left="654" w:right="1019"/>
        <w:jc w:val="left"/>
      </w:pPr>
      <w:r>
        <w:rPr/>
        <w:t>（</w:t>
      </w:r>
      <w:r>
        <w:rPr>
          <w:rFonts w:ascii="Times New Roman" w:hAnsi="Times New Roman" w:cs="Times New Roman" w:eastAsia="Times New Roman" w:hint="default"/>
        </w:rPr>
        <w:t>2</w:t>
      </w:r>
      <w:r>
        <w:rPr/>
        <w:t>）报告期内，公司及控股子公司投资情况</w:t>
      </w:r>
    </w:p>
    <w:p>
      <w:pPr>
        <w:pStyle w:val="BodyText"/>
        <w:spacing w:line="240" w:lineRule="auto" w:before="163"/>
        <w:ind w:left="654" w:right="1019"/>
        <w:jc w:val="left"/>
      </w:pPr>
      <w:r>
        <w:rPr>
          <w:rFonts w:ascii="Wingdings" w:hAnsi="Wingdings" w:cs="Wingdings" w:eastAsia="Wingdings" w:hint="default"/>
        </w:rPr>
        <w:t></w:t>
      </w:r>
      <w:r>
        <w:rPr/>
        <w:t>公司控股子公司投资情况</w:t>
      </w:r>
    </w:p>
    <w:p>
      <w:pPr>
        <w:pStyle w:val="BodyText"/>
        <w:spacing w:line="369" w:lineRule="auto" w:before="164"/>
        <w:ind w:left="213" w:right="1019" w:firstLine="440"/>
        <w:jc w:val="left"/>
      </w:pPr>
      <w:r>
        <w:rPr>
          <w:w w:val="99"/>
        </w:rPr>
        <w:t>①</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3"/>
          <w:w w:val="99"/>
        </w:rPr>
        <w:t> </w:t>
      </w:r>
      <w:r>
        <w:rPr>
          <w:w w:val="99"/>
        </w:rPr>
        <w:t>年</w:t>
      </w:r>
      <w:r>
        <w:rPr>
          <w:spacing w:val="-59"/>
          <w:w w:val="99"/>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4"/>
          <w:w w:val="99"/>
        </w:rPr>
        <w:t> </w:t>
      </w:r>
      <w:r>
        <w:rPr>
          <w:spacing w:val="-28"/>
          <w:w w:val="99"/>
        </w:rPr>
        <w:t>月，日本</w:t>
      </w:r>
      <w:r>
        <w:rPr>
          <w:spacing w:val="-58"/>
          <w:w w:val="99"/>
        </w:rPr>
        <w:t> </w:t>
      </w:r>
      <w:r>
        <w:rPr>
          <w:rFonts w:ascii="Times New Roman" w:hAnsi="Times New Roman" w:cs="Times New Roman" w:eastAsia="Times New Roman" w:hint="default"/>
          <w:w w:val="99"/>
        </w:rPr>
        <w:t>LAOX</w:t>
      </w:r>
      <w:r>
        <w:rPr>
          <w:rFonts w:ascii="Times New Roman" w:hAnsi="Times New Roman" w:cs="Times New Roman" w:eastAsia="Times New Roman" w:hint="default"/>
          <w:spacing w:val="-4"/>
          <w:w w:val="99"/>
        </w:rPr>
        <w:t> </w:t>
      </w:r>
      <w:r>
        <w:rPr>
          <w:w w:val="99"/>
        </w:rPr>
        <w:t>株式会社向</w:t>
      </w:r>
      <w:r>
        <w:rPr>
          <w:spacing w:val="-58"/>
          <w:w w:val="99"/>
        </w:rPr>
        <w:t> </w:t>
      </w:r>
      <w:r>
        <w:rPr>
          <w:rFonts w:ascii="Times New Roman" w:hAnsi="Times New Roman" w:cs="Times New Roman" w:eastAsia="Times New Roman" w:hint="default"/>
          <w:w w:val="99"/>
        </w:rPr>
        <w:t>MODE</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w w:val="99"/>
        </w:rPr>
        <w:t>ET</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w w:val="99"/>
        </w:rPr>
        <w:t>JACOMO</w:t>
      </w:r>
      <w:r>
        <w:rPr>
          <w:rFonts w:ascii="Times New Roman" w:hAnsi="Times New Roman" w:cs="Times New Roman" w:eastAsia="Times New Roman" w:hint="default"/>
          <w:spacing w:val="-4"/>
          <w:w w:val="99"/>
        </w:rPr>
        <w:t> </w:t>
      </w:r>
      <w:r>
        <w:rPr>
          <w:w w:val="99"/>
        </w:rPr>
        <w:t>的原股东收购了其持有的</w:t>
      </w:r>
      <w:r>
        <w:rPr>
          <w:spacing w:val="-57"/>
          <w:w w:val="99"/>
        </w:rPr>
        <w:t> </w:t>
      </w:r>
      <w:r>
        <w:rPr>
          <w:rFonts w:ascii="Times New Roman" w:hAnsi="Times New Roman" w:cs="Times New Roman" w:eastAsia="Times New Roman" w:hint="default"/>
          <w:w w:val="99"/>
        </w:rPr>
        <w:t>MODE</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w w:val="99"/>
        </w:rPr>
        <w:t>ET</w:t>
      </w:r>
      <w:r>
        <w:rPr>
          <w:rFonts w:ascii="Times New Roman" w:hAnsi="Times New Roman" w:cs="Times New Roman" w:eastAsia="Times New Roman" w:hint="default"/>
          <w:w w:val="99"/>
        </w:rPr>
        <w:t> </w:t>
      </w:r>
      <w:r>
        <w:rPr>
          <w:rFonts w:ascii="Times New Roman" w:hAnsi="Times New Roman" w:cs="Times New Roman" w:eastAsia="Times New Roman" w:hint="default"/>
        </w:rPr>
        <w:t>JACOMO</w:t>
      </w:r>
      <w:r>
        <w:rPr>
          <w:rFonts w:ascii="Times New Roman" w:hAnsi="Times New Roman" w:cs="Times New Roman" w:eastAsia="Times New Roman" w:hint="default"/>
          <w:spacing w:val="-2"/>
        </w:rPr>
        <w:t> </w:t>
      </w:r>
      <w:r>
        <w:rPr/>
        <w:t>的</w:t>
      </w:r>
      <w:r>
        <w:rPr>
          <w:spacing w:val="-58"/>
        </w:rPr>
        <w:t> </w:t>
      </w:r>
      <w:r>
        <w:rPr>
          <w:rFonts w:ascii="Times New Roman" w:hAnsi="Times New Roman" w:cs="Times New Roman" w:eastAsia="Times New Roman" w:hint="default"/>
        </w:rPr>
        <w:t>100%</w:t>
      </w:r>
      <w:r>
        <w:rPr/>
        <w:t>股权，本次收购，</w:t>
      </w:r>
      <w:r>
        <w:rPr>
          <w:rFonts w:ascii="Times New Roman" w:hAnsi="Times New Roman" w:cs="Times New Roman" w:eastAsia="Times New Roman" w:hint="default"/>
        </w:rPr>
        <w:t>LAOX</w:t>
      </w:r>
      <w:r>
        <w:rPr>
          <w:rFonts w:ascii="Times New Roman" w:hAnsi="Times New Roman" w:cs="Times New Roman" w:eastAsia="Times New Roman" w:hint="default"/>
          <w:spacing w:val="-2"/>
        </w:rPr>
        <w:t> </w:t>
      </w:r>
      <w:r>
        <w:rPr/>
        <w:t>出资折合人民币</w:t>
      </w:r>
      <w:r>
        <w:rPr>
          <w:spacing w:val="-58"/>
        </w:rPr>
        <w:t> </w:t>
      </w:r>
      <w:r>
        <w:rPr>
          <w:rFonts w:ascii="Times New Roman" w:hAnsi="Times New Roman" w:cs="Times New Roman" w:eastAsia="Times New Roman" w:hint="default"/>
        </w:rPr>
        <w:t>2,101.1</w:t>
      </w:r>
      <w:r>
        <w:rPr>
          <w:rFonts w:ascii="Times New Roman" w:hAnsi="Times New Roman" w:cs="Times New Roman" w:eastAsia="Times New Roman" w:hint="default"/>
          <w:spacing w:val="-4"/>
        </w:rPr>
        <w:t> </w:t>
      </w:r>
      <w:r>
        <w:rPr/>
        <w:t>万元。</w:t>
      </w:r>
    </w:p>
    <w:p>
      <w:pPr>
        <w:pStyle w:val="BodyText"/>
        <w:spacing w:line="369" w:lineRule="auto" w:before="32"/>
        <w:ind w:left="214" w:right="1019" w:firstLine="440"/>
        <w:jc w:val="left"/>
      </w:pPr>
      <w:r>
        <w:rPr/>
        <w:t>②</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月，日本</w:t>
      </w:r>
      <w:r>
        <w:rPr>
          <w:spacing w:val="-58"/>
        </w:rPr>
        <w:t> </w:t>
      </w:r>
      <w:r>
        <w:rPr>
          <w:rFonts w:ascii="Times New Roman" w:hAnsi="Times New Roman" w:cs="Times New Roman" w:eastAsia="Times New Roman" w:hint="default"/>
        </w:rPr>
        <w:t>LAOX</w:t>
      </w:r>
      <w:r>
        <w:rPr>
          <w:rFonts w:ascii="Times New Roman" w:hAnsi="Times New Roman" w:cs="Times New Roman" w:eastAsia="Times New Roman" w:hint="default"/>
          <w:spacing w:val="-3"/>
        </w:rPr>
        <w:t> </w:t>
      </w:r>
      <w:r>
        <w:rPr/>
        <w:t>株式会社参与出资设立</w:t>
      </w:r>
      <w:r>
        <w:rPr>
          <w:spacing w:val="-57"/>
        </w:rPr>
        <w:t> </w:t>
      </w:r>
      <w:r>
        <w:rPr>
          <w:rFonts w:ascii="Times New Roman" w:hAnsi="Times New Roman" w:cs="Times New Roman" w:eastAsia="Times New Roman" w:hint="default"/>
        </w:rPr>
        <w:t>Onward</w:t>
      </w:r>
      <w:r>
        <w:rPr>
          <w:rFonts w:ascii="Times New Roman" w:hAnsi="Times New Roman" w:cs="Times New Roman" w:eastAsia="Times New Roman" w:hint="default"/>
          <w:spacing w:val="-2"/>
        </w:rPr>
        <w:t> </w:t>
      </w:r>
      <w:r>
        <w:rPr>
          <w:rFonts w:ascii="Times New Roman" w:hAnsi="Times New Roman" w:cs="Times New Roman" w:eastAsia="Times New Roman" w:hint="default"/>
        </w:rPr>
        <w:t>J</w:t>
      </w:r>
      <w:r>
        <w:rPr>
          <w:rFonts w:ascii="Times New Roman" w:hAnsi="Times New Roman" w:cs="Times New Roman" w:eastAsia="Times New Roman" w:hint="default"/>
          <w:spacing w:val="-4"/>
        </w:rPr>
        <w:t> </w:t>
      </w:r>
      <w:r>
        <w:rPr>
          <w:rFonts w:ascii="Times New Roman" w:hAnsi="Times New Roman" w:cs="Times New Roman" w:eastAsia="Times New Roman" w:hint="default"/>
        </w:rPr>
        <w:t>Bridge</w:t>
      </w:r>
      <w:r>
        <w:rPr/>
        <w:t>，出资</w:t>
      </w:r>
      <w:r>
        <w:rPr>
          <w:spacing w:val="-58"/>
        </w:rPr>
        <w:t> </w:t>
      </w:r>
      <w:r>
        <w:rPr>
          <w:rFonts w:ascii="Times New Roman" w:hAnsi="Times New Roman" w:cs="Times New Roman" w:eastAsia="Times New Roman" w:hint="default"/>
        </w:rPr>
        <w:t>1.96</w:t>
      </w:r>
      <w:r>
        <w:rPr>
          <w:rFonts w:ascii="Times New Roman" w:hAnsi="Times New Roman" w:cs="Times New Roman" w:eastAsia="Times New Roman" w:hint="default"/>
          <w:spacing w:val="-2"/>
        </w:rPr>
        <w:t> </w:t>
      </w:r>
      <w:r>
        <w:rPr/>
        <w:t>亿日元，折合约</w:t>
      </w:r>
      <w:r>
        <w:rPr>
          <w:w w:val="99"/>
        </w:rPr>
        <w:t> </w:t>
      </w:r>
      <w:r>
        <w:rPr/>
        <w:t>人民币</w:t>
      </w:r>
      <w:r>
        <w:rPr>
          <w:spacing w:val="-57"/>
        </w:rPr>
        <w:t> </w:t>
      </w:r>
      <w:r>
        <w:rPr>
          <w:rFonts w:ascii="Times New Roman" w:hAnsi="Times New Roman" w:cs="Times New Roman" w:eastAsia="Times New Roman" w:hint="default"/>
        </w:rPr>
        <w:t>1,056</w:t>
      </w:r>
      <w:r>
        <w:rPr>
          <w:rFonts w:ascii="Times New Roman" w:hAnsi="Times New Roman" w:cs="Times New Roman" w:eastAsia="Times New Roman" w:hint="default"/>
          <w:spacing w:val="-1"/>
        </w:rPr>
        <w:t> </w:t>
      </w:r>
      <w:r>
        <w:rPr/>
        <w:t>万元，占</w:t>
      </w:r>
      <w:r>
        <w:rPr>
          <w:spacing w:val="-56"/>
        </w:rPr>
        <w:t> </w:t>
      </w:r>
      <w:r>
        <w:rPr>
          <w:rFonts w:ascii="Times New Roman" w:hAnsi="Times New Roman" w:cs="Times New Roman" w:eastAsia="Times New Roman" w:hint="default"/>
        </w:rPr>
        <w:t>Onward</w:t>
      </w:r>
      <w:r>
        <w:rPr>
          <w:rFonts w:ascii="Times New Roman" w:hAnsi="Times New Roman" w:cs="Times New Roman" w:eastAsia="Times New Roman" w:hint="default"/>
          <w:spacing w:val="-2"/>
        </w:rPr>
        <w:t> </w:t>
      </w:r>
      <w:r>
        <w:rPr>
          <w:rFonts w:ascii="Times New Roman" w:hAnsi="Times New Roman" w:cs="Times New Roman" w:eastAsia="Times New Roman" w:hint="default"/>
        </w:rPr>
        <w:t>J</w:t>
      </w:r>
      <w:r>
        <w:rPr>
          <w:rFonts w:ascii="Times New Roman" w:hAnsi="Times New Roman" w:cs="Times New Roman" w:eastAsia="Times New Roman" w:hint="default"/>
          <w:spacing w:val="-3"/>
        </w:rPr>
        <w:t> </w:t>
      </w:r>
      <w:r>
        <w:rPr>
          <w:rFonts w:ascii="Times New Roman" w:hAnsi="Times New Roman" w:cs="Times New Roman" w:eastAsia="Times New Roman" w:hint="default"/>
        </w:rPr>
        <w:t>Bridge</w:t>
      </w:r>
      <w:r>
        <w:rPr>
          <w:rFonts w:ascii="Times New Roman" w:hAnsi="Times New Roman" w:cs="Times New Roman" w:eastAsia="Times New Roman" w:hint="default"/>
          <w:spacing w:val="-1"/>
        </w:rPr>
        <w:t> </w:t>
      </w:r>
      <w:r>
        <w:rPr/>
        <w:t>注册资本总额的</w:t>
      </w:r>
      <w:r>
        <w:rPr>
          <w:spacing w:val="-57"/>
        </w:rPr>
        <w:t> </w:t>
      </w:r>
      <w:r>
        <w:rPr>
          <w:rFonts w:ascii="Times New Roman" w:hAnsi="Times New Roman" w:cs="Times New Roman" w:eastAsia="Times New Roman" w:hint="default"/>
        </w:rPr>
        <w:t>49%</w:t>
      </w:r>
      <w:r>
        <w:rPr/>
        <w:t>。</w:t>
      </w:r>
    </w:p>
    <w:p>
      <w:pPr>
        <w:pStyle w:val="BodyText"/>
        <w:spacing w:line="369" w:lineRule="auto" w:before="32"/>
        <w:ind w:left="213" w:right="1123" w:firstLine="440"/>
        <w:jc w:val="left"/>
      </w:pPr>
      <w:r>
        <w:rPr>
          <w:w w:val="99"/>
        </w:rPr>
        <w:t>③</w:t>
      </w:r>
      <w:r>
        <w:rPr>
          <w:rFonts w:ascii="Times New Roman" w:hAnsi="Times New Roman" w:cs="Times New Roman" w:eastAsia="Times New Roman" w:hint="default"/>
          <w:w w:val="99"/>
        </w:rPr>
        <w:t>2015 </w:t>
      </w:r>
      <w:r>
        <w:rPr>
          <w:w w:val="99"/>
        </w:rPr>
        <w:t>年</w:t>
      </w:r>
      <w:r>
        <w:rPr>
          <w:spacing w:val="-56"/>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w w:val="99"/>
        </w:rPr>
        <w:t> </w:t>
      </w:r>
      <w:r>
        <w:rPr>
          <w:spacing w:val="-28"/>
          <w:w w:val="99"/>
        </w:rPr>
        <w:t>月，日本</w:t>
      </w:r>
      <w:r>
        <w:rPr>
          <w:spacing w:val="-55"/>
          <w:w w:val="99"/>
        </w:rPr>
        <w:t> </w:t>
      </w:r>
      <w:r>
        <w:rPr>
          <w:rFonts w:ascii="Times New Roman" w:hAnsi="Times New Roman" w:cs="Times New Roman" w:eastAsia="Times New Roman" w:hint="default"/>
          <w:w w:val="99"/>
        </w:rPr>
        <w:t>LAOX </w:t>
      </w:r>
      <w:r>
        <w:rPr>
          <w:w w:val="99"/>
        </w:rPr>
        <w:t>株式会社以约</w:t>
      </w:r>
      <w:r>
        <w:rPr>
          <w:spacing w:val="-54"/>
          <w:w w:val="99"/>
        </w:rPr>
        <w:t> </w:t>
      </w:r>
      <w:r>
        <w:rPr>
          <w:rFonts w:ascii="Times New Roman" w:hAnsi="Times New Roman" w:cs="Times New Roman" w:eastAsia="Times New Roman" w:hint="default"/>
          <w:w w:val="99"/>
        </w:rPr>
        <w:t>1,050</w:t>
      </w:r>
      <w:r>
        <w:rPr>
          <w:rFonts w:ascii="Times New Roman" w:hAnsi="Times New Roman" w:cs="Times New Roman" w:eastAsia="Times New Roman" w:hint="default"/>
          <w:spacing w:val="1"/>
          <w:w w:val="99"/>
        </w:rPr>
        <w:t> </w:t>
      </w:r>
      <w:r>
        <w:rPr>
          <w:w w:val="99"/>
        </w:rPr>
        <w:t>万日元的价款</w:t>
      </w:r>
      <w:r>
        <w:rPr>
          <w:rFonts w:ascii="Times New Roman" w:hAnsi="Times New Roman" w:cs="Times New Roman" w:eastAsia="Times New Roman" w:hint="default"/>
          <w:w w:val="99"/>
        </w:rPr>
        <w:t>(</w:t>
      </w:r>
      <w:r>
        <w:rPr>
          <w:w w:val="99"/>
        </w:rPr>
        <w:t>折合人民币约</w:t>
      </w:r>
      <w:r>
        <w:rPr>
          <w:spacing w:val="-54"/>
          <w:w w:val="99"/>
        </w:rPr>
        <w:t> </w:t>
      </w:r>
      <w:r>
        <w:rPr>
          <w:rFonts w:ascii="Times New Roman" w:hAnsi="Times New Roman" w:cs="Times New Roman" w:eastAsia="Times New Roman" w:hint="default"/>
          <w:w w:val="99"/>
        </w:rPr>
        <w:t>57 </w:t>
      </w:r>
      <w:r>
        <w:rPr>
          <w:w w:val="99"/>
        </w:rPr>
        <w:t>万元</w:t>
      </w:r>
      <w:r>
        <w:rPr>
          <w:rFonts w:ascii="Times New Roman" w:hAnsi="Times New Roman" w:cs="Times New Roman" w:eastAsia="Times New Roman" w:hint="default"/>
          <w:w w:val="99"/>
        </w:rPr>
        <w:t>)</w:t>
      </w:r>
      <w:r>
        <w:rPr>
          <w:w w:val="99"/>
        </w:rPr>
        <w:t>收购</w:t>
      </w:r>
      <w:r>
        <w:rPr>
          <w:spacing w:val="-55"/>
          <w:w w:val="99"/>
        </w:rPr>
        <w:t> </w:t>
      </w:r>
      <w:r>
        <w:rPr>
          <w:rFonts w:ascii="Times New Roman" w:hAnsi="Times New Roman" w:cs="Times New Roman" w:eastAsia="Times New Roman" w:hint="default"/>
          <w:w w:val="99"/>
        </w:rPr>
        <w:t>Hearts</w:t>
      </w:r>
      <w:r>
        <w:rPr>
          <w:rFonts w:ascii="Times New Roman" w:hAnsi="Times New Roman" w:cs="Times New Roman" w:eastAsia="Times New Roman" w:hint="default"/>
          <w:w w:val="99"/>
        </w:rPr>
        <w:t> </w:t>
      </w:r>
      <w:r>
        <w:rPr>
          <w:rFonts w:ascii="Times New Roman" w:hAnsi="Times New Roman" w:cs="Times New Roman" w:eastAsia="Times New Roman" w:hint="default"/>
        </w:rPr>
        <w:t>Hire</w:t>
      </w:r>
      <w:r>
        <w:rPr>
          <w:rFonts w:ascii="Times New Roman" w:hAnsi="Times New Roman" w:cs="Times New Roman" w:eastAsia="Times New Roman" w:hint="default"/>
          <w:spacing w:val="-3"/>
        </w:rPr>
        <w:t> </w:t>
      </w:r>
      <w:r>
        <w:rPr>
          <w:rFonts w:ascii="Times New Roman" w:hAnsi="Times New Roman" w:cs="Times New Roman" w:eastAsia="Times New Roman" w:hint="default"/>
        </w:rPr>
        <w:t>47.37%</w:t>
      </w:r>
      <w:r>
        <w:rPr/>
        <w:t>的股权。于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株式会社出售</w:t>
      </w:r>
      <w:r>
        <w:rPr>
          <w:spacing w:val="-57"/>
        </w:rPr>
        <w:t> </w:t>
      </w:r>
      <w:r>
        <w:rPr>
          <w:rFonts w:ascii="Times New Roman" w:hAnsi="Times New Roman" w:cs="Times New Roman" w:eastAsia="Times New Roman" w:hint="default"/>
        </w:rPr>
        <w:t>Hearts</w:t>
      </w:r>
      <w:r>
        <w:rPr>
          <w:rFonts w:ascii="Times New Roman" w:hAnsi="Times New Roman" w:cs="Times New Roman" w:eastAsia="Times New Roman" w:hint="default"/>
          <w:spacing w:val="-3"/>
        </w:rPr>
        <w:t> </w:t>
      </w:r>
      <w:r>
        <w:rPr>
          <w:rFonts w:ascii="Times New Roman" w:hAnsi="Times New Roman" w:cs="Times New Roman" w:eastAsia="Times New Roman" w:hint="default"/>
        </w:rPr>
        <w:t>Hire</w:t>
      </w:r>
      <w:r>
        <w:rPr>
          <w:rFonts w:ascii="Times New Roman" w:hAnsi="Times New Roman" w:cs="Times New Roman" w:eastAsia="Times New Roman" w:hint="default"/>
          <w:spacing w:val="-2"/>
        </w:rPr>
        <w:t> </w:t>
      </w:r>
      <w:r>
        <w:rPr>
          <w:rFonts w:ascii="Times New Roman" w:hAnsi="Times New Roman" w:cs="Times New Roman" w:eastAsia="Times New Roman" w:hint="default"/>
        </w:rPr>
        <w:t>7.90%</w:t>
      </w:r>
      <w:r>
        <w:rPr/>
        <w:t>部分股权，截至</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w w:val="99"/>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株式会社持有</w:t>
      </w:r>
      <w:r>
        <w:rPr>
          <w:spacing w:val="-57"/>
        </w:rPr>
        <w:t> </w:t>
      </w:r>
      <w:r>
        <w:rPr>
          <w:rFonts w:ascii="Times New Roman" w:hAnsi="Times New Roman" w:cs="Times New Roman" w:eastAsia="Times New Roman" w:hint="default"/>
        </w:rPr>
        <w:t>Hearts</w:t>
      </w:r>
      <w:r>
        <w:rPr>
          <w:rFonts w:ascii="Times New Roman" w:hAnsi="Times New Roman" w:cs="Times New Roman" w:eastAsia="Times New Roman" w:hint="default"/>
          <w:spacing w:val="-2"/>
        </w:rPr>
        <w:t> </w:t>
      </w:r>
      <w:r>
        <w:rPr>
          <w:rFonts w:ascii="Times New Roman" w:hAnsi="Times New Roman" w:cs="Times New Roman" w:eastAsia="Times New Roman" w:hint="default"/>
        </w:rPr>
        <w:t>Hire</w:t>
      </w:r>
      <w:r>
        <w:rPr>
          <w:rFonts w:ascii="Times New Roman" w:hAnsi="Times New Roman" w:cs="Times New Roman" w:eastAsia="Times New Roman" w:hint="default"/>
          <w:spacing w:val="-2"/>
        </w:rPr>
        <w:t> </w:t>
      </w:r>
      <w:r>
        <w:rPr>
          <w:rFonts w:ascii="Times New Roman" w:hAnsi="Times New Roman" w:cs="Times New Roman" w:eastAsia="Times New Roman" w:hint="default"/>
        </w:rPr>
        <w:t>39.47%</w:t>
      </w:r>
      <w:r>
        <w:rPr/>
        <w:t>的股权。</w:t>
      </w:r>
    </w:p>
    <w:p>
      <w:pPr>
        <w:pStyle w:val="BodyText"/>
        <w:spacing w:line="240" w:lineRule="auto" w:before="32"/>
        <w:ind w:left="654" w:right="1019"/>
        <w:jc w:val="left"/>
      </w:pPr>
      <w:r>
        <w:rPr>
          <w:rFonts w:ascii="Wingdings" w:hAnsi="Wingdings" w:cs="Wingdings" w:eastAsia="Wingdings" w:hint="default"/>
        </w:rPr>
        <w:t></w:t>
      </w:r>
      <w:r>
        <w:rPr/>
        <w:t>公司参股公司情况</w:t>
      </w:r>
    </w:p>
    <w:p>
      <w:pPr>
        <w:pStyle w:val="BodyText"/>
        <w:spacing w:line="369" w:lineRule="auto" w:before="164"/>
        <w:ind w:left="213" w:right="1126" w:firstLine="440"/>
        <w:jc w:val="left"/>
      </w:pPr>
      <w:r>
        <w:rPr/>
        <w:t>①</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月，公司与锤子科技（北京）有限公司相关股东签订协议，公司出资人民币</w:t>
      </w:r>
      <w:r>
        <w:rPr>
          <w:spacing w:val="-6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0"/>
        </w:rPr>
        <w:t> </w:t>
      </w:r>
      <w:r>
        <w:rPr/>
        <w:t>万</w:t>
      </w:r>
      <w:r>
        <w:rPr>
          <w:w w:val="99"/>
        </w:rPr>
        <w:t> </w:t>
      </w:r>
      <w:r>
        <w:rPr/>
        <w:t>元认购锤子科技（北京）有限公司部分股权。</w:t>
      </w:r>
    </w:p>
    <w:p>
      <w:pPr>
        <w:pStyle w:val="BodyText"/>
        <w:spacing w:line="240" w:lineRule="auto" w:before="61"/>
        <w:ind w:left="654" w:right="1019"/>
        <w:jc w:val="left"/>
      </w:pPr>
      <w:r>
        <w:rPr/>
        <w:t>②</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 </w:t>
      </w:r>
      <w:r>
        <w:rPr>
          <w:spacing w:val="-3"/>
        </w:rPr>
        <w:t>月，公司、上海聚力传媒技术有限公司、北京身未动心已远旅行文化有限公司（海南</w:t>
      </w:r>
    </w:p>
    <w:p>
      <w:pPr>
        <w:spacing w:after="0" w:line="240" w:lineRule="auto"/>
        <w:jc w:val="left"/>
        <w:sectPr>
          <w:pgSz w:w="11910" w:h="16840"/>
          <w:pgMar w:header="747" w:footer="979" w:top="1060" w:bottom="1160" w:left="920" w:right="0"/>
        </w:sectPr>
      </w:pPr>
    </w:p>
    <w:p>
      <w:pPr>
        <w:spacing w:line="240" w:lineRule="auto" w:before="0"/>
        <w:rPr>
          <w:rFonts w:ascii="宋体" w:hAnsi="宋体" w:cs="宋体" w:eastAsia="宋体" w:hint="default"/>
          <w:sz w:val="20"/>
          <w:szCs w:val="20"/>
        </w:rPr>
      </w:pPr>
    </w:p>
    <w:p>
      <w:pPr>
        <w:pStyle w:val="BodyText"/>
        <w:spacing w:line="376" w:lineRule="auto" w:before="166"/>
        <w:ind w:right="1130"/>
        <w:jc w:val="both"/>
      </w:pPr>
      <w:r>
        <w:rPr>
          <w:spacing w:val="-1"/>
        </w:rPr>
        <w:t>广电旅游文化有限公司子公司）签署合资合同，设立合资公司，从事旅游视频、广告以及相关旅游产</w:t>
      </w:r>
      <w:r>
        <w:rPr>
          <w:w w:val="99"/>
        </w:rPr>
        <w:t> </w:t>
      </w:r>
      <w:r>
        <w:rPr/>
        <w:t>品开发业务，其中公司、上海聚力传媒技术有限公司分别拟出资人民币</w:t>
      </w:r>
      <w:r>
        <w:rPr>
          <w:spacing w:val="-59"/>
        </w:rPr>
        <w:t> </w:t>
      </w:r>
      <w:r>
        <w:rPr>
          <w:rFonts w:ascii="Times New Roman" w:hAnsi="Times New Roman" w:cs="Times New Roman" w:eastAsia="Times New Roman" w:hint="default"/>
        </w:rPr>
        <w:t>600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900</w:t>
      </w:r>
      <w:r>
        <w:rPr>
          <w:rFonts w:ascii="Times New Roman" w:hAnsi="Times New Roman" w:cs="Times New Roman" w:eastAsia="Times New Roman" w:hint="default"/>
          <w:spacing w:val="-4"/>
        </w:rPr>
        <w:t> </w:t>
      </w:r>
      <w:r>
        <w:rPr/>
        <w:t>万元，占合资</w:t>
      </w:r>
      <w:r>
        <w:rPr>
          <w:w w:val="99"/>
        </w:rPr>
        <w:t> </w:t>
      </w:r>
      <w:r>
        <w:rPr/>
        <w:t>公司股权比例分别为</w:t>
      </w:r>
      <w:r>
        <w:rPr>
          <w:spacing w:val="-80"/>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30%</w:t>
      </w:r>
      <w:r>
        <w:rPr/>
        <w:t>。报告期内，合资公司尚未设立，公司及上海聚力传媒技术有限公司</w:t>
      </w:r>
      <w:r>
        <w:rPr>
          <w:w w:val="99"/>
        </w:rPr>
        <w:t> </w:t>
      </w:r>
      <w:r>
        <w:rPr/>
        <w:t>尚未出资。</w:t>
      </w:r>
    </w:p>
    <w:p>
      <w:pPr>
        <w:pStyle w:val="BodyText"/>
        <w:spacing w:line="391" w:lineRule="auto" w:before="54"/>
        <w:ind w:right="1126" w:firstLine="440"/>
        <w:jc w:val="left"/>
      </w:pPr>
      <w:r>
        <w:rPr/>
        <w:t>③</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7</w:t>
      </w:r>
      <w:r>
        <w:rPr>
          <w:rFonts w:ascii="宋体" w:hAnsi="宋体" w:cs="宋体" w:eastAsia="宋体" w:hint="default"/>
          <w:spacing w:val="-69"/>
        </w:rPr>
        <w:t> </w:t>
      </w:r>
      <w:r>
        <w:rPr/>
        <w:t>月，公司参与出资设立苏宁金石（天津）基金管理有限公司，认缴出资人民币</w:t>
      </w:r>
      <w:r>
        <w:rPr>
          <w:spacing w:val="-66"/>
        </w:rPr>
        <w:t> </w:t>
      </w:r>
      <w:r>
        <w:rPr>
          <w:rFonts w:ascii="宋体" w:hAnsi="宋体" w:cs="宋体" w:eastAsia="宋体" w:hint="default"/>
        </w:rPr>
        <w:t>2,000</w:t>
      </w:r>
      <w:r>
        <w:rPr>
          <w:rFonts w:ascii="宋体" w:hAnsi="宋体" w:cs="宋体" w:eastAsia="宋体" w:hint="default"/>
          <w:w w:val="99"/>
        </w:rPr>
        <w:t> </w:t>
      </w:r>
      <w:r>
        <w:rPr/>
        <w:t>万元，占注册资本总额的</w:t>
      </w:r>
      <w:r>
        <w:rPr>
          <w:spacing w:val="-60"/>
        </w:rPr>
        <w:t> </w:t>
      </w:r>
      <w:r>
        <w:rPr>
          <w:rFonts w:ascii="宋体" w:hAnsi="宋体" w:cs="宋体" w:eastAsia="宋体" w:hint="default"/>
        </w:rPr>
        <w:t>40%</w:t>
      </w:r>
      <w:r>
        <w:rPr/>
        <w:t>。</w:t>
      </w:r>
    </w:p>
    <w:p>
      <w:pPr>
        <w:spacing w:after="0" w:line="391" w:lineRule="auto"/>
        <w:jc w:val="left"/>
        <w:sectPr>
          <w:pgSz w:w="11910" w:h="16840"/>
          <w:pgMar w:header="747" w:footer="979" w:top="1060" w:bottom="1160" w:left="980" w:right="0"/>
        </w:sectPr>
      </w:pPr>
    </w:p>
    <w:p>
      <w:pPr>
        <w:pStyle w:val="BodyText"/>
        <w:spacing w:line="240" w:lineRule="auto" w:before="41"/>
        <w:ind w:left="594" w:right="0"/>
        <w:jc w:val="left"/>
      </w:pPr>
      <w:r>
        <w:rPr>
          <w:w w:val="95"/>
        </w:rPr>
        <w:t>④报告期内获取的重大的股权投资情况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6"/>
          <w:szCs w:val="16"/>
        </w:rPr>
      </w:pPr>
    </w:p>
    <w:p>
      <w:pPr>
        <w:spacing w:before="0"/>
        <w:ind w:left="594" w:right="0" w:firstLine="0"/>
        <w:jc w:val="left"/>
        <w:rPr>
          <w:rFonts w:ascii="宋体" w:hAnsi="宋体" w:cs="宋体" w:eastAsia="宋体" w:hint="default"/>
          <w:sz w:val="19"/>
          <w:szCs w:val="19"/>
        </w:rPr>
      </w:pPr>
      <w:r>
        <w:rPr>
          <w:rFonts w:ascii="宋体" w:hAnsi="宋体" w:cs="宋体" w:eastAsia="宋体" w:hint="default"/>
          <w:sz w:val="19"/>
          <w:szCs w:val="19"/>
        </w:rPr>
        <w:t>单位：万元</w:t>
      </w:r>
    </w:p>
    <w:p>
      <w:pPr>
        <w:spacing w:after="0"/>
        <w:jc w:val="left"/>
        <w:rPr>
          <w:rFonts w:ascii="宋体" w:hAnsi="宋体" w:cs="宋体" w:eastAsia="宋体" w:hint="default"/>
          <w:sz w:val="19"/>
          <w:szCs w:val="19"/>
        </w:rPr>
        <w:sectPr>
          <w:type w:val="continuous"/>
          <w:pgSz w:w="11910" w:h="16840"/>
          <w:pgMar w:top="1060" w:bottom="1160" w:left="980" w:right="0"/>
          <w:cols w:num="2" w:equalWidth="0">
            <w:col w:w="4334" w:space="3915"/>
            <w:col w:w="2681"/>
          </w:cols>
        </w:sectPr>
      </w:pPr>
    </w:p>
    <w:p>
      <w:pPr>
        <w:spacing w:line="240" w:lineRule="auto" w:before="9"/>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526"/>
        <w:gridCol w:w="839"/>
        <w:gridCol w:w="492"/>
        <w:gridCol w:w="618"/>
        <w:gridCol w:w="592"/>
        <w:gridCol w:w="593"/>
        <w:gridCol w:w="825"/>
        <w:gridCol w:w="558"/>
        <w:gridCol w:w="690"/>
        <w:gridCol w:w="668"/>
      </w:tblGrid>
      <w:tr>
        <w:trPr>
          <w:trHeight w:val="219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85" w:lineRule="auto"/>
              <w:ind w:left="121" w:right="120"/>
              <w:jc w:val="both"/>
              <w:rPr>
                <w:rFonts w:ascii="宋体" w:hAnsi="宋体" w:cs="宋体" w:eastAsia="宋体" w:hint="default"/>
                <w:sz w:val="20"/>
                <w:szCs w:val="20"/>
              </w:rPr>
            </w:pPr>
            <w:r>
              <w:rPr>
                <w:rFonts w:ascii="宋体" w:hAnsi="宋体" w:cs="宋体" w:eastAsia="宋体" w:hint="default"/>
                <w:sz w:val="20"/>
                <w:szCs w:val="20"/>
              </w:rPr>
              <w:t>被投</w:t>
            </w:r>
            <w:r>
              <w:rPr>
                <w:rFonts w:ascii="宋体" w:hAnsi="宋体" w:cs="宋体" w:eastAsia="宋体" w:hint="default"/>
                <w:w w:val="100"/>
                <w:sz w:val="20"/>
                <w:szCs w:val="20"/>
              </w:rPr>
              <w:t> </w:t>
            </w:r>
            <w:r>
              <w:rPr>
                <w:rFonts w:ascii="宋体" w:hAnsi="宋体" w:cs="宋体" w:eastAsia="宋体" w:hint="default"/>
                <w:sz w:val="20"/>
                <w:szCs w:val="20"/>
              </w:rPr>
              <w:t>资公</w:t>
            </w:r>
            <w:r>
              <w:rPr>
                <w:rFonts w:ascii="宋体" w:hAnsi="宋体" w:cs="宋体" w:eastAsia="宋体" w:hint="default"/>
                <w:w w:val="100"/>
                <w:sz w:val="20"/>
                <w:szCs w:val="20"/>
              </w:rPr>
              <w:t> </w:t>
            </w:r>
            <w:r>
              <w:rPr>
                <w:rFonts w:ascii="宋体" w:hAnsi="宋体" w:cs="宋体" w:eastAsia="宋体" w:hint="default"/>
                <w:sz w:val="20"/>
                <w:szCs w:val="20"/>
              </w:rPr>
              <w:t>司名</w:t>
            </w:r>
            <w:r>
              <w:rPr>
                <w:rFonts w:ascii="宋体" w:hAnsi="宋体" w:cs="宋体" w:eastAsia="宋体" w:hint="default"/>
                <w:w w:val="100"/>
                <w:sz w:val="20"/>
                <w:szCs w:val="20"/>
              </w:rPr>
              <w:t> </w:t>
            </w:r>
            <w:r>
              <w:rPr>
                <w:rFonts w:ascii="宋体" w:hAnsi="宋体" w:cs="宋体" w:eastAsia="宋体" w:hint="default"/>
                <w:sz w:val="20"/>
                <w:szCs w:val="20"/>
              </w:rPr>
              <w:t>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121" w:right="119"/>
              <w:jc w:val="left"/>
              <w:rPr>
                <w:rFonts w:ascii="宋体" w:hAnsi="宋体" w:cs="宋体" w:eastAsia="宋体" w:hint="default"/>
                <w:sz w:val="20"/>
                <w:szCs w:val="20"/>
              </w:rPr>
            </w:pPr>
            <w:r>
              <w:rPr>
                <w:rFonts w:ascii="宋体" w:hAnsi="宋体" w:cs="宋体" w:eastAsia="宋体" w:hint="default"/>
                <w:sz w:val="20"/>
                <w:szCs w:val="20"/>
              </w:rPr>
              <w:t>主要</w:t>
            </w:r>
            <w:r>
              <w:rPr>
                <w:rFonts w:ascii="宋体" w:hAnsi="宋体" w:cs="宋体" w:eastAsia="宋体" w:hint="default"/>
                <w:w w:val="100"/>
                <w:sz w:val="20"/>
                <w:szCs w:val="20"/>
              </w:rPr>
              <w:t> </w:t>
            </w:r>
            <w:r>
              <w:rPr>
                <w:rFonts w:ascii="宋体" w:hAnsi="宋体" w:cs="宋体" w:eastAsia="宋体" w:hint="default"/>
                <w:sz w:val="20"/>
                <w:szCs w:val="20"/>
              </w:rPr>
              <w:t>业务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106" w:right="103"/>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100"/>
                <w:sz w:val="20"/>
                <w:szCs w:val="20"/>
              </w:rPr>
              <w:t> </w:t>
            </w:r>
            <w:r>
              <w:rPr>
                <w:rFonts w:ascii="宋体" w:hAnsi="宋体" w:cs="宋体" w:eastAsia="宋体" w:hint="default"/>
                <w:sz w:val="20"/>
                <w:szCs w:val="20"/>
              </w:rPr>
              <w:t>方式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105" w:right="103"/>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100"/>
                <w:sz w:val="20"/>
                <w:szCs w:val="20"/>
              </w:rPr>
              <w:t> </w:t>
            </w:r>
            <w:r>
              <w:rPr>
                <w:rFonts w:ascii="宋体" w:hAnsi="宋体" w:cs="宋体" w:eastAsia="宋体" w:hint="default"/>
                <w:sz w:val="20"/>
                <w:szCs w:val="20"/>
              </w:rPr>
              <w:t>金额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105" w:right="103"/>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w w:val="100"/>
                <w:sz w:val="20"/>
                <w:szCs w:val="20"/>
              </w:rPr>
              <w:t> </w:t>
            </w:r>
            <w:r>
              <w:rPr>
                <w:rFonts w:ascii="宋体" w:hAnsi="宋体" w:cs="宋体" w:eastAsia="宋体" w:hint="default"/>
                <w:sz w:val="20"/>
                <w:szCs w:val="20"/>
              </w:rPr>
              <w:t>比例</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52" w:right="62"/>
              <w:jc w:val="left"/>
              <w:rPr>
                <w:rFonts w:ascii="宋体" w:hAnsi="宋体" w:cs="宋体" w:eastAsia="宋体" w:hint="default"/>
                <w:sz w:val="20"/>
                <w:szCs w:val="20"/>
              </w:rPr>
            </w:pPr>
            <w:r>
              <w:rPr>
                <w:rFonts w:ascii="宋体" w:hAnsi="宋体" w:cs="宋体" w:eastAsia="宋体" w:hint="default"/>
                <w:sz w:val="20"/>
                <w:szCs w:val="20"/>
              </w:rPr>
              <w:t>资金</w:t>
            </w:r>
            <w:r>
              <w:rPr>
                <w:rFonts w:ascii="宋体" w:hAnsi="宋体" w:cs="宋体" w:eastAsia="宋体" w:hint="default"/>
                <w:w w:val="100"/>
                <w:sz w:val="20"/>
                <w:szCs w:val="20"/>
              </w:rPr>
              <w:t> </w:t>
            </w:r>
            <w:r>
              <w:rPr>
                <w:rFonts w:ascii="宋体" w:hAnsi="宋体" w:cs="宋体" w:eastAsia="宋体" w:hint="default"/>
                <w:sz w:val="20"/>
                <w:szCs w:val="20"/>
              </w:rPr>
              <w:t>来源</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7"/>
              <w:jc w:val="center"/>
              <w:rPr>
                <w:rFonts w:ascii="宋体" w:hAnsi="宋体" w:cs="宋体" w:eastAsia="宋体" w:hint="default"/>
                <w:sz w:val="20"/>
                <w:szCs w:val="20"/>
              </w:rPr>
            </w:pPr>
            <w:r>
              <w:rPr>
                <w:rFonts w:ascii="宋体" w:hAnsi="宋体" w:cs="宋体" w:eastAsia="宋体" w:hint="default"/>
                <w:sz w:val="20"/>
                <w:szCs w:val="20"/>
              </w:rPr>
              <w:t>合作方</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40" w:right="38"/>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100"/>
                <w:sz w:val="20"/>
                <w:szCs w:val="20"/>
              </w:rPr>
              <w:t> </w:t>
            </w:r>
            <w:r>
              <w:rPr>
                <w:rFonts w:ascii="宋体" w:hAnsi="宋体" w:cs="宋体" w:eastAsia="宋体" w:hint="default"/>
                <w:sz w:val="20"/>
                <w:szCs w:val="20"/>
              </w:rPr>
              <w:t>期限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103" w:right="102"/>
              <w:jc w:val="left"/>
              <w:rPr>
                <w:rFonts w:ascii="宋体" w:hAnsi="宋体" w:cs="宋体" w:eastAsia="宋体" w:hint="default"/>
                <w:sz w:val="20"/>
                <w:szCs w:val="20"/>
              </w:rPr>
            </w:pPr>
            <w:r>
              <w:rPr>
                <w:rFonts w:ascii="宋体" w:hAnsi="宋体" w:cs="宋体" w:eastAsia="宋体" w:hint="default"/>
                <w:sz w:val="20"/>
                <w:szCs w:val="20"/>
              </w:rPr>
              <w:t>产品</w:t>
            </w:r>
            <w:r>
              <w:rPr>
                <w:rFonts w:ascii="宋体" w:hAnsi="宋体" w:cs="宋体" w:eastAsia="宋体" w:hint="default"/>
                <w:w w:val="100"/>
                <w:sz w:val="20"/>
                <w:szCs w:val="20"/>
              </w:rPr>
              <w:t> </w:t>
            </w:r>
            <w:r>
              <w:rPr>
                <w:rFonts w:ascii="宋体" w:hAnsi="宋体" w:cs="宋体" w:eastAsia="宋体" w:hint="default"/>
                <w:sz w:val="20"/>
                <w:szCs w:val="20"/>
              </w:rPr>
              <w:t>类型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91" w:right="89"/>
              <w:jc w:val="both"/>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w w:val="100"/>
                <w:sz w:val="20"/>
                <w:szCs w:val="20"/>
              </w:rPr>
              <w:t> </w:t>
            </w:r>
            <w:r>
              <w:rPr>
                <w:rFonts w:ascii="宋体" w:hAnsi="宋体" w:cs="宋体" w:eastAsia="宋体" w:hint="default"/>
                <w:sz w:val="20"/>
                <w:szCs w:val="20"/>
              </w:rPr>
              <w:t>资产</w:t>
            </w:r>
            <w:r>
              <w:rPr>
                <w:rFonts w:ascii="宋体" w:hAnsi="宋体" w:cs="宋体" w:eastAsia="宋体" w:hint="default"/>
                <w:w w:val="100"/>
                <w:sz w:val="20"/>
                <w:szCs w:val="20"/>
              </w:rPr>
              <w:t> </w:t>
            </w:r>
            <w:r>
              <w:rPr>
                <w:rFonts w:ascii="宋体" w:hAnsi="宋体" w:cs="宋体" w:eastAsia="宋体" w:hint="default"/>
                <w:sz w:val="20"/>
                <w:szCs w:val="20"/>
              </w:rPr>
              <w:t>负债</w:t>
            </w:r>
            <w:r>
              <w:rPr>
                <w:rFonts w:ascii="宋体" w:hAnsi="宋体" w:cs="宋体" w:eastAsia="宋体" w:hint="default"/>
                <w:w w:val="100"/>
                <w:sz w:val="20"/>
                <w:szCs w:val="20"/>
              </w:rPr>
              <w:t> </w:t>
            </w:r>
            <w:r>
              <w:rPr>
                <w:rFonts w:ascii="宋体" w:hAnsi="宋体" w:cs="宋体" w:eastAsia="宋体" w:hint="default"/>
                <w:sz w:val="20"/>
                <w:szCs w:val="20"/>
              </w:rPr>
              <w:t>表日</w:t>
            </w:r>
            <w:r>
              <w:rPr>
                <w:rFonts w:ascii="宋体" w:hAnsi="宋体" w:cs="宋体" w:eastAsia="宋体" w:hint="default"/>
                <w:w w:val="100"/>
                <w:sz w:val="20"/>
                <w:szCs w:val="20"/>
              </w:rPr>
              <w:t> </w:t>
            </w:r>
            <w:r>
              <w:rPr>
                <w:rFonts w:ascii="宋体" w:hAnsi="宋体" w:cs="宋体" w:eastAsia="宋体" w:hint="default"/>
                <w:sz w:val="20"/>
                <w:szCs w:val="20"/>
              </w:rPr>
              <w:t>的进</w:t>
            </w:r>
            <w:r>
              <w:rPr>
                <w:rFonts w:ascii="宋体" w:hAnsi="宋体" w:cs="宋体" w:eastAsia="宋体" w:hint="default"/>
                <w:w w:val="100"/>
                <w:sz w:val="20"/>
                <w:szCs w:val="20"/>
              </w:rPr>
              <w:t> </w:t>
            </w:r>
            <w:r>
              <w:rPr>
                <w:rFonts w:ascii="宋体" w:hAnsi="宋体" w:cs="宋体" w:eastAsia="宋体" w:hint="default"/>
                <w:sz w:val="20"/>
                <w:szCs w:val="20"/>
              </w:rPr>
              <w:t>展情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92" w:right="89"/>
              <w:jc w:val="left"/>
              <w:rPr>
                <w:rFonts w:ascii="宋体" w:hAnsi="宋体" w:cs="宋体" w:eastAsia="宋体" w:hint="default"/>
                <w:sz w:val="20"/>
                <w:szCs w:val="20"/>
              </w:rPr>
            </w:pPr>
            <w:r>
              <w:rPr>
                <w:rFonts w:ascii="宋体" w:hAnsi="宋体" w:cs="宋体" w:eastAsia="宋体" w:hint="default"/>
                <w:sz w:val="20"/>
                <w:szCs w:val="20"/>
              </w:rPr>
              <w:t>预计</w:t>
            </w:r>
            <w:r>
              <w:rPr>
                <w:rFonts w:ascii="宋体" w:hAnsi="宋体" w:cs="宋体" w:eastAsia="宋体" w:hint="default"/>
                <w:w w:val="100"/>
                <w:sz w:val="20"/>
                <w:szCs w:val="20"/>
              </w:rPr>
              <w:t> </w:t>
            </w:r>
            <w:r>
              <w:rPr>
                <w:rFonts w:ascii="宋体" w:hAnsi="宋体" w:cs="宋体" w:eastAsia="宋体" w:hint="default"/>
                <w:sz w:val="20"/>
                <w:szCs w:val="20"/>
              </w:rPr>
              <w:t>收益</w:t>
            </w:r>
          </w:p>
        </w:tc>
        <w:tc>
          <w:tcPr>
            <w:tcW w:w="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106" w:right="105"/>
              <w:jc w:val="left"/>
              <w:rPr>
                <w:rFonts w:ascii="宋体" w:hAnsi="宋体" w:cs="宋体" w:eastAsia="宋体" w:hint="default"/>
                <w:sz w:val="20"/>
                <w:szCs w:val="20"/>
              </w:rPr>
            </w:pPr>
            <w:r>
              <w:rPr>
                <w:rFonts w:ascii="宋体" w:hAnsi="宋体" w:cs="宋体" w:eastAsia="宋体" w:hint="default"/>
                <w:sz w:val="20"/>
                <w:szCs w:val="20"/>
              </w:rPr>
              <w:t>本期投</w:t>
            </w:r>
            <w:r>
              <w:rPr>
                <w:rFonts w:ascii="宋体" w:hAnsi="宋体" w:cs="宋体" w:eastAsia="宋体" w:hint="default"/>
                <w:w w:val="100"/>
                <w:sz w:val="20"/>
                <w:szCs w:val="20"/>
              </w:rPr>
              <w:t> </w:t>
            </w:r>
            <w:r>
              <w:rPr>
                <w:rFonts w:ascii="宋体" w:hAnsi="宋体" w:cs="宋体" w:eastAsia="宋体" w:hint="default"/>
                <w:sz w:val="20"/>
                <w:szCs w:val="20"/>
              </w:rPr>
              <w:t>资盈亏</w:t>
            </w:r>
          </w:p>
        </w:tc>
        <w:tc>
          <w:tcPr>
            <w:tcW w:w="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73" w:right="72"/>
              <w:jc w:val="left"/>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100"/>
                <w:sz w:val="20"/>
                <w:szCs w:val="20"/>
              </w:rPr>
              <w:t> </w:t>
            </w:r>
            <w:r>
              <w:rPr>
                <w:rFonts w:ascii="宋体" w:hAnsi="宋体" w:cs="宋体" w:eastAsia="宋体" w:hint="default"/>
                <w:sz w:val="20"/>
                <w:szCs w:val="20"/>
              </w:rPr>
              <w:t>涉诉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238" w:right="37" w:hanging="200"/>
              <w:jc w:val="left"/>
              <w:rPr>
                <w:rFonts w:ascii="宋体" w:hAnsi="宋体" w:cs="宋体" w:eastAsia="宋体" w:hint="default"/>
                <w:sz w:val="20"/>
                <w:szCs w:val="20"/>
              </w:rPr>
            </w:pPr>
            <w:r>
              <w:rPr>
                <w:rFonts w:ascii="宋体" w:hAnsi="宋体" w:cs="宋体" w:eastAsia="宋体" w:hint="default"/>
                <w:sz w:val="20"/>
                <w:szCs w:val="20"/>
              </w:rPr>
              <w:t>披露日</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227" w:right="26" w:hanging="200"/>
              <w:jc w:val="left"/>
              <w:rPr>
                <w:rFonts w:ascii="宋体" w:hAnsi="宋体" w:cs="宋体" w:eastAsia="宋体" w:hint="default"/>
                <w:sz w:val="20"/>
                <w:szCs w:val="20"/>
              </w:rPr>
            </w:pPr>
            <w:r>
              <w:rPr>
                <w:rFonts w:ascii="宋体" w:hAnsi="宋体" w:cs="宋体" w:eastAsia="宋体" w:hint="default"/>
                <w:sz w:val="20"/>
                <w:szCs w:val="20"/>
              </w:rPr>
              <w:t>披露索</w:t>
            </w:r>
            <w:r>
              <w:rPr>
                <w:rFonts w:ascii="宋体" w:hAnsi="宋体" w:cs="宋体" w:eastAsia="宋体" w:hint="default"/>
                <w:w w:val="100"/>
                <w:sz w:val="20"/>
                <w:szCs w:val="20"/>
              </w:rPr>
              <w:t> </w:t>
            </w:r>
            <w:r>
              <w:rPr>
                <w:rFonts w:ascii="宋体" w:hAnsi="宋体" w:cs="宋体" w:eastAsia="宋体" w:hint="default"/>
                <w:sz w:val="20"/>
                <w:szCs w:val="20"/>
              </w:rPr>
              <w:t>引</w:t>
            </w:r>
          </w:p>
        </w:tc>
      </w:tr>
      <w:tr>
        <w:trPr>
          <w:trHeight w:val="593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苏</w:t>
            </w:r>
            <w:r>
              <w:rPr>
                <w:rFonts w:ascii="宋体" w:hAnsi="宋体" w:cs="宋体" w:eastAsia="宋体" w:hint="default"/>
                <w:spacing w:val="98"/>
                <w:sz w:val="20"/>
                <w:szCs w:val="20"/>
              </w:rPr>
              <w:t> </w:t>
            </w:r>
            <w:r>
              <w:rPr>
                <w:rFonts w:ascii="宋体" w:hAnsi="宋体" w:cs="宋体" w:eastAsia="宋体" w:hint="default"/>
                <w:sz w:val="20"/>
                <w:szCs w:val="20"/>
              </w:rPr>
              <w:t>宁</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消</w:t>
            </w:r>
            <w:r>
              <w:rPr>
                <w:rFonts w:ascii="宋体" w:hAnsi="宋体" w:cs="宋体" w:eastAsia="宋体" w:hint="default"/>
                <w:spacing w:val="98"/>
                <w:sz w:val="20"/>
                <w:szCs w:val="20"/>
              </w:rPr>
              <w:t> </w:t>
            </w:r>
            <w:r>
              <w:rPr>
                <w:rFonts w:ascii="宋体" w:hAnsi="宋体" w:cs="宋体" w:eastAsia="宋体" w:hint="default"/>
                <w:sz w:val="20"/>
                <w:szCs w:val="20"/>
              </w:rPr>
              <w:t>费</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98"/>
                <w:sz w:val="20"/>
                <w:szCs w:val="20"/>
              </w:rPr>
              <w:t> </w:t>
            </w:r>
            <w:r>
              <w:rPr>
                <w:rFonts w:ascii="宋体" w:hAnsi="宋体" w:cs="宋体" w:eastAsia="宋体" w:hint="default"/>
                <w:sz w:val="20"/>
                <w:szCs w:val="20"/>
              </w:rPr>
              <w:t>融</w:t>
            </w:r>
          </w:p>
          <w:p>
            <w:pPr>
              <w:pStyle w:val="TableParagraph"/>
              <w:spacing w:line="285" w:lineRule="auto" w:before="50"/>
              <w:ind w:left="22" w:right="21"/>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98"/>
                <w:sz w:val="20"/>
                <w:szCs w:val="20"/>
              </w:rPr>
              <w:t> </w:t>
            </w:r>
            <w:r>
              <w:rPr>
                <w:rFonts w:ascii="宋体" w:hAnsi="宋体" w:cs="宋体" w:eastAsia="宋体" w:hint="default"/>
                <w:sz w:val="20"/>
                <w:szCs w:val="20"/>
              </w:rPr>
              <w:t>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消</w:t>
            </w:r>
            <w:r>
              <w:rPr>
                <w:rFonts w:ascii="宋体" w:hAnsi="宋体" w:cs="宋体" w:eastAsia="宋体" w:hint="default"/>
                <w:spacing w:val="95"/>
                <w:sz w:val="20"/>
                <w:szCs w:val="20"/>
              </w:rPr>
              <w:t> </w:t>
            </w:r>
            <w:r>
              <w:rPr>
                <w:rFonts w:ascii="宋体" w:hAnsi="宋体" w:cs="宋体" w:eastAsia="宋体" w:hint="default"/>
                <w:sz w:val="20"/>
                <w:szCs w:val="20"/>
              </w:rPr>
              <w:t>费</w:t>
            </w:r>
            <w:r>
              <w:rPr>
                <w:rFonts w:ascii="宋体" w:hAnsi="宋体" w:cs="宋体" w:eastAsia="宋体" w:hint="default"/>
                <w:w w:val="100"/>
                <w:sz w:val="20"/>
                <w:szCs w:val="20"/>
              </w:rPr>
              <w:t> </w:t>
            </w:r>
            <w:r>
              <w:rPr>
                <w:rFonts w:ascii="宋体" w:hAnsi="宋体" w:cs="宋体" w:eastAsia="宋体" w:hint="default"/>
                <w:sz w:val="20"/>
                <w:szCs w:val="20"/>
              </w:rPr>
              <w:t>金融</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6"/>
              <w:jc w:val="right"/>
              <w:rPr>
                <w:rFonts w:ascii="宋体" w:hAnsi="宋体" w:cs="宋体" w:eastAsia="宋体" w:hint="default"/>
                <w:sz w:val="20"/>
                <w:szCs w:val="20"/>
              </w:rPr>
            </w:pPr>
            <w:r>
              <w:rPr>
                <w:rFonts w:ascii="宋体" w:hAnsi="宋体" w:cs="宋体" w:eastAsia="宋体" w:hint="default"/>
                <w:sz w:val="20"/>
                <w:szCs w:val="20"/>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6"/>
              <w:jc w:val="right"/>
              <w:rPr>
                <w:rFonts w:ascii="Times New Roman" w:hAnsi="Times New Roman" w:cs="Times New Roman" w:eastAsia="Times New Roman" w:hint="default"/>
                <w:sz w:val="20"/>
                <w:szCs w:val="20"/>
              </w:rPr>
            </w:pPr>
            <w:r>
              <w:rPr>
                <w:rFonts w:ascii="Times New Roman"/>
                <w:spacing w:val="-1"/>
                <w:sz w:val="20"/>
              </w:rPr>
              <w:t>14,700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20"/>
                <w:szCs w:val="20"/>
              </w:rPr>
            </w:pPr>
            <w:r>
              <w:rPr>
                <w:rFonts w:ascii="Times New Roman"/>
                <w:sz w:val="20"/>
              </w:rPr>
              <w:t>49.00</w:t>
            </w:r>
          </w:p>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526" w:type="dxa"/>
            <w:tcBorders>
              <w:top w:val="single" w:sz="4" w:space="0" w:color="000000"/>
              <w:left w:val="single" w:sz="4" w:space="0" w:color="000000"/>
              <w:bottom w:val="single" w:sz="4" w:space="0" w:color="000000"/>
              <w:right w:val="single" w:sz="9" w:space="0" w:color="FFFFFF"/>
            </w:tcBorders>
          </w:tcPr>
          <w:p>
            <w:pPr>
              <w:pStyle w:val="TableParagraph"/>
              <w:spacing w:line="285" w:lineRule="auto"/>
              <w:ind w:left="23" w:right="-31"/>
              <w:jc w:val="left"/>
              <w:rPr>
                <w:rFonts w:ascii="宋体" w:hAnsi="宋体" w:cs="宋体" w:eastAsia="宋体" w:hint="default"/>
                <w:sz w:val="20"/>
                <w:szCs w:val="20"/>
              </w:rPr>
            </w:pPr>
            <w:r>
              <w:rPr>
                <w:rFonts w:ascii="宋体" w:hAnsi="宋体" w:cs="宋体" w:eastAsia="宋体" w:hint="default"/>
                <w:spacing w:val="28"/>
                <w:sz w:val="20"/>
                <w:szCs w:val="20"/>
              </w:rPr>
              <w:t>自有</w:t>
            </w:r>
            <w:r>
              <w:rPr>
                <w:rFonts w:ascii="宋体" w:hAnsi="宋体" w:cs="宋体" w:eastAsia="宋体" w:hint="default"/>
                <w:spacing w:val="-43"/>
                <w:sz w:val="20"/>
                <w:szCs w:val="20"/>
              </w:rPr>
              <w:t> </w:t>
            </w:r>
            <w:r>
              <w:rPr>
                <w:rFonts w:ascii="宋体" w:hAnsi="宋体" w:cs="宋体" w:eastAsia="宋体" w:hint="default"/>
                <w:sz w:val="20"/>
                <w:szCs w:val="20"/>
              </w:rPr>
              <w:t>资金</w:t>
            </w:r>
          </w:p>
        </w:tc>
        <w:tc>
          <w:tcPr>
            <w:tcW w:w="839" w:type="dxa"/>
            <w:tcBorders>
              <w:top w:val="single" w:sz="4" w:space="0" w:color="000000"/>
              <w:left w:val="single" w:sz="9" w:space="0" w:color="FFFFFF"/>
              <w:bottom w:val="single" w:sz="4" w:space="0" w:color="000000"/>
              <w:right w:val="single" w:sz="4" w:space="0" w:color="000000"/>
            </w:tcBorders>
          </w:tcPr>
          <w:p>
            <w:pPr>
              <w:pStyle w:val="TableParagraph"/>
              <w:spacing w:line="285" w:lineRule="auto"/>
              <w:ind w:left="4" w:right="12"/>
              <w:jc w:val="both"/>
              <w:rPr>
                <w:rFonts w:ascii="Times New Roman" w:hAnsi="Times New Roman" w:cs="Times New Roman" w:eastAsia="Times New Roman" w:hint="default"/>
                <w:sz w:val="20"/>
                <w:szCs w:val="20"/>
              </w:rPr>
            </w:pPr>
            <w:r>
              <w:rPr>
                <w:rFonts w:ascii="宋体" w:hAnsi="宋体" w:cs="宋体" w:eastAsia="宋体" w:hint="default"/>
                <w:spacing w:val="48"/>
                <w:w w:val="100"/>
                <w:sz w:val="20"/>
                <w:szCs w:val="20"/>
              </w:rPr>
              <w:t>南京</w:t>
            </w:r>
            <w:r>
              <w:rPr>
                <w:rFonts w:ascii="宋体" w:hAnsi="宋体" w:cs="宋体" w:eastAsia="宋体" w:hint="default"/>
                <w:spacing w:val="-3"/>
                <w:w w:val="100"/>
                <w:sz w:val="20"/>
                <w:szCs w:val="20"/>
              </w:rPr>
              <w:t> </w:t>
            </w:r>
            <w:r>
              <w:rPr>
                <w:rFonts w:ascii="宋体" w:hAnsi="宋体" w:cs="宋体" w:eastAsia="宋体" w:hint="default"/>
                <w:w w:val="100"/>
                <w:sz w:val="20"/>
                <w:szCs w:val="20"/>
              </w:rPr>
              <w:t>银</w:t>
            </w:r>
            <w:r>
              <w:rPr>
                <w:rFonts w:ascii="宋体" w:hAnsi="宋体" w:cs="宋体" w:eastAsia="宋体" w:hint="default"/>
                <w:w w:val="100"/>
                <w:sz w:val="20"/>
                <w:szCs w:val="20"/>
              </w:rPr>
              <w:t> </w:t>
            </w:r>
            <w:r>
              <w:rPr>
                <w:rFonts w:ascii="宋体" w:hAnsi="宋体" w:cs="宋体" w:eastAsia="宋体" w:hint="default"/>
                <w:spacing w:val="48"/>
                <w:w w:val="100"/>
                <w:sz w:val="20"/>
                <w:szCs w:val="20"/>
              </w:rPr>
              <w:t>行股</w:t>
            </w:r>
            <w:r>
              <w:rPr>
                <w:rFonts w:ascii="宋体" w:hAnsi="宋体" w:cs="宋体" w:eastAsia="宋体" w:hint="default"/>
                <w:spacing w:val="-3"/>
                <w:w w:val="100"/>
                <w:sz w:val="20"/>
                <w:szCs w:val="20"/>
              </w:rPr>
              <w:t> </w:t>
            </w:r>
            <w:r>
              <w:rPr>
                <w:rFonts w:ascii="宋体" w:hAnsi="宋体" w:cs="宋体" w:eastAsia="宋体" w:hint="default"/>
                <w:w w:val="100"/>
                <w:sz w:val="20"/>
                <w:szCs w:val="20"/>
              </w:rPr>
              <w:t>份</w:t>
            </w:r>
            <w:r>
              <w:rPr>
                <w:rFonts w:ascii="宋体" w:hAnsi="宋体" w:cs="宋体" w:eastAsia="宋体" w:hint="default"/>
                <w:w w:val="100"/>
                <w:sz w:val="20"/>
                <w:szCs w:val="20"/>
              </w:rPr>
              <w:t> </w:t>
            </w:r>
            <w:r>
              <w:rPr>
                <w:rFonts w:ascii="宋体" w:hAnsi="宋体" w:cs="宋体" w:eastAsia="宋体" w:hint="default"/>
                <w:spacing w:val="48"/>
                <w:w w:val="100"/>
                <w:sz w:val="20"/>
                <w:szCs w:val="20"/>
              </w:rPr>
              <w:t>有限</w:t>
            </w:r>
            <w:r>
              <w:rPr>
                <w:rFonts w:ascii="宋体" w:hAnsi="宋体" w:cs="宋体" w:eastAsia="宋体" w:hint="default"/>
                <w:spacing w:val="-3"/>
                <w:w w:val="100"/>
                <w:sz w:val="20"/>
                <w:szCs w:val="20"/>
              </w:rPr>
              <w:t> </w:t>
            </w:r>
            <w:r>
              <w:rPr>
                <w:rFonts w:ascii="宋体" w:hAnsi="宋体" w:cs="宋体" w:eastAsia="宋体" w:hint="default"/>
                <w:w w:val="100"/>
                <w:sz w:val="20"/>
                <w:szCs w:val="20"/>
              </w:rPr>
              <w:t>公</w:t>
            </w:r>
            <w:r>
              <w:rPr>
                <w:rFonts w:ascii="宋体" w:hAnsi="宋体" w:cs="宋体" w:eastAsia="宋体" w:hint="default"/>
                <w:w w:val="100"/>
                <w:sz w:val="20"/>
                <w:szCs w:val="20"/>
              </w:rPr>
              <w:t> </w:t>
            </w:r>
            <w:r>
              <w:rPr>
                <w:rFonts w:ascii="宋体" w:hAnsi="宋体" w:cs="宋体" w:eastAsia="宋体" w:hint="default"/>
                <w:sz w:val="20"/>
                <w:szCs w:val="20"/>
              </w:rPr>
              <w:t>司，法国</w:t>
            </w:r>
            <w:r>
              <w:rPr>
                <w:rFonts w:ascii="宋体" w:hAnsi="宋体" w:cs="宋体" w:eastAsia="宋体" w:hint="default"/>
                <w:w w:val="100"/>
                <w:sz w:val="20"/>
                <w:szCs w:val="20"/>
              </w:rPr>
              <w:t> </w:t>
            </w:r>
            <w:r>
              <w:rPr>
                <w:rFonts w:ascii="宋体" w:hAnsi="宋体" w:cs="宋体" w:eastAsia="宋体" w:hint="default"/>
                <w:spacing w:val="48"/>
                <w:w w:val="100"/>
                <w:sz w:val="20"/>
                <w:szCs w:val="20"/>
              </w:rPr>
              <w:t>巴黎</w:t>
            </w:r>
            <w:r>
              <w:rPr>
                <w:rFonts w:ascii="宋体" w:hAnsi="宋体" w:cs="宋体" w:eastAsia="宋体" w:hint="default"/>
                <w:spacing w:val="-3"/>
                <w:w w:val="100"/>
                <w:sz w:val="20"/>
                <w:szCs w:val="20"/>
              </w:rPr>
              <w:t> </w:t>
            </w:r>
            <w:r>
              <w:rPr>
                <w:rFonts w:ascii="宋体" w:hAnsi="宋体" w:cs="宋体" w:eastAsia="宋体" w:hint="default"/>
                <w:w w:val="100"/>
                <w:sz w:val="20"/>
                <w:szCs w:val="20"/>
              </w:rPr>
              <w:t>银</w:t>
            </w:r>
            <w:r>
              <w:rPr>
                <w:rFonts w:ascii="宋体" w:hAnsi="宋体" w:cs="宋体" w:eastAsia="宋体" w:hint="default"/>
                <w:w w:val="100"/>
                <w:sz w:val="20"/>
                <w:szCs w:val="20"/>
              </w:rPr>
              <w:t> </w:t>
            </w:r>
            <w:r>
              <w:rPr>
                <w:rFonts w:ascii="宋体" w:hAnsi="宋体" w:cs="宋体" w:eastAsia="宋体" w:hint="default"/>
                <w:spacing w:val="48"/>
                <w:w w:val="100"/>
                <w:sz w:val="20"/>
                <w:szCs w:val="20"/>
              </w:rPr>
              <w:t>行个</w:t>
            </w:r>
            <w:r>
              <w:rPr>
                <w:rFonts w:ascii="宋体" w:hAnsi="宋体" w:cs="宋体" w:eastAsia="宋体" w:hint="default"/>
                <w:spacing w:val="-3"/>
                <w:w w:val="100"/>
                <w:sz w:val="20"/>
                <w:szCs w:val="20"/>
              </w:rPr>
              <w:t> </w:t>
            </w:r>
            <w:r>
              <w:rPr>
                <w:rFonts w:ascii="宋体" w:hAnsi="宋体" w:cs="宋体" w:eastAsia="宋体" w:hint="default"/>
                <w:w w:val="100"/>
                <w:sz w:val="20"/>
                <w:szCs w:val="20"/>
              </w:rPr>
              <w:t>人</w:t>
            </w:r>
            <w:r>
              <w:rPr>
                <w:rFonts w:ascii="宋体" w:hAnsi="宋体" w:cs="宋体" w:eastAsia="宋体" w:hint="default"/>
                <w:w w:val="100"/>
                <w:sz w:val="20"/>
                <w:szCs w:val="20"/>
              </w:rPr>
              <w:t> </w:t>
            </w:r>
            <w:r>
              <w:rPr>
                <w:rFonts w:ascii="宋体" w:hAnsi="宋体" w:cs="宋体" w:eastAsia="宋体" w:hint="default"/>
                <w:spacing w:val="48"/>
                <w:w w:val="100"/>
                <w:sz w:val="20"/>
                <w:szCs w:val="20"/>
              </w:rPr>
              <w:t>金融</w:t>
            </w:r>
            <w:r>
              <w:rPr>
                <w:rFonts w:ascii="宋体" w:hAnsi="宋体" w:cs="宋体" w:eastAsia="宋体" w:hint="default"/>
                <w:spacing w:val="-3"/>
                <w:w w:val="100"/>
                <w:sz w:val="20"/>
                <w:szCs w:val="20"/>
              </w:rPr>
              <w:t> </w:t>
            </w:r>
            <w:r>
              <w:rPr>
                <w:rFonts w:ascii="宋体" w:hAnsi="宋体" w:cs="宋体" w:eastAsia="宋体" w:hint="default"/>
                <w:w w:val="100"/>
                <w:sz w:val="20"/>
                <w:szCs w:val="20"/>
              </w:rPr>
              <w:t>集</w:t>
            </w:r>
            <w:r>
              <w:rPr>
                <w:rFonts w:ascii="宋体" w:hAnsi="宋体" w:cs="宋体" w:eastAsia="宋体" w:hint="default"/>
                <w:w w:val="100"/>
                <w:sz w:val="20"/>
                <w:szCs w:val="20"/>
              </w:rPr>
              <w:t> </w:t>
            </w:r>
            <w:r>
              <w:rPr>
                <w:rFonts w:ascii="宋体" w:hAnsi="宋体" w:cs="宋体" w:eastAsia="宋体" w:hint="default"/>
                <w:sz w:val="20"/>
                <w:szCs w:val="20"/>
              </w:rPr>
              <w:t>团</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(BNP</w:t>
            </w:r>
          </w:p>
          <w:p>
            <w:pPr>
              <w:pStyle w:val="TableParagraph"/>
              <w:spacing w:line="326" w:lineRule="auto" w:before="38"/>
              <w:ind w:left="4" w:right="114"/>
              <w:jc w:val="left"/>
              <w:rPr>
                <w:rFonts w:ascii="Times New Roman" w:hAnsi="Times New Roman" w:cs="Times New Roman" w:eastAsia="Times New Roman" w:hint="default"/>
                <w:sz w:val="20"/>
                <w:szCs w:val="20"/>
              </w:rPr>
            </w:pPr>
            <w:r>
              <w:rPr>
                <w:rFonts w:ascii="Times New Roman"/>
                <w:sz w:val="20"/>
              </w:rPr>
              <w:t>Paribas</w:t>
            </w:r>
            <w:r>
              <w:rPr>
                <w:rFonts w:ascii="Times New Roman"/>
                <w:w w:val="100"/>
                <w:sz w:val="20"/>
              </w:rPr>
              <w:t> </w:t>
            </w:r>
            <w:r>
              <w:rPr>
                <w:rFonts w:ascii="Times New Roman"/>
                <w:sz w:val="20"/>
              </w:rPr>
              <w:t>Personal</w:t>
            </w:r>
            <w:r>
              <w:rPr>
                <w:rFonts w:ascii="Times New Roman"/>
                <w:w w:val="100"/>
                <w:sz w:val="20"/>
              </w:rPr>
              <w:t> </w:t>
            </w:r>
            <w:r>
              <w:rPr>
                <w:rFonts w:ascii="Times New Roman"/>
                <w:sz w:val="20"/>
              </w:rPr>
              <w:t>Finance)</w:t>
            </w:r>
          </w:p>
          <w:p>
            <w:pPr>
              <w:pStyle w:val="TableParagraph"/>
              <w:spacing w:line="218" w:lineRule="exact"/>
              <w:ind w:left="4" w:right="0"/>
              <w:jc w:val="both"/>
              <w:rPr>
                <w:rFonts w:ascii="宋体" w:hAnsi="宋体" w:cs="宋体" w:eastAsia="宋体" w:hint="default"/>
                <w:sz w:val="20"/>
                <w:szCs w:val="20"/>
              </w:rPr>
            </w:pPr>
            <w:r>
              <w:rPr>
                <w:rFonts w:ascii="宋体" w:hAnsi="宋体" w:cs="宋体" w:eastAsia="宋体" w:hint="default"/>
                <w:sz w:val="20"/>
                <w:szCs w:val="20"/>
              </w:rPr>
              <w:t>，江苏洋</w:t>
            </w:r>
          </w:p>
          <w:p>
            <w:pPr>
              <w:pStyle w:val="TableParagraph"/>
              <w:spacing w:line="285" w:lineRule="auto" w:before="50"/>
              <w:ind w:left="4" w:right="15"/>
              <w:jc w:val="both"/>
              <w:rPr>
                <w:rFonts w:ascii="宋体" w:hAnsi="宋体" w:cs="宋体" w:eastAsia="宋体" w:hint="default"/>
                <w:sz w:val="20"/>
                <w:szCs w:val="20"/>
              </w:rPr>
            </w:pPr>
            <w:r>
              <w:rPr>
                <w:rFonts w:ascii="宋体" w:hAnsi="宋体" w:cs="宋体" w:eastAsia="宋体" w:hint="default"/>
                <w:spacing w:val="48"/>
                <w:w w:val="100"/>
                <w:sz w:val="20"/>
                <w:szCs w:val="20"/>
              </w:rPr>
              <w:t>河酒</w:t>
            </w:r>
            <w:r>
              <w:rPr>
                <w:rFonts w:ascii="宋体" w:hAnsi="宋体" w:cs="宋体" w:eastAsia="宋体" w:hint="default"/>
                <w:spacing w:val="-3"/>
                <w:w w:val="100"/>
                <w:sz w:val="20"/>
                <w:szCs w:val="20"/>
              </w:rPr>
              <w:t> </w:t>
            </w:r>
            <w:r>
              <w:rPr>
                <w:rFonts w:ascii="宋体" w:hAnsi="宋体" w:cs="宋体" w:eastAsia="宋体" w:hint="default"/>
                <w:w w:val="100"/>
                <w:sz w:val="20"/>
                <w:szCs w:val="20"/>
              </w:rPr>
              <w:t>厂</w:t>
            </w:r>
            <w:r>
              <w:rPr>
                <w:rFonts w:ascii="宋体" w:hAnsi="宋体" w:cs="宋体" w:eastAsia="宋体" w:hint="default"/>
                <w:w w:val="100"/>
                <w:sz w:val="20"/>
                <w:szCs w:val="20"/>
              </w:rPr>
              <w:t> </w:t>
            </w:r>
            <w:r>
              <w:rPr>
                <w:rFonts w:ascii="宋体" w:hAnsi="宋体" w:cs="宋体" w:eastAsia="宋体" w:hint="default"/>
                <w:spacing w:val="48"/>
                <w:w w:val="100"/>
                <w:sz w:val="20"/>
                <w:szCs w:val="20"/>
              </w:rPr>
              <w:t>股份</w:t>
            </w:r>
            <w:r>
              <w:rPr>
                <w:rFonts w:ascii="宋体" w:hAnsi="宋体" w:cs="宋体" w:eastAsia="宋体" w:hint="default"/>
                <w:spacing w:val="-3"/>
                <w:w w:val="100"/>
                <w:sz w:val="20"/>
                <w:szCs w:val="20"/>
              </w:rPr>
              <w:t> </w:t>
            </w:r>
            <w:r>
              <w:rPr>
                <w:rFonts w:ascii="宋体" w:hAnsi="宋体" w:cs="宋体" w:eastAsia="宋体" w:hint="default"/>
                <w:w w:val="100"/>
                <w:sz w:val="20"/>
                <w:szCs w:val="20"/>
              </w:rPr>
              <w:t>有</w:t>
            </w:r>
            <w:r>
              <w:rPr>
                <w:rFonts w:ascii="宋体" w:hAnsi="宋体" w:cs="宋体" w:eastAsia="宋体" w:hint="default"/>
                <w:w w:val="100"/>
                <w:sz w:val="20"/>
                <w:szCs w:val="20"/>
              </w:rPr>
              <w:t> </w:t>
            </w:r>
            <w:r>
              <w:rPr>
                <w:rFonts w:ascii="宋体" w:hAnsi="宋体" w:cs="宋体" w:eastAsia="宋体" w:hint="default"/>
                <w:sz w:val="20"/>
                <w:szCs w:val="20"/>
              </w:rPr>
              <w:t>限公司，</w:t>
            </w:r>
            <w:r>
              <w:rPr>
                <w:rFonts w:ascii="宋体" w:hAnsi="宋体" w:cs="宋体" w:eastAsia="宋体" w:hint="default"/>
                <w:w w:val="100"/>
                <w:sz w:val="20"/>
                <w:szCs w:val="20"/>
              </w:rPr>
              <w:t> </w:t>
            </w:r>
            <w:r>
              <w:rPr>
                <w:rFonts w:ascii="宋体" w:hAnsi="宋体" w:cs="宋体" w:eastAsia="宋体" w:hint="default"/>
                <w:spacing w:val="48"/>
                <w:w w:val="100"/>
                <w:sz w:val="20"/>
                <w:szCs w:val="20"/>
              </w:rPr>
              <w:t>先声</w:t>
            </w:r>
            <w:r>
              <w:rPr>
                <w:rFonts w:ascii="宋体" w:hAnsi="宋体" w:cs="宋体" w:eastAsia="宋体" w:hint="default"/>
                <w:spacing w:val="-3"/>
                <w:w w:val="100"/>
                <w:sz w:val="20"/>
                <w:szCs w:val="20"/>
              </w:rPr>
              <w:t> </w:t>
            </w:r>
            <w:r>
              <w:rPr>
                <w:rFonts w:ascii="宋体" w:hAnsi="宋体" w:cs="宋体" w:eastAsia="宋体" w:hint="default"/>
                <w:w w:val="100"/>
                <w:sz w:val="20"/>
                <w:szCs w:val="20"/>
              </w:rPr>
              <w:t>再</w:t>
            </w:r>
            <w:r>
              <w:rPr>
                <w:rFonts w:ascii="宋体" w:hAnsi="宋体" w:cs="宋体" w:eastAsia="宋体" w:hint="default"/>
                <w:w w:val="100"/>
                <w:sz w:val="20"/>
                <w:szCs w:val="20"/>
              </w:rPr>
              <w:t> </w:t>
            </w:r>
            <w:r>
              <w:rPr>
                <w:rFonts w:ascii="宋体" w:hAnsi="宋体" w:cs="宋体" w:eastAsia="宋体" w:hint="default"/>
                <w:spacing w:val="48"/>
                <w:w w:val="100"/>
                <w:sz w:val="20"/>
                <w:szCs w:val="20"/>
              </w:rPr>
              <w:t>康江</w:t>
            </w:r>
            <w:r>
              <w:rPr>
                <w:rFonts w:ascii="宋体" w:hAnsi="宋体" w:cs="宋体" w:eastAsia="宋体" w:hint="default"/>
                <w:spacing w:val="-3"/>
                <w:w w:val="100"/>
                <w:sz w:val="20"/>
                <w:szCs w:val="20"/>
              </w:rPr>
              <w:t> </w:t>
            </w:r>
            <w:r>
              <w:rPr>
                <w:rFonts w:ascii="宋体" w:hAnsi="宋体" w:cs="宋体" w:eastAsia="宋体" w:hint="default"/>
                <w:w w:val="100"/>
                <w:sz w:val="20"/>
                <w:szCs w:val="20"/>
              </w:rPr>
              <w:t>苏</w:t>
            </w:r>
            <w:r>
              <w:rPr>
                <w:rFonts w:ascii="宋体" w:hAnsi="宋体" w:cs="宋体" w:eastAsia="宋体" w:hint="default"/>
                <w:w w:val="100"/>
                <w:sz w:val="20"/>
                <w:szCs w:val="20"/>
              </w:rPr>
              <w:t> </w:t>
            </w:r>
            <w:r>
              <w:rPr>
                <w:rFonts w:ascii="宋体" w:hAnsi="宋体" w:cs="宋体" w:eastAsia="宋体" w:hint="default"/>
                <w:spacing w:val="48"/>
                <w:w w:val="100"/>
                <w:sz w:val="20"/>
                <w:szCs w:val="20"/>
              </w:rPr>
              <w:t>药业</w:t>
            </w:r>
            <w:r>
              <w:rPr>
                <w:rFonts w:ascii="宋体" w:hAnsi="宋体" w:cs="宋体" w:eastAsia="宋体" w:hint="default"/>
                <w:spacing w:val="-3"/>
                <w:w w:val="100"/>
                <w:sz w:val="20"/>
                <w:szCs w:val="20"/>
              </w:rPr>
              <w:t> </w:t>
            </w:r>
            <w:r>
              <w:rPr>
                <w:rFonts w:ascii="宋体" w:hAnsi="宋体" w:cs="宋体" w:eastAsia="宋体" w:hint="default"/>
                <w:w w:val="100"/>
                <w:sz w:val="20"/>
                <w:szCs w:val="20"/>
              </w:rPr>
              <w:t>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4"/>
              <w:jc w:val="both"/>
              <w:rPr>
                <w:rFonts w:ascii="宋体" w:hAnsi="宋体" w:cs="宋体" w:eastAsia="宋体" w:hint="default"/>
                <w:sz w:val="20"/>
                <w:szCs w:val="20"/>
              </w:rPr>
            </w:pPr>
            <w:r>
              <w:rPr>
                <w:rFonts w:ascii="宋体" w:hAnsi="宋体" w:cs="宋体" w:eastAsia="宋体" w:hint="default"/>
                <w:spacing w:val="17"/>
                <w:sz w:val="20"/>
                <w:szCs w:val="20"/>
              </w:rPr>
              <w:t>永久</w:t>
            </w:r>
            <w:r>
              <w:rPr>
                <w:rFonts w:ascii="宋体" w:hAnsi="宋体" w:cs="宋体" w:eastAsia="宋体" w:hint="default"/>
                <w:spacing w:val="-98"/>
                <w:sz w:val="20"/>
                <w:szCs w:val="20"/>
              </w:rPr>
              <w:t> </w:t>
            </w:r>
            <w:r>
              <w:rPr>
                <w:rFonts w:ascii="宋体" w:hAnsi="宋体" w:cs="宋体" w:eastAsia="宋体" w:hint="default"/>
                <w:spacing w:val="17"/>
                <w:sz w:val="20"/>
                <w:szCs w:val="20"/>
              </w:rPr>
              <w:t>存续</w:t>
            </w:r>
            <w:r>
              <w:rPr>
                <w:rFonts w:ascii="宋体" w:hAnsi="宋体" w:cs="宋体" w:eastAsia="宋体" w:hint="default"/>
                <w:spacing w:val="-98"/>
                <w:sz w:val="20"/>
                <w:szCs w:val="20"/>
              </w:rPr>
              <w:t> </w:t>
            </w:r>
            <w:r>
              <w:rPr>
                <w:rFonts w:ascii="宋体" w:hAnsi="宋体" w:cs="宋体" w:eastAsia="宋体" w:hint="default"/>
                <w:spacing w:val="17"/>
                <w:sz w:val="20"/>
                <w:szCs w:val="20"/>
              </w:rPr>
              <w:t>的有</w:t>
            </w:r>
            <w:r>
              <w:rPr>
                <w:rFonts w:ascii="宋体" w:hAnsi="宋体" w:cs="宋体" w:eastAsia="宋体" w:hint="default"/>
                <w:spacing w:val="-98"/>
                <w:sz w:val="20"/>
                <w:szCs w:val="20"/>
              </w:rPr>
              <w:t> </w:t>
            </w:r>
            <w:r>
              <w:rPr>
                <w:rFonts w:ascii="宋体" w:hAnsi="宋体" w:cs="宋体" w:eastAsia="宋体" w:hint="default"/>
                <w:spacing w:val="17"/>
                <w:sz w:val="20"/>
                <w:szCs w:val="20"/>
              </w:rPr>
              <w:t>限责</w:t>
            </w:r>
            <w:r>
              <w:rPr>
                <w:rFonts w:ascii="宋体" w:hAnsi="宋体" w:cs="宋体" w:eastAsia="宋体" w:hint="default"/>
                <w:spacing w:val="-98"/>
                <w:sz w:val="20"/>
                <w:szCs w:val="20"/>
              </w:rPr>
              <w:t> </w:t>
            </w:r>
            <w:r>
              <w:rPr>
                <w:rFonts w:ascii="宋体" w:hAnsi="宋体" w:cs="宋体" w:eastAsia="宋体" w:hint="default"/>
                <w:spacing w:val="17"/>
                <w:sz w:val="20"/>
                <w:szCs w:val="20"/>
              </w:rPr>
              <w:t>任公</w:t>
            </w:r>
            <w:r>
              <w:rPr>
                <w:rFonts w:ascii="宋体" w:hAnsi="宋体" w:cs="宋体" w:eastAsia="宋体" w:hint="default"/>
                <w:spacing w:val="-98"/>
                <w:sz w:val="20"/>
                <w:szCs w:val="20"/>
              </w:rPr>
              <w:t> </w:t>
            </w:r>
            <w:r>
              <w:rPr>
                <w:rFonts w:ascii="宋体" w:hAnsi="宋体" w:cs="宋体" w:eastAsia="宋体" w:hint="default"/>
                <w:sz w:val="20"/>
                <w:szCs w:val="20"/>
              </w:rPr>
              <w:t>司</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spacing w:val="62"/>
                <w:sz w:val="20"/>
                <w:szCs w:val="20"/>
              </w:rPr>
              <w:t> </w:t>
            </w:r>
            <w:r>
              <w:rPr>
                <w:rFonts w:ascii="宋体" w:hAnsi="宋体" w:cs="宋体" w:eastAsia="宋体" w:hint="default"/>
                <w:sz w:val="20"/>
                <w:szCs w:val="20"/>
              </w:rPr>
              <w:t>适</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已</w:t>
            </w:r>
            <w:r>
              <w:rPr>
                <w:rFonts w:ascii="宋体" w:hAnsi="宋体" w:cs="宋体" w:eastAsia="宋体" w:hint="default"/>
                <w:spacing w:val="35"/>
                <w:sz w:val="20"/>
                <w:szCs w:val="20"/>
              </w:rPr>
              <w:t> </w:t>
            </w:r>
            <w:r>
              <w:rPr>
                <w:rFonts w:ascii="宋体" w:hAnsi="宋体" w:cs="宋体" w:eastAsia="宋体" w:hint="default"/>
                <w:sz w:val="20"/>
                <w:szCs w:val="20"/>
              </w:rPr>
              <w:t>完</w:t>
            </w:r>
            <w:r>
              <w:rPr>
                <w:rFonts w:ascii="宋体" w:hAnsi="宋体" w:cs="宋体" w:eastAsia="宋体" w:hint="default"/>
                <w:w w:val="100"/>
                <w:sz w:val="20"/>
                <w:szCs w:val="20"/>
              </w:rPr>
              <w:t> </w:t>
            </w:r>
            <w:r>
              <w:rPr>
                <w:rFonts w:ascii="宋体" w:hAnsi="宋体" w:cs="宋体" w:eastAsia="宋体" w:hint="default"/>
                <w:sz w:val="20"/>
                <w:szCs w:val="20"/>
              </w:rPr>
              <w:t>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3" w:right="20"/>
              <w:jc w:val="left"/>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spacing w:val="35"/>
                <w:sz w:val="20"/>
                <w:szCs w:val="20"/>
              </w:rPr>
              <w:t> </w:t>
            </w:r>
            <w:r>
              <w:rPr>
                <w:rFonts w:ascii="宋体" w:hAnsi="宋体" w:cs="宋体" w:eastAsia="宋体" w:hint="default"/>
                <w:sz w:val="20"/>
                <w:szCs w:val="20"/>
              </w:rPr>
              <w:t>适</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20"/>
                <w:szCs w:val="20"/>
              </w:rPr>
            </w:pPr>
            <w:r>
              <w:rPr>
                <w:rFonts w:ascii="Times New Roman"/>
                <w:sz w:val="20"/>
              </w:rPr>
              <w:t>-3,022.66</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w:t>
            </w:r>
          </w:p>
          <w:p>
            <w:pPr>
              <w:pStyle w:val="TableParagraph"/>
              <w:tabs>
                <w:tab w:pos="457" w:val="left" w:leader="none"/>
              </w:tabs>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tab/>
            </w:r>
            <w:r>
              <w:rPr>
                <w:rFonts w:ascii="宋体" w:hAnsi="宋体" w:cs="宋体" w:eastAsia="宋体" w:hint="default"/>
                <w:sz w:val="20"/>
                <w:szCs w:val="20"/>
              </w:rPr>
              <w:t>月</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w:t>
            </w:r>
          </w:p>
          <w:p>
            <w:pPr>
              <w:pStyle w:val="TableParagraph"/>
              <w:spacing w:line="240" w:lineRule="auto" w:before="35"/>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月</w:t>
            </w:r>
            <w:r>
              <w:rPr>
                <w:rFonts w:ascii="宋体" w:hAnsi="宋体" w:cs="宋体" w:eastAsia="宋体" w:hint="default"/>
                <w:spacing w:val="-18"/>
                <w:sz w:val="20"/>
                <w:szCs w:val="20"/>
              </w:rPr>
              <w:t> </w:t>
            </w:r>
            <w:r>
              <w:rPr>
                <w:rFonts w:ascii="Times New Roman" w:hAnsi="Times New Roman" w:cs="Times New Roman" w:eastAsia="Times New Roman" w:hint="default"/>
                <w:sz w:val="20"/>
                <w:szCs w:val="20"/>
              </w:rPr>
              <w:t>29</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20"/>
                <w:szCs w:val="20"/>
              </w:rPr>
            </w:pPr>
            <w:r>
              <w:rPr>
                <w:rFonts w:ascii="Times New Roman"/>
                <w:sz w:val="20"/>
              </w:rPr>
              <w:t>2014-0</w:t>
            </w:r>
          </w:p>
          <w:p>
            <w:pPr>
              <w:pStyle w:val="TableParagraph"/>
              <w:tabs>
                <w:tab w:pos="435" w:val="left" w:leader="none"/>
              </w:tabs>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70</w:t>
              <w:tab/>
            </w:r>
            <w:r>
              <w:rPr>
                <w:rFonts w:ascii="宋体" w:hAnsi="宋体" w:cs="宋体" w:eastAsia="宋体" w:hint="default"/>
                <w:sz w:val="20"/>
                <w:szCs w:val="20"/>
              </w:rPr>
              <w:t>，</w:t>
            </w:r>
          </w:p>
          <w:p>
            <w:pPr>
              <w:pStyle w:val="TableParagraph"/>
              <w:spacing w:line="240" w:lineRule="auto" w:before="81"/>
              <w:ind w:left="22" w:right="0"/>
              <w:jc w:val="left"/>
              <w:rPr>
                <w:rFonts w:ascii="Times New Roman" w:hAnsi="Times New Roman" w:cs="Times New Roman" w:eastAsia="Times New Roman" w:hint="default"/>
                <w:sz w:val="20"/>
                <w:szCs w:val="20"/>
              </w:rPr>
            </w:pPr>
            <w:r>
              <w:rPr>
                <w:rFonts w:ascii="Times New Roman"/>
                <w:sz w:val="20"/>
              </w:rPr>
              <w:t>2015-0</w:t>
            </w:r>
          </w:p>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sz w:val="20"/>
              </w:rPr>
              <w:t>26</w:t>
            </w:r>
          </w:p>
        </w:tc>
      </w:tr>
      <w:tr>
        <w:trPr>
          <w:trHeight w:val="322"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236"/>
              <w:jc w:val="right"/>
              <w:rPr>
                <w:rFonts w:ascii="Times New Roman" w:hAnsi="Times New Roman" w:cs="Times New Roman" w:eastAsia="Times New Roman" w:hint="default"/>
                <w:sz w:val="20"/>
                <w:szCs w:val="20"/>
              </w:rPr>
            </w:pPr>
            <w:r>
              <w:rPr>
                <w:rFonts w:ascii="Times New Roman"/>
                <w:sz w:val="20"/>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14,700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8"/>
              <w:jc w:val="center"/>
              <w:rPr>
                <w:rFonts w:ascii="Times New Roman" w:hAnsi="Times New Roman" w:cs="Times New Roman" w:eastAsia="Times New Roman" w:hint="default"/>
                <w:sz w:val="20"/>
                <w:szCs w:val="20"/>
              </w:rPr>
            </w:pPr>
            <w:r>
              <w:rPr>
                <w:rFonts w:ascii="Times New Roman"/>
                <w:sz w:val="20"/>
              </w:rPr>
              <w:t>--</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9"/>
              <w:jc w:val="center"/>
              <w:rPr>
                <w:rFonts w:ascii="Times New Roman" w:hAnsi="Times New Roman" w:cs="Times New Roman" w:eastAsia="Times New Roman" w:hint="default"/>
                <w:sz w:val="20"/>
                <w:szCs w:val="20"/>
              </w:rPr>
            </w:pPr>
            <w:r>
              <w:rPr>
                <w:rFonts w:ascii="Times New Roman"/>
                <w:sz w:val="20"/>
              </w:rPr>
              <w:t>--</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5" w:right="0"/>
              <w:jc w:val="left"/>
              <w:rPr>
                <w:rFonts w:ascii="Times New Roman" w:hAnsi="Times New Roman" w:cs="Times New Roman" w:eastAsia="Times New Roman" w:hint="default"/>
                <w:sz w:val="20"/>
                <w:szCs w:val="20"/>
              </w:rPr>
            </w:pPr>
            <w:r>
              <w:rPr>
                <w:rFonts w:ascii="Times New Roman"/>
                <w:sz w:val="20"/>
              </w:rPr>
              <w:t>-3,022.66</w:t>
            </w:r>
          </w:p>
        </w:tc>
        <w:tc>
          <w:tcPr>
            <w:tcW w:w="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9"/>
        <w:rPr>
          <w:rFonts w:ascii="宋体" w:hAnsi="宋体" w:cs="宋体" w:eastAsia="宋体" w:hint="default"/>
          <w:sz w:val="13"/>
          <w:szCs w:val="13"/>
        </w:rPr>
      </w:pPr>
    </w:p>
    <w:p>
      <w:pPr>
        <w:pStyle w:val="BodyText"/>
        <w:spacing w:line="240" w:lineRule="auto" w:before="31"/>
        <w:ind w:left="594" w:right="1082"/>
        <w:jc w:val="left"/>
      </w:pPr>
      <w:r>
        <w:rPr/>
        <w:t>（</w:t>
      </w:r>
      <w:r>
        <w:rPr>
          <w:rFonts w:ascii="Times New Roman" w:hAnsi="Times New Roman" w:cs="Times New Roman" w:eastAsia="Times New Roman" w:hint="default"/>
        </w:rPr>
        <w:t>3</w:t>
      </w:r>
      <w:r>
        <w:rPr/>
        <w:t>）报告期内，公司与关联方股权投资情况</w:t>
      </w:r>
    </w:p>
    <w:p>
      <w:pPr>
        <w:pStyle w:val="BodyText"/>
        <w:spacing w:line="391" w:lineRule="auto" w:before="164"/>
        <w:ind w:right="1132" w:firstLine="440"/>
        <w:jc w:val="left"/>
      </w:pPr>
      <w:r>
        <w:rPr>
          <w:w w:val="99"/>
        </w:rPr>
        <w:t>①</w:t>
      </w:r>
      <w:r>
        <w:rPr>
          <w:rFonts w:ascii="宋体" w:hAnsi="宋体" w:cs="宋体" w:eastAsia="宋体" w:hint="default"/>
          <w:w w:val="99"/>
        </w:rPr>
        <w:t>2015</w:t>
      </w:r>
      <w:r>
        <w:rPr>
          <w:rFonts w:ascii="宋体" w:hAnsi="宋体" w:cs="宋体" w:eastAsia="宋体" w:hint="default"/>
          <w:spacing w:val="-55"/>
        </w:rPr>
        <w:t> </w:t>
      </w:r>
      <w:r>
        <w:rPr>
          <w:w w:val="99"/>
        </w:rPr>
        <w:t>年</w:t>
      </w:r>
      <w:r>
        <w:rPr>
          <w:spacing w:val="-56"/>
        </w:rPr>
        <w:t> </w:t>
      </w:r>
      <w:r>
        <w:rPr>
          <w:rFonts w:ascii="宋体" w:hAnsi="宋体" w:cs="宋体" w:eastAsia="宋体" w:hint="default"/>
          <w:w w:val="99"/>
        </w:rPr>
        <w:t>6</w:t>
      </w:r>
      <w:r>
        <w:rPr>
          <w:rFonts w:ascii="宋体" w:hAnsi="宋体" w:cs="宋体" w:eastAsia="宋体" w:hint="default"/>
          <w:spacing w:val="-56"/>
        </w:rPr>
        <w:t> </w:t>
      </w:r>
      <w:r>
        <w:rPr>
          <w:w w:val="99"/>
        </w:rPr>
        <w:t>月，关联方苏宁电器集团有限公司与公司签订《股权转让协议</w:t>
      </w:r>
      <w:r>
        <w:rPr>
          <w:spacing w:val="-110"/>
          <w:w w:val="99"/>
        </w:rPr>
        <w:t>》</w:t>
      </w:r>
      <w:r>
        <w:rPr>
          <w:w w:val="99"/>
        </w:rPr>
        <w:t>，苏宁电器集团以</w:t>
      </w:r>
      <w:r>
        <w:rPr>
          <w:w w:val="99"/>
        </w:rPr>
        <w:t> </w:t>
      </w:r>
      <w:r>
        <w:rPr>
          <w:rFonts w:ascii="宋体" w:hAnsi="宋体" w:cs="宋体" w:eastAsia="宋体" w:hint="default"/>
          <w:w w:val="99"/>
        </w:rPr>
        <w:t>7,814.78</w:t>
      </w:r>
      <w:r>
        <w:rPr>
          <w:rFonts w:ascii="宋体" w:hAnsi="宋体" w:cs="宋体" w:eastAsia="宋体" w:hint="default"/>
          <w:spacing w:val="-54"/>
        </w:rPr>
        <w:t> </w:t>
      </w:r>
      <w:r>
        <w:rPr>
          <w:spacing w:val="-2"/>
          <w:w w:val="99"/>
        </w:rPr>
        <w:t>万</w:t>
      </w:r>
      <w:r>
        <w:rPr>
          <w:w w:val="99"/>
        </w:rPr>
        <w:t>元将其持有的重庆苏宁小额贷款有限公司</w:t>
      </w:r>
      <w:r>
        <w:rPr>
          <w:spacing w:val="2"/>
        </w:rPr>
        <w:t> </w:t>
      </w:r>
      <w:r>
        <w:rPr>
          <w:rFonts w:ascii="宋体" w:hAnsi="宋体" w:cs="宋体" w:eastAsia="宋体" w:hint="default"/>
          <w:w w:val="99"/>
        </w:rPr>
        <w:t>25%</w:t>
      </w:r>
      <w:r>
        <w:rPr>
          <w:w w:val="99"/>
        </w:rPr>
        <w:t>股份转让于公司</w:t>
      </w:r>
      <w:r>
        <w:rPr>
          <w:spacing w:val="-98"/>
          <w:w w:val="99"/>
        </w:rPr>
        <w:t>，</w:t>
      </w:r>
      <w:r>
        <w:rPr>
          <w:w w:val="99"/>
        </w:rPr>
        <w:t>本次转让价格按照小贷公</w:t>
      </w:r>
      <w:r>
        <w:rPr/>
      </w:r>
    </w:p>
    <w:p>
      <w:pPr>
        <w:spacing w:after="0" w:line="391"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6"/>
        <w:ind w:right="1082"/>
        <w:jc w:val="left"/>
      </w:pPr>
      <w:r>
        <w:rPr/>
        <w:t>司经审计净资产协商确认。</w:t>
      </w:r>
    </w:p>
    <w:p>
      <w:pPr>
        <w:pStyle w:val="BodyText"/>
        <w:spacing w:line="391" w:lineRule="auto" w:before="180"/>
        <w:ind w:right="1082" w:firstLine="440"/>
        <w:jc w:val="left"/>
      </w:pPr>
      <w:r>
        <w:rPr/>
        <w:t>②</w:t>
      </w: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11</w:t>
      </w:r>
      <w:r>
        <w:rPr>
          <w:rFonts w:ascii="宋体" w:hAnsi="宋体" w:cs="宋体" w:eastAsia="宋体" w:hint="default"/>
          <w:spacing w:val="-61"/>
        </w:rPr>
        <w:t> </w:t>
      </w:r>
      <w:r>
        <w:rPr/>
        <w:t>月，公司与关联方苏宁控股集团有限公司成立苏宁润东股权投资管理有限公司（以</w:t>
      </w:r>
      <w:r>
        <w:rPr>
          <w:w w:val="99"/>
        </w:rPr>
        <w:t> </w:t>
      </w:r>
      <w:r>
        <w:rPr>
          <w:spacing w:val="-9"/>
          <w:w w:val="99"/>
        </w:rPr>
        <w:t>下简称“苏宁润东投资”），苏宁润东投资注册资本人民币</w:t>
      </w:r>
      <w:r>
        <w:rPr>
          <w:spacing w:val="-50"/>
          <w:w w:val="99"/>
        </w:rPr>
        <w:t> </w:t>
      </w:r>
      <w:r>
        <w:rPr>
          <w:rFonts w:ascii="宋体" w:hAnsi="宋体" w:cs="宋体" w:eastAsia="宋体" w:hint="default"/>
          <w:w w:val="99"/>
        </w:rPr>
        <w:t>1</w:t>
      </w:r>
      <w:r>
        <w:rPr>
          <w:rFonts w:ascii="宋体" w:hAnsi="宋体" w:cs="宋体" w:eastAsia="宋体" w:hint="default"/>
          <w:spacing w:val="-51"/>
          <w:w w:val="99"/>
        </w:rPr>
        <w:t> </w:t>
      </w:r>
      <w:r>
        <w:rPr>
          <w:w w:val="99"/>
        </w:rPr>
        <w:t>亿元，公司股份占比</w:t>
      </w:r>
      <w:r>
        <w:rPr>
          <w:spacing w:val="-52"/>
          <w:w w:val="99"/>
        </w:rPr>
        <w:t> </w:t>
      </w:r>
      <w:r>
        <w:rPr>
          <w:rFonts w:ascii="宋体" w:hAnsi="宋体" w:cs="宋体" w:eastAsia="宋体" w:hint="default"/>
          <w:w w:val="99"/>
        </w:rPr>
        <w:t>10%</w:t>
      </w:r>
      <w:r>
        <w:rPr>
          <w:w w:val="99"/>
        </w:rPr>
        <w:t>。截至</w:t>
      </w:r>
      <w:r>
        <w:rPr>
          <w:spacing w:val="-53"/>
          <w:w w:val="99"/>
        </w:rPr>
        <w:t> </w:t>
      </w:r>
      <w:r>
        <w:rPr>
          <w:rFonts w:ascii="宋体" w:hAnsi="宋体" w:cs="宋体" w:eastAsia="宋体" w:hint="default"/>
          <w:w w:val="99"/>
        </w:rPr>
        <w:t>2015</w:t>
      </w:r>
      <w:r>
        <w:rPr>
          <w:rFonts w:ascii="宋体" w:hAnsi="宋体" w:cs="宋体" w:eastAsia="宋体" w:hint="default"/>
          <w:spacing w:val="-53"/>
          <w:w w:val="99"/>
        </w:rPr>
        <w:t> </w:t>
      </w:r>
      <w:r>
        <w:rPr>
          <w:w w:val="99"/>
        </w:rPr>
        <w:t>年</w:t>
      </w:r>
      <w:r>
        <w:rPr/>
      </w:r>
    </w:p>
    <w:p>
      <w:pPr>
        <w:pStyle w:val="BodyText"/>
        <w:spacing w:line="240" w:lineRule="auto" w:before="42"/>
        <w:ind w:right="1082"/>
        <w:jc w:val="left"/>
      </w:pP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日，公司实际出资人民币</w:t>
      </w:r>
      <w:r>
        <w:rPr>
          <w:spacing w:val="-55"/>
        </w:rPr>
        <w:t> </w:t>
      </w:r>
      <w:r>
        <w:rPr>
          <w:rFonts w:ascii="宋体" w:hAnsi="宋体" w:cs="宋体" w:eastAsia="宋体" w:hint="default"/>
        </w:rPr>
        <w:t>150</w:t>
      </w:r>
      <w:r>
        <w:rPr>
          <w:rFonts w:ascii="宋体" w:hAnsi="宋体" w:cs="宋体" w:eastAsia="宋体" w:hint="default"/>
          <w:spacing w:val="-57"/>
        </w:rPr>
        <w:t> </w:t>
      </w:r>
      <w:r>
        <w:rPr/>
        <w:t>万元。</w:t>
      </w:r>
    </w:p>
    <w:p>
      <w:pPr>
        <w:spacing w:line="240" w:lineRule="auto" w:before="11"/>
        <w:rPr>
          <w:rFonts w:ascii="宋体" w:hAnsi="宋体" w:cs="宋体" w:eastAsia="宋体" w:hint="default"/>
          <w:sz w:val="30"/>
          <w:szCs w:val="30"/>
        </w:rPr>
      </w:pPr>
    </w:p>
    <w:p>
      <w:pPr>
        <w:pStyle w:val="Heading4"/>
        <w:spacing w:line="240" w:lineRule="auto"/>
        <w:ind w:right="1082"/>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4"/>
        <w:rPr>
          <w:rFonts w:ascii="宋体" w:hAnsi="宋体" w:cs="宋体" w:eastAsia="宋体" w:hint="default"/>
          <w:sz w:val="25"/>
          <w:szCs w:val="25"/>
        </w:rPr>
      </w:pPr>
    </w:p>
    <w:p>
      <w:pPr>
        <w:pStyle w:val="Heading4"/>
        <w:spacing w:line="240" w:lineRule="auto"/>
        <w:ind w:right="1082"/>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2"/>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9"/>
          <w:szCs w:val="19"/>
        </w:rPr>
      </w:pPr>
      <w:r>
        <w:rPr>
          <w:rFonts w:ascii="宋体" w:hAnsi="宋体" w:cs="宋体" w:eastAsia="宋体" w:hint="default"/>
          <w:sz w:val="19"/>
          <w:szCs w:val="19"/>
        </w:rPr>
        <w:t>单位：千元</w:t>
      </w:r>
    </w:p>
    <w:p>
      <w:pPr>
        <w:spacing w:line="240" w:lineRule="auto" w:before="6"/>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1054"/>
        <w:gridCol w:w="1108"/>
        <w:gridCol w:w="956"/>
        <w:gridCol w:w="956"/>
      </w:tblGrid>
      <w:tr>
        <w:trPr>
          <w:trHeight w:val="94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88" w:right="0"/>
              <w:jc w:val="left"/>
              <w:rPr>
                <w:rFonts w:ascii="宋体" w:hAnsi="宋体" w:cs="宋体" w:eastAsia="宋体" w:hint="default"/>
                <w:sz w:val="20"/>
                <w:szCs w:val="20"/>
              </w:rPr>
            </w:pPr>
            <w:r>
              <w:rPr>
                <w:rFonts w:ascii="宋体" w:hAnsi="宋体" w:cs="宋体" w:eastAsia="宋体" w:hint="default"/>
                <w:sz w:val="20"/>
                <w:szCs w:val="20"/>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0"/>
              <w:ind w:left="242" w:right="41" w:hanging="201"/>
              <w:jc w:val="left"/>
              <w:rPr>
                <w:rFonts w:ascii="宋体" w:hAnsi="宋体" w:cs="宋体" w:eastAsia="宋体" w:hint="default"/>
                <w:sz w:val="20"/>
                <w:szCs w:val="20"/>
              </w:rPr>
            </w:pPr>
            <w:r>
              <w:rPr>
                <w:rFonts w:ascii="宋体" w:hAnsi="宋体" w:cs="宋体" w:eastAsia="宋体" w:hint="default"/>
                <w:sz w:val="20"/>
                <w:szCs w:val="20"/>
              </w:rPr>
              <w:t>初始投资</w:t>
            </w:r>
            <w:r>
              <w:rPr>
                <w:rFonts w:ascii="宋体" w:hAnsi="宋体" w:cs="宋体" w:eastAsia="宋体" w:hint="default"/>
                <w:w w:val="100"/>
                <w:sz w:val="20"/>
                <w:szCs w:val="20"/>
              </w:rPr>
              <w:t> </w:t>
            </w:r>
            <w:r>
              <w:rPr>
                <w:rFonts w:ascii="宋体" w:hAnsi="宋体" w:cs="宋体" w:eastAsia="宋体" w:hint="default"/>
                <w:sz w:val="20"/>
                <w:szCs w:val="20"/>
              </w:rPr>
              <w:t>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0"/>
              <w:ind w:left="39" w:right="36"/>
              <w:jc w:val="left"/>
              <w:rPr>
                <w:rFonts w:ascii="宋体" w:hAnsi="宋体" w:cs="宋体" w:eastAsia="宋体" w:hint="default"/>
                <w:sz w:val="20"/>
                <w:szCs w:val="20"/>
              </w:rPr>
            </w:pPr>
            <w:r>
              <w:rPr>
                <w:rFonts w:ascii="宋体" w:hAnsi="宋体" w:cs="宋体" w:eastAsia="宋体" w:hint="default"/>
                <w:sz w:val="20"/>
                <w:szCs w:val="20"/>
              </w:rPr>
              <w:t>本期公允价</w:t>
            </w:r>
            <w:r>
              <w:rPr>
                <w:rFonts w:ascii="宋体" w:hAnsi="宋体" w:cs="宋体" w:eastAsia="宋体" w:hint="default"/>
                <w:w w:val="100"/>
                <w:sz w:val="20"/>
                <w:szCs w:val="20"/>
              </w:rPr>
              <w:t> </w:t>
            </w:r>
            <w:r>
              <w:rPr>
                <w:rFonts w:ascii="宋体" w:hAnsi="宋体" w:cs="宋体" w:eastAsia="宋体" w:hint="default"/>
                <w:sz w:val="20"/>
                <w:szCs w:val="20"/>
              </w:rPr>
              <w:t>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83" w:right="83"/>
              <w:jc w:val="center"/>
              <w:rPr>
                <w:rFonts w:ascii="宋体" w:hAnsi="宋体" w:cs="宋体" w:eastAsia="宋体" w:hint="default"/>
                <w:sz w:val="20"/>
                <w:szCs w:val="20"/>
              </w:rPr>
            </w:pPr>
            <w:r>
              <w:rPr>
                <w:rFonts w:ascii="宋体" w:hAnsi="宋体" w:cs="宋体" w:eastAsia="宋体" w:hint="default"/>
                <w:sz w:val="20"/>
                <w:szCs w:val="20"/>
              </w:rPr>
              <w:t>计入权益的</w:t>
            </w:r>
            <w:r>
              <w:rPr>
                <w:rFonts w:ascii="宋体" w:hAnsi="宋体" w:cs="宋体" w:eastAsia="宋体" w:hint="default"/>
                <w:w w:val="100"/>
                <w:sz w:val="20"/>
                <w:szCs w:val="20"/>
              </w:rPr>
              <w:t> </w:t>
            </w:r>
            <w:r>
              <w:rPr>
                <w:rFonts w:ascii="宋体" w:hAnsi="宋体" w:cs="宋体" w:eastAsia="宋体" w:hint="default"/>
                <w:sz w:val="20"/>
                <w:szCs w:val="20"/>
              </w:rPr>
              <w:t>累计公允价</w:t>
            </w:r>
            <w:r>
              <w:rPr>
                <w:rFonts w:ascii="宋体" w:hAnsi="宋体" w:cs="宋体" w:eastAsia="宋体" w:hint="default"/>
                <w:w w:val="100"/>
                <w:sz w:val="20"/>
                <w:szCs w:val="20"/>
              </w:rPr>
              <w:t> </w:t>
            </w:r>
            <w:r>
              <w:rPr>
                <w:rFonts w:ascii="宋体" w:hAnsi="宋体" w:cs="宋体" w:eastAsia="宋体" w:hint="default"/>
                <w:sz w:val="20"/>
                <w:szCs w:val="20"/>
              </w:rPr>
              <w:t>值变动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0"/>
              <w:ind w:left="291" w:right="90" w:hanging="201"/>
              <w:jc w:val="left"/>
              <w:rPr>
                <w:rFonts w:ascii="宋体" w:hAnsi="宋体" w:cs="宋体" w:eastAsia="宋体" w:hint="default"/>
                <w:sz w:val="20"/>
                <w:szCs w:val="20"/>
              </w:rPr>
            </w:pPr>
            <w:r>
              <w:rPr>
                <w:rFonts w:ascii="宋体" w:hAnsi="宋体" w:cs="宋体" w:eastAsia="宋体" w:hint="default"/>
                <w:sz w:val="20"/>
                <w:szCs w:val="20"/>
              </w:rPr>
              <w:t>报告期内购</w:t>
            </w:r>
            <w:r>
              <w:rPr>
                <w:rFonts w:ascii="宋体" w:hAnsi="宋体" w:cs="宋体" w:eastAsia="宋体" w:hint="default"/>
                <w:w w:val="100"/>
                <w:sz w:val="20"/>
                <w:szCs w:val="20"/>
              </w:rPr>
              <w:t> </w:t>
            </w:r>
            <w:r>
              <w:rPr>
                <w:rFonts w:ascii="宋体" w:hAnsi="宋体" w:cs="宋体" w:eastAsia="宋体" w:hint="default"/>
                <w:sz w:val="20"/>
                <w:szCs w:val="20"/>
              </w:rPr>
              <w:t>入金额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0"/>
              <w:ind w:left="121" w:right="119"/>
              <w:jc w:val="left"/>
              <w:rPr>
                <w:rFonts w:ascii="宋体" w:hAnsi="宋体" w:cs="宋体" w:eastAsia="宋体" w:hint="default"/>
                <w:sz w:val="20"/>
                <w:szCs w:val="20"/>
              </w:rPr>
            </w:pPr>
            <w:r>
              <w:rPr>
                <w:rFonts w:ascii="宋体" w:hAnsi="宋体" w:cs="宋体" w:eastAsia="宋体" w:hint="default"/>
                <w:sz w:val="20"/>
                <w:szCs w:val="20"/>
              </w:rPr>
              <w:t>报告期内</w:t>
            </w:r>
            <w:r>
              <w:rPr>
                <w:rFonts w:ascii="宋体" w:hAnsi="宋体" w:cs="宋体" w:eastAsia="宋体" w:hint="default"/>
                <w:w w:val="100"/>
                <w:sz w:val="20"/>
                <w:szCs w:val="20"/>
              </w:rPr>
              <w:t> </w:t>
            </w:r>
            <w:r>
              <w:rPr>
                <w:rFonts w:ascii="宋体" w:hAnsi="宋体" w:cs="宋体" w:eastAsia="宋体" w:hint="default"/>
                <w:sz w:val="20"/>
                <w:szCs w:val="20"/>
              </w:rPr>
              <w:t>售出金额</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0"/>
              <w:ind w:left="449" w:right="46" w:hanging="400"/>
              <w:jc w:val="left"/>
              <w:rPr>
                <w:rFonts w:ascii="宋体" w:hAnsi="宋体" w:cs="宋体" w:eastAsia="宋体" w:hint="default"/>
                <w:sz w:val="20"/>
                <w:szCs w:val="20"/>
              </w:rPr>
            </w:pPr>
            <w:r>
              <w:rPr>
                <w:rFonts w:ascii="宋体" w:hAnsi="宋体" w:cs="宋体" w:eastAsia="宋体" w:hint="default"/>
                <w:sz w:val="20"/>
                <w:szCs w:val="20"/>
              </w:rPr>
              <w:t>累计投资收</w:t>
            </w:r>
            <w:r>
              <w:rPr>
                <w:rFonts w:ascii="宋体" w:hAnsi="宋体" w:cs="宋体" w:eastAsia="宋体" w:hint="default"/>
                <w:w w:val="100"/>
                <w:sz w:val="20"/>
                <w:szCs w:val="20"/>
              </w:rPr>
              <w:t> </w:t>
            </w:r>
            <w:r>
              <w:rPr>
                <w:rFonts w:ascii="宋体" w:hAnsi="宋体" w:cs="宋体" w:eastAsia="宋体" w:hint="default"/>
                <w:sz w:val="20"/>
                <w:szCs w:val="20"/>
              </w:rPr>
              <w:t>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71"/>
              <w:jc w:val="right"/>
              <w:rPr>
                <w:rFonts w:ascii="宋体" w:hAnsi="宋体" w:cs="宋体" w:eastAsia="宋体" w:hint="default"/>
                <w:sz w:val="20"/>
                <w:szCs w:val="20"/>
              </w:rPr>
            </w:pPr>
            <w:r>
              <w:rPr>
                <w:rFonts w:ascii="宋体" w:hAnsi="宋体" w:cs="宋体" w:eastAsia="宋体" w:hint="default"/>
                <w:sz w:val="20"/>
                <w:szCs w:val="20"/>
              </w:rPr>
              <w:t>期末金额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71" w:right="0"/>
              <w:jc w:val="left"/>
              <w:rPr>
                <w:rFonts w:ascii="宋体" w:hAnsi="宋体" w:cs="宋体" w:eastAsia="宋体" w:hint="default"/>
                <w:sz w:val="20"/>
                <w:szCs w:val="20"/>
              </w:rPr>
            </w:pPr>
            <w:r>
              <w:rPr>
                <w:rFonts w:ascii="宋体" w:hAnsi="宋体" w:cs="宋体" w:eastAsia="宋体" w:hint="default"/>
                <w:sz w:val="20"/>
                <w:szCs w:val="20"/>
              </w:rPr>
              <w:t>资金来源</w:t>
            </w:r>
          </w:p>
        </w:tc>
      </w:tr>
      <w:tr>
        <w:trPr>
          <w:trHeight w:val="157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46"/>
              <w:jc w:val="both"/>
              <w:rPr>
                <w:rFonts w:ascii="宋体" w:hAnsi="宋体" w:cs="宋体" w:eastAsia="宋体" w:hint="default"/>
                <w:sz w:val="20"/>
                <w:szCs w:val="20"/>
              </w:rPr>
            </w:pPr>
            <w:r>
              <w:rPr>
                <w:rFonts w:ascii="宋体" w:hAnsi="宋体" w:cs="宋体" w:eastAsia="宋体" w:hint="default"/>
                <w:sz w:val="20"/>
                <w:szCs w:val="20"/>
              </w:rPr>
              <w:t>以</w:t>
            </w:r>
            <w:r>
              <w:rPr>
                <w:rFonts w:ascii="宋体" w:hAnsi="宋体" w:cs="宋体" w:eastAsia="宋体" w:hint="default"/>
                <w:spacing w:val="-74"/>
                <w:sz w:val="20"/>
                <w:szCs w:val="20"/>
              </w:rPr>
              <w:t> </w:t>
            </w:r>
            <w:r>
              <w:rPr>
                <w:rFonts w:ascii="宋体" w:hAnsi="宋体" w:cs="宋体" w:eastAsia="宋体" w:hint="default"/>
                <w:sz w:val="20"/>
                <w:szCs w:val="20"/>
              </w:rPr>
              <w:t>公</w:t>
            </w:r>
            <w:r>
              <w:rPr>
                <w:rFonts w:ascii="宋体" w:hAnsi="宋体" w:cs="宋体" w:eastAsia="宋体" w:hint="default"/>
                <w:spacing w:val="-75"/>
                <w:sz w:val="20"/>
                <w:szCs w:val="20"/>
              </w:rPr>
              <w:t> </w:t>
            </w:r>
            <w:r>
              <w:rPr>
                <w:rFonts w:ascii="宋体" w:hAnsi="宋体" w:cs="宋体" w:eastAsia="宋体" w:hint="default"/>
                <w:sz w:val="20"/>
                <w:szCs w:val="20"/>
              </w:rPr>
              <w:t>允</w:t>
            </w:r>
            <w:r>
              <w:rPr>
                <w:rFonts w:ascii="宋体" w:hAnsi="宋体" w:cs="宋体" w:eastAsia="宋体" w:hint="default"/>
                <w:spacing w:val="-74"/>
                <w:sz w:val="20"/>
                <w:szCs w:val="20"/>
              </w:rPr>
              <w:t> </w:t>
            </w:r>
            <w:r>
              <w:rPr>
                <w:rFonts w:ascii="宋体" w:hAnsi="宋体" w:cs="宋体" w:eastAsia="宋体" w:hint="default"/>
                <w:sz w:val="20"/>
                <w:szCs w:val="20"/>
              </w:rPr>
              <w:t>价</w:t>
            </w:r>
            <w:r>
              <w:rPr>
                <w:rFonts w:ascii="宋体" w:hAnsi="宋体" w:cs="宋体" w:eastAsia="宋体" w:hint="default"/>
                <w:spacing w:val="-75"/>
                <w:sz w:val="20"/>
                <w:szCs w:val="20"/>
              </w:rPr>
              <w:t> </w:t>
            </w:r>
            <w:r>
              <w:rPr>
                <w:rFonts w:ascii="宋体" w:hAnsi="宋体" w:cs="宋体" w:eastAsia="宋体" w:hint="default"/>
                <w:sz w:val="20"/>
                <w:szCs w:val="20"/>
              </w:rPr>
              <w:t>值</w:t>
            </w:r>
            <w:r>
              <w:rPr>
                <w:rFonts w:ascii="宋体" w:hAnsi="宋体" w:cs="宋体" w:eastAsia="宋体" w:hint="default"/>
                <w:spacing w:val="-75"/>
                <w:sz w:val="20"/>
                <w:szCs w:val="20"/>
              </w:rPr>
              <w:t> </w:t>
            </w:r>
            <w:r>
              <w:rPr>
                <w:rFonts w:ascii="宋体" w:hAnsi="宋体" w:cs="宋体" w:eastAsia="宋体" w:hint="default"/>
                <w:sz w:val="20"/>
                <w:szCs w:val="20"/>
              </w:rPr>
              <w:t>计</w:t>
            </w:r>
            <w:r>
              <w:rPr>
                <w:rFonts w:ascii="宋体" w:hAnsi="宋体" w:cs="宋体" w:eastAsia="宋体" w:hint="default"/>
                <w:w w:val="100"/>
                <w:sz w:val="20"/>
                <w:szCs w:val="20"/>
              </w:rPr>
              <w:t> </w:t>
            </w:r>
            <w:r>
              <w:rPr>
                <w:rFonts w:ascii="宋体" w:hAnsi="宋体" w:cs="宋体" w:eastAsia="宋体" w:hint="default"/>
                <w:sz w:val="20"/>
                <w:szCs w:val="20"/>
              </w:rPr>
              <w:t>量</w:t>
            </w:r>
            <w:r>
              <w:rPr>
                <w:rFonts w:ascii="宋体" w:hAnsi="宋体" w:cs="宋体" w:eastAsia="宋体" w:hint="default"/>
                <w:spacing w:val="-74"/>
                <w:sz w:val="20"/>
                <w:szCs w:val="20"/>
              </w:rPr>
              <w:t> </w:t>
            </w:r>
            <w:r>
              <w:rPr>
                <w:rFonts w:ascii="宋体" w:hAnsi="宋体" w:cs="宋体" w:eastAsia="宋体" w:hint="default"/>
                <w:sz w:val="20"/>
                <w:szCs w:val="20"/>
              </w:rPr>
              <w:t>且</w:t>
            </w:r>
            <w:r>
              <w:rPr>
                <w:rFonts w:ascii="宋体" w:hAnsi="宋体" w:cs="宋体" w:eastAsia="宋体" w:hint="default"/>
                <w:spacing w:val="-75"/>
                <w:sz w:val="20"/>
                <w:szCs w:val="20"/>
              </w:rPr>
              <w:t> </w:t>
            </w:r>
            <w:r>
              <w:rPr>
                <w:rFonts w:ascii="宋体" w:hAnsi="宋体" w:cs="宋体" w:eastAsia="宋体" w:hint="default"/>
                <w:sz w:val="20"/>
                <w:szCs w:val="20"/>
              </w:rPr>
              <w:t>其</w:t>
            </w:r>
            <w:r>
              <w:rPr>
                <w:rFonts w:ascii="宋体" w:hAnsi="宋体" w:cs="宋体" w:eastAsia="宋体" w:hint="default"/>
                <w:spacing w:val="-74"/>
                <w:sz w:val="20"/>
                <w:szCs w:val="20"/>
              </w:rPr>
              <w:t> </w:t>
            </w:r>
            <w:r>
              <w:rPr>
                <w:rFonts w:ascii="宋体" w:hAnsi="宋体" w:cs="宋体" w:eastAsia="宋体" w:hint="default"/>
                <w:sz w:val="20"/>
                <w:szCs w:val="20"/>
              </w:rPr>
              <w:t>变</w:t>
            </w:r>
            <w:r>
              <w:rPr>
                <w:rFonts w:ascii="宋体" w:hAnsi="宋体" w:cs="宋体" w:eastAsia="宋体" w:hint="default"/>
                <w:spacing w:val="-75"/>
                <w:sz w:val="20"/>
                <w:szCs w:val="20"/>
              </w:rPr>
              <w:t> </w:t>
            </w:r>
            <w:r>
              <w:rPr>
                <w:rFonts w:ascii="宋体" w:hAnsi="宋体" w:cs="宋体" w:eastAsia="宋体" w:hint="default"/>
                <w:sz w:val="20"/>
                <w:szCs w:val="20"/>
              </w:rPr>
              <w:t>动</w:t>
            </w:r>
            <w:r>
              <w:rPr>
                <w:rFonts w:ascii="宋体" w:hAnsi="宋体" w:cs="宋体" w:eastAsia="宋体" w:hint="default"/>
                <w:spacing w:val="-75"/>
                <w:sz w:val="20"/>
                <w:szCs w:val="20"/>
              </w:rPr>
              <w:t> </w:t>
            </w:r>
            <w:r>
              <w:rPr>
                <w:rFonts w:ascii="宋体" w:hAnsi="宋体" w:cs="宋体" w:eastAsia="宋体" w:hint="default"/>
                <w:sz w:val="20"/>
                <w:szCs w:val="20"/>
              </w:rPr>
              <w:t>计</w:t>
            </w:r>
            <w:r>
              <w:rPr>
                <w:rFonts w:ascii="宋体" w:hAnsi="宋体" w:cs="宋体" w:eastAsia="宋体" w:hint="default"/>
                <w:w w:val="100"/>
                <w:sz w:val="20"/>
                <w:szCs w:val="20"/>
              </w:rPr>
              <w:t> </w:t>
            </w:r>
            <w:r>
              <w:rPr>
                <w:rFonts w:ascii="宋体" w:hAnsi="宋体" w:cs="宋体" w:eastAsia="宋体" w:hint="default"/>
                <w:sz w:val="20"/>
                <w:szCs w:val="20"/>
              </w:rPr>
              <w:t>入</w:t>
            </w:r>
            <w:r>
              <w:rPr>
                <w:rFonts w:ascii="宋体" w:hAnsi="宋体" w:cs="宋体" w:eastAsia="宋体" w:hint="default"/>
                <w:spacing w:val="-74"/>
                <w:sz w:val="20"/>
                <w:szCs w:val="20"/>
              </w:rPr>
              <w:t> </w:t>
            </w:r>
            <w:r>
              <w:rPr>
                <w:rFonts w:ascii="宋体" w:hAnsi="宋体" w:cs="宋体" w:eastAsia="宋体" w:hint="default"/>
                <w:sz w:val="20"/>
                <w:szCs w:val="20"/>
              </w:rPr>
              <w:t>当</w:t>
            </w:r>
            <w:r>
              <w:rPr>
                <w:rFonts w:ascii="宋体" w:hAnsi="宋体" w:cs="宋体" w:eastAsia="宋体" w:hint="default"/>
                <w:spacing w:val="-75"/>
                <w:sz w:val="20"/>
                <w:szCs w:val="20"/>
              </w:rPr>
              <w:t> </w:t>
            </w:r>
            <w:r>
              <w:rPr>
                <w:rFonts w:ascii="宋体" w:hAnsi="宋体" w:cs="宋体" w:eastAsia="宋体" w:hint="default"/>
                <w:sz w:val="20"/>
                <w:szCs w:val="20"/>
              </w:rPr>
              <w:t>期</w:t>
            </w:r>
            <w:r>
              <w:rPr>
                <w:rFonts w:ascii="宋体" w:hAnsi="宋体" w:cs="宋体" w:eastAsia="宋体" w:hint="default"/>
                <w:spacing w:val="-74"/>
                <w:sz w:val="20"/>
                <w:szCs w:val="20"/>
              </w:rPr>
              <w:t> </w:t>
            </w:r>
            <w:r>
              <w:rPr>
                <w:rFonts w:ascii="宋体" w:hAnsi="宋体" w:cs="宋体" w:eastAsia="宋体" w:hint="default"/>
                <w:sz w:val="20"/>
                <w:szCs w:val="20"/>
              </w:rPr>
              <w:t>损</w:t>
            </w:r>
            <w:r>
              <w:rPr>
                <w:rFonts w:ascii="宋体" w:hAnsi="宋体" w:cs="宋体" w:eastAsia="宋体" w:hint="default"/>
                <w:spacing w:val="-75"/>
                <w:sz w:val="20"/>
                <w:szCs w:val="20"/>
              </w:rPr>
              <w:t> </w:t>
            </w:r>
            <w:r>
              <w:rPr>
                <w:rFonts w:ascii="宋体" w:hAnsi="宋体" w:cs="宋体" w:eastAsia="宋体" w:hint="default"/>
                <w:sz w:val="20"/>
                <w:szCs w:val="20"/>
              </w:rPr>
              <w:t>益</w:t>
            </w:r>
            <w:r>
              <w:rPr>
                <w:rFonts w:ascii="宋体" w:hAnsi="宋体" w:cs="宋体" w:eastAsia="宋体" w:hint="default"/>
                <w:spacing w:val="-75"/>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pacing w:val="-11"/>
                <w:sz w:val="20"/>
                <w:szCs w:val="20"/>
              </w:rPr>
              <w:t>金融资产（不含</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衍生金融资产）</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170,738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-738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634,000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-804,000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4,725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100"/>
                <w:sz w:val="20"/>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0"/>
              <w:jc w:val="right"/>
              <w:rPr>
                <w:rFonts w:ascii="宋体" w:hAnsi="宋体" w:cs="宋体" w:eastAsia="宋体" w:hint="default"/>
                <w:sz w:val="20"/>
                <w:szCs w:val="20"/>
              </w:rPr>
            </w:pPr>
            <w:r>
              <w:rPr>
                <w:rFonts w:ascii="宋体" w:hAnsi="宋体" w:cs="宋体" w:eastAsia="宋体" w:hint="default"/>
                <w:spacing w:val="-1"/>
                <w:sz w:val="20"/>
                <w:szCs w:val="20"/>
              </w:rPr>
              <w:t>募集资金</w:t>
            </w:r>
          </w:p>
        </w:tc>
      </w:tr>
      <w:tr>
        <w:trPr>
          <w:trHeight w:val="63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z w:val="20"/>
                <w:szCs w:val="20"/>
              </w:rPr>
              <w:t>可</w:t>
            </w:r>
            <w:r>
              <w:rPr>
                <w:rFonts w:ascii="宋体" w:hAnsi="宋体" w:cs="宋体" w:eastAsia="宋体" w:hint="default"/>
                <w:spacing w:val="-74"/>
                <w:sz w:val="20"/>
                <w:szCs w:val="20"/>
              </w:rPr>
              <w:t> </w:t>
            </w:r>
            <w:r>
              <w:rPr>
                <w:rFonts w:ascii="宋体" w:hAnsi="宋体" w:cs="宋体" w:eastAsia="宋体" w:hint="default"/>
                <w:sz w:val="20"/>
                <w:szCs w:val="20"/>
              </w:rPr>
              <w:t>供</w:t>
            </w:r>
            <w:r>
              <w:rPr>
                <w:rFonts w:ascii="宋体" w:hAnsi="宋体" w:cs="宋体" w:eastAsia="宋体" w:hint="default"/>
                <w:spacing w:val="-75"/>
                <w:sz w:val="20"/>
                <w:szCs w:val="20"/>
              </w:rPr>
              <w:t> </w:t>
            </w:r>
            <w:r>
              <w:rPr>
                <w:rFonts w:ascii="宋体" w:hAnsi="宋体" w:cs="宋体" w:eastAsia="宋体" w:hint="default"/>
                <w:sz w:val="20"/>
                <w:szCs w:val="20"/>
              </w:rPr>
              <w:t>出</w:t>
            </w:r>
            <w:r>
              <w:rPr>
                <w:rFonts w:ascii="宋体" w:hAnsi="宋体" w:cs="宋体" w:eastAsia="宋体" w:hint="default"/>
                <w:spacing w:val="-74"/>
                <w:sz w:val="20"/>
                <w:szCs w:val="20"/>
              </w:rPr>
              <w:t> </w:t>
            </w:r>
            <w:r>
              <w:rPr>
                <w:rFonts w:ascii="宋体" w:hAnsi="宋体" w:cs="宋体" w:eastAsia="宋体" w:hint="default"/>
                <w:sz w:val="20"/>
                <w:szCs w:val="20"/>
              </w:rPr>
              <w:t>售</w:t>
            </w:r>
            <w:r>
              <w:rPr>
                <w:rFonts w:ascii="宋体" w:hAnsi="宋体" w:cs="宋体" w:eastAsia="宋体" w:hint="default"/>
                <w:spacing w:val="-75"/>
                <w:sz w:val="20"/>
                <w:szCs w:val="20"/>
              </w:rPr>
              <w:t> </w:t>
            </w:r>
            <w:r>
              <w:rPr>
                <w:rFonts w:ascii="宋体" w:hAnsi="宋体" w:cs="宋体" w:eastAsia="宋体" w:hint="default"/>
                <w:sz w:val="20"/>
                <w:szCs w:val="20"/>
              </w:rPr>
              <w:t>金</w:t>
            </w:r>
            <w:r>
              <w:rPr>
                <w:rFonts w:ascii="宋体" w:hAnsi="宋体" w:cs="宋体" w:eastAsia="宋体" w:hint="default"/>
                <w:spacing w:val="-75"/>
                <w:sz w:val="20"/>
                <w:szCs w:val="20"/>
              </w:rPr>
              <w:t> </w:t>
            </w:r>
            <w:r>
              <w:rPr>
                <w:rFonts w:ascii="宋体" w:hAnsi="宋体" w:cs="宋体" w:eastAsia="宋体" w:hint="default"/>
                <w:sz w:val="20"/>
                <w:szCs w:val="20"/>
              </w:rPr>
              <w:t>融</w:t>
            </w:r>
            <w:r>
              <w:rPr>
                <w:rFonts w:ascii="宋体" w:hAnsi="宋体" w:cs="宋体" w:eastAsia="宋体" w:hint="default"/>
                <w:w w:val="100"/>
                <w:sz w:val="20"/>
                <w:szCs w:val="20"/>
              </w:rPr>
              <w:t> </w:t>
            </w:r>
            <w:r>
              <w:rPr>
                <w:rFonts w:ascii="宋体" w:hAnsi="宋体" w:cs="宋体" w:eastAsia="宋体" w:hint="default"/>
                <w:sz w:val="20"/>
                <w:szCs w:val="20"/>
              </w:rPr>
              <w:t>资产</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175,165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-2,165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408,000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-581,000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4,016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0"/>
              <w:jc w:val="right"/>
              <w:rPr>
                <w:rFonts w:ascii="宋体" w:hAnsi="宋体" w:cs="宋体" w:eastAsia="宋体" w:hint="default"/>
                <w:sz w:val="20"/>
                <w:szCs w:val="20"/>
              </w:rPr>
            </w:pPr>
            <w:r>
              <w:rPr>
                <w:rFonts w:ascii="宋体" w:hAnsi="宋体" w:cs="宋体" w:eastAsia="宋体" w:hint="default"/>
                <w:spacing w:val="-1"/>
                <w:sz w:val="20"/>
                <w:szCs w:val="20"/>
              </w:rPr>
              <w:t>募集资金</w:t>
            </w:r>
          </w:p>
        </w:tc>
      </w:tr>
      <w:tr>
        <w:trPr>
          <w:trHeight w:val="157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46"/>
              <w:jc w:val="both"/>
              <w:rPr>
                <w:rFonts w:ascii="宋体" w:hAnsi="宋体" w:cs="宋体" w:eastAsia="宋体" w:hint="default"/>
                <w:sz w:val="20"/>
                <w:szCs w:val="20"/>
              </w:rPr>
            </w:pPr>
            <w:r>
              <w:rPr>
                <w:rFonts w:ascii="宋体" w:hAnsi="宋体" w:cs="宋体" w:eastAsia="宋体" w:hint="default"/>
                <w:sz w:val="20"/>
                <w:szCs w:val="20"/>
              </w:rPr>
              <w:t>以</w:t>
            </w:r>
            <w:r>
              <w:rPr>
                <w:rFonts w:ascii="宋体" w:hAnsi="宋体" w:cs="宋体" w:eastAsia="宋体" w:hint="default"/>
                <w:spacing w:val="-74"/>
                <w:sz w:val="20"/>
                <w:szCs w:val="20"/>
              </w:rPr>
              <w:t> </w:t>
            </w:r>
            <w:r>
              <w:rPr>
                <w:rFonts w:ascii="宋体" w:hAnsi="宋体" w:cs="宋体" w:eastAsia="宋体" w:hint="default"/>
                <w:sz w:val="20"/>
                <w:szCs w:val="20"/>
              </w:rPr>
              <w:t>公</w:t>
            </w:r>
            <w:r>
              <w:rPr>
                <w:rFonts w:ascii="宋体" w:hAnsi="宋体" w:cs="宋体" w:eastAsia="宋体" w:hint="default"/>
                <w:spacing w:val="-75"/>
                <w:sz w:val="20"/>
                <w:szCs w:val="20"/>
              </w:rPr>
              <w:t> </w:t>
            </w:r>
            <w:r>
              <w:rPr>
                <w:rFonts w:ascii="宋体" w:hAnsi="宋体" w:cs="宋体" w:eastAsia="宋体" w:hint="default"/>
                <w:sz w:val="20"/>
                <w:szCs w:val="20"/>
              </w:rPr>
              <w:t>允</w:t>
            </w:r>
            <w:r>
              <w:rPr>
                <w:rFonts w:ascii="宋体" w:hAnsi="宋体" w:cs="宋体" w:eastAsia="宋体" w:hint="default"/>
                <w:spacing w:val="-74"/>
                <w:sz w:val="20"/>
                <w:szCs w:val="20"/>
              </w:rPr>
              <w:t> </w:t>
            </w:r>
            <w:r>
              <w:rPr>
                <w:rFonts w:ascii="宋体" w:hAnsi="宋体" w:cs="宋体" w:eastAsia="宋体" w:hint="default"/>
                <w:sz w:val="20"/>
                <w:szCs w:val="20"/>
              </w:rPr>
              <w:t>价</w:t>
            </w:r>
            <w:r>
              <w:rPr>
                <w:rFonts w:ascii="宋体" w:hAnsi="宋体" w:cs="宋体" w:eastAsia="宋体" w:hint="default"/>
                <w:spacing w:val="-75"/>
                <w:sz w:val="20"/>
                <w:szCs w:val="20"/>
              </w:rPr>
              <w:t> </w:t>
            </w:r>
            <w:r>
              <w:rPr>
                <w:rFonts w:ascii="宋体" w:hAnsi="宋体" w:cs="宋体" w:eastAsia="宋体" w:hint="default"/>
                <w:sz w:val="20"/>
                <w:szCs w:val="20"/>
              </w:rPr>
              <w:t>值</w:t>
            </w:r>
            <w:r>
              <w:rPr>
                <w:rFonts w:ascii="宋体" w:hAnsi="宋体" w:cs="宋体" w:eastAsia="宋体" w:hint="default"/>
                <w:spacing w:val="-75"/>
                <w:sz w:val="20"/>
                <w:szCs w:val="20"/>
              </w:rPr>
              <w:t> </w:t>
            </w:r>
            <w:r>
              <w:rPr>
                <w:rFonts w:ascii="宋体" w:hAnsi="宋体" w:cs="宋体" w:eastAsia="宋体" w:hint="default"/>
                <w:sz w:val="20"/>
                <w:szCs w:val="20"/>
              </w:rPr>
              <w:t>计</w:t>
            </w:r>
            <w:r>
              <w:rPr>
                <w:rFonts w:ascii="宋体" w:hAnsi="宋体" w:cs="宋体" w:eastAsia="宋体" w:hint="default"/>
                <w:w w:val="100"/>
                <w:sz w:val="20"/>
                <w:szCs w:val="20"/>
              </w:rPr>
              <w:t> </w:t>
            </w:r>
            <w:r>
              <w:rPr>
                <w:rFonts w:ascii="宋体" w:hAnsi="宋体" w:cs="宋体" w:eastAsia="宋体" w:hint="default"/>
                <w:sz w:val="20"/>
                <w:szCs w:val="20"/>
              </w:rPr>
              <w:t>量</w:t>
            </w:r>
            <w:r>
              <w:rPr>
                <w:rFonts w:ascii="宋体" w:hAnsi="宋体" w:cs="宋体" w:eastAsia="宋体" w:hint="default"/>
                <w:spacing w:val="-74"/>
                <w:sz w:val="20"/>
                <w:szCs w:val="20"/>
              </w:rPr>
              <w:t> </w:t>
            </w:r>
            <w:r>
              <w:rPr>
                <w:rFonts w:ascii="宋体" w:hAnsi="宋体" w:cs="宋体" w:eastAsia="宋体" w:hint="default"/>
                <w:sz w:val="20"/>
                <w:szCs w:val="20"/>
              </w:rPr>
              <w:t>且</w:t>
            </w:r>
            <w:r>
              <w:rPr>
                <w:rFonts w:ascii="宋体" w:hAnsi="宋体" w:cs="宋体" w:eastAsia="宋体" w:hint="default"/>
                <w:spacing w:val="-75"/>
                <w:sz w:val="20"/>
                <w:szCs w:val="20"/>
              </w:rPr>
              <w:t> </w:t>
            </w:r>
            <w:r>
              <w:rPr>
                <w:rFonts w:ascii="宋体" w:hAnsi="宋体" w:cs="宋体" w:eastAsia="宋体" w:hint="default"/>
                <w:sz w:val="20"/>
                <w:szCs w:val="20"/>
              </w:rPr>
              <w:t>其</w:t>
            </w:r>
            <w:r>
              <w:rPr>
                <w:rFonts w:ascii="宋体" w:hAnsi="宋体" w:cs="宋体" w:eastAsia="宋体" w:hint="default"/>
                <w:spacing w:val="-74"/>
                <w:sz w:val="20"/>
                <w:szCs w:val="20"/>
              </w:rPr>
              <w:t> </w:t>
            </w:r>
            <w:r>
              <w:rPr>
                <w:rFonts w:ascii="宋体" w:hAnsi="宋体" w:cs="宋体" w:eastAsia="宋体" w:hint="default"/>
                <w:sz w:val="20"/>
                <w:szCs w:val="20"/>
              </w:rPr>
              <w:t>变</w:t>
            </w:r>
            <w:r>
              <w:rPr>
                <w:rFonts w:ascii="宋体" w:hAnsi="宋体" w:cs="宋体" w:eastAsia="宋体" w:hint="default"/>
                <w:spacing w:val="-75"/>
                <w:sz w:val="20"/>
                <w:szCs w:val="20"/>
              </w:rPr>
              <w:t> </w:t>
            </w:r>
            <w:r>
              <w:rPr>
                <w:rFonts w:ascii="宋体" w:hAnsi="宋体" w:cs="宋体" w:eastAsia="宋体" w:hint="default"/>
                <w:sz w:val="20"/>
                <w:szCs w:val="20"/>
              </w:rPr>
              <w:t>动</w:t>
            </w:r>
            <w:r>
              <w:rPr>
                <w:rFonts w:ascii="宋体" w:hAnsi="宋体" w:cs="宋体" w:eastAsia="宋体" w:hint="default"/>
                <w:spacing w:val="-75"/>
                <w:sz w:val="20"/>
                <w:szCs w:val="20"/>
              </w:rPr>
              <w:t> </w:t>
            </w:r>
            <w:r>
              <w:rPr>
                <w:rFonts w:ascii="宋体" w:hAnsi="宋体" w:cs="宋体" w:eastAsia="宋体" w:hint="default"/>
                <w:sz w:val="20"/>
                <w:szCs w:val="20"/>
              </w:rPr>
              <w:t>计</w:t>
            </w:r>
            <w:r>
              <w:rPr>
                <w:rFonts w:ascii="宋体" w:hAnsi="宋体" w:cs="宋体" w:eastAsia="宋体" w:hint="default"/>
                <w:w w:val="100"/>
                <w:sz w:val="20"/>
                <w:szCs w:val="20"/>
              </w:rPr>
              <w:t> </w:t>
            </w:r>
            <w:r>
              <w:rPr>
                <w:rFonts w:ascii="宋体" w:hAnsi="宋体" w:cs="宋体" w:eastAsia="宋体" w:hint="default"/>
                <w:sz w:val="20"/>
                <w:szCs w:val="20"/>
              </w:rPr>
              <w:t>入</w:t>
            </w:r>
            <w:r>
              <w:rPr>
                <w:rFonts w:ascii="宋体" w:hAnsi="宋体" w:cs="宋体" w:eastAsia="宋体" w:hint="default"/>
                <w:spacing w:val="-74"/>
                <w:sz w:val="20"/>
                <w:szCs w:val="20"/>
              </w:rPr>
              <w:t> </w:t>
            </w:r>
            <w:r>
              <w:rPr>
                <w:rFonts w:ascii="宋体" w:hAnsi="宋体" w:cs="宋体" w:eastAsia="宋体" w:hint="default"/>
                <w:sz w:val="20"/>
                <w:szCs w:val="20"/>
              </w:rPr>
              <w:t>当</w:t>
            </w:r>
            <w:r>
              <w:rPr>
                <w:rFonts w:ascii="宋体" w:hAnsi="宋体" w:cs="宋体" w:eastAsia="宋体" w:hint="default"/>
                <w:spacing w:val="-75"/>
                <w:sz w:val="20"/>
                <w:szCs w:val="20"/>
              </w:rPr>
              <w:t> </w:t>
            </w:r>
            <w:r>
              <w:rPr>
                <w:rFonts w:ascii="宋体" w:hAnsi="宋体" w:cs="宋体" w:eastAsia="宋体" w:hint="default"/>
                <w:sz w:val="20"/>
                <w:szCs w:val="20"/>
              </w:rPr>
              <w:t>期</w:t>
            </w:r>
            <w:r>
              <w:rPr>
                <w:rFonts w:ascii="宋体" w:hAnsi="宋体" w:cs="宋体" w:eastAsia="宋体" w:hint="default"/>
                <w:spacing w:val="-74"/>
                <w:sz w:val="20"/>
                <w:szCs w:val="20"/>
              </w:rPr>
              <w:t> </w:t>
            </w:r>
            <w:r>
              <w:rPr>
                <w:rFonts w:ascii="宋体" w:hAnsi="宋体" w:cs="宋体" w:eastAsia="宋体" w:hint="default"/>
                <w:sz w:val="20"/>
                <w:szCs w:val="20"/>
              </w:rPr>
              <w:t>损</w:t>
            </w:r>
            <w:r>
              <w:rPr>
                <w:rFonts w:ascii="宋体" w:hAnsi="宋体" w:cs="宋体" w:eastAsia="宋体" w:hint="default"/>
                <w:spacing w:val="-75"/>
                <w:sz w:val="20"/>
                <w:szCs w:val="20"/>
              </w:rPr>
              <w:t> </w:t>
            </w:r>
            <w:r>
              <w:rPr>
                <w:rFonts w:ascii="宋体" w:hAnsi="宋体" w:cs="宋体" w:eastAsia="宋体" w:hint="default"/>
                <w:sz w:val="20"/>
                <w:szCs w:val="20"/>
              </w:rPr>
              <w:t>益</w:t>
            </w:r>
            <w:r>
              <w:rPr>
                <w:rFonts w:ascii="宋体" w:hAnsi="宋体" w:cs="宋体" w:eastAsia="宋体" w:hint="default"/>
                <w:spacing w:val="-75"/>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pacing w:val="-11"/>
                <w:sz w:val="20"/>
                <w:szCs w:val="20"/>
              </w:rPr>
              <w:t>金融资产（不含</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衍生金融资产）</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2,473,967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-48,880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11,283,784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-13,030,000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169,521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20"/>
                <w:szCs w:val="20"/>
              </w:rPr>
            </w:pPr>
            <w:r>
              <w:rPr>
                <w:rFonts w:ascii="Times New Roman"/>
                <w:spacing w:val="-1"/>
                <w:sz w:val="20"/>
              </w:rPr>
              <w:t>678,871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
              <w:jc w:val="right"/>
              <w:rPr>
                <w:rFonts w:ascii="宋体" w:hAnsi="宋体" w:cs="宋体" w:eastAsia="宋体" w:hint="default"/>
                <w:sz w:val="20"/>
                <w:szCs w:val="20"/>
              </w:rPr>
            </w:pPr>
            <w:r>
              <w:rPr>
                <w:rFonts w:ascii="宋体" w:hAnsi="宋体" w:cs="宋体" w:eastAsia="宋体" w:hint="default"/>
                <w:spacing w:val="-1"/>
                <w:sz w:val="20"/>
                <w:szCs w:val="20"/>
              </w:rPr>
              <w:t>自有资金</w:t>
            </w:r>
          </w:p>
        </w:tc>
      </w:tr>
      <w:tr>
        <w:trPr>
          <w:trHeight w:val="63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z w:val="20"/>
                <w:szCs w:val="20"/>
              </w:rPr>
              <w:t>可</w:t>
            </w:r>
            <w:r>
              <w:rPr>
                <w:rFonts w:ascii="宋体" w:hAnsi="宋体" w:cs="宋体" w:eastAsia="宋体" w:hint="default"/>
                <w:spacing w:val="-74"/>
                <w:sz w:val="20"/>
                <w:szCs w:val="20"/>
              </w:rPr>
              <w:t> </w:t>
            </w:r>
            <w:r>
              <w:rPr>
                <w:rFonts w:ascii="宋体" w:hAnsi="宋体" w:cs="宋体" w:eastAsia="宋体" w:hint="default"/>
                <w:sz w:val="20"/>
                <w:szCs w:val="20"/>
              </w:rPr>
              <w:t>供</w:t>
            </w:r>
            <w:r>
              <w:rPr>
                <w:rFonts w:ascii="宋体" w:hAnsi="宋体" w:cs="宋体" w:eastAsia="宋体" w:hint="default"/>
                <w:spacing w:val="-75"/>
                <w:sz w:val="20"/>
                <w:szCs w:val="20"/>
              </w:rPr>
              <w:t> </w:t>
            </w:r>
            <w:r>
              <w:rPr>
                <w:rFonts w:ascii="宋体" w:hAnsi="宋体" w:cs="宋体" w:eastAsia="宋体" w:hint="default"/>
                <w:sz w:val="20"/>
                <w:szCs w:val="20"/>
              </w:rPr>
              <w:t>出</w:t>
            </w:r>
            <w:r>
              <w:rPr>
                <w:rFonts w:ascii="宋体" w:hAnsi="宋体" w:cs="宋体" w:eastAsia="宋体" w:hint="default"/>
                <w:spacing w:val="-74"/>
                <w:sz w:val="20"/>
                <w:szCs w:val="20"/>
              </w:rPr>
              <w:t> </w:t>
            </w:r>
            <w:r>
              <w:rPr>
                <w:rFonts w:ascii="宋体" w:hAnsi="宋体" w:cs="宋体" w:eastAsia="宋体" w:hint="default"/>
                <w:sz w:val="20"/>
                <w:szCs w:val="20"/>
              </w:rPr>
              <w:t>售</w:t>
            </w:r>
            <w:r>
              <w:rPr>
                <w:rFonts w:ascii="宋体" w:hAnsi="宋体" w:cs="宋体" w:eastAsia="宋体" w:hint="default"/>
                <w:spacing w:val="-75"/>
                <w:sz w:val="20"/>
                <w:szCs w:val="20"/>
              </w:rPr>
              <w:t> </w:t>
            </w:r>
            <w:r>
              <w:rPr>
                <w:rFonts w:ascii="宋体" w:hAnsi="宋体" w:cs="宋体" w:eastAsia="宋体" w:hint="default"/>
                <w:sz w:val="20"/>
                <w:szCs w:val="20"/>
              </w:rPr>
              <w:t>金</w:t>
            </w:r>
            <w:r>
              <w:rPr>
                <w:rFonts w:ascii="宋体" w:hAnsi="宋体" w:cs="宋体" w:eastAsia="宋体" w:hint="default"/>
                <w:spacing w:val="-75"/>
                <w:sz w:val="20"/>
                <w:szCs w:val="20"/>
              </w:rPr>
              <w:t> </w:t>
            </w:r>
            <w:r>
              <w:rPr>
                <w:rFonts w:ascii="宋体" w:hAnsi="宋体" w:cs="宋体" w:eastAsia="宋体" w:hint="default"/>
                <w:sz w:val="20"/>
                <w:szCs w:val="20"/>
              </w:rPr>
              <w:t>融</w:t>
            </w:r>
            <w:r>
              <w:rPr>
                <w:rFonts w:ascii="宋体" w:hAnsi="宋体" w:cs="宋体" w:eastAsia="宋体" w:hint="default"/>
                <w:w w:val="100"/>
                <w:sz w:val="20"/>
                <w:szCs w:val="20"/>
              </w:rPr>
              <w:t> </w:t>
            </w:r>
            <w:r>
              <w:rPr>
                <w:rFonts w:ascii="宋体" w:hAnsi="宋体" w:cs="宋体" w:eastAsia="宋体" w:hint="default"/>
                <w:sz w:val="20"/>
                <w:szCs w:val="20"/>
              </w:rPr>
              <w:t>资产</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0"/>
                <w:szCs w:val="20"/>
              </w:rPr>
            </w:pPr>
            <w:r>
              <w:rPr>
                <w:rFonts w:ascii="Times New Roman"/>
                <w:spacing w:val="-1"/>
                <w:sz w:val="20"/>
              </w:rPr>
              <w:t>2,082,985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100"/>
                <w:sz w:val="20"/>
              </w:rPr>
              <w:t>-</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213,695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48,408,497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-47,384,197</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58,382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3,320,980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0"/>
              <w:jc w:val="right"/>
              <w:rPr>
                <w:rFonts w:ascii="宋体" w:hAnsi="宋体" w:cs="宋体" w:eastAsia="宋体" w:hint="default"/>
                <w:sz w:val="20"/>
                <w:szCs w:val="20"/>
              </w:rPr>
            </w:pPr>
            <w:r>
              <w:rPr>
                <w:rFonts w:ascii="宋体" w:hAnsi="宋体" w:cs="宋体" w:eastAsia="宋体" w:hint="default"/>
                <w:spacing w:val="-1"/>
                <w:sz w:val="20"/>
                <w:szCs w:val="20"/>
              </w:rPr>
              <w:t>自有资金</w:t>
            </w:r>
          </w:p>
        </w:tc>
      </w:tr>
    </w:tbl>
    <w:p>
      <w:pPr>
        <w:spacing w:line="240" w:lineRule="auto" w:before="11"/>
        <w:rPr>
          <w:rFonts w:ascii="宋体" w:hAnsi="宋体" w:cs="宋体" w:eastAsia="宋体" w:hint="default"/>
          <w:sz w:val="18"/>
          <w:szCs w:val="18"/>
        </w:rPr>
      </w:pPr>
    </w:p>
    <w:p>
      <w:pPr>
        <w:pStyle w:val="Heading4"/>
        <w:spacing w:line="240" w:lineRule="auto" w:before="31"/>
        <w:ind w:left="154" w:right="1082"/>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3"/>
          <w:szCs w:val="23"/>
        </w:rPr>
      </w:pPr>
    </w:p>
    <w:p>
      <w:pPr>
        <w:pStyle w:val="Heading4"/>
        <w:spacing w:line="240" w:lineRule="auto"/>
        <w:ind w:right="1082"/>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2"/>
          <w:szCs w:val="22"/>
        </w:rPr>
      </w:pPr>
    </w:p>
    <w:p>
      <w:pPr>
        <w:spacing w:before="41"/>
        <w:ind w:left="0" w:right="1132" w:firstLine="0"/>
        <w:jc w:val="right"/>
        <w:rPr>
          <w:rFonts w:ascii="宋体" w:hAnsi="宋体" w:cs="宋体" w:eastAsia="宋体" w:hint="default"/>
          <w:sz w:val="19"/>
          <w:szCs w:val="19"/>
        </w:rPr>
      </w:pPr>
      <w:r>
        <w:rPr>
          <w:rFonts w:ascii="宋体" w:hAnsi="宋体" w:cs="宋体" w:eastAsia="宋体" w:hint="default"/>
          <w:w w:val="95"/>
          <w:sz w:val="19"/>
          <w:szCs w:val="19"/>
        </w:rPr>
        <w:t>单位：万元</w:t>
      </w:r>
      <w:r>
        <w:rPr>
          <w:rFonts w:ascii="宋体" w:hAnsi="宋体" w:cs="宋体" w:eastAsia="宋体" w:hint="default"/>
          <w:sz w:val="19"/>
          <w:szCs w:val="19"/>
        </w:rPr>
      </w:r>
    </w:p>
    <w:p>
      <w:pPr>
        <w:spacing w:line="240" w:lineRule="auto" w:before="9"/>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710"/>
        <w:gridCol w:w="709"/>
        <w:gridCol w:w="991"/>
        <w:gridCol w:w="1067"/>
        <w:gridCol w:w="1060"/>
        <w:gridCol w:w="679"/>
        <w:gridCol w:w="870"/>
        <w:gridCol w:w="870"/>
        <w:gridCol w:w="870"/>
        <w:gridCol w:w="1247"/>
        <w:gridCol w:w="709"/>
      </w:tblGrid>
      <w:tr>
        <w:trPr>
          <w:trHeight w:val="1571"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02" w:lineRule="auto"/>
              <w:ind w:left="254" w:right="65" w:hanging="191"/>
              <w:jc w:val="left"/>
              <w:rPr>
                <w:rFonts w:ascii="宋体" w:hAnsi="宋体" w:cs="宋体" w:eastAsia="宋体" w:hint="default"/>
                <w:sz w:val="19"/>
                <w:szCs w:val="19"/>
              </w:rPr>
            </w:pPr>
            <w:r>
              <w:rPr>
                <w:rFonts w:ascii="宋体" w:hAnsi="宋体" w:cs="宋体" w:eastAsia="宋体" w:hint="default"/>
                <w:sz w:val="19"/>
                <w:szCs w:val="19"/>
              </w:rPr>
              <w:t>募集年</w:t>
            </w:r>
            <w:r>
              <w:rPr>
                <w:rFonts w:ascii="宋体" w:hAnsi="宋体" w:cs="宋体" w:eastAsia="宋体" w:hint="default"/>
                <w:w w:val="99"/>
                <w:sz w:val="19"/>
                <w:szCs w:val="19"/>
              </w:rPr>
              <w:t> </w:t>
            </w:r>
            <w:r>
              <w:rPr>
                <w:rFonts w:ascii="宋体" w:hAnsi="宋体" w:cs="宋体" w:eastAsia="宋体" w:hint="default"/>
                <w:sz w:val="19"/>
                <w:szCs w:val="19"/>
              </w:rPr>
              <w:t>份</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02" w:lineRule="auto"/>
              <w:ind w:left="254" w:right="65" w:hanging="191"/>
              <w:jc w:val="left"/>
              <w:rPr>
                <w:rFonts w:ascii="宋体" w:hAnsi="宋体" w:cs="宋体" w:eastAsia="宋体" w:hint="default"/>
                <w:sz w:val="19"/>
                <w:szCs w:val="19"/>
              </w:rPr>
            </w:pPr>
            <w:r>
              <w:rPr>
                <w:rFonts w:ascii="宋体" w:hAnsi="宋体" w:cs="宋体" w:eastAsia="宋体" w:hint="default"/>
                <w:sz w:val="19"/>
                <w:szCs w:val="19"/>
              </w:rPr>
              <w:t>募集方</w:t>
            </w:r>
            <w:r>
              <w:rPr>
                <w:rFonts w:ascii="宋体" w:hAnsi="宋体" w:cs="宋体" w:eastAsia="宋体" w:hint="default"/>
                <w:w w:val="99"/>
                <w:sz w:val="19"/>
                <w:szCs w:val="19"/>
              </w:rPr>
              <w:t> </w:t>
            </w:r>
            <w:r>
              <w:rPr>
                <w:rFonts w:ascii="宋体" w:hAnsi="宋体" w:cs="宋体" w:eastAsia="宋体" w:hint="default"/>
                <w:sz w:val="19"/>
                <w:szCs w:val="19"/>
              </w:rPr>
              <w:t>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02" w:lineRule="auto"/>
              <w:ind w:left="299" w:right="110" w:hanging="190"/>
              <w:jc w:val="left"/>
              <w:rPr>
                <w:rFonts w:ascii="宋体" w:hAnsi="宋体" w:cs="宋体" w:eastAsia="宋体" w:hint="default"/>
                <w:sz w:val="19"/>
                <w:szCs w:val="19"/>
              </w:rPr>
            </w:pPr>
            <w:r>
              <w:rPr>
                <w:rFonts w:ascii="宋体" w:hAnsi="宋体" w:cs="宋体" w:eastAsia="宋体" w:hint="default"/>
                <w:sz w:val="19"/>
                <w:szCs w:val="19"/>
              </w:rPr>
              <w:t>募集资金</w:t>
            </w:r>
            <w:r>
              <w:rPr>
                <w:rFonts w:ascii="宋体" w:hAnsi="宋体" w:cs="宋体" w:eastAsia="宋体" w:hint="default"/>
                <w:w w:val="99"/>
                <w:sz w:val="19"/>
                <w:szCs w:val="19"/>
              </w:rPr>
              <w:t> </w:t>
            </w:r>
            <w:r>
              <w:rPr>
                <w:rFonts w:ascii="宋体" w:hAnsi="宋体" w:cs="宋体" w:eastAsia="宋体" w:hint="default"/>
                <w:sz w:val="19"/>
                <w:szCs w:val="19"/>
              </w:rPr>
              <w:t>总额</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302" w:lineRule="auto"/>
              <w:ind w:left="54" w:right="52"/>
              <w:jc w:val="center"/>
              <w:rPr>
                <w:rFonts w:ascii="宋体" w:hAnsi="宋体" w:cs="宋体" w:eastAsia="宋体" w:hint="default"/>
                <w:sz w:val="19"/>
                <w:szCs w:val="19"/>
              </w:rPr>
            </w:pPr>
            <w:r>
              <w:rPr>
                <w:rFonts w:ascii="宋体" w:hAnsi="宋体" w:cs="宋体" w:eastAsia="宋体" w:hint="default"/>
                <w:sz w:val="19"/>
                <w:szCs w:val="19"/>
              </w:rPr>
              <w:t>本期已使用</w:t>
            </w:r>
            <w:r>
              <w:rPr>
                <w:rFonts w:ascii="宋体" w:hAnsi="宋体" w:cs="宋体" w:eastAsia="宋体" w:hint="default"/>
                <w:w w:val="99"/>
                <w:sz w:val="19"/>
                <w:szCs w:val="19"/>
              </w:rPr>
              <w:t> </w:t>
            </w:r>
            <w:r>
              <w:rPr>
                <w:rFonts w:ascii="宋体" w:hAnsi="宋体" w:cs="宋体" w:eastAsia="宋体" w:hint="default"/>
                <w:sz w:val="19"/>
                <w:szCs w:val="19"/>
              </w:rPr>
              <w:t>募集资金总</w:t>
            </w:r>
            <w:r>
              <w:rPr>
                <w:rFonts w:ascii="宋体" w:hAnsi="宋体" w:cs="宋体" w:eastAsia="宋体" w:hint="default"/>
                <w:w w:val="99"/>
                <w:sz w:val="19"/>
                <w:szCs w:val="19"/>
              </w:rPr>
              <w:t> </w:t>
            </w:r>
            <w:r>
              <w:rPr>
                <w:rFonts w:ascii="宋体" w:hAnsi="宋体" w:cs="宋体" w:eastAsia="宋体" w:hint="default"/>
                <w:sz w:val="19"/>
                <w:szCs w:val="19"/>
              </w:rPr>
              <w:t>额</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302" w:lineRule="auto"/>
              <w:ind w:left="49" w:right="50"/>
              <w:jc w:val="center"/>
              <w:rPr>
                <w:rFonts w:ascii="宋体" w:hAnsi="宋体" w:cs="宋体" w:eastAsia="宋体" w:hint="default"/>
                <w:sz w:val="19"/>
                <w:szCs w:val="19"/>
              </w:rPr>
            </w:pPr>
            <w:r>
              <w:rPr>
                <w:rFonts w:ascii="宋体" w:hAnsi="宋体" w:cs="宋体" w:eastAsia="宋体" w:hint="default"/>
                <w:sz w:val="19"/>
                <w:szCs w:val="19"/>
              </w:rPr>
              <w:t>已累计使用</w:t>
            </w:r>
            <w:r>
              <w:rPr>
                <w:rFonts w:ascii="宋体" w:hAnsi="宋体" w:cs="宋体" w:eastAsia="宋体" w:hint="default"/>
                <w:w w:val="99"/>
                <w:sz w:val="19"/>
                <w:szCs w:val="19"/>
              </w:rPr>
              <w:t> </w:t>
            </w:r>
            <w:r>
              <w:rPr>
                <w:rFonts w:ascii="宋体" w:hAnsi="宋体" w:cs="宋体" w:eastAsia="宋体" w:hint="default"/>
                <w:sz w:val="19"/>
                <w:szCs w:val="19"/>
              </w:rPr>
              <w:t>募集资金总</w:t>
            </w:r>
            <w:r>
              <w:rPr>
                <w:rFonts w:ascii="宋体" w:hAnsi="宋体" w:cs="宋体" w:eastAsia="宋体" w:hint="default"/>
                <w:w w:val="99"/>
                <w:sz w:val="19"/>
                <w:szCs w:val="19"/>
              </w:rPr>
              <w:t> </w:t>
            </w:r>
            <w:r>
              <w:rPr>
                <w:rFonts w:ascii="宋体" w:hAnsi="宋体" w:cs="宋体" w:eastAsia="宋体" w:hint="default"/>
                <w:sz w:val="19"/>
                <w:szCs w:val="19"/>
              </w:rPr>
              <w:t>额</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
              <w:ind w:left="49" w:right="49"/>
              <w:jc w:val="both"/>
              <w:rPr>
                <w:rFonts w:ascii="宋体" w:hAnsi="宋体" w:cs="宋体" w:eastAsia="宋体" w:hint="default"/>
                <w:sz w:val="19"/>
                <w:szCs w:val="19"/>
              </w:rPr>
            </w:pPr>
            <w:r>
              <w:rPr>
                <w:rFonts w:ascii="宋体" w:hAnsi="宋体" w:cs="宋体" w:eastAsia="宋体" w:hint="default"/>
                <w:sz w:val="19"/>
                <w:szCs w:val="19"/>
              </w:rPr>
              <w:t>报告期</w:t>
            </w:r>
            <w:r>
              <w:rPr>
                <w:rFonts w:ascii="宋体" w:hAnsi="宋体" w:cs="宋体" w:eastAsia="宋体" w:hint="default"/>
                <w:w w:val="99"/>
                <w:sz w:val="19"/>
                <w:szCs w:val="19"/>
              </w:rPr>
              <w:t> </w:t>
            </w:r>
            <w:r>
              <w:rPr>
                <w:rFonts w:ascii="宋体" w:hAnsi="宋体" w:cs="宋体" w:eastAsia="宋体" w:hint="default"/>
                <w:sz w:val="19"/>
                <w:szCs w:val="19"/>
              </w:rPr>
              <w:t>内变更</w:t>
            </w:r>
            <w:r>
              <w:rPr>
                <w:rFonts w:ascii="宋体" w:hAnsi="宋体" w:cs="宋体" w:eastAsia="宋体" w:hint="default"/>
                <w:w w:val="99"/>
                <w:sz w:val="19"/>
                <w:szCs w:val="19"/>
              </w:rPr>
              <w:t> </w:t>
            </w:r>
            <w:r>
              <w:rPr>
                <w:rFonts w:ascii="宋体" w:hAnsi="宋体" w:cs="宋体" w:eastAsia="宋体" w:hint="default"/>
                <w:sz w:val="19"/>
                <w:szCs w:val="19"/>
              </w:rPr>
              <w:t>用途的</w:t>
            </w:r>
            <w:r>
              <w:rPr>
                <w:rFonts w:ascii="宋体" w:hAnsi="宋体" w:cs="宋体" w:eastAsia="宋体" w:hint="default"/>
                <w:w w:val="99"/>
                <w:sz w:val="19"/>
                <w:szCs w:val="19"/>
              </w:rPr>
              <w:t> </w:t>
            </w:r>
            <w:r>
              <w:rPr>
                <w:rFonts w:ascii="宋体" w:hAnsi="宋体" w:cs="宋体" w:eastAsia="宋体" w:hint="default"/>
                <w:sz w:val="19"/>
                <w:szCs w:val="19"/>
              </w:rPr>
              <w:t>募集资</w:t>
            </w:r>
            <w:r>
              <w:rPr>
                <w:rFonts w:ascii="宋体" w:hAnsi="宋体" w:cs="宋体" w:eastAsia="宋体" w:hint="default"/>
                <w:w w:val="99"/>
                <w:sz w:val="19"/>
                <w:szCs w:val="19"/>
              </w:rPr>
              <w:t> </w:t>
            </w:r>
            <w:r>
              <w:rPr>
                <w:rFonts w:ascii="宋体" w:hAnsi="宋体" w:cs="宋体" w:eastAsia="宋体" w:hint="default"/>
                <w:sz w:val="19"/>
                <w:szCs w:val="19"/>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9"/>
              <w:ind w:left="49" w:right="50"/>
              <w:jc w:val="center"/>
              <w:rPr>
                <w:rFonts w:ascii="宋体" w:hAnsi="宋体" w:cs="宋体" w:eastAsia="宋体" w:hint="default"/>
                <w:sz w:val="19"/>
                <w:szCs w:val="19"/>
              </w:rPr>
            </w:pPr>
            <w:r>
              <w:rPr>
                <w:rFonts w:ascii="宋体" w:hAnsi="宋体" w:cs="宋体" w:eastAsia="宋体" w:hint="default"/>
                <w:sz w:val="19"/>
                <w:szCs w:val="19"/>
              </w:rPr>
              <w:t>累计变更</w:t>
            </w:r>
            <w:r>
              <w:rPr>
                <w:rFonts w:ascii="宋体" w:hAnsi="宋体" w:cs="宋体" w:eastAsia="宋体" w:hint="default"/>
                <w:w w:val="99"/>
                <w:sz w:val="19"/>
                <w:szCs w:val="19"/>
              </w:rPr>
              <w:t> </w:t>
            </w:r>
            <w:r>
              <w:rPr>
                <w:rFonts w:ascii="宋体" w:hAnsi="宋体" w:cs="宋体" w:eastAsia="宋体" w:hint="default"/>
                <w:sz w:val="19"/>
                <w:szCs w:val="19"/>
              </w:rPr>
              <w:t>用途的募</w:t>
            </w:r>
            <w:r>
              <w:rPr>
                <w:rFonts w:ascii="宋体" w:hAnsi="宋体" w:cs="宋体" w:eastAsia="宋体" w:hint="default"/>
                <w:w w:val="99"/>
                <w:sz w:val="19"/>
                <w:szCs w:val="19"/>
              </w:rPr>
              <w:t> </w:t>
            </w:r>
            <w:r>
              <w:rPr>
                <w:rFonts w:ascii="宋体" w:hAnsi="宋体" w:cs="宋体" w:eastAsia="宋体" w:hint="default"/>
                <w:sz w:val="19"/>
                <w:szCs w:val="19"/>
              </w:rPr>
              <w:t>集资金总</w:t>
            </w:r>
            <w:r>
              <w:rPr>
                <w:rFonts w:ascii="宋体" w:hAnsi="宋体" w:cs="宋体" w:eastAsia="宋体" w:hint="default"/>
                <w:w w:val="99"/>
                <w:sz w:val="19"/>
                <w:szCs w:val="19"/>
              </w:rPr>
              <w:t> </w:t>
            </w:r>
            <w:r>
              <w:rPr>
                <w:rFonts w:ascii="宋体" w:hAnsi="宋体" w:cs="宋体" w:eastAsia="宋体" w:hint="default"/>
                <w:sz w:val="19"/>
                <w:szCs w:val="19"/>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9"/>
              <w:ind w:left="49" w:right="50"/>
              <w:jc w:val="both"/>
              <w:rPr>
                <w:rFonts w:ascii="宋体" w:hAnsi="宋体" w:cs="宋体" w:eastAsia="宋体" w:hint="default"/>
                <w:sz w:val="19"/>
                <w:szCs w:val="19"/>
              </w:rPr>
            </w:pPr>
            <w:r>
              <w:rPr>
                <w:rFonts w:ascii="宋体" w:hAnsi="宋体" w:cs="宋体" w:eastAsia="宋体" w:hint="default"/>
                <w:sz w:val="19"/>
                <w:szCs w:val="19"/>
              </w:rPr>
              <w:t>累计变更</w:t>
            </w:r>
            <w:r>
              <w:rPr>
                <w:rFonts w:ascii="宋体" w:hAnsi="宋体" w:cs="宋体" w:eastAsia="宋体" w:hint="default"/>
                <w:w w:val="99"/>
                <w:sz w:val="19"/>
                <w:szCs w:val="19"/>
              </w:rPr>
              <w:t> </w:t>
            </w:r>
            <w:r>
              <w:rPr>
                <w:rFonts w:ascii="宋体" w:hAnsi="宋体" w:cs="宋体" w:eastAsia="宋体" w:hint="default"/>
                <w:sz w:val="19"/>
                <w:szCs w:val="19"/>
              </w:rPr>
              <w:t>用途的募</w:t>
            </w:r>
            <w:r>
              <w:rPr>
                <w:rFonts w:ascii="宋体" w:hAnsi="宋体" w:cs="宋体" w:eastAsia="宋体" w:hint="default"/>
                <w:w w:val="99"/>
                <w:sz w:val="19"/>
                <w:szCs w:val="19"/>
              </w:rPr>
              <w:t> </w:t>
            </w:r>
            <w:r>
              <w:rPr>
                <w:rFonts w:ascii="宋体" w:hAnsi="宋体" w:cs="宋体" w:eastAsia="宋体" w:hint="default"/>
                <w:sz w:val="19"/>
                <w:szCs w:val="19"/>
              </w:rPr>
              <w:t>集资金总</w:t>
            </w:r>
            <w:r>
              <w:rPr>
                <w:rFonts w:ascii="宋体" w:hAnsi="宋体" w:cs="宋体" w:eastAsia="宋体" w:hint="default"/>
                <w:w w:val="99"/>
                <w:sz w:val="19"/>
                <w:szCs w:val="19"/>
              </w:rPr>
              <w:t> </w:t>
            </w:r>
            <w:r>
              <w:rPr>
                <w:rFonts w:ascii="宋体" w:hAnsi="宋体" w:cs="宋体" w:eastAsia="宋体" w:hint="default"/>
                <w:sz w:val="19"/>
                <w:szCs w:val="19"/>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302" w:lineRule="auto"/>
              <w:ind w:left="49" w:right="50"/>
              <w:jc w:val="center"/>
              <w:rPr>
                <w:rFonts w:ascii="宋体" w:hAnsi="宋体" w:cs="宋体" w:eastAsia="宋体" w:hint="default"/>
                <w:sz w:val="19"/>
                <w:szCs w:val="19"/>
              </w:rPr>
            </w:pPr>
            <w:r>
              <w:rPr>
                <w:rFonts w:ascii="宋体" w:hAnsi="宋体" w:cs="宋体" w:eastAsia="宋体" w:hint="default"/>
                <w:sz w:val="19"/>
                <w:szCs w:val="19"/>
              </w:rPr>
              <w:t>尚未使用</w:t>
            </w:r>
            <w:r>
              <w:rPr>
                <w:rFonts w:ascii="宋体" w:hAnsi="宋体" w:cs="宋体" w:eastAsia="宋体" w:hint="default"/>
                <w:w w:val="99"/>
                <w:sz w:val="19"/>
                <w:szCs w:val="19"/>
              </w:rPr>
              <w:t> </w:t>
            </w:r>
            <w:r>
              <w:rPr>
                <w:rFonts w:ascii="宋体" w:hAnsi="宋体" w:cs="宋体" w:eastAsia="宋体" w:hint="default"/>
                <w:sz w:val="19"/>
                <w:szCs w:val="19"/>
              </w:rPr>
              <w:t>募集资金</w:t>
            </w:r>
            <w:r>
              <w:rPr>
                <w:rFonts w:ascii="宋体" w:hAnsi="宋体" w:cs="宋体" w:eastAsia="宋体" w:hint="default"/>
                <w:w w:val="99"/>
                <w:sz w:val="19"/>
                <w:szCs w:val="19"/>
              </w:rPr>
              <w:t> </w:t>
            </w:r>
            <w:r>
              <w:rPr>
                <w:rFonts w:ascii="宋体" w:hAnsi="宋体" w:cs="宋体" w:eastAsia="宋体" w:hint="default"/>
                <w:sz w:val="19"/>
                <w:szCs w:val="19"/>
              </w:rPr>
              <w:t>总额</w:t>
            </w:r>
          </w:p>
        </w:tc>
        <w:tc>
          <w:tcPr>
            <w:tcW w:w="1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302" w:lineRule="auto"/>
              <w:ind w:left="48" w:right="48"/>
              <w:jc w:val="center"/>
              <w:rPr>
                <w:rFonts w:ascii="宋体" w:hAnsi="宋体" w:cs="宋体" w:eastAsia="宋体" w:hint="default"/>
                <w:sz w:val="19"/>
                <w:szCs w:val="19"/>
              </w:rPr>
            </w:pPr>
            <w:r>
              <w:rPr>
                <w:rFonts w:ascii="宋体" w:hAnsi="宋体" w:cs="宋体" w:eastAsia="宋体" w:hint="default"/>
                <w:sz w:val="19"/>
                <w:szCs w:val="19"/>
              </w:rPr>
              <w:t>尚未使用募集</w:t>
            </w:r>
            <w:r>
              <w:rPr>
                <w:rFonts w:ascii="宋体" w:hAnsi="宋体" w:cs="宋体" w:eastAsia="宋体" w:hint="default"/>
                <w:w w:val="99"/>
                <w:sz w:val="19"/>
                <w:szCs w:val="19"/>
              </w:rPr>
              <w:t> </w:t>
            </w:r>
            <w:r>
              <w:rPr>
                <w:rFonts w:ascii="宋体" w:hAnsi="宋体" w:cs="宋体" w:eastAsia="宋体" w:hint="default"/>
                <w:sz w:val="19"/>
                <w:szCs w:val="19"/>
              </w:rPr>
              <w:t>资金用途及去</w:t>
            </w:r>
            <w:r>
              <w:rPr>
                <w:rFonts w:ascii="宋体" w:hAnsi="宋体" w:cs="宋体" w:eastAsia="宋体" w:hint="default"/>
                <w:w w:val="99"/>
                <w:sz w:val="19"/>
                <w:szCs w:val="19"/>
              </w:rPr>
              <w:t> </w:t>
            </w:r>
            <w:r>
              <w:rPr>
                <w:rFonts w:ascii="宋体" w:hAnsi="宋体" w:cs="宋体" w:eastAsia="宋体" w:hint="default"/>
                <w:sz w:val="19"/>
                <w:szCs w:val="19"/>
              </w:rPr>
              <w:t>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9"/>
              <w:ind w:left="63" w:right="65"/>
              <w:jc w:val="both"/>
              <w:rPr>
                <w:rFonts w:ascii="宋体" w:hAnsi="宋体" w:cs="宋体" w:eastAsia="宋体" w:hint="default"/>
                <w:sz w:val="19"/>
                <w:szCs w:val="19"/>
              </w:rPr>
            </w:pPr>
            <w:r>
              <w:rPr>
                <w:rFonts w:ascii="宋体" w:hAnsi="宋体" w:cs="宋体" w:eastAsia="宋体" w:hint="default"/>
                <w:sz w:val="19"/>
                <w:szCs w:val="19"/>
              </w:rPr>
              <w:t>闲置两</w:t>
            </w:r>
            <w:r>
              <w:rPr>
                <w:rFonts w:ascii="宋体" w:hAnsi="宋体" w:cs="宋体" w:eastAsia="宋体" w:hint="default"/>
                <w:w w:val="99"/>
                <w:sz w:val="19"/>
                <w:szCs w:val="19"/>
              </w:rPr>
              <w:t> </w:t>
            </w:r>
            <w:r>
              <w:rPr>
                <w:rFonts w:ascii="宋体" w:hAnsi="宋体" w:cs="宋体" w:eastAsia="宋体" w:hint="default"/>
                <w:sz w:val="19"/>
                <w:szCs w:val="19"/>
              </w:rPr>
              <w:t>年以上</w:t>
            </w:r>
            <w:r>
              <w:rPr>
                <w:rFonts w:ascii="宋体" w:hAnsi="宋体" w:cs="宋体" w:eastAsia="宋体" w:hint="default"/>
                <w:w w:val="99"/>
                <w:sz w:val="19"/>
                <w:szCs w:val="19"/>
              </w:rPr>
              <w:t> </w:t>
            </w:r>
            <w:r>
              <w:rPr>
                <w:rFonts w:ascii="宋体" w:hAnsi="宋体" w:cs="宋体" w:eastAsia="宋体" w:hint="default"/>
                <w:sz w:val="19"/>
                <w:szCs w:val="19"/>
              </w:rPr>
              <w:t>募集资</w:t>
            </w:r>
            <w:r>
              <w:rPr>
                <w:rFonts w:ascii="宋体" w:hAnsi="宋体" w:cs="宋体" w:eastAsia="宋体" w:hint="default"/>
                <w:w w:val="99"/>
                <w:sz w:val="19"/>
                <w:szCs w:val="19"/>
              </w:rPr>
              <w:t> </w:t>
            </w:r>
            <w:r>
              <w:rPr>
                <w:rFonts w:ascii="宋体" w:hAnsi="宋体" w:cs="宋体" w:eastAsia="宋体" w:hint="default"/>
                <w:sz w:val="19"/>
                <w:szCs w:val="19"/>
              </w:rPr>
              <w:t>金金额</w:t>
            </w: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年</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2"/>
              <w:ind w:left="22" w:right="-25"/>
              <w:jc w:val="left"/>
              <w:rPr>
                <w:rFonts w:ascii="宋体" w:hAnsi="宋体" w:cs="宋体" w:eastAsia="宋体" w:hint="default"/>
                <w:sz w:val="19"/>
                <w:szCs w:val="19"/>
              </w:rPr>
            </w:pPr>
            <w:r>
              <w:rPr>
                <w:rFonts w:ascii="宋体" w:hAnsi="宋体" w:cs="宋体" w:eastAsia="宋体" w:hint="default"/>
                <w:spacing w:val="28"/>
                <w:sz w:val="19"/>
                <w:szCs w:val="19"/>
              </w:rPr>
              <w:t>非公开</w:t>
            </w:r>
            <w:r>
              <w:rPr>
                <w:rFonts w:ascii="宋体" w:hAnsi="宋体" w:cs="宋体" w:eastAsia="宋体" w:hint="default"/>
                <w:spacing w:val="-53"/>
                <w:sz w:val="19"/>
                <w:szCs w:val="19"/>
              </w:rPr>
              <w:t> </w:t>
            </w:r>
            <w:r>
              <w:rPr>
                <w:rFonts w:ascii="宋体" w:hAnsi="宋体" w:cs="宋体" w:eastAsia="宋体" w:hint="default"/>
                <w:sz w:val="19"/>
                <w:szCs w:val="19"/>
              </w:rPr>
              <w:t>发行</w:t>
            </w:r>
          </w:p>
        </w:tc>
        <w:tc>
          <w:tcPr>
            <w:tcW w:w="99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46"/>
              <w:ind w:left="97" w:right="0"/>
              <w:jc w:val="left"/>
              <w:rPr>
                <w:rFonts w:ascii="Times New Roman" w:hAnsi="Times New Roman" w:cs="Times New Roman" w:eastAsia="Times New Roman" w:hint="default"/>
                <w:sz w:val="19"/>
                <w:szCs w:val="19"/>
              </w:rPr>
            </w:pPr>
            <w:r>
              <w:rPr>
                <w:rFonts w:ascii="Times New Roman"/>
                <w:sz w:val="19"/>
              </w:rPr>
              <w:t>463,309.28</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4" w:right="0"/>
              <w:jc w:val="left"/>
              <w:rPr>
                <w:rFonts w:ascii="Times New Roman" w:hAnsi="Times New Roman" w:cs="Times New Roman" w:eastAsia="Times New Roman" w:hint="default"/>
                <w:sz w:val="19"/>
                <w:szCs w:val="19"/>
              </w:rPr>
            </w:pPr>
            <w:r>
              <w:rPr>
                <w:rFonts w:ascii="Times New Roman"/>
                <w:sz w:val="19"/>
              </w:rPr>
              <w:t>22,057.98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72" w:right="0"/>
              <w:jc w:val="left"/>
              <w:rPr>
                <w:rFonts w:ascii="Times New Roman" w:hAnsi="Times New Roman" w:cs="Times New Roman" w:eastAsia="Times New Roman" w:hint="default"/>
                <w:sz w:val="19"/>
                <w:szCs w:val="19"/>
              </w:rPr>
            </w:pPr>
            <w:r>
              <w:rPr>
                <w:rFonts w:ascii="Times New Roman"/>
                <w:sz w:val="19"/>
              </w:rPr>
              <w:t>436,245.13</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6" w:right="0"/>
              <w:jc w:val="left"/>
              <w:rPr>
                <w:rFonts w:ascii="Times New Roman" w:hAnsi="Times New Roman" w:cs="Times New Roman" w:eastAsia="Times New Roman" w:hint="default"/>
                <w:sz w:val="19"/>
                <w:szCs w:val="19"/>
              </w:rPr>
            </w:pPr>
            <w:r>
              <w:rPr>
                <w:rFonts w:ascii="Times New Roman"/>
                <w:sz w:val="19"/>
              </w:rPr>
              <w:t>10,020.78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5" w:right="0"/>
              <w:jc w:val="left"/>
              <w:rPr>
                <w:rFonts w:ascii="Times New Roman" w:hAnsi="Times New Roman" w:cs="Times New Roman" w:eastAsia="Times New Roman" w:hint="default"/>
                <w:sz w:val="19"/>
                <w:szCs w:val="19"/>
              </w:rPr>
            </w:pPr>
            <w:r>
              <w:rPr>
                <w:rFonts w:ascii="Times New Roman"/>
                <w:sz w:val="19"/>
              </w:rPr>
              <w:t>2.16%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7" w:right="0"/>
              <w:jc w:val="left"/>
              <w:rPr>
                <w:rFonts w:ascii="Times New Roman" w:hAnsi="Times New Roman" w:cs="Times New Roman" w:eastAsia="Times New Roman" w:hint="default"/>
                <w:sz w:val="19"/>
                <w:szCs w:val="19"/>
              </w:rPr>
            </w:pPr>
            <w:r>
              <w:rPr>
                <w:rFonts w:ascii="Times New Roman"/>
                <w:sz w:val="19"/>
              </w:rPr>
              <w:t>27,064.15</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
              <w:ind w:left="22" w:right="25"/>
              <w:jc w:val="left"/>
              <w:rPr>
                <w:rFonts w:ascii="宋体" w:hAnsi="宋体" w:cs="宋体" w:eastAsia="宋体" w:hint="default"/>
                <w:sz w:val="19"/>
                <w:szCs w:val="19"/>
              </w:rPr>
            </w:pPr>
            <w:r>
              <w:rPr>
                <w:rFonts w:ascii="宋体" w:hAnsi="宋体" w:cs="宋体" w:eastAsia="宋体" w:hint="default"/>
                <w:spacing w:val="8"/>
                <w:sz w:val="19"/>
                <w:szCs w:val="19"/>
              </w:rPr>
              <w:t>公司尚未使用</w:t>
            </w:r>
            <w:r>
              <w:rPr>
                <w:rFonts w:ascii="宋体" w:hAnsi="宋体" w:cs="宋体" w:eastAsia="宋体" w:hint="default"/>
                <w:w w:val="99"/>
                <w:sz w:val="19"/>
                <w:szCs w:val="19"/>
              </w:rPr>
              <w:t> </w:t>
            </w:r>
            <w:r>
              <w:rPr>
                <w:rFonts w:ascii="宋体" w:hAnsi="宋体" w:cs="宋体" w:eastAsia="宋体" w:hint="default"/>
                <w:spacing w:val="8"/>
                <w:sz w:val="19"/>
                <w:szCs w:val="19"/>
              </w:rPr>
              <w:t>的募集资金用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bl>
    <w:p>
      <w:pPr>
        <w:spacing w:after="0" w:line="240" w:lineRule="auto"/>
        <w:jc w:val="left"/>
        <w:rPr>
          <w:rFonts w:ascii="Times New Roman" w:hAnsi="Times New Roman" w:cs="Times New Roman" w:eastAsia="Times New Roman" w:hint="default"/>
          <w:sz w:val="19"/>
          <w:szCs w:val="19"/>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709"/>
        <w:gridCol w:w="991"/>
        <w:gridCol w:w="1067"/>
        <w:gridCol w:w="1060"/>
        <w:gridCol w:w="679"/>
        <w:gridCol w:w="870"/>
        <w:gridCol w:w="870"/>
        <w:gridCol w:w="870"/>
        <w:gridCol w:w="1247"/>
        <w:gridCol w:w="709"/>
      </w:tblGrid>
      <w:tr>
        <w:trPr>
          <w:trHeight w:val="2818"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2"/>
              <w:ind w:left="22" w:right="25"/>
              <w:jc w:val="both"/>
              <w:rPr>
                <w:rFonts w:ascii="宋体" w:hAnsi="宋体" w:cs="宋体" w:eastAsia="宋体" w:hint="default"/>
                <w:sz w:val="19"/>
                <w:szCs w:val="19"/>
              </w:rPr>
            </w:pPr>
            <w:r>
              <w:rPr>
                <w:rFonts w:ascii="宋体" w:hAnsi="宋体" w:cs="宋体" w:eastAsia="宋体" w:hint="default"/>
                <w:spacing w:val="8"/>
                <w:sz w:val="19"/>
                <w:szCs w:val="19"/>
              </w:rPr>
              <w:t>于连锁店发展</w:t>
            </w:r>
            <w:r>
              <w:rPr>
                <w:rFonts w:ascii="宋体" w:hAnsi="宋体" w:cs="宋体" w:eastAsia="宋体" w:hint="default"/>
                <w:w w:val="99"/>
                <w:sz w:val="19"/>
                <w:szCs w:val="19"/>
              </w:rPr>
              <w:t> </w:t>
            </w:r>
            <w:r>
              <w:rPr>
                <w:rFonts w:ascii="宋体" w:hAnsi="宋体" w:cs="宋体" w:eastAsia="宋体" w:hint="default"/>
                <w:spacing w:val="8"/>
                <w:sz w:val="19"/>
                <w:szCs w:val="19"/>
              </w:rPr>
              <w:t>项目、物流中</w:t>
            </w:r>
            <w:r>
              <w:rPr>
                <w:rFonts w:ascii="宋体" w:hAnsi="宋体" w:cs="宋体" w:eastAsia="宋体" w:hint="default"/>
                <w:w w:val="99"/>
                <w:sz w:val="19"/>
                <w:szCs w:val="19"/>
              </w:rPr>
              <w:t> </w:t>
            </w:r>
            <w:r>
              <w:rPr>
                <w:rFonts w:ascii="宋体" w:hAnsi="宋体" w:cs="宋体" w:eastAsia="宋体" w:hint="default"/>
                <w:spacing w:val="8"/>
                <w:sz w:val="19"/>
                <w:szCs w:val="19"/>
              </w:rPr>
              <w:t>心建设项目以</w:t>
            </w:r>
            <w:r>
              <w:rPr>
                <w:rFonts w:ascii="宋体" w:hAnsi="宋体" w:cs="宋体" w:eastAsia="宋体" w:hint="default"/>
                <w:w w:val="99"/>
                <w:sz w:val="19"/>
                <w:szCs w:val="19"/>
              </w:rPr>
              <w:t> </w:t>
            </w:r>
            <w:r>
              <w:rPr>
                <w:rFonts w:ascii="宋体" w:hAnsi="宋体" w:cs="宋体" w:eastAsia="宋体" w:hint="default"/>
                <w:spacing w:val="8"/>
                <w:sz w:val="19"/>
                <w:szCs w:val="19"/>
              </w:rPr>
              <w:t>及信息系统平</w:t>
            </w:r>
            <w:r>
              <w:rPr>
                <w:rFonts w:ascii="宋体" w:hAnsi="宋体" w:cs="宋体" w:eastAsia="宋体" w:hint="default"/>
                <w:w w:val="99"/>
                <w:sz w:val="19"/>
                <w:szCs w:val="19"/>
              </w:rPr>
              <w:t> </w:t>
            </w:r>
            <w:r>
              <w:rPr>
                <w:rFonts w:ascii="宋体" w:hAnsi="宋体" w:cs="宋体" w:eastAsia="宋体" w:hint="default"/>
                <w:spacing w:val="8"/>
                <w:sz w:val="19"/>
                <w:szCs w:val="19"/>
              </w:rPr>
              <w:t>台建设项目。</w:t>
            </w:r>
            <w:r>
              <w:rPr>
                <w:rFonts w:ascii="宋体" w:hAnsi="宋体" w:cs="宋体" w:eastAsia="宋体" w:hint="default"/>
                <w:w w:val="99"/>
                <w:sz w:val="19"/>
                <w:szCs w:val="19"/>
              </w:rPr>
              <w:t> </w:t>
            </w:r>
            <w:r>
              <w:rPr>
                <w:rFonts w:ascii="宋体" w:hAnsi="宋体" w:cs="宋体" w:eastAsia="宋体" w:hint="default"/>
                <w:spacing w:val="8"/>
                <w:sz w:val="19"/>
                <w:szCs w:val="19"/>
              </w:rPr>
              <w:t>公司将尚未使</w:t>
            </w:r>
            <w:r>
              <w:rPr>
                <w:rFonts w:ascii="宋体" w:hAnsi="宋体" w:cs="宋体" w:eastAsia="宋体" w:hint="default"/>
                <w:w w:val="99"/>
                <w:sz w:val="19"/>
                <w:szCs w:val="19"/>
              </w:rPr>
              <w:t> </w:t>
            </w:r>
            <w:r>
              <w:rPr>
                <w:rFonts w:ascii="宋体" w:hAnsi="宋体" w:cs="宋体" w:eastAsia="宋体" w:hint="default"/>
                <w:spacing w:val="8"/>
                <w:sz w:val="19"/>
                <w:szCs w:val="19"/>
              </w:rPr>
              <w:t>用的募集资金</w:t>
            </w:r>
            <w:r>
              <w:rPr>
                <w:rFonts w:ascii="宋体" w:hAnsi="宋体" w:cs="宋体" w:eastAsia="宋体" w:hint="default"/>
                <w:w w:val="99"/>
                <w:sz w:val="19"/>
                <w:szCs w:val="19"/>
              </w:rPr>
              <w:t> </w:t>
            </w:r>
            <w:r>
              <w:rPr>
                <w:rFonts w:ascii="宋体" w:hAnsi="宋体" w:cs="宋体" w:eastAsia="宋体" w:hint="default"/>
                <w:spacing w:val="8"/>
                <w:sz w:val="19"/>
                <w:szCs w:val="19"/>
              </w:rPr>
              <w:t>存放于公司专</w:t>
            </w:r>
            <w:r>
              <w:rPr>
                <w:rFonts w:ascii="宋体" w:hAnsi="宋体" w:cs="宋体" w:eastAsia="宋体" w:hint="default"/>
                <w:w w:val="99"/>
                <w:sz w:val="19"/>
                <w:szCs w:val="19"/>
              </w:rPr>
              <w:t> </w:t>
            </w:r>
            <w:r>
              <w:rPr>
                <w:rFonts w:ascii="宋体" w:hAnsi="宋体" w:cs="宋体" w:eastAsia="宋体" w:hint="default"/>
                <w:sz w:val="19"/>
                <w:szCs w:val="19"/>
              </w:rPr>
              <w:t>户中</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00" w:hRule="exact"/>
        </w:trPr>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9"/>
                <w:szCs w:val="19"/>
              </w:rPr>
            </w:pPr>
            <w:r>
              <w:rPr>
                <w:rFonts w:ascii="Times New Roman"/>
                <w:sz w:val="19"/>
              </w:rPr>
              <w:t>463,309.28</w:t>
            </w:r>
          </w:p>
        </w:tc>
        <w:tc>
          <w:tcPr>
            <w:tcW w:w="10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9"/>
                <w:szCs w:val="19"/>
              </w:rPr>
            </w:pPr>
            <w:r>
              <w:rPr>
                <w:rFonts w:ascii="Times New Roman"/>
                <w:sz w:val="19"/>
              </w:rPr>
              <w:t>22,057.98</w:t>
            </w:r>
          </w:p>
        </w:tc>
        <w:tc>
          <w:tcPr>
            <w:tcW w:w="10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9"/>
                <w:szCs w:val="19"/>
              </w:rPr>
            </w:pPr>
            <w:r>
              <w:rPr>
                <w:rFonts w:ascii="Times New Roman"/>
                <w:sz w:val="19"/>
              </w:rPr>
              <w:t>436,245.13</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9"/>
                <w:szCs w:val="19"/>
              </w:rPr>
            </w:pPr>
            <w:r>
              <w:rPr>
                <w:rFonts w:ascii="Times New Roman"/>
                <w:sz w:val="19"/>
              </w:rPr>
              <w:t>10,020.78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9"/>
                <w:szCs w:val="19"/>
              </w:rPr>
            </w:pPr>
            <w:r>
              <w:rPr>
                <w:rFonts w:ascii="Times New Roman"/>
                <w:sz w:val="19"/>
              </w:rPr>
              <w:t>2.16%</w:t>
            </w:r>
          </w:p>
        </w:tc>
        <w:tc>
          <w:tcPr>
            <w:tcW w:w="870"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9"/>
                <w:szCs w:val="19"/>
              </w:rPr>
            </w:pPr>
            <w:r>
              <w:rPr>
                <w:rFonts w:ascii="Times New Roman"/>
                <w:sz w:val="19"/>
              </w:rPr>
              <w:t>27,064.15</w:t>
            </w:r>
          </w:p>
        </w:tc>
        <w:tc>
          <w:tcPr>
            <w:tcW w:w="12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r>
        <w:trPr>
          <w:trHeight w:val="312"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19"/>
                <w:szCs w:val="19"/>
              </w:rPr>
            </w:pPr>
            <w:r>
              <w:rPr>
                <w:rFonts w:ascii="宋体" w:hAnsi="宋体" w:cs="宋体" w:eastAsia="宋体" w:hint="default"/>
                <w:sz w:val="19"/>
                <w:szCs w:val="19"/>
              </w:rPr>
              <w:t>合计</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1"/>
              <w:jc w:val="center"/>
              <w:rPr>
                <w:rFonts w:ascii="Times New Roman" w:hAnsi="Times New Roman" w:cs="Times New Roman" w:eastAsia="Times New Roman" w:hint="default"/>
                <w:sz w:val="19"/>
                <w:szCs w:val="19"/>
              </w:rPr>
            </w:pPr>
            <w:r>
              <w:rPr>
                <w:rFonts w:ascii="Times New Roman"/>
                <w:sz w:val="19"/>
              </w:rPr>
              <w:t>--</w:t>
            </w:r>
          </w:p>
        </w:tc>
        <w:tc>
          <w:tcPr>
            <w:tcW w:w="991" w:type="dxa"/>
            <w:vMerge/>
            <w:tcBorders>
              <w:left w:val="single" w:sz="9" w:space="0" w:color="D2D2D2"/>
              <w:right w:val="single" w:sz="4" w:space="0" w:color="000000"/>
            </w:tcBorders>
          </w:tcPr>
          <w:p>
            <w:pPr/>
          </w:p>
        </w:tc>
        <w:tc>
          <w:tcPr>
            <w:tcW w:w="1067" w:type="dxa"/>
            <w:vMerge/>
            <w:tcBorders>
              <w:left w:val="single" w:sz="4" w:space="0" w:color="000000"/>
              <w:right w:val="single" w:sz="4" w:space="0" w:color="000000"/>
            </w:tcBorders>
          </w:tcPr>
          <w:p>
            <w:pPr/>
          </w:p>
        </w:tc>
        <w:tc>
          <w:tcPr>
            <w:tcW w:w="1060"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9" w:space="0" w:color="D2D2D2"/>
            </w:tcBorders>
          </w:tcPr>
          <w:p>
            <w:pPr/>
          </w:p>
        </w:tc>
        <w:tc>
          <w:tcPr>
            <w:tcW w:w="12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19"/>
              <w:jc w:val="right"/>
              <w:rPr>
                <w:rFonts w:ascii="Times New Roman" w:hAnsi="Times New Roman" w:cs="Times New Roman" w:eastAsia="Times New Roman" w:hint="default"/>
                <w:sz w:val="19"/>
                <w:szCs w:val="19"/>
              </w:rPr>
            </w:pPr>
            <w:r>
              <w:rPr>
                <w:rFonts w:ascii="Times New Roman"/>
                <w:w w:val="95"/>
                <w:sz w:val="19"/>
              </w:rPr>
              <w:t>--</w:t>
            </w:r>
            <w:r>
              <w:rPr>
                <w:rFonts w:ascii="Times New Roman"/>
                <w:sz w:val="19"/>
              </w:rPr>
            </w:r>
          </w:p>
        </w:tc>
        <w:tc>
          <w:tcPr>
            <w:tcW w:w="709" w:type="dxa"/>
            <w:vMerge/>
            <w:tcBorders>
              <w:left w:val="single" w:sz="9" w:space="0" w:color="D2D2D2"/>
              <w:right w:val="single" w:sz="4" w:space="0" w:color="000000"/>
            </w:tcBorders>
          </w:tcPr>
          <w:p>
            <w:pPr/>
          </w:p>
        </w:tc>
      </w:tr>
      <w:tr>
        <w:trPr>
          <w:trHeight w:val="200" w:hRule="exact"/>
        </w:trPr>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1067" w:type="dxa"/>
            <w:vMerge/>
            <w:tcBorders>
              <w:left w:val="single" w:sz="4" w:space="0" w:color="000000"/>
              <w:bottom w:val="single" w:sz="4" w:space="0" w:color="000000"/>
              <w:right w:val="single" w:sz="4" w:space="0" w:color="000000"/>
            </w:tcBorders>
          </w:tcPr>
          <w:p>
            <w:pPr/>
          </w:p>
        </w:tc>
        <w:tc>
          <w:tcPr>
            <w:tcW w:w="1060"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9" w:space="0" w:color="D2D2D2"/>
            </w:tcBorders>
          </w:tcPr>
          <w:p>
            <w:pPr/>
          </w:p>
        </w:tc>
        <w:tc>
          <w:tcPr>
            <w:tcW w:w="12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9" w:space="0" w:color="D2D2D2"/>
              <w:bottom w:val="single" w:sz="4" w:space="0" w:color="000000"/>
              <w:right w:val="single" w:sz="4" w:space="0" w:color="000000"/>
            </w:tcBorders>
          </w:tcPr>
          <w:p>
            <w:pPr/>
          </w:p>
        </w:tc>
      </w:tr>
      <w:tr>
        <w:trPr>
          <w:trHeight w:val="322" w:hRule="exact"/>
        </w:trPr>
        <w:tc>
          <w:tcPr>
            <w:tcW w:w="978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19"/>
                <w:szCs w:val="19"/>
              </w:rPr>
            </w:pPr>
            <w:r>
              <w:rPr>
                <w:rFonts w:ascii="宋体" w:hAnsi="宋体" w:cs="宋体" w:eastAsia="宋体" w:hint="default"/>
                <w:b/>
                <w:bCs/>
                <w:sz w:val="19"/>
                <w:szCs w:val="19"/>
              </w:rPr>
              <w:t>募集资金总体使用情况说明</w:t>
            </w:r>
            <w:r>
              <w:rPr>
                <w:rFonts w:ascii="宋体" w:hAnsi="宋体" w:cs="宋体" w:eastAsia="宋体" w:hint="default"/>
                <w:sz w:val="19"/>
                <w:szCs w:val="19"/>
              </w:rPr>
            </w:r>
          </w:p>
        </w:tc>
      </w:tr>
      <w:tr>
        <w:trPr>
          <w:trHeight w:val="3599" w:hRule="exact"/>
        </w:trPr>
        <w:tc>
          <w:tcPr>
            <w:tcW w:w="9782" w:type="dxa"/>
            <w:gridSpan w:val="11"/>
            <w:tcBorders>
              <w:top w:val="single" w:sz="4" w:space="0" w:color="000000"/>
              <w:left w:val="single" w:sz="4" w:space="0" w:color="000000"/>
              <w:bottom w:val="single" w:sz="4" w:space="0" w:color="000000"/>
              <w:right w:val="single" w:sz="4" w:space="0" w:color="000000"/>
            </w:tcBorders>
          </w:tcPr>
          <w:p>
            <w:pPr>
              <w:pStyle w:val="TableParagraph"/>
              <w:spacing w:line="326" w:lineRule="auto" w:before="25"/>
              <w:ind w:left="22" w:right="22" w:firstLine="380"/>
              <w:jc w:val="left"/>
              <w:rPr>
                <w:rFonts w:ascii="Times New Roman" w:hAnsi="Times New Roman" w:cs="Times New Roman" w:eastAsia="Times New Roman" w:hint="default"/>
                <w:sz w:val="19"/>
                <w:szCs w:val="19"/>
              </w:rPr>
            </w:pPr>
            <w:r>
              <w:rPr>
                <w:rFonts w:ascii="宋体" w:hAnsi="宋体" w:cs="宋体" w:eastAsia="宋体" w:hint="default"/>
                <w:w w:val="95"/>
                <w:sz w:val="19"/>
                <w:szCs w:val="19"/>
              </w:rPr>
              <w:t>根据中国证券监督管理委员会签发的证监许可</w:t>
            </w:r>
            <w:r>
              <w:rPr>
                <w:rFonts w:ascii="Times New Roman" w:hAnsi="Times New Roman" w:cs="Times New Roman" w:eastAsia="Times New Roman" w:hint="default"/>
                <w:w w:val="95"/>
                <w:sz w:val="19"/>
                <w:szCs w:val="19"/>
              </w:rPr>
              <w:t>[2012]477</w:t>
            </w:r>
            <w:r>
              <w:rPr>
                <w:rFonts w:ascii="Times New Roman" w:hAnsi="Times New Roman" w:cs="Times New Roman" w:eastAsia="Times New Roman" w:hint="default"/>
                <w:spacing w:val="27"/>
                <w:w w:val="95"/>
                <w:sz w:val="19"/>
                <w:szCs w:val="19"/>
              </w:rPr>
              <w:t> </w:t>
            </w:r>
            <w:r>
              <w:rPr>
                <w:rFonts w:ascii="宋体" w:hAnsi="宋体" w:cs="宋体" w:eastAsia="宋体" w:hint="default"/>
                <w:w w:val="95"/>
                <w:sz w:val="19"/>
                <w:szCs w:val="19"/>
              </w:rPr>
              <w:t>号文《关于核准苏宁电器股份有限公司非公开发行股票的</w:t>
            </w:r>
            <w:r>
              <w:rPr>
                <w:rFonts w:ascii="宋体" w:hAnsi="宋体" w:cs="宋体" w:eastAsia="宋体" w:hint="default"/>
                <w:w w:val="99"/>
                <w:sz w:val="19"/>
                <w:szCs w:val="19"/>
              </w:rPr>
              <w:t> </w:t>
            </w:r>
            <w:r>
              <w:rPr>
                <w:rFonts w:ascii="宋体" w:hAnsi="宋体" w:cs="宋体" w:eastAsia="宋体" w:hint="default"/>
                <w:spacing w:val="-12"/>
                <w:w w:val="99"/>
                <w:sz w:val="19"/>
                <w:szCs w:val="19"/>
              </w:rPr>
              <w:t>批复》，本公司于</w:t>
            </w:r>
            <w:r>
              <w:rPr>
                <w:rFonts w:ascii="宋体" w:hAnsi="宋体" w:cs="宋体" w:eastAsia="宋体" w:hint="default"/>
                <w:spacing w:val="-32"/>
                <w:w w:val="99"/>
                <w:sz w:val="19"/>
                <w:szCs w:val="19"/>
              </w:rPr>
              <w:t> </w:t>
            </w:r>
            <w:r>
              <w:rPr>
                <w:rFonts w:ascii="Times New Roman" w:hAnsi="Times New Roman" w:cs="Times New Roman" w:eastAsia="Times New Roman" w:hint="default"/>
                <w:w w:val="99"/>
                <w:sz w:val="19"/>
                <w:szCs w:val="19"/>
              </w:rPr>
              <w:t>2012</w:t>
            </w:r>
            <w:r>
              <w:rPr>
                <w:rFonts w:ascii="Times New Roman" w:hAnsi="Times New Roman" w:cs="Times New Roman" w:eastAsia="Times New Roman" w:hint="default"/>
                <w:spacing w:val="14"/>
                <w:w w:val="99"/>
                <w:sz w:val="19"/>
                <w:szCs w:val="19"/>
              </w:rPr>
              <w:t> </w:t>
            </w:r>
            <w:r>
              <w:rPr>
                <w:rFonts w:ascii="宋体" w:hAnsi="宋体" w:cs="宋体" w:eastAsia="宋体" w:hint="default"/>
                <w:w w:val="99"/>
                <w:sz w:val="19"/>
                <w:szCs w:val="19"/>
              </w:rPr>
              <w:t>年</w:t>
            </w:r>
            <w:r>
              <w:rPr>
                <w:rFonts w:ascii="宋体" w:hAnsi="宋体" w:cs="宋体" w:eastAsia="宋体" w:hint="default"/>
                <w:spacing w:val="-33"/>
                <w:w w:val="99"/>
                <w:sz w:val="19"/>
                <w:szCs w:val="19"/>
              </w:rPr>
              <w:t> </w:t>
            </w:r>
            <w:r>
              <w:rPr>
                <w:rFonts w:ascii="Times New Roman" w:hAnsi="Times New Roman" w:cs="Times New Roman" w:eastAsia="Times New Roman" w:hint="default"/>
                <w:w w:val="99"/>
                <w:sz w:val="19"/>
                <w:szCs w:val="19"/>
              </w:rPr>
              <w:t>7</w:t>
            </w:r>
            <w:r>
              <w:rPr>
                <w:rFonts w:ascii="Times New Roman" w:hAnsi="Times New Roman" w:cs="Times New Roman" w:eastAsia="Times New Roman" w:hint="default"/>
                <w:spacing w:val="14"/>
                <w:w w:val="99"/>
                <w:sz w:val="19"/>
                <w:szCs w:val="19"/>
              </w:rPr>
              <w:t> </w:t>
            </w:r>
            <w:r>
              <w:rPr>
                <w:rFonts w:ascii="宋体" w:hAnsi="宋体" w:cs="宋体" w:eastAsia="宋体" w:hint="default"/>
                <w:w w:val="99"/>
                <w:sz w:val="19"/>
                <w:szCs w:val="19"/>
              </w:rPr>
              <w:t>月</w:t>
            </w:r>
            <w:r>
              <w:rPr>
                <w:rFonts w:ascii="宋体" w:hAnsi="宋体" w:cs="宋体" w:eastAsia="宋体" w:hint="default"/>
                <w:spacing w:val="-33"/>
                <w:w w:val="99"/>
                <w:sz w:val="19"/>
                <w:szCs w:val="19"/>
              </w:rPr>
              <w:t> </w:t>
            </w:r>
            <w:r>
              <w:rPr>
                <w:rFonts w:ascii="Times New Roman" w:hAnsi="Times New Roman" w:cs="Times New Roman" w:eastAsia="Times New Roman" w:hint="default"/>
                <w:w w:val="99"/>
                <w:sz w:val="19"/>
                <w:szCs w:val="19"/>
              </w:rPr>
              <w:t>2</w:t>
            </w:r>
            <w:r>
              <w:rPr>
                <w:rFonts w:ascii="Times New Roman" w:hAnsi="Times New Roman" w:cs="Times New Roman" w:eastAsia="Times New Roman" w:hint="default"/>
                <w:spacing w:val="14"/>
                <w:w w:val="99"/>
                <w:sz w:val="19"/>
                <w:szCs w:val="19"/>
              </w:rPr>
              <w:t> </w:t>
            </w:r>
            <w:r>
              <w:rPr>
                <w:rFonts w:ascii="宋体" w:hAnsi="宋体" w:cs="宋体" w:eastAsia="宋体" w:hint="default"/>
                <w:w w:val="99"/>
                <w:sz w:val="19"/>
                <w:szCs w:val="19"/>
              </w:rPr>
              <w:t>日获准向特定投资者非公开发行人民币普通股</w:t>
            </w:r>
            <w:r>
              <w:rPr>
                <w:rFonts w:ascii="宋体" w:hAnsi="宋体" w:cs="宋体" w:eastAsia="宋体" w:hint="default"/>
                <w:spacing w:val="-32"/>
                <w:w w:val="99"/>
                <w:sz w:val="19"/>
                <w:szCs w:val="19"/>
              </w:rPr>
              <w:t> </w:t>
            </w:r>
            <w:r>
              <w:rPr>
                <w:rFonts w:ascii="Times New Roman" w:hAnsi="Times New Roman" w:cs="Times New Roman" w:eastAsia="Times New Roman" w:hint="default"/>
                <w:w w:val="99"/>
                <w:sz w:val="19"/>
                <w:szCs w:val="19"/>
              </w:rPr>
              <w:t>386,831,284</w:t>
            </w:r>
            <w:r>
              <w:rPr>
                <w:rFonts w:ascii="Times New Roman" w:hAnsi="Times New Roman" w:cs="Times New Roman" w:eastAsia="Times New Roman" w:hint="default"/>
                <w:spacing w:val="16"/>
                <w:w w:val="99"/>
                <w:sz w:val="19"/>
                <w:szCs w:val="19"/>
              </w:rPr>
              <w:t> </w:t>
            </w:r>
            <w:r>
              <w:rPr>
                <w:rFonts w:ascii="宋体" w:hAnsi="宋体" w:cs="宋体" w:eastAsia="宋体" w:hint="default"/>
                <w:w w:val="99"/>
                <w:sz w:val="19"/>
                <w:szCs w:val="19"/>
              </w:rPr>
              <w:t>股，每股面值人民币</w:t>
            </w:r>
            <w:r>
              <w:rPr>
                <w:rFonts w:ascii="宋体" w:hAnsi="宋体" w:cs="宋体" w:eastAsia="宋体" w:hint="default"/>
                <w:spacing w:val="-32"/>
                <w:w w:val="99"/>
                <w:sz w:val="19"/>
                <w:szCs w:val="19"/>
              </w:rPr>
              <w:t> </w:t>
            </w:r>
            <w:r>
              <w:rPr>
                <w:rFonts w:ascii="Times New Roman" w:hAnsi="Times New Roman" w:cs="Times New Roman" w:eastAsia="Times New Roman" w:hint="default"/>
                <w:w w:val="99"/>
                <w:sz w:val="19"/>
                <w:szCs w:val="19"/>
              </w:rPr>
              <w:t>1.00</w:t>
            </w:r>
            <w:r>
              <w:rPr>
                <w:rFonts w:ascii="Times New Roman" w:hAnsi="Times New Roman" w:cs="Times New Roman" w:eastAsia="Times New Roman" w:hint="default"/>
                <w:sz w:val="19"/>
                <w:szCs w:val="19"/>
              </w:rPr>
            </w:r>
          </w:p>
          <w:p>
            <w:pPr>
              <w:pStyle w:val="TableParagraph"/>
              <w:spacing w:line="240" w:lineRule="auto" w:before="20"/>
              <w:ind w:left="22" w:right="0"/>
              <w:jc w:val="left"/>
              <w:rPr>
                <w:rFonts w:ascii="宋体" w:hAnsi="宋体" w:cs="宋体" w:eastAsia="宋体" w:hint="default"/>
                <w:sz w:val="19"/>
                <w:szCs w:val="19"/>
              </w:rPr>
            </w:pPr>
            <w:r>
              <w:rPr>
                <w:rFonts w:ascii="宋体" w:hAnsi="宋体" w:cs="宋体" w:eastAsia="宋体" w:hint="default"/>
                <w:spacing w:val="8"/>
                <w:sz w:val="19"/>
                <w:szCs w:val="19"/>
              </w:rPr>
              <w:t>元，每股发行价格为人民币 </w:t>
            </w:r>
            <w:r>
              <w:rPr>
                <w:rFonts w:ascii="Times New Roman" w:hAnsi="Times New Roman" w:cs="Times New Roman" w:eastAsia="Times New Roman" w:hint="default"/>
                <w:sz w:val="19"/>
                <w:szCs w:val="19"/>
              </w:rPr>
              <w:t>12.15  </w:t>
            </w:r>
            <w:r>
              <w:rPr>
                <w:rFonts w:ascii="宋体" w:hAnsi="宋体" w:cs="宋体" w:eastAsia="宋体" w:hint="default"/>
                <w:spacing w:val="8"/>
                <w:sz w:val="19"/>
                <w:szCs w:val="19"/>
              </w:rPr>
              <w:t>元，股款以人民币缴足，计人民币 </w:t>
            </w:r>
            <w:r>
              <w:rPr>
                <w:rFonts w:ascii="Times New Roman" w:hAnsi="Times New Roman" w:cs="Times New Roman" w:eastAsia="Times New Roman" w:hint="default"/>
                <w:sz w:val="19"/>
                <w:szCs w:val="19"/>
              </w:rPr>
              <w:t>4,700,000,100.60 </w:t>
            </w:r>
            <w:r>
              <w:rPr>
                <w:rFonts w:ascii="Times New Roman" w:hAnsi="Times New Roman" w:cs="Times New Roman" w:eastAsia="Times New Roman" w:hint="default"/>
                <w:spacing w:val="23"/>
                <w:sz w:val="19"/>
                <w:szCs w:val="19"/>
              </w:rPr>
              <w:t> </w:t>
            </w:r>
            <w:r>
              <w:rPr>
                <w:rFonts w:ascii="宋体" w:hAnsi="宋体" w:cs="宋体" w:eastAsia="宋体" w:hint="default"/>
                <w:spacing w:val="8"/>
                <w:sz w:val="19"/>
                <w:szCs w:val="19"/>
              </w:rPr>
              <w:t>元，扣除发行费用人民币</w:t>
            </w:r>
          </w:p>
          <w:p>
            <w:pPr>
              <w:pStyle w:val="TableParagraph"/>
              <w:spacing w:line="240" w:lineRule="auto" w:before="95"/>
              <w:ind w:left="22"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66,907,339.92</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元，募集股款净额为人民币</w:t>
            </w:r>
            <w:r>
              <w:rPr>
                <w:rFonts w:ascii="宋体" w:hAnsi="宋体" w:cs="宋体" w:eastAsia="宋体" w:hint="default"/>
                <w:spacing w:val="-45"/>
                <w:sz w:val="19"/>
                <w:szCs w:val="19"/>
              </w:rPr>
              <w:t> </w:t>
            </w:r>
            <w:r>
              <w:rPr>
                <w:rFonts w:ascii="Times New Roman" w:hAnsi="Times New Roman" w:cs="Times New Roman" w:eastAsia="Times New Roman" w:hint="default"/>
                <w:sz w:val="19"/>
                <w:szCs w:val="19"/>
              </w:rPr>
              <w:t>4,633,092,760.68</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元，上述资金于</w:t>
            </w:r>
            <w:r>
              <w:rPr>
                <w:rFonts w:ascii="宋体" w:hAnsi="宋体" w:cs="宋体" w:eastAsia="宋体" w:hint="default"/>
                <w:spacing w:val="-46"/>
                <w:sz w:val="19"/>
                <w:szCs w:val="19"/>
              </w:rPr>
              <w:t> </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w:t>
            </w:r>
            <w:r>
              <w:rPr>
                <w:rFonts w:ascii="宋体" w:hAnsi="宋体" w:cs="宋体" w:eastAsia="宋体" w:hint="default"/>
                <w:spacing w:val="-46"/>
                <w:sz w:val="19"/>
                <w:szCs w:val="19"/>
              </w:rPr>
              <w:t> </w:t>
            </w:r>
            <w:r>
              <w:rPr>
                <w:rFonts w:ascii="Times New Roman" w:hAnsi="Times New Roman" w:cs="Times New Roman" w:eastAsia="Times New Roman" w:hint="default"/>
                <w:sz w:val="19"/>
                <w:szCs w:val="19"/>
              </w:rPr>
              <w:t>7</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月</w:t>
            </w:r>
            <w:r>
              <w:rPr>
                <w:rFonts w:ascii="宋体" w:hAnsi="宋体" w:cs="宋体" w:eastAsia="宋体" w:hint="default"/>
                <w:spacing w:val="-47"/>
                <w:sz w:val="19"/>
                <w:szCs w:val="19"/>
              </w:rPr>
              <w:t>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日到位，业经普华永道中天</w:t>
            </w:r>
          </w:p>
          <w:p>
            <w:pPr>
              <w:pStyle w:val="TableParagraph"/>
              <w:spacing w:line="240" w:lineRule="auto" w:before="95"/>
              <w:ind w:left="22" w:right="0"/>
              <w:jc w:val="left"/>
              <w:rPr>
                <w:rFonts w:ascii="宋体" w:hAnsi="宋体" w:cs="宋体" w:eastAsia="宋体" w:hint="default"/>
                <w:sz w:val="19"/>
                <w:szCs w:val="19"/>
              </w:rPr>
            </w:pPr>
            <w:r>
              <w:rPr>
                <w:rFonts w:ascii="宋体" w:hAnsi="宋体" w:cs="宋体" w:eastAsia="宋体" w:hint="default"/>
                <w:sz w:val="19"/>
                <w:szCs w:val="19"/>
              </w:rPr>
              <w:t>会计师事务所有限公司予以验证并出具普华永道中天验字</w:t>
            </w:r>
            <w:r>
              <w:rPr>
                <w:rFonts w:ascii="Times New Roman" w:hAnsi="Times New Roman" w:cs="Times New Roman" w:eastAsia="Times New Roman" w:hint="default"/>
                <w:sz w:val="19"/>
                <w:szCs w:val="19"/>
              </w:rPr>
              <w:t>(2012)</w:t>
            </w:r>
            <w:r>
              <w:rPr>
                <w:rFonts w:ascii="宋体" w:hAnsi="宋体" w:cs="宋体" w:eastAsia="宋体" w:hint="default"/>
                <w:sz w:val="19"/>
                <w:szCs w:val="19"/>
              </w:rPr>
              <w:t>第</w:t>
            </w:r>
            <w:r>
              <w:rPr>
                <w:rFonts w:ascii="宋体" w:hAnsi="宋体" w:cs="宋体" w:eastAsia="宋体" w:hint="default"/>
                <w:spacing w:val="-54"/>
                <w:sz w:val="19"/>
                <w:szCs w:val="19"/>
              </w:rPr>
              <w:t> </w:t>
            </w:r>
            <w:r>
              <w:rPr>
                <w:rFonts w:ascii="Times New Roman" w:hAnsi="Times New Roman" w:cs="Times New Roman" w:eastAsia="Times New Roman" w:hint="default"/>
                <w:sz w:val="19"/>
                <w:szCs w:val="19"/>
              </w:rPr>
              <w:t>248</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号验资报告。</w:t>
            </w:r>
          </w:p>
          <w:p>
            <w:pPr>
              <w:pStyle w:val="TableParagraph"/>
              <w:spacing w:line="240" w:lineRule="auto" w:before="95"/>
              <w:ind w:left="403" w:right="0"/>
              <w:jc w:val="left"/>
              <w:rPr>
                <w:rFonts w:ascii="Times New Roman" w:hAnsi="Times New Roman" w:cs="Times New Roman" w:eastAsia="Times New Roman" w:hint="default"/>
                <w:sz w:val="19"/>
                <w:szCs w:val="19"/>
              </w:rPr>
            </w:pPr>
            <w:r>
              <w:rPr>
                <w:rFonts w:ascii="宋体" w:hAnsi="宋体" w:cs="宋体" w:eastAsia="宋体" w:hint="default"/>
                <w:w w:val="99"/>
                <w:sz w:val="19"/>
                <w:szCs w:val="19"/>
              </w:rPr>
              <w:t>本公司以前年度已使用募集资金人民币</w:t>
            </w:r>
            <w:r>
              <w:rPr>
                <w:rFonts w:ascii="宋体" w:hAnsi="宋体" w:cs="宋体" w:eastAsia="宋体" w:hint="default"/>
                <w:spacing w:val="-43"/>
                <w:sz w:val="19"/>
                <w:szCs w:val="19"/>
              </w:rPr>
              <w:t> </w:t>
            </w:r>
            <w:r>
              <w:rPr>
                <w:rFonts w:ascii="Times New Roman" w:hAnsi="Times New Roman" w:cs="Times New Roman" w:eastAsia="Times New Roman" w:hint="default"/>
                <w:w w:val="99"/>
                <w:sz w:val="19"/>
                <w:szCs w:val="19"/>
              </w:rPr>
              <w:t>414,187.15</w:t>
            </w:r>
            <w:r>
              <w:rPr>
                <w:rFonts w:ascii="Times New Roman" w:hAnsi="Times New Roman" w:cs="Times New Roman" w:eastAsia="Times New Roman" w:hint="default"/>
                <w:spacing w:val="4"/>
                <w:sz w:val="19"/>
                <w:szCs w:val="19"/>
              </w:rPr>
              <w:t> </w:t>
            </w:r>
            <w:r>
              <w:rPr>
                <w:rFonts w:ascii="宋体" w:hAnsi="宋体" w:cs="宋体" w:eastAsia="宋体" w:hint="default"/>
                <w:w w:val="99"/>
                <w:sz w:val="19"/>
                <w:szCs w:val="19"/>
              </w:rPr>
              <w:t>万元（包括支付的银行手续费人民币</w:t>
            </w:r>
            <w:r>
              <w:rPr>
                <w:rFonts w:ascii="宋体" w:hAnsi="宋体" w:cs="宋体" w:eastAsia="宋体" w:hint="default"/>
                <w:spacing w:val="-43"/>
                <w:sz w:val="19"/>
                <w:szCs w:val="19"/>
              </w:rPr>
              <w:t> </w:t>
            </w:r>
            <w:r>
              <w:rPr>
                <w:rFonts w:ascii="Times New Roman" w:hAnsi="Times New Roman" w:cs="Times New Roman" w:eastAsia="Times New Roman" w:hint="default"/>
                <w:w w:val="99"/>
                <w:sz w:val="19"/>
                <w:szCs w:val="19"/>
              </w:rPr>
              <w:t>5.06</w:t>
            </w:r>
            <w:r>
              <w:rPr>
                <w:rFonts w:ascii="Times New Roman" w:hAnsi="Times New Roman" w:cs="Times New Roman" w:eastAsia="Times New Roman" w:hint="default"/>
                <w:spacing w:val="4"/>
                <w:sz w:val="19"/>
                <w:szCs w:val="19"/>
              </w:rPr>
              <w:t> </w:t>
            </w:r>
            <w:r>
              <w:rPr>
                <w:rFonts w:ascii="宋体" w:hAnsi="宋体" w:cs="宋体" w:eastAsia="宋体" w:hint="default"/>
                <w:w w:val="99"/>
                <w:sz w:val="19"/>
                <w:szCs w:val="19"/>
              </w:rPr>
              <w:t>万元</w:t>
            </w:r>
            <w:r>
              <w:rPr>
                <w:rFonts w:ascii="宋体" w:hAnsi="宋体" w:cs="宋体" w:eastAsia="宋体" w:hint="default"/>
                <w:spacing w:val="-95"/>
                <w:w w:val="99"/>
                <w:sz w:val="19"/>
                <w:szCs w:val="19"/>
              </w:rPr>
              <w:t>）</w:t>
            </w:r>
            <w:r>
              <w:rPr>
                <w:rFonts w:ascii="宋体" w:hAnsi="宋体" w:cs="宋体" w:eastAsia="宋体" w:hint="default"/>
                <w:w w:val="99"/>
                <w:sz w:val="19"/>
                <w:szCs w:val="19"/>
              </w:rPr>
              <w:t>，</w:t>
            </w:r>
            <w:r>
              <w:rPr>
                <w:rFonts w:ascii="Times New Roman" w:hAnsi="Times New Roman" w:cs="Times New Roman" w:eastAsia="Times New Roman" w:hint="default"/>
                <w:w w:val="99"/>
                <w:sz w:val="19"/>
                <w:szCs w:val="19"/>
              </w:rPr>
              <w:t>2015</w:t>
            </w:r>
            <w:r>
              <w:rPr>
                <w:rFonts w:ascii="Times New Roman" w:hAnsi="Times New Roman" w:cs="Times New Roman" w:eastAsia="Times New Roman" w:hint="default"/>
                <w:spacing w:val="4"/>
                <w:sz w:val="19"/>
                <w:szCs w:val="19"/>
              </w:rPr>
              <w:t> </w:t>
            </w:r>
            <w:r>
              <w:rPr>
                <w:rFonts w:ascii="宋体" w:hAnsi="宋体" w:cs="宋体" w:eastAsia="宋体" w:hint="default"/>
                <w:w w:val="99"/>
                <w:sz w:val="19"/>
                <w:szCs w:val="19"/>
              </w:rPr>
              <w:t>年</w:t>
            </w:r>
            <w:r>
              <w:rPr>
                <w:rFonts w:ascii="宋体" w:hAnsi="宋体" w:cs="宋体" w:eastAsia="宋体" w:hint="default"/>
                <w:spacing w:val="-45"/>
                <w:sz w:val="19"/>
                <w:szCs w:val="19"/>
              </w:rPr>
              <w:t> </w:t>
            </w:r>
            <w:r>
              <w:rPr>
                <w:rFonts w:ascii="Times New Roman" w:hAnsi="Times New Roman" w:cs="Times New Roman" w:eastAsia="Times New Roman" w:hint="default"/>
                <w:w w:val="99"/>
                <w:sz w:val="19"/>
                <w:szCs w:val="19"/>
              </w:rPr>
              <w:t>1-</w:t>
            </w:r>
            <w:r>
              <w:rPr>
                <w:rFonts w:ascii="Times New Roman" w:hAnsi="Times New Roman" w:cs="Times New Roman" w:eastAsia="Times New Roman" w:hint="default"/>
                <w:spacing w:val="1"/>
                <w:w w:val="99"/>
                <w:sz w:val="19"/>
                <w:szCs w:val="19"/>
              </w:rPr>
              <w:t>12</w:t>
            </w:r>
            <w:r>
              <w:rPr>
                <w:rFonts w:ascii="Times New Roman" w:hAnsi="Times New Roman" w:cs="Times New Roman" w:eastAsia="Times New Roman" w:hint="default"/>
                <w:sz w:val="19"/>
                <w:szCs w:val="19"/>
              </w:rPr>
            </w:r>
          </w:p>
          <w:p>
            <w:pPr>
              <w:pStyle w:val="TableParagraph"/>
              <w:spacing w:line="240" w:lineRule="auto" w:before="95"/>
              <w:ind w:left="22" w:right="0"/>
              <w:jc w:val="left"/>
              <w:rPr>
                <w:rFonts w:ascii="宋体" w:hAnsi="宋体" w:cs="宋体" w:eastAsia="宋体" w:hint="default"/>
                <w:sz w:val="19"/>
                <w:szCs w:val="19"/>
              </w:rPr>
            </w:pPr>
            <w:r>
              <w:rPr>
                <w:rFonts w:ascii="宋体" w:hAnsi="宋体" w:cs="宋体" w:eastAsia="宋体" w:hint="default"/>
                <w:w w:val="99"/>
                <w:sz w:val="19"/>
                <w:szCs w:val="19"/>
              </w:rPr>
              <w:t>月公司实际使用募集资金人民币</w:t>
            </w:r>
            <w:r>
              <w:rPr>
                <w:rFonts w:ascii="宋体" w:hAnsi="宋体" w:cs="宋体" w:eastAsia="宋体" w:hint="default"/>
                <w:spacing w:val="-46"/>
                <w:sz w:val="19"/>
                <w:szCs w:val="19"/>
              </w:rPr>
              <w:t> </w:t>
            </w:r>
            <w:r>
              <w:rPr>
                <w:rFonts w:ascii="Times New Roman" w:hAnsi="Times New Roman" w:cs="Times New Roman" w:eastAsia="Times New Roman" w:hint="default"/>
                <w:w w:val="99"/>
                <w:sz w:val="19"/>
                <w:szCs w:val="19"/>
              </w:rPr>
              <w:t>22,057.98</w:t>
            </w:r>
            <w:r>
              <w:rPr>
                <w:rFonts w:ascii="Times New Roman" w:hAnsi="Times New Roman" w:cs="Times New Roman" w:eastAsia="Times New Roman" w:hint="default"/>
                <w:sz w:val="19"/>
                <w:szCs w:val="19"/>
              </w:rPr>
              <w:t> </w:t>
            </w:r>
            <w:r>
              <w:rPr>
                <w:rFonts w:ascii="宋体" w:hAnsi="宋体" w:cs="宋体" w:eastAsia="宋体" w:hint="default"/>
                <w:w w:val="99"/>
                <w:sz w:val="19"/>
                <w:szCs w:val="19"/>
              </w:rPr>
              <w:t>万</w:t>
            </w:r>
            <w:r>
              <w:rPr>
                <w:rFonts w:ascii="宋体" w:hAnsi="宋体" w:cs="宋体" w:eastAsia="宋体" w:hint="default"/>
                <w:spacing w:val="-7"/>
                <w:w w:val="99"/>
                <w:sz w:val="19"/>
                <w:szCs w:val="19"/>
              </w:rPr>
              <w:t>元</w:t>
            </w:r>
            <w:r>
              <w:rPr>
                <w:rFonts w:ascii="宋体" w:hAnsi="宋体" w:cs="宋体" w:eastAsia="宋体" w:hint="default"/>
                <w:w w:val="99"/>
                <w:sz w:val="19"/>
                <w:szCs w:val="19"/>
              </w:rPr>
              <w:t>（包括支付的银行手续费人民币</w:t>
            </w:r>
            <w:r>
              <w:rPr>
                <w:rFonts w:ascii="宋体" w:hAnsi="宋体" w:cs="宋体" w:eastAsia="宋体" w:hint="default"/>
                <w:spacing w:val="-47"/>
                <w:sz w:val="19"/>
                <w:szCs w:val="19"/>
              </w:rPr>
              <w:t> </w:t>
            </w:r>
            <w:r>
              <w:rPr>
                <w:rFonts w:ascii="Times New Roman" w:hAnsi="Times New Roman" w:cs="Times New Roman" w:eastAsia="Times New Roman" w:hint="default"/>
                <w:w w:val="99"/>
                <w:sz w:val="19"/>
                <w:szCs w:val="19"/>
              </w:rPr>
              <w:t>0</w:t>
            </w:r>
            <w:r>
              <w:rPr>
                <w:rFonts w:ascii="Times New Roman" w:hAnsi="Times New Roman" w:cs="Times New Roman" w:eastAsia="Times New Roman" w:hint="default"/>
                <w:spacing w:val="1"/>
                <w:w w:val="99"/>
                <w:sz w:val="19"/>
                <w:szCs w:val="19"/>
              </w:rPr>
              <w:t>.</w:t>
            </w:r>
            <w:r>
              <w:rPr>
                <w:rFonts w:ascii="Times New Roman" w:hAnsi="Times New Roman" w:cs="Times New Roman" w:eastAsia="Times New Roman" w:hint="default"/>
                <w:w w:val="99"/>
                <w:sz w:val="19"/>
                <w:szCs w:val="19"/>
              </w:rPr>
              <w:t>41</w:t>
            </w:r>
            <w:r>
              <w:rPr>
                <w:rFonts w:ascii="Times New Roman" w:hAnsi="Times New Roman" w:cs="Times New Roman" w:eastAsia="Times New Roman" w:hint="default"/>
                <w:spacing w:val="1"/>
                <w:sz w:val="19"/>
                <w:szCs w:val="19"/>
              </w:rPr>
              <w:t> </w:t>
            </w:r>
            <w:r>
              <w:rPr>
                <w:rFonts w:ascii="宋体" w:hAnsi="宋体" w:cs="宋体" w:eastAsia="宋体" w:hint="default"/>
                <w:w w:val="99"/>
                <w:sz w:val="19"/>
                <w:szCs w:val="19"/>
              </w:rPr>
              <w:t>万元</w:t>
            </w:r>
            <w:r>
              <w:rPr>
                <w:rFonts w:ascii="宋体" w:hAnsi="宋体" w:cs="宋体" w:eastAsia="宋体" w:hint="default"/>
                <w:spacing w:val="-95"/>
                <w:w w:val="99"/>
                <w:sz w:val="19"/>
                <w:szCs w:val="19"/>
              </w:rPr>
              <w:t>）</w:t>
            </w:r>
            <w:r>
              <w:rPr>
                <w:rFonts w:ascii="宋体" w:hAnsi="宋体" w:cs="宋体" w:eastAsia="宋体" w:hint="default"/>
                <w:spacing w:val="-7"/>
                <w:w w:val="99"/>
                <w:sz w:val="19"/>
                <w:szCs w:val="19"/>
              </w:rPr>
              <w:t>，</w:t>
            </w:r>
            <w:r>
              <w:rPr>
                <w:rFonts w:ascii="宋体" w:hAnsi="宋体" w:cs="宋体" w:eastAsia="宋体" w:hint="default"/>
                <w:w w:val="99"/>
                <w:sz w:val="19"/>
                <w:szCs w:val="19"/>
              </w:rPr>
              <w:t>累计已使用募集资金人民</w:t>
            </w:r>
            <w:r>
              <w:rPr>
                <w:rFonts w:ascii="宋体" w:hAnsi="宋体" w:cs="宋体" w:eastAsia="宋体" w:hint="default"/>
                <w:sz w:val="19"/>
                <w:szCs w:val="19"/>
              </w:rPr>
            </w:r>
          </w:p>
          <w:p>
            <w:pPr>
              <w:pStyle w:val="TableParagraph"/>
              <w:spacing w:line="240" w:lineRule="auto" w:before="95"/>
              <w:ind w:left="22" w:right="0"/>
              <w:jc w:val="left"/>
              <w:rPr>
                <w:rFonts w:ascii="宋体" w:hAnsi="宋体" w:cs="宋体" w:eastAsia="宋体" w:hint="default"/>
                <w:sz w:val="19"/>
                <w:szCs w:val="19"/>
              </w:rPr>
            </w:pPr>
            <w:r>
              <w:rPr>
                <w:rFonts w:ascii="宋体" w:hAnsi="宋体" w:cs="宋体" w:eastAsia="宋体" w:hint="default"/>
                <w:w w:val="99"/>
                <w:sz w:val="19"/>
                <w:szCs w:val="19"/>
              </w:rPr>
              <w:t>币</w:t>
            </w:r>
            <w:r>
              <w:rPr>
                <w:rFonts w:ascii="宋体" w:hAnsi="宋体" w:cs="宋体" w:eastAsia="宋体" w:hint="default"/>
                <w:spacing w:val="-47"/>
                <w:sz w:val="19"/>
                <w:szCs w:val="19"/>
              </w:rPr>
              <w:t> </w:t>
            </w:r>
            <w:r>
              <w:rPr>
                <w:rFonts w:ascii="Times New Roman" w:hAnsi="Times New Roman" w:cs="Times New Roman" w:eastAsia="Times New Roman" w:hint="default"/>
                <w:w w:val="99"/>
                <w:sz w:val="19"/>
                <w:szCs w:val="19"/>
              </w:rPr>
              <w:t>436,245.13</w:t>
            </w:r>
            <w:r>
              <w:rPr>
                <w:rFonts w:ascii="Times New Roman" w:hAnsi="Times New Roman" w:cs="Times New Roman" w:eastAsia="Times New Roman" w:hint="default"/>
                <w:spacing w:val="1"/>
                <w:sz w:val="19"/>
                <w:szCs w:val="19"/>
              </w:rPr>
              <w:t> </w:t>
            </w:r>
            <w:r>
              <w:rPr>
                <w:rFonts w:ascii="宋体" w:hAnsi="宋体" w:cs="宋体" w:eastAsia="宋体" w:hint="default"/>
                <w:w w:val="99"/>
                <w:sz w:val="19"/>
                <w:szCs w:val="19"/>
              </w:rPr>
              <w:t>万元（包括支付的银行手续费人民币</w:t>
            </w:r>
            <w:r>
              <w:rPr>
                <w:rFonts w:ascii="宋体" w:hAnsi="宋体" w:cs="宋体" w:eastAsia="宋体" w:hint="default"/>
                <w:spacing w:val="-46"/>
                <w:sz w:val="19"/>
                <w:szCs w:val="19"/>
              </w:rPr>
              <w:t> </w:t>
            </w:r>
            <w:r>
              <w:rPr>
                <w:rFonts w:ascii="Times New Roman" w:hAnsi="Times New Roman" w:cs="Times New Roman" w:eastAsia="Times New Roman" w:hint="default"/>
                <w:w w:val="99"/>
                <w:sz w:val="19"/>
                <w:szCs w:val="19"/>
              </w:rPr>
              <w:t>5.47</w:t>
            </w:r>
            <w:r>
              <w:rPr>
                <w:rFonts w:ascii="Times New Roman" w:hAnsi="Times New Roman" w:cs="Times New Roman" w:eastAsia="Times New Roman" w:hint="default"/>
                <w:spacing w:val="1"/>
                <w:sz w:val="19"/>
                <w:szCs w:val="19"/>
              </w:rPr>
              <w:t> </w:t>
            </w:r>
            <w:r>
              <w:rPr>
                <w:rFonts w:ascii="宋体" w:hAnsi="宋体" w:cs="宋体" w:eastAsia="宋体" w:hint="default"/>
                <w:w w:val="99"/>
                <w:sz w:val="19"/>
                <w:szCs w:val="19"/>
              </w:rPr>
              <w:t>万元</w:t>
            </w:r>
            <w:r>
              <w:rPr>
                <w:rFonts w:ascii="宋体" w:hAnsi="宋体" w:cs="宋体" w:eastAsia="宋体" w:hint="default"/>
                <w:spacing w:val="-95"/>
                <w:w w:val="99"/>
                <w:sz w:val="19"/>
                <w:szCs w:val="19"/>
              </w:rPr>
              <w:t>）</w:t>
            </w:r>
            <w:r>
              <w:rPr>
                <w:rFonts w:ascii="宋体" w:hAnsi="宋体" w:cs="宋体" w:eastAsia="宋体" w:hint="default"/>
                <w:w w:val="99"/>
                <w:sz w:val="19"/>
                <w:szCs w:val="19"/>
              </w:rPr>
              <w:t>。</w:t>
            </w:r>
            <w:r>
              <w:rPr>
                <w:rFonts w:ascii="宋体" w:hAnsi="宋体" w:cs="宋体" w:eastAsia="宋体" w:hint="default"/>
                <w:sz w:val="19"/>
                <w:szCs w:val="19"/>
              </w:rPr>
            </w:r>
          </w:p>
          <w:p>
            <w:pPr>
              <w:pStyle w:val="TableParagraph"/>
              <w:spacing w:line="240" w:lineRule="auto" w:before="96"/>
              <w:ind w:left="403" w:right="0"/>
              <w:jc w:val="left"/>
              <w:rPr>
                <w:rFonts w:ascii="宋体" w:hAnsi="宋体" w:cs="宋体" w:eastAsia="宋体" w:hint="default"/>
                <w:sz w:val="19"/>
                <w:szCs w:val="19"/>
              </w:rPr>
            </w:pPr>
            <w:r>
              <w:rPr>
                <w:rFonts w:ascii="宋体" w:hAnsi="宋体" w:cs="宋体" w:eastAsia="宋体" w:hint="default"/>
                <w:sz w:val="19"/>
                <w:szCs w:val="19"/>
              </w:rPr>
              <w:t>截至</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日，公司募集资金账户余额（含募集资金账户理财余额）为人民币</w:t>
            </w:r>
            <w:r>
              <w:rPr>
                <w:rFonts w:ascii="宋体" w:hAnsi="宋体" w:cs="宋体" w:eastAsia="宋体" w:hint="default"/>
                <w:spacing w:val="-47"/>
                <w:sz w:val="19"/>
                <w:szCs w:val="19"/>
              </w:rPr>
              <w:t> </w:t>
            </w:r>
            <w:r>
              <w:rPr>
                <w:rFonts w:ascii="Times New Roman" w:hAnsi="Times New Roman" w:cs="Times New Roman" w:eastAsia="Times New Roman" w:hint="default"/>
                <w:sz w:val="19"/>
                <w:szCs w:val="19"/>
              </w:rPr>
              <w:t>37,514.71</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万元，其中募</w:t>
            </w:r>
          </w:p>
          <w:p>
            <w:pPr>
              <w:pStyle w:val="TableParagraph"/>
              <w:spacing w:line="240" w:lineRule="auto" w:before="95"/>
              <w:ind w:left="22" w:right="0"/>
              <w:jc w:val="left"/>
              <w:rPr>
                <w:rFonts w:ascii="宋体" w:hAnsi="宋体" w:cs="宋体" w:eastAsia="宋体" w:hint="default"/>
                <w:sz w:val="19"/>
                <w:szCs w:val="19"/>
              </w:rPr>
            </w:pPr>
            <w:r>
              <w:rPr>
                <w:rFonts w:ascii="宋体" w:hAnsi="宋体" w:cs="宋体" w:eastAsia="宋体" w:hint="default"/>
                <w:sz w:val="19"/>
                <w:szCs w:val="19"/>
              </w:rPr>
              <w:t>集资金</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27,064.15</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万元，利息收入</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10,450.56</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万元。</w:t>
            </w:r>
          </w:p>
        </w:tc>
      </w:tr>
    </w:tbl>
    <w:p>
      <w:pPr>
        <w:spacing w:line="240" w:lineRule="auto" w:before="11"/>
        <w:rPr>
          <w:rFonts w:ascii="宋体" w:hAnsi="宋体" w:cs="宋体" w:eastAsia="宋体" w:hint="default"/>
          <w:sz w:val="18"/>
          <w:szCs w:val="18"/>
        </w:rPr>
      </w:pPr>
    </w:p>
    <w:p>
      <w:pPr>
        <w:pStyle w:val="Heading4"/>
        <w:spacing w:line="240" w:lineRule="auto" w:before="31"/>
        <w:ind w:left="154" w:right="1082"/>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29"/>
          <w:szCs w:val="29"/>
        </w:rPr>
      </w:pPr>
    </w:p>
    <w:p>
      <w:pPr>
        <w:pStyle w:val="BodyText"/>
        <w:spacing w:line="240" w:lineRule="auto"/>
        <w:ind w:left="594" w:right="108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9"/>
        </w:rPr>
        <w:t> </w:t>
      </w:r>
      <w:r>
        <w:rPr/>
        <w:t>年度向特定投资者非公开发行募集资金项目的资金使用情况</w:t>
      </w:r>
    </w:p>
    <w:p>
      <w:pPr>
        <w:spacing w:line="240" w:lineRule="auto" w:before="6"/>
        <w:rPr>
          <w:rFonts w:ascii="宋体" w:hAnsi="宋体" w:cs="宋体" w:eastAsia="宋体" w:hint="default"/>
          <w:sz w:val="15"/>
          <w:szCs w:val="15"/>
        </w:rPr>
      </w:pPr>
    </w:p>
    <w:p>
      <w:pPr>
        <w:pStyle w:val="BodyText"/>
        <w:spacing w:line="240" w:lineRule="auto"/>
        <w:ind w:left="594" w:right="1082"/>
        <w:jc w:val="left"/>
        <w:rPr>
          <w:rFonts w:ascii="Times New Roman" w:hAnsi="Times New Roman" w:cs="Times New Roman" w:eastAsia="Times New Roman" w:hint="default"/>
        </w:rPr>
      </w:pPr>
      <w:r>
        <w:rPr/>
        <w:t>根据本公司</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月向特定投资者非公开发行人民币普通股的上市公告书，本公司计划对</w:t>
      </w:r>
      <w:r>
        <w:rPr>
          <w:spacing w:val="-54"/>
        </w:rPr>
        <w:t> </w:t>
      </w:r>
      <w:r>
        <w:rPr>
          <w:rFonts w:ascii="Times New Roman" w:hAnsi="Times New Roman" w:cs="Times New Roman" w:eastAsia="Times New Roman" w:hint="default"/>
        </w:rPr>
        <w:t>21</w:t>
      </w:r>
    </w:p>
    <w:p>
      <w:pPr>
        <w:pStyle w:val="BodyText"/>
        <w:spacing w:line="240" w:lineRule="auto" w:before="164"/>
        <w:ind w:right="1082"/>
        <w:jc w:val="left"/>
      </w:pPr>
      <w:r>
        <w:rPr/>
        <w:t>个具体项目使用募集资金，共计人民币</w:t>
      </w:r>
      <w:r>
        <w:rPr>
          <w:spacing w:val="-59"/>
        </w:rPr>
        <w:t> </w:t>
      </w:r>
      <w:r>
        <w:rPr>
          <w:rFonts w:ascii="Times New Roman" w:hAnsi="Times New Roman" w:cs="Times New Roman" w:eastAsia="Times New Roman" w:hint="default"/>
        </w:rPr>
        <w:t>463,309.28</w:t>
      </w:r>
      <w:r>
        <w:rPr>
          <w:rFonts w:ascii="Times New Roman" w:hAnsi="Times New Roman" w:cs="Times New Roman" w:eastAsia="Times New Roman" w:hint="default"/>
          <w:spacing w:val="-3"/>
        </w:rPr>
        <w:t> </w:t>
      </w:r>
      <w:r>
        <w:rPr/>
        <w:t>万元。</w:t>
      </w:r>
    </w:p>
    <w:p>
      <w:pPr>
        <w:spacing w:line="240" w:lineRule="auto" w:before="6"/>
        <w:rPr>
          <w:rFonts w:ascii="宋体" w:hAnsi="宋体" w:cs="宋体" w:eastAsia="宋体" w:hint="default"/>
          <w:sz w:val="15"/>
          <w:szCs w:val="15"/>
        </w:rPr>
      </w:pPr>
    </w:p>
    <w:p>
      <w:pPr>
        <w:pStyle w:val="BodyText"/>
        <w:spacing w:line="369" w:lineRule="auto"/>
        <w:ind w:left="154" w:right="1082" w:firstLine="440"/>
        <w:jc w:val="left"/>
      </w:pPr>
      <w:r>
        <w:rPr/>
        <w:t>截至</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日止，本公司实际投入相关项目的募集资金款项共计人民币</w:t>
      </w:r>
      <w:r>
        <w:rPr>
          <w:spacing w:val="-54"/>
        </w:rPr>
        <w:t> </w:t>
      </w:r>
      <w:r>
        <w:rPr>
          <w:rFonts w:ascii="Times New Roman" w:hAnsi="Times New Roman" w:cs="Times New Roman" w:eastAsia="Times New Roman" w:hint="default"/>
        </w:rPr>
        <w:t>436,239.66</w:t>
      </w:r>
      <w:r>
        <w:rPr>
          <w:rFonts w:ascii="Times New Roman" w:hAnsi="Times New Roman" w:cs="Times New Roman" w:eastAsia="Times New Roman" w:hint="default"/>
          <w:spacing w:val="-2"/>
        </w:rPr>
        <w:t> </w:t>
      </w:r>
      <w:r>
        <w:rPr/>
        <w:t>万</w:t>
      </w:r>
      <w:r>
        <w:rPr>
          <w:w w:val="99"/>
        </w:rPr>
        <w:t> </w:t>
      </w:r>
      <w:r>
        <w:rPr/>
        <w:t>元，具体使用情况如下：</w:t>
      </w:r>
    </w:p>
    <w:p>
      <w:pPr>
        <w:spacing w:after="0" w:line="36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238"/>
        <w:gridCol w:w="514"/>
        <w:gridCol w:w="1032"/>
        <w:gridCol w:w="1016"/>
        <w:gridCol w:w="920"/>
        <w:gridCol w:w="1027"/>
        <w:gridCol w:w="723"/>
        <w:gridCol w:w="920"/>
        <w:gridCol w:w="791"/>
        <w:gridCol w:w="685"/>
        <w:gridCol w:w="710"/>
      </w:tblGrid>
      <w:tr>
        <w:trPr>
          <w:trHeight w:val="324" w:hRule="exact"/>
        </w:trPr>
        <w:tc>
          <w:tcPr>
            <w:tcW w:w="378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募集资金净额</w:t>
            </w:r>
          </w:p>
        </w:tc>
        <w:tc>
          <w:tcPr>
            <w:tcW w:w="2963" w:type="dxa"/>
            <w:gridSpan w:val="3"/>
            <w:tcBorders>
              <w:top w:val="single" w:sz="4" w:space="0" w:color="000000"/>
              <w:left w:val="single" w:sz="13" w:space="0" w:color="DCDCDC"/>
              <w:bottom w:val="single" w:sz="4" w:space="0" w:color="000000"/>
              <w:right w:val="single" w:sz="13" w:space="0" w:color="DCDCDC"/>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463,309.28</w:t>
            </w:r>
          </w:p>
        </w:tc>
        <w:tc>
          <w:tcPr>
            <w:tcW w:w="243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7" w:right="0"/>
              <w:jc w:val="left"/>
              <w:rPr>
                <w:rFonts w:ascii="宋体" w:hAnsi="宋体" w:cs="宋体" w:eastAsia="宋体" w:hint="default"/>
                <w:sz w:val="18"/>
                <w:szCs w:val="18"/>
              </w:rPr>
            </w:pPr>
            <w:r>
              <w:rPr>
                <w:rFonts w:ascii="宋体" w:hAnsi="宋体" w:cs="宋体" w:eastAsia="宋体" w:hint="default"/>
                <w:sz w:val="18"/>
                <w:szCs w:val="18"/>
              </w:rPr>
              <w:t>报告期内投入募集资金总额</w:t>
            </w:r>
          </w:p>
        </w:tc>
        <w:tc>
          <w:tcPr>
            <w:tcW w:w="139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left="629" w:right="0"/>
              <w:jc w:val="left"/>
              <w:rPr>
                <w:rFonts w:ascii="Times New Roman" w:hAnsi="Times New Roman" w:cs="Times New Roman" w:eastAsia="Times New Roman" w:hint="default"/>
                <w:sz w:val="18"/>
                <w:szCs w:val="18"/>
              </w:rPr>
            </w:pPr>
            <w:r>
              <w:rPr>
                <w:rFonts w:ascii="Times New Roman"/>
                <w:sz w:val="18"/>
              </w:rPr>
              <w:t>22,057.57</w:t>
            </w:r>
          </w:p>
        </w:tc>
      </w:tr>
      <w:tr>
        <w:trPr>
          <w:trHeight w:val="324" w:hRule="exact"/>
        </w:trPr>
        <w:tc>
          <w:tcPr>
            <w:tcW w:w="378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963"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sz w:val="18"/>
              </w:rPr>
              <w:t>0</w:t>
            </w:r>
          </w:p>
        </w:tc>
        <w:tc>
          <w:tcPr>
            <w:tcW w:w="2435"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394" w:type="dxa"/>
            <w:gridSpan w:val="2"/>
            <w:vMerge w:val="restart"/>
            <w:tcBorders>
              <w:top w:val="single" w:sz="4" w:space="0" w:color="000000"/>
              <w:left w:val="single" w:sz="9" w:space="0" w:color="DCDCD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543" w:right="0"/>
              <w:jc w:val="left"/>
              <w:rPr>
                <w:rFonts w:ascii="Times New Roman" w:hAnsi="Times New Roman" w:cs="Times New Roman" w:eastAsia="Times New Roman" w:hint="default"/>
                <w:sz w:val="18"/>
                <w:szCs w:val="18"/>
              </w:rPr>
            </w:pPr>
            <w:r>
              <w:rPr>
                <w:rFonts w:ascii="Times New Roman"/>
                <w:sz w:val="18"/>
              </w:rPr>
              <w:t>436,239.66</w:t>
            </w:r>
          </w:p>
        </w:tc>
      </w:tr>
      <w:tr>
        <w:trPr>
          <w:trHeight w:val="323" w:hRule="exact"/>
        </w:trPr>
        <w:tc>
          <w:tcPr>
            <w:tcW w:w="378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963" w:type="dxa"/>
            <w:gridSpan w:val="3"/>
            <w:tcBorders>
              <w:top w:val="single" w:sz="4" w:space="0" w:color="000000"/>
              <w:left w:val="single" w:sz="13" w:space="0" w:color="DCDCDC"/>
              <w:bottom w:val="single" w:sz="4" w:space="0" w:color="000000"/>
              <w:right w:val="single" w:sz="13" w:space="0" w:color="DCDCDC"/>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z w:val="18"/>
              </w:rPr>
              <w:t>10,020.78</w:t>
            </w:r>
          </w:p>
        </w:tc>
        <w:tc>
          <w:tcPr>
            <w:tcW w:w="2435"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6"/>
              <w:ind w:left="1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394" w:type="dxa"/>
            <w:gridSpan w:val="2"/>
            <w:vMerge/>
            <w:tcBorders>
              <w:left w:val="single" w:sz="9" w:space="0" w:color="DCDCDC"/>
              <w:right w:val="single" w:sz="4" w:space="0" w:color="000000"/>
            </w:tcBorders>
          </w:tcPr>
          <w:p>
            <w:pPr/>
          </w:p>
        </w:tc>
      </w:tr>
      <w:tr>
        <w:trPr>
          <w:trHeight w:val="323" w:hRule="exact"/>
        </w:trPr>
        <w:tc>
          <w:tcPr>
            <w:tcW w:w="378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963"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5"/>
              <w:jc w:val="right"/>
              <w:rPr>
                <w:rFonts w:ascii="Times New Roman" w:hAnsi="Times New Roman" w:cs="Times New Roman" w:eastAsia="Times New Roman" w:hint="default"/>
                <w:sz w:val="18"/>
                <w:szCs w:val="18"/>
              </w:rPr>
            </w:pPr>
            <w:r>
              <w:rPr>
                <w:rFonts w:ascii="Times New Roman"/>
                <w:sz w:val="18"/>
              </w:rPr>
              <w:t>2.16%</w:t>
            </w:r>
          </w:p>
        </w:tc>
        <w:tc>
          <w:tcPr>
            <w:tcW w:w="2435"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1394" w:type="dxa"/>
            <w:gridSpan w:val="2"/>
            <w:vMerge/>
            <w:tcBorders>
              <w:left w:val="single" w:sz="9" w:space="0" w:color="DCDCDC"/>
              <w:bottom w:val="single" w:sz="47" w:space="0" w:color="DCDCDC"/>
              <w:right w:val="single" w:sz="4" w:space="0" w:color="000000"/>
            </w:tcBorders>
          </w:tcPr>
          <w:p>
            <w:pPr/>
          </w:p>
        </w:tc>
      </w:tr>
      <w:tr>
        <w:trPr>
          <w:trHeight w:val="112" w:hRule="exact"/>
        </w:trPr>
        <w:tc>
          <w:tcPr>
            <w:tcW w:w="2238" w:type="dxa"/>
            <w:vMerge w:val="restart"/>
            <w:tcBorders>
              <w:top w:val="single" w:sz="4" w:space="0" w:color="000000"/>
              <w:left w:val="single" w:sz="4" w:space="0" w:color="000000"/>
              <w:right w:val="single" w:sz="4" w:space="0" w:color="000000"/>
            </w:tcBorders>
            <w:shd w:val="clear" w:color="auto" w:fill="DCDCDC"/>
          </w:tcPr>
          <w:p>
            <w:pPr/>
          </w:p>
        </w:tc>
        <w:tc>
          <w:tcPr>
            <w:tcW w:w="514"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2"/>
              <w:ind w:left="22" w:right="15" w:firstLine="51"/>
              <w:jc w:val="both"/>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26"/>
                <w:sz w:val="18"/>
                <w:szCs w:val="18"/>
              </w:rPr>
              <w:t>目（含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 变更</w:t>
            </w:r>
          </w:p>
        </w:tc>
        <w:tc>
          <w:tcPr>
            <w:tcW w:w="1032" w:type="dxa"/>
            <w:vMerge w:val="restart"/>
            <w:tcBorders>
              <w:top w:val="single" w:sz="4" w:space="0" w:color="000000"/>
              <w:left w:val="single" w:sz="4" w:space="0" w:color="000000"/>
              <w:right w:val="single" w:sz="4" w:space="0" w:color="000000"/>
            </w:tcBorders>
            <w:shd w:val="clear" w:color="auto" w:fill="DCDCDC"/>
          </w:tcPr>
          <w:p>
            <w:pPr/>
          </w:p>
        </w:tc>
        <w:tc>
          <w:tcPr>
            <w:tcW w:w="1016" w:type="dxa"/>
            <w:vMerge w:val="restart"/>
            <w:tcBorders>
              <w:top w:val="single" w:sz="4" w:space="0" w:color="000000"/>
              <w:left w:val="single" w:sz="4" w:space="0" w:color="000000"/>
              <w:right w:val="single" w:sz="4" w:space="0" w:color="000000"/>
            </w:tcBorders>
            <w:shd w:val="clear" w:color="auto" w:fill="DCDCDC"/>
          </w:tcPr>
          <w:p>
            <w:pPr/>
          </w:p>
        </w:tc>
        <w:tc>
          <w:tcPr>
            <w:tcW w:w="920" w:type="dxa"/>
            <w:vMerge w:val="restart"/>
            <w:tcBorders>
              <w:top w:val="single" w:sz="4" w:space="0" w:color="000000"/>
              <w:left w:val="single" w:sz="4" w:space="0" w:color="000000"/>
              <w:right w:val="single" w:sz="4" w:space="0" w:color="000000"/>
            </w:tcBorders>
            <w:shd w:val="clear" w:color="auto" w:fill="DCDCDC"/>
          </w:tcPr>
          <w:p>
            <w:pPr/>
          </w:p>
        </w:tc>
        <w:tc>
          <w:tcPr>
            <w:tcW w:w="1027" w:type="dxa"/>
            <w:vMerge w:val="restart"/>
            <w:tcBorders>
              <w:top w:val="single" w:sz="4" w:space="0" w:color="000000"/>
              <w:left w:val="single" w:sz="4" w:space="0" w:color="000000"/>
              <w:right w:val="single" w:sz="4" w:space="0" w:color="000000"/>
            </w:tcBorders>
            <w:shd w:val="clear" w:color="auto" w:fill="DCDCDC"/>
          </w:tcPr>
          <w:p>
            <w:pPr/>
          </w:p>
        </w:tc>
        <w:tc>
          <w:tcPr>
            <w:tcW w:w="723" w:type="dxa"/>
            <w:tcBorders>
              <w:top w:val="single" w:sz="4" w:space="0" w:color="000000"/>
              <w:left w:val="single" w:sz="4" w:space="0" w:color="000000"/>
              <w:bottom w:val="nil" w:sz="6" w:space="0" w:color="auto"/>
              <w:right w:val="single" w:sz="4" w:space="0" w:color="000000"/>
            </w:tcBorders>
            <w:shd w:val="clear" w:color="auto" w:fill="DCDCDC"/>
          </w:tcPr>
          <w:p>
            <w:pPr/>
          </w:p>
        </w:tc>
        <w:tc>
          <w:tcPr>
            <w:tcW w:w="920" w:type="dxa"/>
            <w:vMerge w:val="restart"/>
            <w:tcBorders>
              <w:top w:val="single" w:sz="4" w:space="0" w:color="000000"/>
              <w:left w:val="single" w:sz="4" w:space="0" w:color="000000"/>
              <w:right w:val="single" w:sz="4" w:space="0" w:color="000000"/>
            </w:tcBorders>
            <w:shd w:val="clear" w:color="auto" w:fill="DCDCDC"/>
          </w:tcPr>
          <w:p>
            <w:pPr/>
          </w:p>
        </w:tc>
        <w:tc>
          <w:tcPr>
            <w:tcW w:w="791" w:type="dxa"/>
            <w:tcBorders>
              <w:top w:val="single" w:sz="4" w:space="0" w:color="000000"/>
              <w:left w:val="single" w:sz="4" w:space="0" w:color="000000"/>
              <w:bottom w:val="nil" w:sz="6" w:space="0" w:color="auto"/>
              <w:right w:val="single" w:sz="4" w:space="0" w:color="000000"/>
            </w:tcBorders>
            <w:shd w:val="clear" w:color="auto" w:fill="DCDCDC"/>
          </w:tcPr>
          <w:p>
            <w:pPr/>
          </w:p>
        </w:tc>
        <w:tc>
          <w:tcPr>
            <w:tcW w:w="685" w:type="dxa"/>
            <w:vMerge w:val="restart"/>
            <w:tcBorders>
              <w:top w:val="single" w:sz="4" w:space="0" w:color="000000"/>
              <w:left w:val="single" w:sz="4" w:space="0" w:color="000000"/>
              <w:right w:val="single" w:sz="4" w:space="0" w:color="000000"/>
            </w:tcBorders>
            <w:shd w:val="clear" w:color="auto" w:fill="DCDCDC"/>
          </w:tcPr>
          <w:p>
            <w:pPr/>
          </w:p>
        </w:tc>
        <w:tc>
          <w:tcPr>
            <w:tcW w:w="7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1" w:hRule="exact"/>
        </w:trPr>
        <w:tc>
          <w:tcPr>
            <w:tcW w:w="2238" w:type="dxa"/>
            <w:vMerge/>
            <w:tcBorders>
              <w:left w:val="single" w:sz="4" w:space="0" w:color="000000"/>
              <w:right w:val="single" w:sz="4" w:space="0" w:color="000000"/>
            </w:tcBorders>
            <w:shd w:val="clear" w:color="auto" w:fill="DCDCDC"/>
          </w:tcPr>
          <w:p>
            <w:pPr/>
          </w:p>
        </w:tc>
        <w:tc>
          <w:tcPr>
            <w:tcW w:w="514" w:type="dxa"/>
            <w:vMerge/>
            <w:tcBorders>
              <w:left w:val="single" w:sz="4" w:space="0" w:color="000000"/>
              <w:right w:val="single" w:sz="4" w:space="0" w:color="000000"/>
            </w:tcBorders>
            <w:shd w:val="clear" w:color="auto" w:fill="DCDCDC"/>
          </w:tcPr>
          <w:p>
            <w:pPr/>
          </w:p>
        </w:tc>
        <w:tc>
          <w:tcPr>
            <w:tcW w:w="1032" w:type="dxa"/>
            <w:vMerge/>
            <w:tcBorders>
              <w:left w:val="single" w:sz="4" w:space="0" w:color="000000"/>
              <w:right w:val="single" w:sz="4" w:space="0" w:color="000000"/>
            </w:tcBorders>
            <w:shd w:val="clear" w:color="auto" w:fill="DCDCDC"/>
          </w:tcPr>
          <w:p>
            <w:pPr/>
          </w:p>
        </w:tc>
        <w:tc>
          <w:tcPr>
            <w:tcW w:w="1016" w:type="dxa"/>
            <w:vMerge/>
            <w:tcBorders>
              <w:left w:val="single" w:sz="4" w:space="0" w:color="000000"/>
              <w:right w:val="single" w:sz="4" w:space="0" w:color="000000"/>
            </w:tcBorders>
            <w:shd w:val="clear" w:color="auto" w:fill="DCDCDC"/>
          </w:tcPr>
          <w:p>
            <w:pPr/>
          </w:p>
        </w:tc>
        <w:tc>
          <w:tcPr>
            <w:tcW w:w="920" w:type="dxa"/>
            <w:vMerge/>
            <w:tcBorders>
              <w:left w:val="single" w:sz="4" w:space="0" w:color="000000"/>
              <w:right w:val="single" w:sz="4" w:space="0" w:color="000000"/>
            </w:tcBorders>
            <w:shd w:val="clear" w:color="auto" w:fill="DCDCDC"/>
          </w:tcPr>
          <w:p>
            <w:pPr/>
          </w:p>
        </w:tc>
        <w:tc>
          <w:tcPr>
            <w:tcW w:w="1027" w:type="dxa"/>
            <w:vMerge/>
            <w:tcBorders>
              <w:left w:val="single" w:sz="4" w:space="0" w:color="000000"/>
              <w:right w:val="single" w:sz="4" w:space="0" w:color="000000"/>
            </w:tcBorders>
            <w:shd w:val="clear" w:color="auto" w:fill="DCDCDC"/>
          </w:tcPr>
          <w:p>
            <w:pPr/>
          </w:p>
        </w:tc>
        <w:tc>
          <w:tcPr>
            <w:tcW w:w="72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21"/>
              <w:ind w:left="83" w:right="88"/>
              <w:jc w:val="both"/>
              <w:rPr>
                <w:rFonts w:ascii="宋体" w:hAnsi="宋体" w:cs="宋体" w:eastAsia="宋体" w:hint="default"/>
                <w:sz w:val="18"/>
                <w:szCs w:val="18"/>
              </w:rPr>
            </w:pPr>
            <w:r>
              <w:rPr>
                <w:rFonts w:ascii="宋体" w:hAnsi="宋体" w:cs="宋体" w:eastAsia="宋体" w:hint="default"/>
                <w:sz w:val="18"/>
                <w:szCs w:val="18"/>
              </w:rPr>
              <w:t>截至期 末投资 进度</w:t>
            </w:r>
          </w:p>
          <w:p>
            <w:pPr>
              <w:pStyle w:val="TableParagraph"/>
              <w:spacing w:line="240" w:lineRule="exact"/>
              <w:ind w:left="17" w:right="0"/>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p>
          <w:p>
            <w:pPr>
              <w:pStyle w:val="TableParagraph"/>
              <w:spacing w:line="242" w:lineRule="exact"/>
              <w:ind w:left="2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20" w:type="dxa"/>
            <w:vMerge/>
            <w:tcBorders>
              <w:left w:val="single" w:sz="4" w:space="0" w:color="000000"/>
              <w:bottom w:val="nil" w:sz="6" w:space="0" w:color="auto"/>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Style w:val="TableParagraph"/>
              <w:spacing w:line="234" w:lineRule="exact" w:before="17"/>
              <w:ind w:left="33" w:right="25"/>
              <w:jc w:val="center"/>
              <w:rPr>
                <w:rFonts w:ascii="宋体" w:hAnsi="宋体" w:cs="宋体" w:eastAsia="宋体" w:hint="default"/>
                <w:sz w:val="18"/>
                <w:szCs w:val="18"/>
              </w:rPr>
            </w:pPr>
            <w:r>
              <w:rPr>
                <w:rFonts w:ascii="宋体" w:hAnsi="宋体" w:cs="宋体" w:eastAsia="宋体" w:hint="default"/>
                <w:sz w:val="18"/>
                <w:szCs w:val="18"/>
              </w:rPr>
              <w:t>报告期内 实现的效 益</w:t>
            </w:r>
          </w:p>
          <w:p>
            <w:pPr>
              <w:pStyle w:val="TableParagraph"/>
              <w:spacing w:line="232" w:lineRule="exact" w:before="41"/>
              <w:ind w:left="33" w:right="25"/>
              <w:jc w:val="center"/>
              <w:rPr>
                <w:rFonts w:ascii="宋体" w:hAnsi="宋体" w:cs="宋体" w:eastAsia="宋体" w:hint="default"/>
                <w:sz w:val="18"/>
                <w:szCs w:val="18"/>
              </w:rPr>
            </w:pPr>
            <w:r>
              <w:rPr>
                <w:rFonts w:ascii="宋体" w:hAnsi="宋体" w:cs="宋体" w:eastAsia="宋体" w:hint="default"/>
                <w:sz w:val="18"/>
                <w:szCs w:val="18"/>
              </w:rPr>
              <w:t>（利润总 额）</w:t>
            </w:r>
          </w:p>
        </w:tc>
        <w:tc>
          <w:tcPr>
            <w:tcW w:w="685" w:type="dxa"/>
            <w:vMerge/>
            <w:tcBorders>
              <w:left w:val="single" w:sz="4" w:space="0" w:color="000000"/>
              <w:right w:val="single" w:sz="4" w:space="0" w:color="000000"/>
            </w:tcBorders>
            <w:shd w:val="clear" w:color="auto" w:fill="DCDCDC"/>
          </w:tcPr>
          <w:p>
            <w:pPr/>
          </w:p>
        </w:tc>
        <w:tc>
          <w:tcPr>
            <w:tcW w:w="71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6"/>
              <w:ind w:left="75" w:right="8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124" w:hRule="exact"/>
        </w:trPr>
        <w:tc>
          <w:tcPr>
            <w:tcW w:w="2238" w:type="dxa"/>
            <w:vMerge/>
            <w:tcBorders>
              <w:left w:val="single" w:sz="4" w:space="0" w:color="000000"/>
              <w:right w:val="single" w:sz="4" w:space="0" w:color="000000"/>
            </w:tcBorders>
            <w:shd w:val="clear" w:color="auto" w:fill="DCDCDC"/>
          </w:tcPr>
          <w:p>
            <w:pPr/>
          </w:p>
        </w:tc>
        <w:tc>
          <w:tcPr>
            <w:tcW w:w="514" w:type="dxa"/>
            <w:vMerge/>
            <w:tcBorders>
              <w:left w:val="single" w:sz="4" w:space="0" w:color="000000"/>
              <w:right w:val="single" w:sz="4" w:space="0" w:color="000000"/>
            </w:tcBorders>
            <w:shd w:val="clear" w:color="auto" w:fill="DCDCDC"/>
          </w:tcPr>
          <w:p>
            <w:pPr/>
          </w:p>
        </w:tc>
        <w:tc>
          <w:tcPr>
            <w:tcW w:w="1032" w:type="dxa"/>
            <w:vMerge/>
            <w:tcBorders>
              <w:left w:val="single" w:sz="4" w:space="0" w:color="000000"/>
              <w:right w:val="single" w:sz="4" w:space="0" w:color="000000"/>
            </w:tcBorders>
            <w:shd w:val="clear" w:color="auto" w:fill="DCDCDC"/>
          </w:tcPr>
          <w:p>
            <w:pPr/>
          </w:p>
        </w:tc>
        <w:tc>
          <w:tcPr>
            <w:tcW w:w="1016" w:type="dxa"/>
            <w:vMerge/>
            <w:tcBorders>
              <w:left w:val="single" w:sz="4" w:space="0" w:color="000000"/>
              <w:right w:val="single" w:sz="4" w:space="0" w:color="000000"/>
            </w:tcBorders>
            <w:shd w:val="clear" w:color="auto" w:fill="DCDCDC"/>
          </w:tcPr>
          <w:p>
            <w:pPr/>
          </w:p>
        </w:tc>
        <w:tc>
          <w:tcPr>
            <w:tcW w:w="920" w:type="dxa"/>
            <w:vMerge/>
            <w:tcBorders>
              <w:left w:val="single" w:sz="4" w:space="0" w:color="000000"/>
              <w:right w:val="single" w:sz="4" w:space="0" w:color="000000"/>
            </w:tcBorders>
            <w:shd w:val="clear" w:color="auto" w:fill="DCDCDC"/>
          </w:tcPr>
          <w:p>
            <w:pPr/>
          </w:p>
        </w:tc>
        <w:tc>
          <w:tcPr>
            <w:tcW w:w="1027" w:type="dxa"/>
            <w:vMerge/>
            <w:tcBorders>
              <w:left w:val="single" w:sz="4" w:space="0" w:color="000000"/>
              <w:bottom w:val="nil" w:sz="6" w:space="0" w:color="auto"/>
              <w:right w:val="single" w:sz="4" w:space="0" w:color="000000"/>
            </w:tcBorders>
            <w:shd w:val="clear" w:color="auto" w:fill="DCDCDC"/>
          </w:tcPr>
          <w:p>
            <w:pPr/>
          </w:p>
        </w:tc>
        <w:tc>
          <w:tcPr>
            <w:tcW w:w="723" w:type="dxa"/>
            <w:vMerge/>
            <w:tcBorders>
              <w:left w:val="single" w:sz="4" w:space="0" w:color="000000"/>
              <w:right w:val="single" w:sz="4" w:space="0" w:color="000000"/>
            </w:tcBorders>
            <w:shd w:val="clear" w:color="auto" w:fill="DCDCDC"/>
          </w:tcPr>
          <w:p>
            <w:pPr/>
          </w:p>
        </w:tc>
        <w:tc>
          <w:tcPr>
            <w:tcW w:w="92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94" w:right="9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1" w:type="dxa"/>
            <w:vMerge/>
            <w:tcBorders>
              <w:left w:val="single" w:sz="4" w:space="0" w:color="000000"/>
              <w:right w:val="single" w:sz="4" w:space="0" w:color="000000"/>
            </w:tcBorders>
            <w:shd w:val="clear" w:color="auto" w:fill="DCDCDC"/>
          </w:tcPr>
          <w:p>
            <w:pPr/>
          </w:p>
        </w:tc>
        <w:tc>
          <w:tcPr>
            <w:tcW w:w="685" w:type="dxa"/>
            <w:vMerge/>
            <w:tcBorders>
              <w:left w:val="single" w:sz="4" w:space="0" w:color="000000"/>
              <w:bottom w:val="nil" w:sz="6" w:space="0" w:color="auto"/>
              <w:right w:val="single" w:sz="4" w:space="0" w:color="000000"/>
            </w:tcBorders>
            <w:shd w:val="clear" w:color="auto" w:fill="DCDCDC"/>
          </w:tcPr>
          <w:p>
            <w:pPr/>
          </w:p>
        </w:tc>
        <w:tc>
          <w:tcPr>
            <w:tcW w:w="710" w:type="dxa"/>
            <w:vMerge/>
            <w:tcBorders>
              <w:left w:val="single" w:sz="4" w:space="0" w:color="000000"/>
              <w:right w:val="single" w:sz="4" w:space="0" w:color="000000"/>
            </w:tcBorders>
            <w:shd w:val="clear" w:color="auto" w:fill="DCDCDC"/>
          </w:tcPr>
          <w:p>
            <w:pPr/>
          </w:p>
        </w:tc>
      </w:tr>
      <w:tr>
        <w:trPr>
          <w:trHeight w:val="110" w:hRule="exact"/>
        </w:trPr>
        <w:tc>
          <w:tcPr>
            <w:tcW w:w="2238" w:type="dxa"/>
            <w:vMerge/>
            <w:tcBorders>
              <w:left w:val="single" w:sz="4" w:space="0" w:color="000000"/>
              <w:bottom w:val="nil" w:sz="6" w:space="0" w:color="auto"/>
              <w:right w:val="single" w:sz="4" w:space="0" w:color="000000"/>
            </w:tcBorders>
            <w:shd w:val="clear" w:color="auto" w:fill="DCDCDC"/>
          </w:tcPr>
          <w:p>
            <w:pPr/>
          </w:p>
        </w:tc>
        <w:tc>
          <w:tcPr>
            <w:tcW w:w="514" w:type="dxa"/>
            <w:vMerge/>
            <w:tcBorders>
              <w:left w:val="single" w:sz="4" w:space="0" w:color="000000"/>
              <w:right w:val="single" w:sz="4" w:space="0" w:color="000000"/>
            </w:tcBorders>
            <w:shd w:val="clear" w:color="auto" w:fill="DCDCDC"/>
          </w:tcPr>
          <w:p>
            <w:pPr/>
          </w:p>
        </w:tc>
        <w:tc>
          <w:tcPr>
            <w:tcW w:w="1032" w:type="dxa"/>
            <w:vMerge/>
            <w:tcBorders>
              <w:left w:val="single" w:sz="4" w:space="0" w:color="000000"/>
              <w:bottom w:val="nil" w:sz="6" w:space="0" w:color="auto"/>
              <w:right w:val="single" w:sz="4" w:space="0" w:color="000000"/>
            </w:tcBorders>
            <w:shd w:val="clear" w:color="auto" w:fill="DCDCDC"/>
          </w:tcPr>
          <w:p>
            <w:pPr/>
          </w:p>
        </w:tc>
        <w:tc>
          <w:tcPr>
            <w:tcW w:w="1016" w:type="dxa"/>
            <w:vMerge/>
            <w:tcBorders>
              <w:left w:val="single" w:sz="4" w:space="0" w:color="000000"/>
              <w:bottom w:val="nil" w:sz="6" w:space="0" w:color="auto"/>
              <w:right w:val="single" w:sz="4" w:space="0" w:color="000000"/>
            </w:tcBorders>
            <w:shd w:val="clear" w:color="auto" w:fill="DCDCDC"/>
          </w:tcPr>
          <w:p>
            <w:pPr/>
          </w:p>
        </w:tc>
        <w:tc>
          <w:tcPr>
            <w:tcW w:w="920" w:type="dxa"/>
            <w:vMerge/>
            <w:tcBorders>
              <w:left w:val="single" w:sz="4" w:space="0" w:color="000000"/>
              <w:bottom w:val="nil" w:sz="6" w:space="0" w:color="auto"/>
              <w:right w:val="single" w:sz="4" w:space="0" w:color="000000"/>
            </w:tcBorders>
            <w:shd w:val="clear" w:color="auto" w:fill="DCDCDC"/>
          </w:tcPr>
          <w:p>
            <w:pPr/>
          </w:p>
        </w:tc>
        <w:tc>
          <w:tcPr>
            <w:tcW w:w="1027"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auto" w:before="16"/>
              <w:ind w:left="55" w:right="6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23" w:type="dxa"/>
            <w:vMerge/>
            <w:tcBorders>
              <w:left w:val="single" w:sz="4" w:space="0" w:color="000000"/>
              <w:right w:val="single" w:sz="4" w:space="0" w:color="000000"/>
            </w:tcBorders>
            <w:shd w:val="clear" w:color="auto" w:fill="DCDCDC"/>
          </w:tcPr>
          <w:p>
            <w:pPr/>
          </w:p>
        </w:tc>
        <w:tc>
          <w:tcPr>
            <w:tcW w:w="920" w:type="dxa"/>
            <w:vMerge/>
            <w:tcBorders>
              <w:left w:val="single" w:sz="4" w:space="0" w:color="000000"/>
              <w:right w:val="single" w:sz="4" w:space="0" w:color="000000"/>
            </w:tcBorders>
            <w:shd w:val="clear" w:color="auto" w:fill="DCDCDC"/>
          </w:tcPr>
          <w:p>
            <w:pPr/>
          </w:p>
        </w:tc>
        <w:tc>
          <w:tcPr>
            <w:tcW w:w="791" w:type="dxa"/>
            <w:vMerge/>
            <w:tcBorders>
              <w:left w:val="single" w:sz="4" w:space="0" w:color="000000"/>
              <w:right w:val="single" w:sz="4" w:space="0" w:color="000000"/>
            </w:tcBorders>
            <w:shd w:val="clear" w:color="auto" w:fill="DCDCDC"/>
          </w:tcPr>
          <w:p>
            <w:pPr/>
          </w:p>
        </w:tc>
        <w:tc>
          <w:tcPr>
            <w:tcW w:w="68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5"/>
              <w:ind w:left="66" w:right="6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vMerge/>
            <w:tcBorders>
              <w:left w:val="single" w:sz="4" w:space="0" w:color="000000"/>
              <w:right w:val="single" w:sz="4" w:space="0" w:color="000000"/>
            </w:tcBorders>
            <w:shd w:val="clear" w:color="auto" w:fill="DCDCDC"/>
          </w:tcPr>
          <w:p>
            <w:pPr/>
          </w:p>
        </w:tc>
      </w:tr>
      <w:tr>
        <w:trPr>
          <w:trHeight w:val="547" w:hRule="exact"/>
        </w:trPr>
        <w:tc>
          <w:tcPr>
            <w:tcW w:w="22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1024" w:right="33" w:hanging="991"/>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514" w:type="dxa"/>
            <w:vMerge/>
            <w:tcBorders>
              <w:left w:val="single" w:sz="4" w:space="0" w:color="000000"/>
              <w:right w:val="single" w:sz="4" w:space="0" w:color="000000"/>
            </w:tcBorders>
            <w:shd w:val="clear" w:color="auto" w:fill="DCDCDC"/>
          </w:tcPr>
          <w:p>
            <w:pPr/>
          </w:p>
        </w:tc>
        <w:tc>
          <w:tcPr>
            <w:tcW w:w="10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64" w:right="55"/>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98" w:right="51" w:hanging="46"/>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94" w:right="93"/>
              <w:jc w:val="left"/>
              <w:rPr>
                <w:rFonts w:ascii="宋体" w:hAnsi="宋体" w:cs="宋体" w:eastAsia="宋体" w:hint="default"/>
                <w:sz w:val="18"/>
                <w:szCs w:val="18"/>
              </w:rPr>
            </w:pPr>
            <w:r>
              <w:rPr>
                <w:rFonts w:ascii="宋体" w:hAnsi="宋体" w:cs="宋体" w:eastAsia="宋体" w:hint="default"/>
                <w:sz w:val="18"/>
                <w:szCs w:val="18"/>
              </w:rPr>
              <w:t>报告期内 投入金额</w:t>
            </w:r>
          </w:p>
        </w:tc>
        <w:tc>
          <w:tcPr>
            <w:tcW w:w="1027" w:type="dxa"/>
            <w:vMerge/>
            <w:tcBorders>
              <w:left w:val="single" w:sz="4" w:space="0" w:color="000000"/>
              <w:right w:val="single" w:sz="4" w:space="0" w:color="000000"/>
            </w:tcBorders>
            <w:shd w:val="clear" w:color="auto" w:fill="DCDCDC"/>
          </w:tcPr>
          <w:p>
            <w:pPr/>
          </w:p>
        </w:tc>
        <w:tc>
          <w:tcPr>
            <w:tcW w:w="723" w:type="dxa"/>
            <w:vMerge/>
            <w:tcBorders>
              <w:left w:val="single" w:sz="4" w:space="0" w:color="000000"/>
              <w:right w:val="single" w:sz="4" w:space="0" w:color="000000"/>
            </w:tcBorders>
            <w:shd w:val="clear" w:color="auto" w:fill="DCDCDC"/>
          </w:tcPr>
          <w:p>
            <w:pPr/>
          </w:p>
        </w:tc>
        <w:tc>
          <w:tcPr>
            <w:tcW w:w="920" w:type="dxa"/>
            <w:vMerge/>
            <w:tcBorders>
              <w:left w:val="single" w:sz="4" w:space="0" w:color="000000"/>
              <w:right w:val="single" w:sz="4" w:space="0" w:color="000000"/>
            </w:tcBorders>
            <w:shd w:val="clear" w:color="auto" w:fill="DCDCDC"/>
          </w:tcPr>
          <w:p>
            <w:pPr/>
          </w:p>
        </w:tc>
        <w:tc>
          <w:tcPr>
            <w:tcW w:w="791" w:type="dxa"/>
            <w:vMerge/>
            <w:tcBorders>
              <w:left w:val="single" w:sz="4" w:space="0" w:color="000000"/>
              <w:right w:val="single" w:sz="4" w:space="0" w:color="000000"/>
            </w:tcBorders>
            <w:shd w:val="clear" w:color="auto" w:fill="DCDCDC"/>
          </w:tcPr>
          <w:p>
            <w:pPr/>
          </w:p>
        </w:tc>
        <w:tc>
          <w:tcPr>
            <w:tcW w:w="685" w:type="dxa"/>
            <w:vMerge/>
            <w:tcBorders>
              <w:left w:val="single" w:sz="4" w:space="0" w:color="000000"/>
              <w:right w:val="single" w:sz="4" w:space="0" w:color="000000"/>
            </w:tcBorders>
            <w:shd w:val="clear" w:color="auto" w:fill="DCDCDC"/>
          </w:tcPr>
          <w:p>
            <w:pPr/>
          </w:p>
        </w:tc>
        <w:tc>
          <w:tcPr>
            <w:tcW w:w="710" w:type="dxa"/>
            <w:vMerge/>
            <w:tcBorders>
              <w:left w:val="single" w:sz="4" w:space="0" w:color="000000"/>
              <w:right w:val="single" w:sz="4" w:space="0" w:color="000000"/>
            </w:tcBorders>
            <w:shd w:val="clear" w:color="auto" w:fill="DCDCDC"/>
          </w:tcPr>
          <w:p>
            <w:pPr/>
          </w:p>
        </w:tc>
      </w:tr>
      <w:tr>
        <w:trPr>
          <w:trHeight w:val="110" w:hRule="exact"/>
        </w:trPr>
        <w:tc>
          <w:tcPr>
            <w:tcW w:w="2238" w:type="dxa"/>
            <w:vMerge w:val="restart"/>
            <w:tcBorders>
              <w:top w:val="nil" w:sz="6" w:space="0" w:color="auto"/>
              <w:left w:val="single" w:sz="4" w:space="0" w:color="000000"/>
              <w:right w:val="single" w:sz="4" w:space="0" w:color="000000"/>
            </w:tcBorders>
            <w:shd w:val="clear" w:color="auto" w:fill="DCDCDC"/>
          </w:tcPr>
          <w:p>
            <w:pPr/>
          </w:p>
        </w:tc>
        <w:tc>
          <w:tcPr>
            <w:tcW w:w="514" w:type="dxa"/>
            <w:vMerge/>
            <w:tcBorders>
              <w:left w:val="single" w:sz="4" w:space="0" w:color="000000"/>
              <w:right w:val="single" w:sz="4" w:space="0" w:color="000000"/>
            </w:tcBorders>
            <w:shd w:val="clear" w:color="auto" w:fill="DCDCDC"/>
          </w:tcPr>
          <w:p>
            <w:pPr/>
          </w:p>
        </w:tc>
        <w:tc>
          <w:tcPr>
            <w:tcW w:w="103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016" w:type="dxa"/>
            <w:vMerge w:val="restart"/>
            <w:tcBorders>
              <w:top w:val="nil" w:sz="6" w:space="0" w:color="auto"/>
              <w:left w:val="single" w:sz="4" w:space="0" w:color="000000"/>
              <w:right w:val="single" w:sz="4" w:space="0" w:color="000000"/>
            </w:tcBorders>
            <w:shd w:val="clear" w:color="auto" w:fill="DCDCDC"/>
          </w:tcPr>
          <w:p>
            <w:pPr/>
          </w:p>
        </w:tc>
        <w:tc>
          <w:tcPr>
            <w:tcW w:w="920" w:type="dxa"/>
            <w:vMerge w:val="restart"/>
            <w:tcBorders>
              <w:top w:val="nil" w:sz="6" w:space="0" w:color="auto"/>
              <w:left w:val="single" w:sz="4" w:space="0" w:color="000000"/>
              <w:right w:val="single" w:sz="4" w:space="0" w:color="000000"/>
            </w:tcBorders>
            <w:shd w:val="clear" w:color="auto" w:fill="DCDCDC"/>
          </w:tcPr>
          <w:p>
            <w:pPr/>
          </w:p>
        </w:tc>
        <w:tc>
          <w:tcPr>
            <w:tcW w:w="1027" w:type="dxa"/>
            <w:vMerge/>
            <w:tcBorders>
              <w:left w:val="single" w:sz="4" w:space="0" w:color="000000"/>
              <w:bottom w:val="nil" w:sz="6" w:space="0" w:color="auto"/>
              <w:right w:val="single" w:sz="4" w:space="0" w:color="000000"/>
            </w:tcBorders>
            <w:shd w:val="clear" w:color="auto" w:fill="DCDCDC"/>
          </w:tcPr>
          <w:p>
            <w:pPr/>
          </w:p>
        </w:tc>
        <w:tc>
          <w:tcPr>
            <w:tcW w:w="723" w:type="dxa"/>
            <w:vMerge/>
            <w:tcBorders>
              <w:left w:val="single" w:sz="4" w:space="0" w:color="000000"/>
              <w:right w:val="single" w:sz="4" w:space="0" w:color="000000"/>
            </w:tcBorders>
            <w:shd w:val="clear" w:color="auto" w:fill="DCDCDC"/>
          </w:tcPr>
          <w:p>
            <w:pPr/>
          </w:p>
        </w:tc>
        <w:tc>
          <w:tcPr>
            <w:tcW w:w="920" w:type="dxa"/>
            <w:vMerge/>
            <w:tcBorders>
              <w:left w:val="single" w:sz="4" w:space="0" w:color="000000"/>
              <w:right w:val="single" w:sz="4" w:space="0" w:color="000000"/>
            </w:tcBorders>
            <w:shd w:val="clear" w:color="auto" w:fill="DCDCDC"/>
          </w:tcPr>
          <w:p>
            <w:pPr/>
          </w:p>
        </w:tc>
        <w:tc>
          <w:tcPr>
            <w:tcW w:w="791" w:type="dxa"/>
            <w:vMerge/>
            <w:tcBorders>
              <w:left w:val="single" w:sz="4" w:space="0" w:color="000000"/>
              <w:right w:val="single" w:sz="4" w:space="0" w:color="000000"/>
            </w:tcBorders>
            <w:shd w:val="clear" w:color="auto" w:fill="DCDCDC"/>
          </w:tcPr>
          <w:p>
            <w:pPr/>
          </w:p>
        </w:tc>
        <w:tc>
          <w:tcPr>
            <w:tcW w:w="685" w:type="dxa"/>
            <w:vMerge/>
            <w:tcBorders>
              <w:left w:val="single" w:sz="4" w:space="0" w:color="000000"/>
              <w:bottom w:val="nil" w:sz="6" w:space="0" w:color="auto"/>
              <w:right w:val="single" w:sz="4" w:space="0" w:color="000000"/>
            </w:tcBorders>
            <w:shd w:val="clear" w:color="auto" w:fill="DCDCDC"/>
          </w:tcPr>
          <w:p>
            <w:pPr/>
          </w:p>
        </w:tc>
        <w:tc>
          <w:tcPr>
            <w:tcW w:w="710" w:type="dxa"/>
            <w:vMerge/>
            <w:tcBorders>
              <w:left w:val="single" w:sz="4" w:space="0" w:color="000000"/>
              <w:right w:val="single" w:sz="4" w:space="0" w:color="000000"/>
            </w:tcBorders>
            <w:shd w:val="clear" w:color="auto" w:fill="DCDCDC"/>
          </w:tcPr>
          <w:p>
            <w:pPr/>
          </w:p>
        </w:tc>
      </w:tr>
      <w:tr>
        <w:trPr>
          <w:trHeight w:val="123" w:hRule="exact"/>
        </w:trPr>
        <w:tc>
          <w:tcPr>
            <w:tcW w:w="2238" w:type="dxa"/>
            <w:vMerge/>
            <w:tcBorders>
              <w:left w:val="single" w:sz="4" w:space="0" w:color="000000"/>
              <w:right w:val="single" w:sz="4" w:space="0" w:color="000000"/>
            </w:tcBorders>
            <w:shd w:val="clear" w:color="auto" w:fill="DCDCDC"/>
          </w:tcPr>
          <w:p>
            <w:pPr/>
          </w:p>
        </w:tc>
        <w:tc>
          <w:tcPr>
            <w:tcW w:w="514" w:type="dxa"/>
            <w:vMerge/>
            <w:tcBorders>
              <w:left w:val="single" w:sz="4" w:space="0" w:color="000000"/>
              <w:right w:val="single" w:sz="4" w:space="0" w:color="000000"/>
            </w:tcBorders>
            <w:shd w:val="clear" w:color="auto" w:fill="DCDCDC"/>
          </w:tcPr>
          <w:p>
            <w:pPr/>
          </w:p>
        </w:tc>
        <w:tc>
          <w:tcPr>
            <w:tcW w:w="1032" w:type="dxa"/>
            <w:vMerge/>
            <w:tcBorders>
              <w:left w:val="single" w:sz="4" w:space="0" w:color="000000"/>
              <w:right w:val="single" w:sz="4" w:space="0" w:color="000000"/>
            </w:tcBorders>
            <w:shd w:val="clear" w:color="auto" w:fill="DCDCDC"/>
          </w:tcPr>
          <w:p>
            <w:pPr/>
          </w:p>
        </w:tc>
        <w:tc>
          <w:tcPr>
            <w:tcW w:w="1016" w:type="dxa"/>
            <w:vMerge/>
            <w:tcBorders>
              <w:left w:val="single" w:sz="4" w:space="0" w:color="000000"/>
              <w:right w:val="single" w:sz="4" w:space="0" w:color="000000"/>
            </w:tcBorders>
            <w:shd w:val="clear" w:color="auto" w:fill="DCDCDC"/>
          </w:tcPr>
          <w:p>
            <w:pPr/>
          </w:p>
        </w:tc>
        <w:tc>
          <w:tcPr>
            <w:tcW w:w="920" w:type="dxa"/>
            <w:vMerge/>
            <w:tcBorders>
              <w:left w:val="single" w:sz="4" w:space="0" w:color="000000"/>
              <w:right w:val="single" w:sz="4" w:space="0" w:color="000000"/>
            </w:tcBorders>
            <w:shd w:val="clear" w:color="auto" w:fill="DCDCDC"/>
          </w:tcPr>
          <w:p>
            <w:pPr/>
          </w:p>
        </w:tc>
        <w:tc>
          <w:tcPr>
            <w:tcW w:w="1027" w:type="dxa"/>
            <w:vMerge w:val="restart"/>
            <w:tcBorders>
              <w:top w:val="nil" w:sz="6" w:space="0" w:color="auto"/>
              <w:left w:val="single" w:sz="4" w:space="0" w:color="000000"/>
              <w:right w:val="single" w:sz="4" w:space="0" w:color="000000"/>
            </w:tcBorders>
            <w:shd w:val="clear" w:color="auto" w:fill="DCDCDC"/>
          </w:tcPr>
          <w:p>
            <w:pPr/>
          </w:p>
        </w:tc>
        <w:tc>
          <w:tcPr>
            <w:tcW w:w="723" w:type="dxa"/>
            <w:vMerge/>
            <w:tcBorders>
              <w:left w:val="single" w:sz="4" w:space="0" w:color="000000"/>
              <w:right w:val="single" w:sz="4" w:space="0" w:color="000000"/>
            </w:tcBorders>
            <w:shd w:val="clear" w:color="auto" w:fill="DCDCDC"/>
          </w:tcPr>
          <w:p>
            <w:pPr/>
          </w:p>
        </w:tc>
        <w:tc>
          <w:tcPr>
            <w:tcW w:w="920" w:type="dxa"/>
            <w:vMerge/>
            <w:tcBorders>
              <w:left w:val="single" w:sz="4" w:space="0" w:color="000000"/>
              <w:bottom w:val="nil" w:sz="6" w:space="0" w:color="auto"/>
              <w:right w:val="single" w:sz="4" w:space="0" w:color="000000"/>
            </w:tcBorders>
            <w:shd w:val="clear" w:color="auto" w:fill="DCDCDC"/>
          </w:tcPr>
          <w:p>
            <w:pPr/>
          </w:p>
        </w:tc>
        <w:tc>
          <w:tcPr>
            <w:tcW w:w="791" w:type="dxa"/>
            <w:vMerge/>
            <w:tcBorders>
              <w:left w:val="single" w:sz="4" w:space="0" w:color="000000"/>
              <w:right w:val="single" w:sz="4" w:space="0" w:color="000000"/>
            </w:tcBorders>
            <w:shd w:val="clear" w:color="auto" w:fill="DCDCDC"/>
          </w:tcPr>
          <w:p>
            <w:pPr/>
          </w:p>
        </w:tc>
        <w:tc>
          <w:tcPr>
            <w:tcW w:w="685" w:type="dxa"/>
            <w:vMerge w:val="restart"/>
            <w:tcBorders>
              <w:top w:val="nil" w:sz="6" w:space="0" w:color="auto"/>
              <w:left w:val="single" w:sz="4" w:space="0" w:color="000000"/>
              <w:right w:val="single" w:sz="4" w:space="0" w:color="000000"/>
            </w:tcBorders>
            <w:shd w:val="clear" w:color="auto" w:fill="DCDCDC"/>
          </w:tcPr>
          <w:p>
            <w:pPr/>
          </w:p>
        </w:tc>
        <w:tc>
          <w:tcPr>
            <w:tcW w:w="710" w:type="dxa"/>
            <w:vMerge/>
            <w:tcBorders>
              <w:left w:val="single" w:sz="4" w:space="0" w:color="000000"/>
              <w:right w:val="single" w:sz="4" w:space="0" w:color="000000"/>
            </w:tcBorders>
            <w:shd w:val="clear" w:color="auto" w:fill="DCDCDC"/>
          </w:tcPr>
          <w:p>
            <w:pPr/>
          </w:p>
        </w:tc>
      </w:tr>
      <w:tr>
        <w:trPr>
          <w:trHeight w:val="127" w:hRule="exact"/>
        </w:trPr>
        <w:tc>
          <w:tcPr>
            <w:tcW w:w="2238" w:type="dxa"/>
            <w:vMerge/>
            <w:tcBorders>
              <w:left w:val="single" w:sz="4" w:space="0" w:color="000000"/>
              <w:right w:val="single" w:sz="4" w:space="0" w:color="000000"/>
            </w:tcBorders>
            <w:shd w:val="clear" w:color="auto" w:fill="DCDCDC"/>
          </w:tcPr>
          <w:p>
            <w:pPr/>
          </w:p>
        </w:tc>
        <w:tc>
          <w:tcPr>
            <w:tcW w:w="514" w:type="dxa"/>
            <w:vMerge/>
            <w:tcBorders>
              <w:left w:val="single" w:sz="4" w:space="0" w:color="000000"/>
              <w:right w:val="single" w:sz="4" w:space="0" w:color="000000"/>
            </w:tcBorders>
            <w:shd w:val="clear" w:color="auto" w:fill="DCDCDC"/>
          </w:tcPr>
          <w:p>
            <w:pPr/>
          </w:p>
        </w:tc>
        <w:tc>
          <w:tcPr>
            <w:tcW w:w="1032" w:type="dxa"/>
            <w:vMerge/>
            <w:tcBorders>
              <w:left w:val="single" w:sz="4" w:space="0" w:color="000000"/>
              <w:right w:val="single" w:sz="4" w:space="0" w:color="000000"/>
            </w:tcBorders>
            <w:shd w:val="clear" w:color="auto" w:fill="DCDCDC"/>
          </w:tcPr>
          <w:p>
            <w:pPr/>
          </w:p>
        </w:tc>
        <w:tc>
          <w:tcPr>
            <w:tcW w:w="1016" w:type="dxa"/>
            <w:vMerge/>
            <w:tcBorders>
              <w:left w:val="single" w:sz="4" w:space="0" w:color="000000"/>
              <w:right w:val="single" w:sz="4" w:space="0" w:color="000000"/>
            </w:tcBorders>
            <w:shd w:val="clear" w:color="auto" w:fill="DCDCDC"/>
          </w:tcPr>
          <w:p>
            <w:pPr/>
          </w:p>
        </w:tc>
        <w:tc>
          <w:tcPr>
            <w:tcW w:w="920" w:type="dxa"/>
            <w:vMerge/>
            <w:tcBorders>
              <w:left w:val="single" w:sz="4" w:space="0" w:color="000000"/>
              <w:right w:val="single" w:sz="4" w:space="0" w:color="000000"/>
            </w:tcBorders>
            <w:shd w:val="clear" w:color="auto" w:fill="DCDCDC"/>
          </w:tcPr>
          <w:p>
            <w:pPr/>
          </w:p>
        </w:tc>
        <w:tc>
          <w:tcPr>
            <w:tcW w:w="1027" w:type="dxa"/>
            <w:vMerge/>
            <w:tcBorders>
              <w:left w:val="single" w:sz="4" w:space="0" w:color="000000"/>
              <w:right w:val="single" w:sz="4" w:space="0" w:color="000000"/>
            </w:tcBorders>
            <w:shd w:val="clear" w:color="auto" w:fill="DCDCDC"/>
          </w:tcPr>
          <w:p>
            <w:pPr/>
          </w:p>
        </w:tc>
        <w:tc>
          <w:tcPr>
            <w:tcW w:w="723" w:type="dxa"/>
            <w:vMerge/>
            <w:tcBorders>
              <w:left w:val="single" w:sz="4" w:space="0" w:color="000000"/>
              <w:bottom w:val="nil" w:sz="6" w:space="0" w:color="auto"/>
              <w:right w:val="single" w:sz="4" w:space="0" w:color="000000"/>
            </w:tcBorders>
            <w:shd w:val="clear" w:color="auto" w:fill="DCDCDC"/>
          </w:tcPr>
          <w:p>
            <w:pPr/>
          </w:p>
        </w:tc>
        <w:tc>
          <w:tcPr>
            <w:tcW w:w="920" w:type="dxa"/>
            <w:vMerge w:val="restart"/>
            <w:tcBorders>
              <w:top w:val="nil" w:sz="6" w:space="0" w:color="auto"/>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685" w:type="dxa"/>
            <w:vMerge/>
            <w:tcBorders>
              <w:left w:val="single" w:sz="4" w:space="0" w:color="000000"/>
              <w:right w:val="single" w:sz="4" w:space="0" w:color="000000"/>
            </w:tcBorders>
            <w:shd w:val="clear" w:color="auto" w:fill="DCDCDC"/>
          </w:tcPr>
          <w:p>
            <w:pPr/>
          </w:p>
        </w:tc>
        <w:tc>
          <w:tcPr>
            <w:tcW w:w="710" w:type="dxa"/>
            <w:vMerge/>
            <w:tcBorders>
              <w:left w:val="single" w:sz="4" w:space="0" w:color="000000"/>
              <w:bottom w:val="nil" w:sz="6" w:space="0" w:color="auto"/>
              <w:right w:val="single" w:sz="4" w:space="0" w:color="000000"/>
            </w:tcBorders>
            <w:shd w:val="clear" w:color="auto" w:fill="DCDCDC"/>
          </w:tcPr>
          <w:p>
            <w:pPr/>
          </w:p>
        </w:tc>
      </w:tr>
      <w:tr>
        <w:trPr>
          <w:trHeight w:val="117" w:hRule="exact"/>
        </w:trPr>
        <w:tc>
          <w:tcPr>
            <w:tcW w:w="2238" w:type="dxa"/>
            <w:vMerge/>
            <w:tcBorders>
              <w:left w:val="single" w:sz="4" w:space="0" w:color="000000"/>
              <w:bottom w:val="single" w:sz="4" w:space="0" w:color="000000"/>
              <w:right w:val="single" w:sz="4" w:space="0" w:color="000000"/>
            </w:tcBorders>
            <w:shd w:val="clear" w:color="auto" w:fill="DCDCDC"/>
          </w:tcPr>
          <w:p>
            <w:pPr/>
          </w:p>
        </w:tc>
        <w:tc>
          <w:tcPr>
            <w:tcW w:w="514" w:type="dxa"/>
            <w:vMerge/>
            <w:tcBorders>
              <w:left w:val="single" w:sz="4" w:space="0" w:color="000000"/>
              <w:bottom w:val="single" w:sz="4" w:space="0" w:color="000000"/>
              <w:right w:val="single" w:sz="4" w:space="0" w:color="000000"/>
            </w:tcBorders>
            <w:shd w:val="clear" w:color="auto" w:fill="DCDCDC"/>
          </w:tcPr>
          <w:p>
            <w:pPr/>
          </w:p>
        </w:tc>
        <w:tc>
          <w:tcPr>
            <w:tcW w:w="1032" w:type="dxa"/>
            <w:vMerge/>
            <w:tcBorders>
              <w:left w:val="single" w:sz="4" w:space="0" w:color="000000"/>
              <w:bottom w:val="single" w:sz="4" w:space="0" w:color="000000"/>
              <w:right w:val="single" w:sz="4" w:space="0" w:color="000000"/>
            </w:tcBorders>
            <w:shd w:val="clear" w:color="auto" w:fill="DCDCDC"/>
          </w:tcPr>
          <w:p>
            <w:pPr/>
          </w:p>
        </w:tc>
        <w:tc>
          <w:tcPr>
            <w:tcW w:w="1016" w:type="dxa"/>
            <w:vMerge/>
            <w:tcBorders>
              <w:left w:val="single" w:sz="4" w:space="0" w:color="000000"/>
              <w:bottom w:val="single" w:sz="4" w:space="0" w:color="000000"/>
              <w:right w:val="single" w:sz="4" w:space="0" w:color="000000"/>
            </w:tcBorders>
            <w:shd w:val="clear" w:color="auto" w:fill="DCDCDC"/>
          </w:tcPr>
          <w:p>
            <w:pPr/>
          </w:p>
        </w:tc>
        <w:tc>
          <w:tcPr>
            <w:tcW w:w="920" w:type="dxa"/>
            <w:vMerge/>
            <w:tcBorders>
              <w:left w:val="single" w:sz="4" w:space="0" w:color="000000"/>
              <w:bottom w:val="single" w:sz="4" w:space="0" w:color="000000"/>
              <w:right w:val="single" w:sz="4" w:space="0" w:color="000000"/>
            </w:tcBorders>
            <w:shd w:val="clear" w:color="auto" w:fill="DCDCDC"/>
          </w:tcPr>
          <w:p>
            <w:pPr/>
          </w:p>
        </w:tc>
        <w:tc>
          <w:tcPr>
            <w:tcW w:w="1027" w:type="dxa"/>
            <w:vMerge/>
            <w:tcBorders>
              <w:left w:val="single" w:sz="4" w:space="0" w:color="000000"/>
              <w:bottom w:val="single" w:sz="4" w:space="0" w:color="000000"/>
              <w:right w:val="single" w:sz="4" w:space="0" w:color="000000"/>
            </w:tcBorders>
            <w:shd w:val="clear" w:color="auto" w:fill="DCDCDC"/>
          </w:tcPr>
          <w:p>
            <w:pPr/>
          </w:p>
        </w:tc>
        <w:tc>
          <w:tcPr>
            <w:tcW w:w="723" w:type="dxa"/>
            <w:tcBorders>
              <w:top w:val="nil" w:sz="6" w:space="0" w:color="auto"/>
              <w:left w:val="single" w:sz="4" w:space="0" w:color="000000"/>
              <w:bottom w:val="single" w:sz="4" w:space="0" w:color="000000"/>
              <w:right w:val="single" w:sz="4" w:space="0" w:color="000000"/>
            </w:tcBorders>
            <w:shd w:val="clear" w:color="auto" w:fill="DCDCDC"/>
          </w:tcPr>
          <w:p>
            <w:pPr/>
          </w:p>
        </w:tc>
        <w:tc>
          <w:tcPr>
            <w:tcW w:w="920" w:type="dxa"/>
            <w:vMerge/>
            <w:tcBorders>
              <w:left w:val="single" w:sz="4" w:space="0" w:color="000000"/>
              <w:bottom w:val="single" w:sz="4" w:space="0" w:color="000000"/>
              <w:right w:val="single" w:sz="4" w:space="0" w:color="000000"/>
            </w:tcBorders>
            <w:shd w:val="clear" w:color="auto" w:fill="DCDCDC"/>
          </w:tcPr>
          <w:p>
            <w:pPr/>
          </w:p>
        </w:tc>
        <w:tc>
          <w:tcPr>
            <w:tcW w:w="791" w:type="dxa"/>
            <w:tcBorders>
              <w:top w:val="nil" w:sz="6" w:space="0" w:color="auto"/>
              <w:left w:val="single" w:sz="4" w:space="0" w:color="000000"/>
              <w:bottom w:val="single" w:sz="4" w:space="0" w:color="000000"/>
              <w:right w:val="single" w:sz="4" w:space="0" w:color="000000"/>
            </w:tcBorders>
            <w:shd w:val="clear" w:color="auto" w:fill="DCDCDC"/>
          </w:tcPr>
          <w:p>
            <w:pPr/>
          </w:p>
        </w:tc>
        <w:tc>
          <w:tcPr>
            <w:tcW w:w="685" w:type="dxa"/>
            <w:vMerge/>
            <w:tcBorders>
              <w:left w:val="single" w:sz="4" w:space="0" w:color="000000"/>
              <w:bottom w:val="single" w:sz="4" w:space="0" w:color="000000"/>
              <w:right w:val="single" w:sz="4" w:space="0" w:color="000000"/>
            </w:tcBorders>
            <w:shd w:val="clear" w:color="auto" w:fill="DCDCDC"/>
          </w:tcPr>
          <w:p>
            <w:pPr/>
          </w:p>
        </w:tc>
        <w:tc>
          <w:tcPr>
            <w:tcW w:w="7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49"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337" w:type="dxa"/>
            <w:gridSpan w:val="10"/>
            <w:tcBorders>
              <w:top w:val="single" w:sz="47" w:space="0" w:color="DCDCDC"/>
              <w:left w:val="single" w:sz="9" w:space="0" w:color="DCDCDC"/>
              <w:bottom w:val="single" w:sz="4" w:space="0" w:color="000000"/>
              <w:right w:val="single" w:sz="4" w:space="0" w:color="000000"/>
            </w:tcBorders>
          </w:tcPr>
          <w:p>
            <w:pPr/>
          </w:p>
        </w:tc>
      </w:tr>
      <w:tr>
        <w:trPr>
          <w:trHeight w:val="598" w:hRule="exact"/>
        </w:trPr>
        <w:tc>
          <w:tcPr>
            <w:tcW w:w="2238"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家连锁店发展项目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2"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3"/>
              <w:ind w:left="3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4,675.03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86,882.92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-3,509.59</w:t>
            </w:r>
            <w:r>
              <w:rPr>
                <w:rFonts w:ascii="Times New Roman"/>
                <w:sz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37"/>
              <w:ind w:left="28" w:right="-28"/>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重庆长寿寿星广场店购置项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10,538.90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10,538.90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10,256.72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466.91</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37"/>
              <w:ind w:left="28" w:right="-28"/>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厦门财富港湾店购置项目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12,071.92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12,071.92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12,071.92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-149.54</w:t>
            </w:r>
          </w:p>
        </w:tc>
        <w:tc>
          <w:tcPr>
            <w:tcW w:w="685"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长春物流中心建设项目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15,271.94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15,271.94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sz w:val="18"/>
              </w:rPr>
              <w:t>15,271.94</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37"/>
              <w:ind w:left="28" w:right="-28"/>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哈尔滨物流中心建设项目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18,308.37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18,308.37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18,308.37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包头物流中心建设项目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14,061.47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14,061.47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218.75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z w:val="18"/>
              </w:rPr>
              <w:t>14,061.47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1"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济南物流中心建设项目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14,851.98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14,851.98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14,851.98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49"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青岛物流中心建设项目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17,821.19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17,821.19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17,821.19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盐城物流中心建设项目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13,860.59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13,860.59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323.11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z w:val="18"/>
              </w:rPr>
              <w:t>12,312.17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杭州物流配送中心建设项目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18,405.42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18,405.42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1,794.02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14,894.22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81%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49"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南昌物流中心建设项目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15,319.26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15,319.26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15,319.26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福州物流中心建设项目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17,835.64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17,835.64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517.08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z w:val="18"/>
              </w:rPr>
              <w:t>15,365.61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厦门物流中心建设项目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14,584.46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14,584.46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83.61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14,574.89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49"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武汉物流中心建设项目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29,601.50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29,601.50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w w:val="95"/>
                <w:sz w:val="18"/>
              </w:rPr>
              <w:t>1,117.86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23,559.91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80%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广州物流中心建设项目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41,582.97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41,582.97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3,757.73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z w:val="18"/>
              </w:rPr>
              <w:t>37,896.08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中山物流中心建设项目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15,746.35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15,746.35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15,746.35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49"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贵阳物流中心建设项目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14,850.30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14,850.30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14,850.30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宿迁物流中心建设项目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10,020.78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412"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苏州物流中心建设项目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10,020.78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10,020.78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4,785.84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5,573.81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598"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自动化物流建设项目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22,895.68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2" w:right="0"/>
              <w:jc w:val="left"/>
              <w:rPr>
                <w:rFonts w:ascii="Times New Roman" w:hAnsi="Times New Roman" w:cs="Times New Roman" w:eastAsia="Times New Roman" w:hint="default"/>
                <w:sz w:val="18"/>
                <w:szCs w:val="18"/>
              </w:rPr>
            </w:pPr>
            <w:r>
              <w:rPr>
                <w:rFonts w:ascii="Times New Roman"/>
                <w:sz w:val="18"/>
              </w:rPr>
              <w:t>1,367.24</w:t>
            </w:r>
          </w:p>
          <w:p>
            <w:pPr>
              <w:pStyle w:val="TableParagraph"/>
              <w:spacing w:line="240" w:lineRule="auto" w:before="13"/>
              <w:ind w:left="3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1,303.30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1,367.24</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37"/>
              <w:ind w:left="28" w:right="-28"/>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6"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信息系统平台建设项目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22,209.00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22,209.00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3,481.24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20,253.31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37"/>
              <w:ind w:left="28" w:right="-28"/>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7"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补充流动资金项目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55,000.00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38"/>
              <w:ind w:left="28" w:right="-28"/>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2"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z w:val="18"/>
              </w:rPr>
              <w:t>524,858.50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z w:val="18"/>
              </w:rPr>
              <w:t>463,309.28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z w:val="18"/>
              </w:rPr>
              <w:t>22,057.57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
              <w:jc w:val="right"/>
              <w:rPr>
                <w:rFonts w:ascii="Times New Roman" w:hAnsi="Times New Roman" w:cs="Times New Roman" w:eastAsia="Times New Roman" w:hint="default"/>
                <w:sz w:val="18"/>
                <w:szCs w:val="18"/>
              </w:rPr>
            </w:pPr>
            <w:r>
              <w:rPr>
                <w:rFonts w:ascii="Times New Roman"/>
                <w:sz w:val="18"/>
              </w:rPr>
              <w:t>436,239.66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z w:val="18"/>
              </w:rPr>
              <w:t>94%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
              <w:jc w:val="right"/>
              <w:rPr>
                <w:rFonts w:ascii="Times New Roman" w:hAnsi="Times New Roman" w:cs="Times New Roman" w:eastAsia="Times New Roman" w:hint="default"/>
                <w:sz w:val="18"/>
                <w:szCs w:val="18"/>
              </w:rPr>
            </w:pPr>
            <w:r>
              <w:rPr>
                <w:rFonts w:ascii="Times New Roman"/>
                <w:w w:val="95"/>
                <w:sz w:val="18"/>
              </w:rPr>
              <w:t>-3,192.22</w:t>
            </w:r>
            <w:r>
              <w:rPr>
                <w:rFonts w:ascii="Times New Roman"/>
                <w:sz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337"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0" w:right="602" w:firstLine="0"/>
        <w:jc w:val="right"/>
        <w:rPr>
          <w:rFonts w:ascii="宋体" w:hAnsi="宋体" w:cs="宋体" w:eastAsia="宋体" w:hint="default"/>
          <w:sz w:val="18"/>
          <w:szCs w:val="18"/>
        </w:rPr>
      </w:pPr>
      <w:r>
        <w:rPr/>
        <w:pict>
          <v:shape style="position:absolute;margin-left:33.060001pt;margin-top:-135.368301pt;width:529.5pt;height:484.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8"/>
                    <w:gridCol w:w="520"/>
                    <w:gridCol w:w="1026"/>
                    <w:gridCol w:w="1016"/>
                    <w:gridCol w:w="920"/>
                    <w:gridCol w:w="1021"/>
                    <w:gridCol w:w="723"/>
                    <w:gridCol w:w="926"/>
                    <w:gridCol w:w="797"/>
                    <w:gridCol w:w="673"/>
                    <w:gridCol w:w="715"/>
                  </w:tblGrid>
                  <w:tr>
                    <w:trPr>
                      <w:trHeight w:val="350"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9"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524,858.50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463,309.28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22,057.57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436,239.66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94%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5"/>
                            <w:sz w:val="18"/>
                          </w:rPr>
                          <w:t>-3,192.22</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0"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z w:val="18"/>
                            <w:szCs w:val="18"/>
                          </w:rPr>
                          <w:t>未达到计划进度或预计收益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的情况和原因（分具体项目）</w:t>
                        </w:r>
                        <w:r>
                          <w:rPr>
                            <w:rFonts w:ascii="宋体" w:hAnsi="宋体" w:cs="宋体" w:eastAsia="宋体" w:hint="default"/>
                            <w:sz w:val="18"/>
                            <w:szCs w:val="18"/>
                          </w:rPr>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家连锁店发展项目，截至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年末已开设</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家店面，公司加快选址，有序推进店面开发。截至 报告披露日，</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家连锁店发展项目募集资金已经全部使用完毕。 </w:t>
                        </w:r>
                        <w:r>
                          <w:rPr>
                            <w:rFonts w:ascii="Times New Roman" w:hAnsi="Times New Roman" w:cs="Times New Roman" w:eastAsia="Times New Roman" w:hint="default"/>
                            <w:sz w:val="18"/>
                            <w:szCs w:val="18"/>
                          </w:rPr>
                          <w:t>2</w:t>
                        </w:r>
                        <w:r>
                          <w:rPr>
                            <w:rFonts w:ascii="宋体" w:hAnsi="宋体" w:cs="宋体" w:eastAsia="宋体" w:hint="default"/>
                            <w:sz w:val="18"/>
                            <w:szCs w:val="18"/>
                          </w:rPr>
                          <w:t>、重庆长寿寿星广场店实际投入募集资金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10,256.72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万元，项目节余募集资金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282.18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32" w:lineRule="exact" w:before="45"/>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、物流中心项目已全部交付使用。由于公司加强物流基地的建设成本管控，部分物流基地项目投入出现结</w:t>
                        </w:r>
                        <w:r>
                          <w:rPr>
                            <w:rFonts w:ascii="宋体" w:hAnsi="宋体" w:cs="宋体" w:eastAsia="宋体" w:hint="default"/>
                            <w:sz w:val="18"/>
                            <w:szCs w:val="18"/>
                          </w:rPr>
                          <w:t> 余，此外部分项目剩余工程尾款及质保金待支付。</w:t>
                        </w:r>
                      </w:p>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信息系统平台建设项目剩余未投入募集资金均已确定使用计划</w:t>
                        </w:r>
                        <w:r>
                          <w:rPr>
                            <w:rFonts w:ascii="宋体" w:hAnsi="宋体" w:cs="宋体" w:eastAsia="宋体" w:hint="default"/>
                            <w:spacing w:val="-90"/>
                            <w:sz w:val="18"/>
                            <w:szCs w:val="18"/>
                          </w:rPr>
                          <w:t>，</w:t>
                        </w:r>
                        <w:r>
                          <w:rPr>
                            <w:rFonts w:ascii="宋体" w:hAnsi="宋体" w:cs="宋体" w:eastAsia="宋体" w:hint="default"/>
                            <w:sz w:val="18"/>
                            <w:szCs w:val="18"/>
                          </w:rPr>
                          <w:t>合同条款约定付款条件达成后即可使用</w:t>
                        </w:r>
                      </w:p>
                    </w:tc>
                  </w:tr>
                  <w:tr>
                    <w:trPr>
                      <w:trHeight w:val="566"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2" w:right="23"/>
                          <w:jc w:val="left"/>
                          <w:rPr>
                            <w:rFonts w:ascii="宋体" w:hAnsi="宋体" w:cs="宋体" w:eastAsia="宋体" w:hint="default"/>
                            <w:sz w:val="18"/>
                            <w:szCs w:val="18"/>
                          </w:rPr>
                        </w:pPr>
                        <w:r>
                          <w:rPr>
                            <w:rFonts w:ascii="宋体" w:hAnsi="宋体" w:cs="宋体" w:eastAsia="宋体" w:hint="default"/>
                            <w:sz w:val="18"/>
                            <w:szCs w:val="18"/>
                          </w:rPr>
                          <w:t>项目可行性发生重大变化的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情况说明</w:t>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超募资金的金额、用途及使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用进展情况</w:t>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90"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2" w:right="23"/>
                          <w:jc w:val="left"/>
                          <w:rPr>
                            <w:rFonts w:ascii="宋体" w:hAnsi="宋体" w:cs="宋体" w:eastAsia="宋体" w:hint="default"/>
                            <w:sz w:val="18"/>
                            <w:szCs w:val="18"/>
                          </w:rPr>
                        </w:pPr>
                        <w:r>
                          <w:rPr>
                            <w:rFonts w:ascii="宋体" w:hAnsi="宋体" w:cs="宋体" w:eastAsia="宋体" w:hint="default"/>
                            <w:sz w:val="18"/>
                            <w:szCs w:val="18"/>
                          </w:rPr>
                          <w:t>募集资金投资项目实施地点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变更情况</w:t>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3"/>
                          <w:jc w:val="left"/>
                          <w:rPr>
                            <w:rFonts w:ascii="宋体" w:hAnsi="宋体" w:cs="宋体" w:eastAsia="宋体" w:hint="default"/>
                            <w:sz w:val="18"/>
                            <w:szCs w:val="18"/>
                          </w:rPr>
                        </w:pPr>
                        <w:r>
                          <w:rPr>
                            <w:rFonts w:ascii="宋体" w:hAnsi="宋体" w:cs="宋体" w:eastAsia="宋体" w:hint="default"/>
                            <w:spacing w:val="-2"/>
                            <w:sz w:val="18"/>
                            <w:szCs w:val="18"/>
                          </w:rPr>
                          <w:t>公司第五届董事会第二十六次会议审议通过了《关于连锁店发展项目中部分连锁店实施地点变更的议案》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家连锁店发展项目中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家连锁店的实施地点进行变更。前述连锁店实施地点变更后，原投资方案不 变，不会对项目的实施进度和盈利水平产生不利影响。</w:t>
                        </w:r>
                      </w:p>
                    </w:tc>
                  </w:tr>
                  <w:tr>
                    <w:trPr>
                      <w:trHeight w:val="1258"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23"/>
                          <w:jc w:val="left"/>
                          <w:rPr>
                            <w:rFonts w:ascii="宋体" w:hAnsi="宋体" w:cs="宋体" w:eastAsia="宋体" w:hint="default"/>
                            <w:sz w:val="18"/>
                            <w:szCs w:val="18"/>
                          </w:rPr>
                        </w:pPr>
                        <w:r>
                          <w:rPr>
                            <w:rFonts w:ascii="宋体" w:hAnsi="宋体" w:cs="宋体" w:eastAsia="宋体" w:hint="default"/>
                            <w:sz w:val="18"/>
                            <w:szCs w:val="18"/>
                          </w:rPr>
                          <w:t>募集资金投资项目实施方式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调整情况</w:t>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2" w:right="22"/>
                          <w:jc w:val="both"/>
                          <w:rPr>
                            <w:rFonts w:ascii="宋体" w:hAnsi="宋体" w:cs="宋体" w:eastAsia="宋体" w:hint="default"/>
                            <w:sz w:val="18"/>
                            <w:szCs w:val="18"/>
                          </w:rPr>
                        </w:pPr>
                        <w:r>
                          <w:rPr>
                            <w:rFonts w:ascii="宋体" w:hAnsi="宋体" w:cs="宋体" w:eastAsia="宋体" w:hint="default"/>
                            <w:sz w:val="18"/>
                            <w:szCs w:val="18"/>
                          </w:rPr>
                          <w:t>因宿迁物流基地所在地块规划发生改变，建设进度受到影响，为加快募集资金使用，充分发挥效益，在考 </w:t>
                        </w:r>
                        <w:r>
                          <w:rPr>
                            <w:rFonts w:ascii="宋体" w:hAnsi="宋体" w:cs="宋体" w:eastAsia="宋体" w:hint="default"/>
                            <w:spacing w:val="-2"/>
                            <w:sz w:val="18"/>
                            <w:szCs w:val="18"/>
                          </w:rPr>
                          <w:t>虑公司业务需求后，经公司第五届董事会第十次会议审议、</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pacing w:val="-1"/>
                            <w:sz w:val="18"/>
                            <w:szCs w:val="18"/>
                          </w:rPr>
                          <w:t>年第二次临时股东大会决议通过《关于变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更部分募集资金投资项目的议案》，同意将宿迁物流配送中心建设项目实施项目变更，其项目全部募集资金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10,020.78  </w:t>
                        </w:r>
                        <w:r>
                          <w:rPr>
                            <w:rFonts w:ascii="宋体" w:hAnsi="宋体" w:cs="宋体" w:eastAsia="宋体" w:hint="default"/>
                            <w:spacing w:val="4"/>
                            <w:sz w:val="18"/>
                            <w:szCs w:val="18"/>
                          </w:rPr>
                          <w:t>万元用于投入建设公司苏州物流配送中心项目。本次项目变更具体内容详见公司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2014-045</w:t>
                        </w:r>
                        <w:r>
                          <w:rPr>
                            <w:rFonts w:ascii="宋体" w:hAnsi="宋体" w:cs="宋体" w:eastAsia="宋体" w:hint="default"/>
                            <w:sz w:val="18"/>
                            <w:szCs w:val="18"/>
                          </w:rPr>
                          <w:t>、</w:t>
                        </w:r>
                      </w:p>
                      <w:p>
                        <w:pPr>
                          <w:pStyle w:val="TableParagraph"/>
                          <w:spacing w:line="235"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2014-054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574"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募集资金投资项目先期投入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及置换情况</w:t>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23"/>
                          <w:jc w:val="left"/>
                          <w:rPr>
                            <w:rFonts w:ascii="宋体" w:hAnsi="宋体" w:cs="宋体" w:eastAsia="宋体" w:hint="default"/>
                            <w:sz w:val="18"/>
                            <w:szCs w:val="18"/>
                          </w:rPr>
                        </w:pPr>
                        <w:r>
                          <w:rPr>
                            <w:rFonts w:ascii="宋体" w:hAnsi="宋体" w:cs="宋体" w:eastAsia="宋体" w:hint="default"/>
                            <w:sz w:val="18"/>
                            <w:szCs w:val="18"/>
                          </w:rPr>
                          <w:t>用闲置募集资金暂时补充流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动资金情况</w:t>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23"/>
                          <w:jc w:val="left"/>
                          <w:rPr>
                            <w:rFonts w:ascii="宋体" w:hAnsi="宋体" w:cs="宋体" w:eastAsia="宋体" w:hint="default"/>
                            <w:sz w:val="18"/>
                            <w:szCs w:val="18"/>
                          </w:rPr>
                        </w:pPr>
                        <w:r>
                          <w:rPr>
                            <w:rFonts w:ascii="宋体" w:hAnsi="宋体" w:cs="宋体" w:eastAsia="宋体" w:hint="default"/>
                            <w:sz w:val="18"/>
                            <w:szCs w:val="18"/>
                          </w:rPr>
                          <w:t>项目实施出现募集资金结余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的金额及原因</w:t>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8"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23"/>
                          <w:jc w:val="left"/>
                          <w:rPr>
                            <w:rFonts w:ascii="宋体" w:hAnsi="宋体" w:cs="宋体" w:eastAsia="宋体" w:hint="default"/>
                            <w:sz w:val="18"/>
                            <w:szCs w:val="18"/>
                          </w:rPr>
                        </w:pPr>
                        <w:r>
                          <w:rPr>
                            <w:rFonts w:ascii="宋体" w:hAnsi="宋体" w:cs="宋体" w:eastAsia="宋体" w:hint="default"/>
                            <w:sz w:val="18"/>
                            <w:szCs w:val="18"/>
                          </w:rPr>
                          <w:t>尚未使用的募集资金用途及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去向</w:t>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2"/>
                          <w:jc w:val="both"/>
                          <w:rPr>
                            <w:rFonts w:ascii="宋体" w:hAnsi="宋体" w:cs="宋体" w:eastAsia="宋体" w:hint="default"/>
                            <w:sz w:val="18"/>
                            <w:szCs w:val="18"/>
                          </w:rPr>
                        </w:pPr>
                        <w:r>
                          <w:rPr>
                            <w:rFonts w:ascii="宋体" w:hAnsi="宋体" w:cs="宋体" w:eastAsia="宋体" w:hint="default"/>
                            <w:sz w:val="18"/>
                            <w:szCs w:val="18"/>
                          </w:rPr>
                          <w:t>报告期末，公司尚未使用的募集资金将主要用于连锁店发展项目、物流平台建设项目、信息系统平台升级 项目。公司将尚未使用的募集资金存放于公司专户中，其中为提高资金使用效率，将暂时闲置的募集资金 </w:t>
                        </w:r>
                        <w:r>
                          <w:rPr>
                            <w:rFonts w:ascii="Times New Roman" w:hAnsi="Times New Roman" w:cs="Times New Roman" w:eastAsia="Times New Roman" w:hint="default"/>
                            <w:sz w:val="18"/>
                            <w:szCs w:val="18"/>
                          </w:rPr>
                          <w:t>808.86 </w:t>
                        </w:r>
                        <w:r>
                          <w:rPr>
                            <w:rFonts w:ascii="宋体" w:hAnsi="宋体" w:cs="宋体" w:eastAsia="宋体" w:hint="default"/>
                            <w:sz w:val="18"/>
                            <w:szCs w:val="18"/>
                          </w:rPr>
                          <w:t>万元以定期存单的方式存放，</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万元以通知存款方式存放，</w:t>
                        </w:r>
                        <w:r>
                          <w:rPr>
                            <w:rFonts w:ascii="Times New Roman" w:hAnsi="Times New Roman" w:cs="Times New Roman" w:eastAsia="Times New Roman" w:hint="default"/>
                            <w:sz w:val="18"/>
                            <w:szCs w:val="18"/>
                          </w:rPr>
                          <w:t>19,502.03</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万元认购商业银行保本型 银行理财产品，剩余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万元以活期存款方式存放，不存在存单抵押、质押及其他所有权、使用权受 到限制的情况。</w:t>
                        </w:r>
                      </w:p>
                    </w:tc>
                  </w:tr>
                  <w:tr>
                    <w:trPr>
                      <w:trHeight w:val="557" w:hRule="exact"/>
                    </w:trPr>
                    <w:tc>
                      <w:tcPr>
                        <w:tcW w:w="2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募集资金使用及披露中存在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的问题或其他情况</w:t>
                        </w:r>
                      </w:p>
                    </w:tc>
                    <w:tc>
                      <w:tcPr>
                        <w:tcW w:w="83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44"/>
        <w:ind w:left="0" w:right="6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line="422" w:lineRule="auto" w:before="38"/>
        <w:ind w:left="573" w:right="0" w:firstLine="399"/>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：由于实际募集资金净额少于</w:t>
      </w:r>
      <w:r>
        <w:rPr>
          <w:rFonts w:ascii="宋体" w:hAnsi="宋体" w:cs="宋体" w:eastAsia="宋体" w:hint="default"/>
          <w:spacing w:val="-53"/>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年非公开发行股票方案中计划使用募集资金金额，根据公司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w w:val="100"/>
          <w:sz w:val="20"/>
          <w:szCs w:val="20"/>
        </w:rPr>
        <w:t> </w:t>
      </w:r>
      <w:r>
        <w:rPr>
          <w:rFonts w:ascii="宋体" w:hAnsi="宋体" w:cs="宋体" w:eastAsia="宋体" w:hint="default"/>
          <w:spacing w:val="-1"/>
          <w:sz w:val="20"/>
          <w:szCs w:val="20"/>
        </w:rPr>
        <w:t>年第一次临时股东大会决议，若本次发行实际募集资金净额少于上述项目拟投入募集资金总额，公司将根据实</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际募集资金净额，按照项目的轻重缓急等情况，调整并最终决定募集资金的具体投资项目、优先顺序及各项目</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的具体投资金额，募集资金不足部分由公司以自有资金解决，故对租赁店发展项目、自动化物流建设项目的募</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集资金投资总额进行了调整。</w:t>
      </w:r>
    </w:p>
    <w:p>
      <w:pPr>
        <w:spacing w:line="405" w:lineRule="auto" w:before="54"/>
        <w:ind w:left="573" w:right="1169" w:firstLine="399"/>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300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家连锁店项目尚未全部实施完毕，且连锁店在</w:t>
      </w:r>
      <w:r>
        <w:rPr>
          <w:rFonts w:ascii="宋体" w:hAnsi="宋体" w:cs="宋体" w:eastAsia="宋体" w:hint="default"/>
          <w:spacing w:val="-53"/>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年及以后开设，部分店面经营没有达到非公</w:t>
      </w:r>
      <w:r>
        <w:rPr>
          <w:rFonts w:ascii="宋体" w:hAnsi="宋体" w:cs="宋体" w:eastAsia="宋体" w:hint="default"/>
          <w:w w:val="100"/>
          <w:sz w:val="20"/>
          <w:szCs w:val="20"/>
        </w:rPr>
        <w:t> </w:t>
      </w:r>
      <w:r>
        <w:rPr>
          <w:rFonts w:ascii="宋体" w:hAnsi="宋体" w:cs="宋体" w:eastAsia="宋体" w:hint="default"/>
          <w:spacing w:val="-1"/>
          <w:sz w:val="20"/>
          <w:szCs w:val="20"/>
        </w:rPr>
        <w:t>开发行上市公告书判定年限</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正常年</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开业后第三年</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。随着项目实施的推进，已开设连锁店进入成熟稳定期，经</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营效益逐步提高，该项目效益情况将会进一步体现。</w:t>
      </w:r>
    </w:p>
    <w:p>
      <w:pPr>
        <w:spacing w:before="68"/>
        <w:ind w:left="973" w:right="0" w:firstLine="0"/>
        <w:jc w:val="left"/>
        <w:rPr>
          <w:rFonts w:ascii="宋体" w:hAnsi="宋体" w:cs="宋体" w:eastAsia="宋体" w:hint="default"/>
          <w:sz w:val="20"/>
          <w:szCs w:val="20"/>
        </w:rPr>
      </w:pPr>
      <w:r>
        <w:rPr>
          <w:rFonts w:ascii="宋体" w:hAnsi="宋体" w:cs="宋体" w:eastAsia="宋体" w:hint="default"/>
          <w:sz w:val="20"/>
          <w:szCs w:val="20"/>
        </w:rPr>
        <w:t>根据</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300</w:t>
      </w:r>
      <w:r>
        <w:rPr>
          <w:rFonts w:ascii="Times New Roman" w:hAnsi="Times New Roman" w:cs="Times New Roman" w:eastAsia="Times New Roman" w:hint="default"/>
          <w:spacing w:val="2"/>
          <w:sz w:val="20"/>
          <w:szCs w:val="20"/>
        </w:rPr>
        <w:t> </w:t>
      </w:r>
      <w:r>
        <w:rPr>
          <w:rFonts w:ascii="宋体" w:hAnsi="宋体" w:cs="宋体" w:eastAsia="宋体" w:hint="default"/>
          <w:spacing w:val="-3"/>
          <w:sz w:val="20"/>
          <w:szCs w:val="20"/>
        </w:rPr>
        <w:t>家连锁店发展项目开业时间统计，共有</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150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家连锁店在报告期内达到上市公告书判定年限</w:t>
      </w:r>
      <w:r>
        <w:rPr>
          <w:rFonts w:ascii="Times New Roman" w:hAnsi="Times New Roman" w:cs="Times New Roman" w:eastAsia="Times New Roman" w:hint="default"/>
          <w:sz w:val="20"/>
          <w:szCs w:val="20"/>
        </w:rPr>
        <w:t>-</w:t>
      </w:r>
      <w:r>
        <w:rPr>
          <w:rFonts w:ascii="宋体" w:hAnsi="宋体" w:cs="宋体" w:eastAsia="宋体" w:hint="default"/>
          <w:sz w:val="20"/>
          <w:szCs w:val="20"/>
        </w:rPr>
        <w:t>正常年</w:t>
      </w:r>
    </w:p>
    <w:p>
      <w:pPr>
        <w:spacing w:after="0"/>
        <w:jc w:val="left"/>
        <w:rPr>
          <w:rFonts w:ascii="宋体" w:hAnsi="宋体" w:cs="宋体" w:eastAsia="宋体" w:hint="default"/>
          <w:sz w:val="20"/>
          <w:szCs w:val="20"/>
        </w:rPr>
        <w:sectPr>
          <w:pgSz w:w="11910" w:h="16840"/>
          <w:pgMar w:header="747" w:footer="979" w:top="1060" w:bottom="1160" w:left="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153" w:right="0" w:firstLine="0"/>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开业后第三年</w:t>
      </w:r>
      <w:r>
        <w:rPr>
          <w:rFonts w:ascii="Times New Roman" w:hAnsi="Times New Roman" w:cs="Times New Roman" w:eastAsia="Times New Roman" w:hint="default"/>
          <w:sz w:val="20"/>
          <w:szCs w:val="20"/>
        </w:rPr>
        <w:t>)</w:t>
      </w:r>
      <w:r>
        <w:rPr>
          <w:rFonts w:ascii="宋体" w:hAnsi="宋体" w:cs="宋体" w:eastAsia="宋体" w:hint="default"/>
          <w:sz w:val="20"/>
          <w:szCs w:val="20"/>
        </w:rPr>
        <w:t>，其中调整关闭</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51 </w:t>
      </w:r>
      <w:r>
        <w:rPr>
          <w:rFonts w:ascii="宋体" w:hAnsi="宋体" w:cs="宋体" w:eastAsia="宋体" w:hint="default"/>
          <w:sz w:val="20"/>
          <w:szCs w:val="20"/>
        </w:rPr>
        <w:t>家，因此截至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日，实际有</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99 </w:t>
      </w:r>
      <w:r>
        <w:rPr>
          <w:rFonts w:ascii="宋体" w:hAnsi="宋体" w:cs="宋体" w:eastAsia="宋体" w:hint="default"/>
          <w:sz w:val="20"/>
          <w:szCs w:val="20"/>
        </w:rPr>
        <w:t>家连锁店达到上市公告书判定</w:t>
      </w:r>
    </w:p>
    <w:p>
      <w:pPr>
        <w:spacing w:line="240" w:lineRule="auto" w:before="8"/>
        <w:rPr>
          <w:rFonts w:ascii="宋体" w:hAnsi="宋体" w:cs="宋体" w:eastAsia="宋体" w:hint="default"/>
          <w:sz w:val="14"/>
          <w:szCs w:val="14"/>
        </w:rPr>
      </w:pPr>
    </w:p>
    <w:p>
      <w:pPr>
        <w:spacing w:line="405" w:lineRule="auto" w:before="0"/>
        <w:ind w:left="153" w:right="1131" w:firstLine="0"/>
        <w:jc w:val="both"/>
        <w:rPr>
          <w:rFonts w:ascii="宋体" w:hAnsi="宋体" w:cs="宋体" w:eastAsia="宋体" w:hint="default"/>
          <w:sz w:val="20"/>
          <w:szCs w:val="20"/>
        </w:rPr>
      </w:pPr>
      <w:r>
        <w:rPr>
          <w:rFonts w:ascii="宋体" w:hAnsi="宋体" w:cs="宋体" w:eastAsia="宋体" w:hint="default"/>
          <w:spacing w:val="-1"/>
          <w:w w:val="100"/>
          <w:sz w:val="20"/>
          <w:szCs w:val="20"/>
        </w:rPr>
        <w:t>年限</w:t>
      </w:r>
      <w:r>
        <w:rPr>
          <w:rFonts w:ascii="Times New Roman" w:hAnsi="Times New Roman" w:cs="Times New Roman" w:eastAsia="Times New Roman" w:hint="default"/>
          <w:spacing w:val="-1"/>
          <w:w w:val="100"/>
          <w:sz w:val="20"/>
          <w:szCs w:val="20"/>
        </w:rPr>
        <w:t>-</w:t>
      </w:r>
      <w:r>
        <w:rPr>
          <w:rFonts w:ascii="宋体" w:hAnsi="宋体" w:cs="宋体" w:eastAsia="宋体" w:hint="default"/>
          <w:spacing w:val="-1"/>
          <w:w w:val="100"/>
          <w:sz w:val="20"/>
          <w:szCs w:val="20"/>
        </w:rPr>
        <w:t>正常年</w:t>
      </w:r>
      <w:r>
        <w:rPr>
          <w:rFonts w:ascii="Times New Roman" w:hAnsi="Times New Roman" w:cs="Times New Roman" w:eastAsia="Times New Roman" w:hint="default"/>
          <w:spacing w:val="-1"/>
          <w:w w:val="100"/>
          <w:sz w:val="20"/>
          <w:szCs w:val="20"/>
        </w:rPr>
        <w:t>(</w:t>
      </w:r>
      <w:r>
        <w:rPr>
          <w:rFonts w:ascii="宋体" w:hAnsi="宋体" w:cs="宋体" w:eastAsia="宋体" w:hint="default"/>
          <w:spacing w:val="-1"/>
          <w:w w:val="100"/>
          <w:sz w:val="20"/>
          <w:szCs w:val="20"/>
        </w:rPr>
        <w:t>开业后第三年</w:t>
      </w:r>
      <w:r>
        <w:rPr>
          <w:rFonts w:ascii="Times New Roman" w:hAnsi="Times New Roman" w:cs="Times New Roman" w:eastAsia="Times New Roman" w:hint="default"/>
          <w:spacing w:val="-1"/>
          <w:w w:val="100"/>
          <w:sz w:val="20"/>
          <w:szCs w:val="20"/>
        </w:rPr>
        <w:t>)</w:t>
      </w:r>
      <w:r>
        <w:rPr>
          <w:rFonts w:ascii="宋体" w:hAnsi="宋体" w:cs="宋体" w:eastAsia="宋体" w:hint="default"/>
          <w:spacing w:val="-1"/>
          <w:w w:val="100"/>
          <w:sz w:val="20"/>
          <w:szCs w:val="20"/>
        </w:rPr>
        <w:t>。该</w:t>
      </w:r>
      <w:r>
        <w:rPr>
          <w:rFonts w:ascii="宋体" w:hAnsi="宋体" w:cs="宋体" w:eastAsia="宋体" w:hint="default"/>
          <w:spacing w:val="-47"/>
          <w:w w:val="100"/>
          <w:sz w:val="20"/>
          <w:szCs w:val="20"/>
        </w:rPr>
        <w:t> </w:t>
      </w:r>
      <w:r>
        <w:rPr>
          <w:rFonts w:ascii="Times New Roman" w:hAnsi="Times New Roman" w:cs="Times New Roman" w:eastAsia="Times New Roman" w:hint="default"/>
          <w:spacing w:val="-1"/>
          <w:w w:val="100"/>
          <w:sz w:val="20"/>
          <w:szCs w:val="20"/>
        </w:rPr>
        <w:t>99</w:t>
      </w:r>
      <w:r>
        <w:rPr>
          <w:rFonts w:ascii="Times New Roman" w:hAnsi="Times New Roman" w:cs="Times New Roman" w:eastAsia="Times New Roman" w:hint="default"/>
          <w:spacing w:val="2"/>
          <w:w w:val="100"/>
          <w:sz w:val="20"/>
          <w:szCs w:val="20"/>
        </w:rPr>
        <w:t> </w:t>
      </w:r>
      <w:r>
        <w:rPr>
          <w:rFonts w:ascii="宋体" w:hAnsi="宋体" w:cs="宋体" w:eastAsia="宋体" w:hint="default"/>
          <w:spacing w:val="-1"/>
          <w:w w:val="100"/>
          <w:sz w:val="20"/>
          <w:szCs w:val="20"/>
        </w:rPr>
        <w:t>家连锁店预计在报告期内实现销售收入</w:t>
      </w:r>
      <w:r>
        <w:rPr>
          <w:rFonts w:ascii="宋体" w:hAnsi="宋体" w:cs="宋体" w:eastAsia="宋体" w:hint="default"/>
          <w:spacing w:val="-48"/>
          <w:w w:val="100"/>
          <w:sz w:val="20"/>
          <w:szCs w:val="20"/>
        </w:rPr>
        <w:t> </w:t>
      </w:r>
      <w:r>
        <w:rPr>
          <w:rFonts w:ascii="Times New Roman" w:hAnsi="Times New Roman" w:cs="Times New Roman" w:eastAsia="Times New Roman" w:hint="default"/>
          <w:spacing w:val="-1"/>
          <w:w w:val="100"/>
          <w:sz w:val="20"/>
          <w:szCs w:val="20"/>
        </w:rPr>
        <w:t>602,800</w:t>
      </w:r>
      <w:r>
        <w:rPr>
          <w:rFonts w:ascii="Times New Roman" w:hAnsi="Times New Roman" w:cs="Times New Roman" w:eastAsia="Times New Roman" w:hint="default"/>
          <w:spacing w:val="3"/>
          <w:w w:val="100"/>
          <w:sz w:val="20"/>
          <w:szCs w:val="20"/>
        </w:rPr>
        <w:t> </w:t>
      </w:r>
      <w:r>
        <w:rPr>
          <w:rFonts w:ascii="宋体" w:hAnsi="宋体" w:cs="宋体" w:eastAsia="宋体" w:hint="default"/>
          <w:spacing w:val="-10"/>
          <w:w w:val="100"/>
          <w:sz w:val="20"/>
          <w:szCs w:val="20"/>
        </w:rPr>
        <w:t>万元（含税），</w:t>
      </w:r>
      <w:r>
        <w:rPr>
          <w:rFonts w:ascii="Times New Roman" w:hAnsi="Times New Roman" w:cs="Times New Roman" w:eastAsia="Times New Roman" w:hint="default"/>
          <w:spacing w:val="-10"/>
          <w:w w:val="100"/>
          <w:sz w:val="20"/>
          <w:szCs w:val="20"/>
        </w:rPr>
        <w:t>2015</w:t>
      </w:r>
      <w:r>
        <w:rPr>
          <w:rFonts w:ascii="Times New Roman" w:hAnsi="Times New Roman" w:cs="Times New Roman" w:eastAsia="Times New Roman" w:hint="default"/>
          <w:spacing w:val="2"/>
          <w:w w:val="100"/>
          <w:sz w:val="20"/>
          <w:szCs w:val="20"/>
        </w:rPr>
        <w:t> </w:t>
      </w:r>
      <w:r>
        <w:rPr>
          <w:rFonts w:ascii="宋体" w:hAnsi="宋体" w:cs="宋体" w:eastAsia="宋体" w:hint="default"/>
          <w:w w:val="100"/>
          <w:sz w:val="20"/>
          <w:szCs w:val="20"/>
        </w:rPr>
        <w:t>年</w:t>
      </w:r>
      <w:r>
        <w:rPr>
          <w:rFonts w:ascii="宋体" w:hAnsi="宋体" w:cs="宋体" w:eastAsia="宋体" w:hint="default"/>
          <w:spacing w:val="-47"/>
          <w:w w:val="100"/>
          <w:sz w:val="20"/>
          <w:szCs w:val="20"/>
        </w:rPr>
        <w:t> </w:t>
      </w:r>
      <w:r>
        <w:rPr>
          <w:rFonts w:ascii="Times New Roman" w:hAnsi="Times New Roman" w:cs="Times New Roman" w:eastAsia="Times New Roman" w:hint="default"/>
          <w:spacing w:val="-1"/>
          <w:w w:val="100"/>
          <w:sz w:val="20"/>
          <w:szCs w:val="20"/>
        </w:rPr>
        <w:t>1-12</w:t>
      </w:r>
      <w:r>
        <w:rPr>
          <w:rFonts w:ascii="Times New Roman" w:hAnsi="Times New Roman" w:cs="Times New Roman" w:eastAsia="Times New Roman" w:hint="default"/>
          <w:spacing w:val="-47"/>
          <w:w w:val="100"/>
          <w:sz w:val="20"/>
          <w:szCs w:val="20"/>
        </w:rPr>
        <w:t> </w:t>
      </w:r>
      <w:r>
        <w:rPr>
          <w:rFonts w:ascii="Times New Roman" w:hAnsi="Times New Roman" w:cs="Times New Roman" w:eastAsia="Times New Roman" w:hint="default"/>
          <w:spacing w:val="-47"/>
          <w:w w:val="100"/>
          <w:sz w:val="20"/>
          <w:szCs w:val="20"/>
        </w:rPr>
      </w:r>
      <w:r>
        <w:rPr>
          <w:rFonts w:ascii="宋体" w:hAnsi="宋体" w:cs="宋体" w:eastAsia="宋体" w:hint="default"/>
          <w:sz w:val="20"/>
          <w:szCs w:val="20"/>
        </w:rPr>
        <w:t>月实际实现销售收入</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382,777.44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宋体" w:hAnsi="宋体" w:cs="宋体" w:eastAsia="宋体" w:hint="default"/>
          <w:sz w:val="20"/>
          <w:szCs w:val="20"/>
        </w:rPr>
        <w:t>含税</w:t>
      </w:r>
      <w:r>
        <w:rPr>
          <w:rFonts w:ascii="Times New Roman" w:hAnsi="Times New Roman" w:cs="Times New Roman" w:eastAsia="Times New Roman" w:hint="default"/>
          <w:sz w:val="20"/>
          <w:szCs w:val="20"/>
        </w:rPr>
        <w:t>)</w:t>
      </w:r>
      <w:r>
        <w:rPr>
          <w:rFonts w:ascii="宋体" w:hAnsi="宋体" w:cs="宋体" w:eastAsia="宋体" w:hint="default"/>
          <w:sz w:val="20"/>
          <w:szCs w:val="20"/>
        </w:rPr>
        <w:t>，完成了预计销售的</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63%</w:t>
      </w:r>
      <w:r>
        <w:rPr>
          <w:rFonts w:ascii="宋体" w:hAnsi="宋体" w:cs="宋体" w:eastAsia="宋体" w:hint="default"/>
          <w:sz w:val="20"/>
          <w:szCs w:val="20"/>
        </w:rPr>
        <w:t>。近几年，公司推进互联网转型升级，实</w:t>
      </w:r>
      <w:r>
        <w:rPr>
          <w:rFonts w:ascii="宋体" w:hAnsi="宋体" w:cs="宋体" w:eastAsia="宋体" w:hint="default"/>
          <w:w w:val="100"/>
          <w:sz w:val="20"/>
          <w:szCs w:val="20"/>
        </w:rPr>
        <w:t> </w:t>
      </w:r>
      <w:r>
        <w:rPr>
          <w:rFonts w:ascii="宋体" w:hAnsi="宋体" w:cs="宋体" w:eastAsia="宋体" w:hint="default"/>
          <w:spacing w:val="-2"/>
          <w:sz w:val="20"/>
          <w:szCs w:val="20"/>
        </w:rPr>
        <w:t>施线上线下的融合，逐步探索实践线下渠道的互联网运营模式，随着公司</w:t>
      </w:r>
      <w:r>
        <w:rPr>
          <w:rFonts w:ascii="宋体" w:hAnsi="宋体" w:cs="宋体" w:eastAsia="宋体" w:hint="default"/>
          <w:spacing w:val="-38"/>
          <w:sz w:val="20"/>
          <w:szCs w:val="20"/>
        </w:rPr>
        <w:t> </w:t>
      </w:r>
      <w:r>
        <w:rPr>
          <w:rFonts w:ascii="Times New Roman" w:hAnsi="Times New Roman" w:cs="Times New Roman" w:eastAsia="Times New Roman" w:hint="default"/>
          <w:sz w:val="20"/>
          <w:szCs w:val="20"/>
        </w:rPr>
        <w:t>O2O</w:t>
      </w:r>
      <w:r>
        <w:rPr>
          <w:rFonts w:ascii="Times New Roman" w:hAnsi="Times New Roman" w:cs="Times New Roman" w:eastAsia="Times New Roman" w:hint="default"/>
          <w:spacing w:val="11"/>
          <w:sz w:val="20"/>
          <w:szCs w:val="20"/>
        </w:rPr>
        <w:t> </w:t>
      </w:r>
      <w:r>
        <w:rPr>
          <w:rFonts w:ascii="宋体" w:hAnsi="宋体" w:cs="宋体" w:eastAsia="宋体" w:hint="default"/>
          <w:spacing w:val="-2"/>
          <w:sz w:val="20"/>
          <w:szCs w:val="20"/>
        </w:rPr>
        <w:t>持续的推进，店面经营质量将得</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到改善。</w:t>
      </w:r>
    </w:p>
    <w:p>
      <w:pPr>
        <w:spacing w:line="405" w:lineRule="auto" w:before="68"/>
        <w:ind w:left="153" w:right="1131" w:firstLine="399"/>
        <w:jc w:val="both"/>
        <w:rPr>
          <w:rFonts w:ascii="宋体" w:hAnsi="宋体" w:cs="宋体" w:eastAsia="宋体" w:hint="default"/>
          <w:sz w:val="20"/>
          <w:szCs w:val="20"/>
        </w:rPr>
      </w:pPr>
      <w:r>
        <w:rPr>
          <w:rFonts w:ascii="宋体" w:hAnsi="宋体" w:cs="宋体" w:eastAsia="宋体" w:hint="default"/>
          <w:w w:val="100"/>
          <w:sz w:val="20"/>
          <w:szCs w:val="20"/>
        </w:rPr>
        <w:t>注</w:t>
      </w:r>
      <w:r>
        <w:rPr>
          <w:rFonts w:ascii="宋体" w:hAnsi="宋体" w:cs="宋体" w:eastAsia="宋体" w:hint="default"/>
          <w:spacing w:val="-40"/>
          <w:w w:val="100"/>
          <w:sz w:val="20"/>
          <w:szCs w:val="20"/>
        </w:rPr>
        <w:t> </w:t>
      </w:r>
      <w:r>
        <w:rPr>
          <w:rFonts w:ascii="Times New Roman" w:hAnsi="Times New Roman" w:cs="Times New Roman" w:eastAsia="Times New Roman" w:hint="default"/>
          <w:spacing w:val="-6"/>
          <w:w w:val="100"/>
          <w:sz w:val="20"/>
          <w:szCs w:val="20"/>
        </w:rPr>
        <w:t>3</w:t>
      </w:r>
      <w:r>
        <w:rPr>
          <w:rFonts w:ascii="宋体" w:hAnsi="宋体" w:cs="宋体" w:eastAsia="宋体" w:hint="default"/>
          <w:spacing w:val="-6"/>
          <w:w w:val="100"/>
          <w:sz w:val="20"/>
          <w:szCs w:val="20"/>
        </w:rPr>
        <w:t>：重庆长寿寿星广场店购置项目、厦门财富港湾店购置项目预计报告期内分别实现</w:t>
      </w:r>
      <w:r>
        <w:rPr>
          <w:rFonts w:ascii="宋体" w:hAnsi="宋体" w:cs="宋体" w:eastAsia="宋体" w:hint="default"/>
          <w:spacing w:val="-41"/>
          <w:w w:val="100"/>
          <w:sz w:val="20"/>
          <w:szCs w:val="20"/>
        </w:rPr>
        <w:t> </w:t>
      </w:r>
      <w:r>
        <w:rPr>
          <w:rFonts w:ascii="Times New Roman" w:hAnsi="Times New Roman" w:cs="Times New Roman" w:eastAsia="Times New Roman" w:hint="default"/>
          <w:spacing w:val="-1"/>
          <w:w w:val="100"/>
          <w:sz w:val="20"/>
          <w:szCs w:val="20"/>
        </w:rPr>
        <w:t>1.40</w:t>
      </w:r>
      <w:r>
        <w:rPr>
          <w:rFonts w:ascii="Times New Roman" w:hAnsi="Times New Roman" w:cs="Times New Roman" w:eastAsia="Times New Roman" w:hint="default"/>
          <w:spacing w:val="11"/>
          <w:w w:val="100"/>
          <w:sz w:val="20"/>
          <w:szCs w:val="20"/>
        </w:rPr>
        <w:t> </w:t>
      </w:r>
      <w:r>
        <w:rPr>
          <w:rFonts w:ascii="宋体" w:hAnsi="宋体" w:cs="宋体" w:eastAsia="宋体" w:hint="default"/>
          <w:spacing w:val="-8"/>
          <w:w w:val="100"/>
          <w:sz w:val="20"/>
          <w:szCs w:val="20"/>
        </w:rPr>
        <w:t>亿元</w:t>
      </w:r>
      <w:r>
        <w:rPr>
          <w:rFonts w:ascii="Times New Roman" w:hAnsi="Times New Roman" w:cs="Times New Roman" w:eastAsia="Times New Roman" w:hint="default"/>
          <w:spacing w:val="-8"/>
          <w:w w:val="100"/>
          <w:sz w:val="20"/>
          <w:szCs w:val="20"/>
        </w:rPr>
        <w:t>(</w:t>
      </w:r>
      <w:r>
        <w:rPr>
          <w:rFonts w:ascii="宋体" w:hAnsi="宋体" w:cs="宋体" w:eastAsia="宋体" w:hint="default"/>
          <w:spacing w:val="-8"/>
          <w:w w:val="100"/>
          <w:sz w:val="20"/>
          <w:szCs w:val="20"/>
        </w:rPr>
        <w:t>含税</w:t>
      </w:r>
      <w:r>
        <w:rPr>
          <w:rFonts w:ascii="Times New Roman" w:hAnsi="Times New Roman" w:cs="Times New Roman" w:eastAsia="Times New Roman" w:hint="default"/>
          <w:spacing w:val="-8"/>
          <w:w w:val="100"/>
          <w:sz w:val="20"/>
          <w:szCs w:val="20"/>
        </w:rPr>
        <w:t>)</w:t>
      </w:r>
      <w:r>
        <w:rPr>
          <w:rFonts w:ascii="宋体" w:hAnsi="宋体" w:cs="宋体" w:eastAsia="宋体" w:hint="default"/>
          <w:spacing w:val="-8"/>
          <w:w w:val="100"/>
          <w:sz w:val="20"/>
          <w:szCs w:val="20"/>
        </w:rPr>
        <w:t>、</w:t>
      </w:r>
      <w:r>
        <w:rPr>
          <w:rFonts w:ascii="Times New Roman" w:hAnsi="Times New Roman" w:cs="Times New Roman" w:eastAsia="Times New Roman" w:hint="default"/>
          <w:spacing w:val="-8"/>
          <w:w w:val="100"/>
          <w:sz w:val="20"/>
          <w:szCs w:val="20"/>
        </w:rPr>
        <w:t>1.50</w:t>
      </w:r>
      <w:r>
        <w:rPr>
          <w:rFonts w:ascii="Times New Roman" w:hAnsi="Times New Roman" w:cs="Times New Roman" w:eastAsia="Times New Roman" w:hint="default"/>
          <w:w w:val="100"/>
          <w:sz w:val="20"/>
          <w:szCs w:val="20"/>
        </w:rPr>
        <w:t> </w:t>
      </w:r>
      <w:r>
        <w:rPr>
          <w:rFonts w:ascii="宋体" w:hAnsi="宋体" w:cs="宋体" w:eastAsia="宋体" w:hint="default"/>
          <w:spacing w:val="-3"/>
          <w:sz w:val="20"/>
          <w:szCs w:val="20"/>
        </w:rPr>
        <w:t>亿元</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含税</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的销售规模，</w:t>
      </w:r>
      <w:r>
        <w:rPr>
          <w:rFonts w:ascii="Times New Roman" w:hAnsi="Times New Roman" w:cs="Times New Roman" w:eastAsia="Times New Roman" w:hint="default"/>
          <w:spacing w:val="-3"/>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12 </w:t>
      </w:r>
      <w:r>
        <w:rPr>
          <w:rFonts w:ascii="宋体" w:hAnsi="宋体" w:cs="宋体" w:eastAsia="宋体" w:hint="default"/>
          <w:sz w:val="20"/>
          <w:szCs w:val="20"/>
        </w:rPr>
        <w:t>月长寿寿星广场店实际实现销售收入</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11,294.97</w:t>
      </w:r>
      <w:r>
        <w:rPr>
          <w:rFonts w:ascii="Times New Roman" w:hAnsi="Times New Roman" w:cs="Times New Roman" w:eastAsia="Times New Roman" w:hint="default"/>
          <w:spacing w:val="2"/>
          <w:sz w:val="20"/>
          <w:szCs w:val="20"/>
        </w:rPr>
        <w:t> </w:t>
      </w:r>
      <w:r>
        <w:rPr>
          <w:rFonts w:ascii="宋体" w:hAnsi="宋体" w:cs="宋体" w:eastAsia="宋体" w:hint="default"/>
          <w:spacing w:val="-4"/>
          <w:sz w:val="20"/>
          <w:szCs w:val="20"/>
        </w:rPr>
        <w:t>万元</w:t>
      </w:r>
      <w:r>
        <w:rPr>
          <w:rFonts w:ascii="Times New Roman" w:hAnsi="Times New Roman" w:cs="Times New Roman" w:eastAsia="Times New Roman" w:hint="default"/>
          <w:spacing w:val="-4"/>
          <w:sz w:val="20"/>
          <w:szCs w:val="20"/>
        </w:rPr>
        <w:t>(</w:t>
      </w:r>
      <w:r>
        <w:rPr>
          <w:rFonts w:ascii="宋体" w:hAnsi="宋体" w:cs="宋体" w:eastAsia="宋体" w:hint="default"/>
          <w:spacing w:val="-4"/>
          <w:sz w:val="20"/>
          <w:szCs w:val="20"/>
        </w:rPr>
        <w:t>含税</w:t>
      </w:r>
      <w:r>
        <w:rPr>
          <w:rFonts w:ascii="Times New Roman" w:hAnsi="Times New Roman" w:cs="Times New Roman" w:eastAsia="Times New Roman" w:hint="default"/>
          <w:spacing w:val="-4"/>
          <w:sz w:val="20"/>
          <w:szCs w:val="20"/>
        </w:rPr>
        <w:t>)</w:t>
      </w:r>
      <w:r>
        <w:rPr>
          <w:rFonts w:ascii="宋体" w:hAnsi="宋体" w:cs="宋体" w:eastAsia="宋体" w:hint="default"/>
          <w:spacing w:val="-4"/>
          <w:sz w:val="20"/>
          <w:szCs w:val="20"/>
        </w:rPr>
        <w:t>，财富港湾店实</w:t>
      </w:r>
      <w:r>
        <w:rPr>
          <w:rFonts w:ascii="宋体" w:hAnsi="宋体" w:cs="宋体" w:eastAsia="宋体" w:hint="default"/>
          <w:w w:val="100"/>
          <w:sz w:val="20"/>
          <w:szCs w:val="20"/>
        </w:rPr>
        <w:t> </w:t>
      </w:r>
      <w:r>
        <w:rPr>
          <w:rFonts w:ascii="宋体" w:hAnsi="宋体" w:cs="宋体" w:eastAsia="宋体" w:hint="default"/>
          <w:sz w:val="20"/>
          <w:szCs w:val="20"/>
        </w:rPr>
        <w:t>际实现销售收入人民币</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15,238.18</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宋体" w:hAnsi="宋体" w:cs="宋体" w:eastAsia="宋体" w:hint="default"/>
          <w:sz w:val="20"/>
          <w:szCs w:val="20"/>
        </w:rPr>
        <w:t>含税</w:t>
      </w:r>
      <w:r>
        <w:rPr>
          <w:rFonts w:ascii="Times New Roman" w:hAnsi="Times New Roman" w:cs="Times New Roman" w:eastAsia="Times New Roman" w:hint="default"/>
          <w:sz w:val="20"/>
          <w:szCs w:val="20"/>
        </w:rPr>
        <w:t>)</w:t>
      </w:r>
      <w:r>
        <w:rPr>
          <w:rFonts w:ascii="宋体" w:hAnsi="宋体" w:cs="宋体" w:eastAsia="宋体" w:hint="default"/>
          <w:sz w:val="20"/>
          <w:szCs w:val="20"/>
        </w:rPr>
        <w:t>，分别完成了预期销售收入的</w:t>
      </w:r>
      <w:r>
        <w:rPr>
          <w:rFonts w:ascii="宋体" w:hAnsi="宋体" w:cs="宋体" w:eastAsia="宋体" w:hint="default"/>
          <w:spacing w:val="-56"/>
          <w:sz w:val="20"/>
          <w:szCs w:val="20"/>
        </w:rPr>
        <w:t> </w:t>
      </w:r>
      <w:r>
        <w:rPr>
          <w:rFonts w:ascii="Times New Roman" w:hAnsi="Times New Roman" w:cs="Times New Roman" w:eastAsia="Times New Roman" w:hint="default"/>
          <w:spacing w:val="-4"/>
          <w:sz w:val="20"/>
          <w:szCs w:val="20"/>
        </w:rPr>
        <w:t>81%</w:t>
      </w:r>
      <w:r>
        <w:rPr>
          <w:rFonts w:ascii="宋体" w:hAnsi="宋体" w:cs="宋体" w:eastAsia="宋体" w:hint="default"/>
          <w:spacing w:val="-4"/>
          <w:sz w:val="20"/>
          <w:szCs w:val="20"/>
        </w:rPr>
        <w:t>、</w:t>
      </w:r>
      <w:r>
        <w:rPr>
          <w:rFonts w:ascii="Times New Roman" w:hAnsi="Times New Roman" w:cs="Times New Roman" w:eastAsia="Times New Roman" w:hint="default"/>
          <w:spacing w:val="-4"/>
          <w:sz w:val="20"/>
          <w:szCs w:val="20"/>
        </w:rPr>
        <w:t>101%</w:t>
      </w:r>
      <w:r>
        <w:rPr>
          <w:rFonts w:ascii="宋体" w:hAnsi="宋体" w:cs="宋体" w:eastAsia="宋体" w:hint="default"/>
          <w:spacing w:val="-4"/>
          <w:sz w:val="20"/>
          <w:szCs w:val="20"/>
        </w:rPr>
        <w:t>。报告期内，公司通过对</w:t>
      </w:r>
      <w:r>
        <w:rPr>
          <w:rFonts w:ascii="宋体" w:hAnsi="宋体" w:cs="宋体" w:eastAsia="宋体" w:hint="default"/>
          <w:w w:val="100"/>
          <w:sz w:val="20"/>
          <w:szCs w:val="20"/>
        </w:rPr>
        <w:t> </w:t>
      </w:r>
      <w:r>
        <w:rPr>
          <w:rFonts w:ascii="宋体" w:hAnsi="宋体" w:cs="宋体" w:eastAsia="宋体" w:hint="default"/>
          <w:sz w:val="20"/>
          <w:szCs w:val="20"/>
        </w:rPr>
        <w:t>店面进行互联网升级，丰富店面功能，有效吸引客流，增强客户粘性，进一步提升销售。</w:t>
      </w:r>
    </w:p>
    <w:p>
      <w:pPr>
        <w:spacing w:before="68"/>
        <w:ind w:left="553" w:right="1082" w:firstLine="0"/>
        <w:jc w:val="left"/>
        <w:rPr>
          <w:rFonts w:ascii="宋体" w:hAnsi="宋体" w:cs="宋体" w:eastAsia="宋体" w:hint="default"/>
          <w:sz w:val="20"/>
          <w:szCs w:val="20"/>
        </w:rPr>
      </w:pPr>
      <w:r>
        <w:rPr>
          <w:rFonts w:ascii="宋体" w:hAnsi="宋体" w:cs="宋体" w:eastAsia="宋体" w:hint="default"/>
          <w:sz w:val="20"/>
          <w:szCs w:val="20"/>
        </w:rPr>
        <w:t>按照公司第五届董事会第二十次会议及</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4"/>
          <w:sz w:val="20"/>
          <w:szCs w:val="20"/>
        </w:rPr>
        <w:t> </w:t>
      </w:r>
      <w:r>
        <w:rPr>
          <w:rFonts w:ascii="宋体" w:hAnsi="宋体" w:cs="宋体" w:eastAsia="宋体" w:hint="default"/>
          <w:spacing w:val="-3"/>
          <w:sz w:val="20"/>
          <w:szCs w:val="20"/>
        </w:rPr>
        <w:t>年第一次临时股东大会决议通过的《关于以部分门店物业为标</w:t>
      </w:r>
    </w:p>
    <w:p>
      <w:pPr>
        <w:spacing w:line="240" w:lineRule="auto" w:before="8"/>
        <w:rPr>
          <w:rFonts w:ascii="宋体" w:hAnsi="宋体" w:cs="宋体" w:eastAsia="宋体" w:hint="default"/>
          <w:sz w:val="14"/>
          <w:szCs w:val="14"/>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w w:val="100"/>
          <w:sz w:val="20"/>
          <w:szCs w:val="20"/>
        </w:rPr>
        <w:t>的资产</w:t>
      </w:r>
      <w:r>
        <w:rPr>
          <w:rFonts w:ascii="宋体" w:hAnsi="宋体" w:cs="宋体" w:eastAsia="宋体" w:hint="default"/>
          <w:spacing w:val="-2"/>
          <w:w w:val="100"/>
          <w:sz w:val="20"/>
          <w:szCs w:val="20"/>
        </w:rPr>
        <w:t>开</w:t>
      </w:r>
      <w:r>
        <w:rPr>
          <w:rFonts w:ascii="宋体" w:hAnsi="宋体" w:cs="宋体" w:eastAsia="宋体" w:hint="default"/>
          <w:w w:val="100"/>
          <w:sz w:val="20"/>
          <w:szCs w:val="20"/>
        </w:rPr>
        <w:t>展</w:t>
      </w:r>
      <w:r>
        <w:rPr>
          <w:rFonts w:ascii="宋体" w:hAnsi="宋体" w:cs="宋体" w:eastAsia="宋体" w:hint="default"/>
          <w:spacing w:val="-2"/>
          <w:w w:val="100"/>
          <w:sz w:val="20"/>
          <w:szCs w:val="20"/>
        </w:rPr>
        <w:t>创</w:t>
      </w:r>
      <w:r>
        <w:rPr>
          <w:rFonts w:ascii="宋体" w:hAnsi="宋体" w:cs="宋体" w:eastAsia="宋体" w:hint="default"/>
          <w:w w:val="100"/>
          <w:sz w:val="20"/>
          <w:szCs w:val="20"/>
        </w:rPr>
        <w:t>新型资</w:t>
      </w:r>
      <w:r>
        <w:rPr>
          <w:rFonts w:ascii="宋体" w:hAnsi="宋体" w:cs="宋体" w:eastAsia="宋体" w:hint="default"/>
          <w:spacing w:val="-2"/>
          <w:w w:val="100"/>
          <w:sz w:val="20"/>
          <w:szCs w:val="20"/>
        </w:rPr>
        <w:t>产</w:t>
      </w:r>
      <w:r>
        <w:rPr>
          <w:rFonts w:ascii="宋体" w:hAnsi="宋体" w:cs="宋体" w:eastAsia="宋体" w:hint="default"/>
          <w:w w:val="100"/>
          <w:sz w:val="20"/>
          <w:szCs w:val="20"/>
        </w:rPr>
        <w:t>运</w:t>
      </w:r>
      <w:r>
        <w:rPr>
          <w:rFonts w:ascii="宋体" w:hAnsi="宋体" w:cs="宋体" w:eastAsia="宋体" w:hint="default"/>
          <w:spacing w:val="-2"/>
          <w:w w:val="100"/>
          <w:sz w:val="20"/>
          <w:szCs w:val="20"/>
        </w:rPr>
        <w:t>作</w:t>
      </w:r>
      <w:r>
        <w:rPr>
          <w:rFonts w:ascii="宋体" w:hAnsi="宋体" w:cs="宋体" w:eastAsia="宋体" w:hint="default"/>
          <w:w w:val="100"/>
          <w:sz w:val="20"/>
          <w:szCs w:val="20"/>
        </w:rPr>
        <w:t>模式的</w:t>
      </w:r>
      <w:r>
        <w:rPr>
          <w:rFonts w:ascii="宋体" w:hAnsi="宋体" w:cs="宋体" w:eastAsia="宋体" w:hint="default"/>
          <w:spacing w:val="-2"/>
          <w:w w:val="100"/>
          <w:sz w:val="20"/>
          <w:szCs w:val="20"/>
        </w:rPr>
        <w:t>议</w:t>
      </w:r>
      <w:r>
        <w:rPr>
          <w:rFonts w:ascii="宋体" w:hAnsi="宋体" w:cs="宋体" w:eastAsia="宋体" w:hint="default"/>
          <w:w w:val="100"/>
          <w:sz w:val="20"/>
          <w:szCs w:val="20"/>
        </w:rPr>
        <w:t>案</w:t>
      </w:r>
      <w:r>
        <w:rPr>
          <w:rFonts w:ascii="宋体" w:hAnsi="宋体" w:cs="宋体" w:eastAsia="宋体" w:hint="default"/>
          <w:spacing w:val="-101"/>
          <w:w w:val="100"/>
          <w:sz w:val="20"/>
          <w:szCs w:val="20"/>
        </w:rPr>
        <w:t>》</w:t>
      </w:r>
      <w:r>
        <w:rPr>
          <w:rFonts w:ascii="宋体" w:hAnsi="宋体" w:cs="宋体" w:eastAsia="宋体" w:hint="default"/>
          <w:w w:val="100"/>
          <w:sz w:val="20"/>
          <w:szCs w:val="20"/>
        </w:rPr>
        <w:t>，公司</w:t>
      </w:r>
      <w:r>
        <w:rPr>
          <w:rFonts w:ascii="宋体" w:hAnsi="宋体" w:cs="宋体" w:eastAsia="宋体" w:hint="default"/>
          <w:spacing w:val="-2"/>
          <w:w w:val="100"/>
          <w:sz w:val="20"/>
          <w:szCs w:val="20"/>
        </w:rPr>
        <w:t>将</w:t>
      </w:r>
      <w:r>
        <w:rPr>
          <w:rFonts w:ascii="宋体" w:hAnsi="宋体" w:cs="宋体" w:eastAsia="宋体" w:hint="default"/>
          <w:w w:val="100"/>
          <w:sz w:val="20"/>
          <w:szCs w:val="20"/>
        </w:rPr>
        <w:t>厦</w:t>
      </w:r>
      <w:r>
        <w:rPr>
          <w:rFonts w:ascii="宋体" w:hAnsi="宋体" w:cs="宋体" w:eastAsia="宋体" w:hint="default"/>
          <w:spacing w:val="-2"/>
          <w:w w:val="100"/>
          <w:sz w:val="20"/>
          <w:szCs w:val="20"/>
        </w:rPr>
        <w:t>门</w:t>
      </w:r>
      <w:r>
        <w:rPr>
          <w:rFonts w:ascii="宋体" w:hAnsi="宋体" w:cs="宋体" w:eastAsia="宋体" w:hint="default"/>
          <w:w w:val="100"/>
          <w:sz w:val="20"/>
          <w:szCs w:val="20"/>
        </w:rPr>
        <w:t>财富港</w:t>
      </w:r>
      <w:r>
        <w:rPr>
          <w:rFonts w:ascii="宋体" w:hAnsi="宋体" w:cs="宋体" w:eastAsia="宋体" w:hint="default"/>
          <w:spacing w:val="-2"/>
          <w:w w:val="100"/>
          <w:sz w:val="20"/>
          <w:szCs w:val="20"/>
        </w:rPr>
        <w:t>湾</w:t>
      </w:r>
      <w:r>
        <w:rPr>
          <w:rFonts w:ascii="宋体" w:hAnsi="宋体" w:cs="宋体" w:eastAsia="宋体" w:hint="default"/>
          <w:w w:val="100"/>
          <w:sz w:val="20"/>
          <w:szCs w:val="20"/>
        </w:rPr>
        <w:t>店</w:t>
      </w:r>
      <w:r>
        <w:rPr>
          <w:rFonts w:ascii="宋体" w:hAnsi="宋体" w:cs="宋体" w:eastAsia="宋体" w:hint="default"/>
          <w:spacing w:val="-2"/>
          <w:w w:val="100"/>
          <w:sz w:val="20"/>
          <w:szCs w:val="20"/>
        </w:rPr>
        <w:t>以</w:t>
      </w:r>
      <w:r>
        <w:rPr>
          <w:rFonts w:ascii="宋体" w:hAnsi="宋体" w:cs="宋体" w:eastAsia="宋体" w:hint="default"/>
          <w:w w:val="100"/>
          <w:sz w:val="20"/>
          <w:szCs w:val="20"/>
        </w:rPr>
        <w:t>及其他</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0"/>
          <w:sz w:val="20"/>
          <w:szCs w:val="20"/>
        </w:rPr>
        <w:t>1</w:t>
      </w:r>
      <w:r>
        <w:rPr>
          <w:rFonts w:ascii="Times New Roman" w:hAnsi="Times New Roman" w:cs="Times New Roman" w:eastAsia="Times New Roman" w:hint="default"/>
          <w:w w:val="100"/>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pacing w:val="-2"/>
          <w:w w:val="100"/>
          <w:sz w:val="20"/>
          <w:szCs w:val="20"/>
        </w:rPr>
        <w:t>家</w:t>
      </w:r>
      <w:r>
        <w:rPr>
          <w:rFonts w:ascii="宋体" w:hAnsi="宋体" w:cs="宋体" w:eastAsia="宋体" w:hint="default"/>
          <w:w w:val="100"/>
          <w:sz w:val="20"/>
          <w:szCs w:val="20"/>
        </w:rPr>
        <w:t>门店物</w:t>
      </w:r>
      <w:r>
        <w:rPr>
          <w:rFonts w:ascii="宋体" w:hAnsi="宋体" w:cs="宋体" w:eastAsia="宋体" w:hint="default"/>
          <w:spacing w:val="-2"/>
          <w:w w:val="100"/>
          <w:sz w:val="20"/>
          <w:szCs w:val="20"/>
        </w:rPr>
        <w:t>业</w:t>
      </w:r>
      <w:r>
        <w:rPr>
          <w:rFonts w:ascii="宋体" w:hAnsi="宋体" w:cs="宋体" w:eastAsia="宋体" w:hint="default"/>
          <w:w w:val="100"/>
          <w:sz w:val="20"/>
          <w:szCs w:val="20"/>
        </w:rPr>
        <w:t>相</w:t>
      </w:r>
      <w:r>
        <w:rPr>
          <w:rFonts w:ascii="宋体" w:hAnsi="宋体" w:cs="宋体" w:eastAsia="宋体" w:hint="default"/>
          <w:spacing w:val="-2"/>
          <w:w w:val="100"/>
          <w:sz w:val="20"/>
          <w:szCs w:val="20"/>
        </w:rPr>
        <w:t>关</w:t>
      </w:r>
      <w:r>
        <w:rPr>
          <w:rFonts w:ascii="宋体" w:hAnsi="宋体" w:cs="宋体" w:eastAsia="宋体" w:hint="default"/>
          <w:w w:val="100"/>
          <w:sz w:val="20"/>
          <w:szCs w:val="20"/>
        </w:rPr>
        <w:t>权益以</w:t>
      </w:r>
      <w:r>
        <w:rPr>
          <w:rFonts w:ascii="宋体" w:hAnsi="宋体" w:cs="宋体" w:eastAsia="宋体" w:hint="default"/>
          <w:spacing w:val="-2"/>
          <w:w w:val="100"/>
          <w:sz w:val="20"/>
          <w:szCs w:val="20"/>
        </w:rPr>
        <w:t>不</w:t>
      </w:r>
      <w:r>
        <w:rPr>
          <w:rFonts w:ascii="宋体" w:hAnsi="宋体" w:cs="宋体" w:eastAsia="宋体" w:hint="default"/>
          <w:w w:val="100"/>
          <w:sz w:val="20"/>
          <w:szCs w:val="20"/>
        </w:rPr>
        <w:t>低于</w:t>
      </w:r>
    </w:p>
    <w:p>
      <w:pPr>
        <w:spacing w:line="240" w:lineRule="auto" w:before="8"/>
        <w:rPr>
          <w:rFonts w:ascii="宋体" w:hAnsi="宋体" w:cs="宋体" w:eastAsia="宋体" w:hint="default"/>
          <w:sz w:val="14"/>
          <w:szCs w:val="14"/>
        </w:rPr>
      </w:pPr>
    </w:p>
    <w:p>
      <w:pPr>
        <w:spacing w:before="0"/>
        <w:ind w:left="153" w:right="0" w:firstLine="0"/>
        <w:jc w:val="both"/>
        <w:rPr>
          <w:rFonts w:ascii="宋体" w:hAnsi="宋体" w:cs="宋体" w:eastAsia="宋体" w:hint="default"/>
          <w:sz w:val="20"/>
          <w:szCs w:val="20"/>
        </w:rPr>
      </w:pPr>
      <w:r>
        <w:rPr>
          <w:rFonts w:ascii="Times New Roman" w:hAnsi="Times New Roman" w:cs="Times New Roman" w:eastAsia="Times New Roman" w:hint="default"/>
          <w:sz w:val="20"/>
          <w:szCs w:val="20"/>
        </w:rPr>
        <w:t>300,326.64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万元的价格转让给中信金石基金管理有限公司的相关方设立的资产支持专项计划，以开展创新资产</w:t>
      </w:r>
    </w:p>
    <w:p>
      <w:pPr>
        <w:spacing w:line="240" w:lineRule="auto" w:before="8"/>
        <w:rPr>
          <w:rFonts w:ascii="宋体" w:hAnsi="宋体" w:cs="宋体" w:eastAsia="宋体" w:hint="default"/>
          <w:sz w:val="14"/>
          <w:szCs w:val="14"/>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sz w:val="20"/>
          <w:szCs w:val="20"/>
        </w:rPr>
        <w:t>运作模式，前述权益转让完成后，同意公司</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家销售子公司分别租用</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处物业用于店面经营（详情见公司</w:t>
      </w:r>
    </w:p>
    <w:p>
      <w:pPr>
        <w:spacing w:line="240" w:lineRule="auto" w:before="8"/>
        <w:rPr>
          <w:rFonts w:ascii="宋体" w:hAnsi="宋体" w:cs="宋体" w:eastAsia="宋体" w:hint="default"/>
          <w:sz w:val="14"/>
          <w:szCs w:val="14"/>
        </w:rPr>
      </w:pPr>
    </w:p>
    <w:p>
      <w:pPr>
        <w:spacing w:before="0"/>
        <w:ind w:left="153" w:right="0" w:firstLine="0"/>
        <w:jc w:val="both"/>
        <w:rPr>
          <w:rFonts w:ascii="宋体" w:hAnsi="宋体" w:cs="宋体" w:eastAsia="宋体" w:hint="default"/>
          <w:sz w:val="20"/>
          <w:szCs w:val="20"/>
        </w:rPr>
      </w:pPr>
      <w:r>
        <w:rPr>
          <w:rFonts w:ascii="Times New Roman" w:hAnsi="Times New Roman" w:cs="Times New Roman" w:eastAsia="Times New Roman" w:hint="default"/>
          <w:w w:val="100"/>
          <w:sz w:val="20"/>
          <w:szCs w:val="20"/>
        </w:rPr>
        <w:t>2015</w:t>
      </w:r>
      <w:r>
        <w:rPr>
          <w:rFonts w:ascii="Times New Roman" w:hAnsi="Times New Roman" w:cs="Times New Roman" w:eastAsia="Times New Roman" w:hint="default"/>
          <w:spacing w:val="-1"/>
          <w:w w:val="100"/>
          <w:sz w:val="20"/>
          <w:szCs w:val="20"/>
        </w:rPr>
        <w:t>-02</w:t>
      </w:r>
      <w:r>
        <w:rPr>
          <w:rFonts w:ascii="Times New Roman" w:hAnsi="Times New Roman" w:cs="Times New Roman" w:eastAsia="Times New Roman" w:hint="default"/>
          <w:w w:val="100"/>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w w:val="100"/>
          <w:sz w:val="20"/>
          <w:szCs w:val="20"/>
        </w:rPr>
        <w:t>号</w:t>
      </w:r>
      <w:r>
        <w:rPr>
          <w:rFonts w:ascii="宋体" w:hAnsi="宋体" w:cs="宋体" w:eastAsia="宋体" w:hint="default"/>
          <w:spacing w:val="-2"/>
          <w:w w:val="100"/>
          <w:sz w:val="20"/>
          <w:szCs w:val="20"/>
        </w:rPr>
        <w:t>公</w:t>
      </w:r>
      <w:r>
        <w:rPr>
          <w:rFonts w:ascii="宋体" w:hAnsi="宋体" w:cs="宋体" w:eastAsia="宋体" w:hint="default"/>
          <w:w w:val="100"/>
          <w:sz w:val="20"/>
          <w:szCs w:val="20"/>
        </w:rPr>
        <w:t>告，</w:t>
      </w:r>
      <w:r>
        <w:rPr>
          <w:rFonts w:ascii="Times New Roman" w:hAnsi="Times New Roman" w:cs="Times New Roman" w:eastAsia="Times New Roman" w:hint="default"/>
          <w:w w:val="100"/>
          <w:sz w:val="20"/>
          <w:szCs w:val="20"/>
        </w:rPr>
        <w:t>2</w:t>
      </w:r>
      <w:r>
        <w:rPr>
          <w:rFonts w:ascii="Times New Roman" w:hAnsi="Times New Roman" w:cs="Times New Roman" w:eastAsia="Times New Roman" w:hint="default"/>
          <w:spacing w:val="-2"/>
          <w:w w:val="100"/>
          <w:sz w:val="20"/>
          <w:szCs w:val="20"/>
        </w:rPr>
        <w:t>0</w:t>
      </w:r>
      <w:r>
        <w:rPr>
          <w:rFonts w:ascii="Times New Roman" w:hAnsi="Times New Roman" w:cs="Times New Roman" w:eastAsia="Times New Roman" w:hint="default"/>
          <w:w w:val="100"/>
          <w:sz w:val="20"/>
          <w:szCs w:val="20"/>
        </w:rPr>
        <w:t>15</w:t>
      </w:r>
      <w:r>
        <w:rPr>
          <w:rFonts w:ascii="Times New Roman" w:hAnsi="Times New Roman" w:cs="Times New Roman" w:eastAsia="Times New Roman" w:hint="default"/>
          <w:spacing w:val="-1"/>
          <w:w w:val="100"/>
          <w:sz w:val="20"/>
          <w:szCs w:val="20"/>
        </w:rPr>
        <w:t>-</w:t>
      </w:r>
      <w:r>
        <w:rPr>
          <w:rFonts w:ascii="Times New Roman" w:hAnsi="Times New Roman" w:cs="Times New Roman" w:eastAsia="Times New Roman" w:hint="default"/>
          <w:w w:val="100"/>
          <w:sz w:val="20"/>
          <w:szCs w:val="20"/>
        </w:rPr>
        <w:t>031</w:t>
      </w:r>
      <w:r>
        <w:rPr>
          <w:rFonts w:ascii="Times New Roman" w:hAnsi="Times New Roman" w:cs="Times New Roman" w:eastAsia="Times New Roman" w:hint="default"/>
          <w:spacing w:val="-1"/>
          <w:sz w:val="20"/>
          <w:szCs w:val="20"/>
        </w:rPr>
        <w:t> </w:t>
      </w:r>
      <w:r>
        <w:rPr>
          <w:rFonts w:ascii="宋体" w:hAnsi="宋体" w:cs="宋体" w:eastAsia="宋体" w:hint="default"/>
          <w:w w:val="100"/>
          <w:sz w:val="20"/>
          <w:szCs w:val="20"/>
        </w:rPr>
        <w:t>号公</w:t>
      </w:r>
      <w:r>
        <w:rPr>
          <w:rFonts w:ascii="宋体" w:hAnsi="宋体" w:cs="宋体" w:eastAsia="宋体" w:hint="default"/>
          <w:spacing w:val="-2"/>
          <w:w w:val="100"/>
          <w:sz w:val="20"/>
          <w:szCs w:val="20"/>
        </w:rPr>
        <w:t>告</w:t>
      </w:r>
      <w:r>
        <w:rPr>
          <w:rFonts w:ascii="宋体" w:hAnsi="宋体" w:cs="宋体" w:eastAsia="宋体" w:hint="default"/>
          <w:spacing w:val="-100"/>
          <w:w w:val="100"/>
          <w:sz w:val="20"/>
          <w:szCs w:val="20"/>
        </w:rPr>
        <w:t>）</w:t>
      </w:r>
      <w:r>
        <w:rPr>
          <w:rFonts w:ascii="宋体" w:hAnsi="宋体" w:cs="宋体" w:eastAsia="宋体" w:hint="default"/>
          <w:w w:val="100"/>
          <w:sz w:val="20"/>
          <w:szCs w:val="20"/>
        </w:rPr>
        <w:t>。</w:t>
      </w:r>
      <w:r>
        <w:rPr>
          <w:rFonts w:ascii="宋体" w:hAnsi="宋体" w:cs="宋体" w:eastAsia="宋体" w:hint="default"/>
          <w:spacing w:val="-2"/>
          <w:w w:val="100"/>
          <w:sz w:val="20"/>
          <w:szCs w:val="20"/>
        </w:rPr>
        <w:t>厦</w:t>
      </w:r>
      <w:r>
        <w:rPr>
          <w:rFonts w:ascii="宋体" w:hAnsi="宋体" w:cs="宋体" w:eastAsia="宋体" w:hint="default"/>
          <w:w w:val="100"/>
          <w:sz w:val="20"/>
          <w:szCs w:val="20"/>
        </w:rPr>
        <w:t>门财富</w:t>
      </w:r>
      <w:r>
        <w:rPr>
          <w:rFonts w:ascii="宋体" w:hAnsi="宋体" w:cs="宋体" w:eastAsia="宋体" w:hint="default"/>
          <w:spacing w:val="-2"/>
          <w:w w:val="100"/>
          <w:sz w:val="20"/>
          <w:szCs w:val="20"/>
        </w:rPr>
        <w:t>港</w:t>
      </w:r>
      <w:r>
        <w:rPr>
          <w:rFonts w:ascii="宋体" w:hAnsi="宋体" w:cs="宋体" w:eastAsia="宋体" w:hint="default"/>
          <w:w w:val="100"/>
          <w:sz w:val="20"/>
          <w:szCs w:val="20"/>
        </w:rPr>
        <w:t>湾</w:t>
      </w:r>
      <w:r>
        <w:rPr>
          <w:rFonts w:ascii="宋体" w:hAnsi="宋体" w:cs="宋体" w:eastAsia="宋体" w:hint="default"/>
          <w:spacing w:val="-2"/>
          <w:w w:val="100"/>
          <w:sz w:val="20"/>
          <w:szCs w:val="20"/>
        </w:rPr>
        <w:t>店</w:t>
      </w:r>
      <w:r>
        <w:rPr>
          <w:rFonts w:ascii="宋体" w:hAnsi="宋体" w:cs="宋体" w:eastAsia="宋体" w:hint="default"/>
          <w:w w:val="100"/>
          <w:sz w:val="20"/>
          <w:szCs w:val="20"/>
        </w:rPr>
        <w:t>物业相</w:t>
      </w:r>
      <w:r>
        <w:rPr>
          <w:rFonts w:ascii="宋体" w:hAnsi="宋体" w:cs="宋体" w:eastAsia="宋体" w:hint="default"/>
          <w:spacing w:val="-2"/>
          <w:w w:val="100"/>
          <w:sz w:val="20"/>
          <w:szCs w:val="20"/>
        </w:rPr>
        <w:t>关</w:t>
      </w:r>
      <w:r>
        <w:rPr>
          <w:rFonts w:ascii="宋体" w:hAnsi="宋体" w:cs="宋体" w:eastAsia="宋体" w:hint="default"/>
          <w:w w:val="100"/>
          <w:sz w:val="20"/>
          <w:szCs w:val="20"/>
        </w:rPr>
        <w:t>权</w:t>
      </w:r>
      <w:r>
        <w:rPr>
          <w:rFonts w:ascii="宋体" w:hAnsi="宋体" w:cs="宋体" w:eastAsia="宋体" w:hint="default"/>
          <w:spacing w:val="-2"/>
          <w:w w:val="100"/>
          <w:sz w:val="20"/>
          <w:szCs w:val="20"/>
        </w:rPr>
        <w:t>益</w:t>
      </w:r>
      <w:r>
        <w:rPr>
          <w:rFonts w:ascii="宋体" w:hAnsi="宋体" w:cs="宋体" w:eastAsia="宋体" w:hint="default"/>
          <w:w w:val="100"/>
          <w:sz w:val="20"/>
          <w:szCs w:val="20"/>
        </w:rPr>
        <w:t>的转让</w:t>
      </w:r>
      <w:r>
        <w:rPr>
          <w:rFonts w:ascii="宋体" w:hAnsi="宋体" w:cs="宋体" w:eastAsia="宋体" w:hint="default"/>
          <w:spacing w:val="-2"/>
          <w:w w:val="100"/>
          <w:sz w:val="20"/>
          <w:szCs w:val="20"/>
        </w:rPr>
        <w:t>对价</w:t>
      </w:r>
      <w:r>
        <w:rPr>
          <w:rFonts w:ascii="宋体" w:hAnsi="宋体" w:cs="宋体" w:eastAsia="宋体" w:hint="default"/>
          <w:w w:val="100"/>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w w:val="100"/>
          <w:sz w:val="20"/>
          <w:szCs w:val="20"/>
        </w:rPr>
        <w:t>1.</w:t>
      </w:r>
      <w:r>
        <w:rPr>
          <w:rFonts w:ascii="Times New Roman" w:hAnsi="Times New Roman" w:cs="Times New Roman" w:eastAsia="Times New Roman" w:hint="default"/>
          <w:spacing w:val="-1"/>
          <w:w w:val="100"/>
          <w:sz w:val="20"/>
          <w:szCs w:val="20"/>
        </w:rPr>
        <w:t>6</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100"/>
          <w:sz w:val="20"/>
          <w:szCs w:val="20"/>
        </w:rPr>
        <w:t>亿</w:t>
      </w:r>
      <w:r>
        <w:rPr>
          <w:rFonts w:ascii="宋体" w:hAnsi="宋体" w:cs="宋体" w:eastAsia="宋体" w:hint="default"/>
          <w:spacing w:val="-2"/>
          <w:w w:val="100"/>
          <w:sz w:val="20"/>
          <w:szCs w:val="20"/>
        </w:rPr>
        <w:t>元</w:t>
      </w:r>
      <w:r>
        <w:rPr>
          <w:rFonts w:ascii="宋体" w:hAnsi="宋体" w:cs="宋体" w:eastAsia="宋体" w:hint="default"/>
          <w:w w:val="100"/>
          <w:sz w:val="20"/>
          <w:szCs w:val="20"/>
        </w:rPr>
        <w:t>。</w:t>
      </w:r>
    </w:p>
    <w:p>
      <w:pPr>
        <w:spacing w:line="240" w:lineRule="auto" w:before="8"/>
        <w:rPr>
          <w:rFonts w:ascii="宋体" w:hAnsi="宋体" w:cs="宋体" w:eastAsia="宋体" w:hint="default"/>
          <w:sz w:val="14"/>
          <w:szCs w:val="14"/>
        </w:rPr>
      </w:pPr>
    </w:p>
    <w:p>
      <w:pPr>
        <w:spacing w:line="422" w:lineRule="auto" w:before="0"/>
        <w:ind w:left="154" w:right="1082" w:firstLine="399"/>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4</w:t>
      </w:r>
      <w:r>
        <w:rPr>
          <w:rFonts w:ascii="宋体" w:hAnsi="宋体" w:cs="宋体" w:eastAsia="宋体" w:hint="default"/>
          <w:sz w:val="20"/>
          <w:szCs w:val="20"/>
        </w:rPr>
        <w:t>：物流中心项目不直接产生经济效益，公司通过上述物流基地的建设，能够有效支撑公司连锁网络拓</w:t>
      </w:r>
      <w:r>
        <w:rPr>
          <w:rFonts w:ascii="宋体" w:hAnsi="宋体" w:cs="宋体" w:eastAsia="宋体" w:hint="default"/>
          <w:w w:val="100"/>
          <w:sz w:val="20"/>
          <w:szCs w:val="20"/>
        </w:rPr>
        <w:t> </w:t>
      </w:r>
      <w:r>
        <w:rPr>
          <w:rFonts w:ascii="宋体" w:hAnsi="宋体" w:cs="宋体" w:eastAsia="宋体" w:hint="default"/>
          <w:spacing w:val="-4"/>
          <w:sz w:val="20"/>
          <w:szCs w:val="20"/>
        </w:rPr>
        <w:t>展，尤其是加快推进三、四级市场的连锁发展，有利于内部管理精细化，加强供应链管理，提升商品周转效率，</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同时为公司线上业务发展提供有效的物流中心平台支撑。公司在上述十五个地区的新建物流配送中心，对于保</w:t>
      </w:r>
      <w:r>
        <w:rPr>
          <w:rFonts w:ascii="宋体" w:hAnsi="宋体" w:cs="宋体" w:eastAsia="宋体" w:hint="default"/>
          <w:w w:val="100"/>
          <w:sz w:val="20"/>
          <w:szCs w:val="20"/>
        </w:rPr>
        <w:t> </w:t>
      </w:r>
      <w:r>
        <w:rPr>
          <w:rFonts w:ascii="宋体" w:hAnsi="宋体" w:cs="宋体" w:eastAsia="宋体" w:hint="default"/>
          <w:sz w:val="20"/>
          <w:szCs w:val="20"/>
        </w:rPr>
        <w:t>障公司销售、提升服务能力具有十分重大的意义。</w:t>
      </w:r>
    </w:p>
    <w:p>
      <w:pPr>
        <w:spacing w:line="417" w:lineRule="auto" w:before="54"/>
        <w:ind w:left="153" w:right="1169" w:firstLine="399"/>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：截至报告期末，自动化物流建设项目已投入使用。自动化物流项目的建设进一步满足了公司线上业</w:t>
      </w:r>
      <w:r>
        <w:rPr>
          <w:rFonts w:ascii="宋体" w:hAnsi="宋体" w:cs="宋体" w:eastAsia="宋体" w:hint="default"/>
          <w:w w:val="100"/>
          <w:sz w:val="20"/>
          <w:szCs w:val="20"/>
        </w:rPr>
        <w:t> </w:t>
      </w:r>
      <w:r>
        <w:rPr>
          <w:rFonts w:ascii="宋体" w:hAnsi="宋体" w:cs="宋体" w:eastAsia="宋体" w:hint="default"/>
          <w:spacing w:val="-1"/>
          <w:sz w:val="20"/>
          <w:szCs w:val="20"/>
        </w:rPr>
        <w:t>务的发展需求，有利于降低经营成本，巩固行业地位，提高效益；同时项目的实施将进一步完善公司实体与虚</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拟销售的物流配送需求，实现全方位、多层次的配送模式，有利于提高企业的核心竞争力。</w:t>
      </w:r>
    </w:p>
    <w:p>
      <w:pPr>
        <w:spacing w:line="422" w:lineRule="auto" w:before="58"/>
        <w:ind w:left="153" w:right="1169" w:firstLine="399"/>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6</w:t>
      </w:r>
      <w:r>
        <w:rPr>
          <w:rFonts w:ascii="宋体" w:hAnsi="宋体" w:cs="宋体" w:eastAsia="宋体" w:hint="default"/>
          <w:sz w:val="20"/>
          <w:szCs w:val="20"/>
        </w:rPr>
        <w:t>：信息系统平台建设不直接产生经济效益，其效益主要体现在：进一步提高公司办公自动化的水平，</w:t>
      </w:r>
      <w:r>
        <w:rPr>
          <w:rFonts w:ascii="宋体" w:hAnsi="宋体" w:cs="宋体" w:eastAsia="宋体" w:hint="default"/>
          <w:w w:val="100"/>
          <w:sz w:val="20"/>
          <w:szCs w:val="20"/>
        </w:rPr>
        <w:t> </w:t>
      </w:r>
      <w:r>
        <w:rPr>
          <w:rFonts w:ascii="宋体" w:hAnsi="宋体" w:cs="宋体" w:eastAsia="宋体" w:hint="default"/>
          <w:spacing w:val="-1"/>
          <w:sz w:val="20"/>
          <w:szCs w:val="20"/>
        </w:rPr>
        <w:t>强化企业的内部管理，加强系统安全管理、提升效率；大大提高电子商务系统平台网站的响应速度和后台消息</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处理的能力，满足更高的性能和销售需求，同时也给顾客带来更完美的购物体验；进一步提高售后服务信息水</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平，做到服务的多元化，销售的多样化，完善销售与服务的整合。</w:t>
      </w:r>
    </w:p>
    <w:p>
      <w:pPr>
        <w:spacing w:line="417" w:lineRule="auto" w:before="54"/>
        <w:ind w:left="154" w:right="1128" w:firstLine="399"/>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7</w:t>
      </w:r>
      <w:r>
        <w:rPr>
          <w:rFonts w:ascii="宋体" w:hAnsi="宋体" w:cs="宋体" w:eastAsia="宋体" w:hint="default"/>
          <w:sz w:val="20"/>
          <w:szCs w:val="20"/>
        </w:rPr>
        <w:t>：补充流动资金项目募集资金主要用于扩大公司定制、包销产品采购占比，随着定制、包销产品的销</w:t>
      </w:r>
      <w:r>
        <w:rPr>
          <w:rFonts w:ascii="宋体" w:hAnsi="宋体" w:cs="宋体" w:eastAsia="宋体" w:hint="default"/>
          <w:w w:val="100"/>
          <w:sz w:val="20"/>
          <w:szCs w:val="20"/>
        </w:rPr>
        <w:t> </w:t>
      </w:r>
      <w:r>
        <w:rPr>
          <w:rFonts w:ascii="宋体" w:hAnsi="宋体" w:cs="宋体" w:eastAsia="宋体" w:hint="default"/>
          <w:spacing w:val="-4"/>
          <w:w w:val="100"/>
          <w:sz w:val="20"/>
          <w:szCs w:val="20"/>
        </w:rPr>
        <w:t>售占比的提升，将一定程度上促进公司毛利率水平的提升；同时募集资金还将用于提升对供应商诸如研发新品、</w:t>
      </w:r>
      <w:r>
        <w:rPr>
          <w:rFonts w:ascii="宋体" w:hAnsi="宋体" w:cs="宋体" w:eastAsia="宋体" w:hint="default"/>
          <w:w w:val="100"/>
          <w:sz w:val="20"/>
          <w:szCs w:val="20"/>
        </w:rPr>
        <w:t> </w:t>
      </w:r>
      <w:r>
        <w:rPr>
          <w:rFonts w:ascii="宋体" w:hAnsi="宋体" w:cs="宋体" w:eastAsia="宋体" w:hint="default"/>
          <w:sz w:val="20"/>
          <w:szCs w:val="20"/>
        </w:rPr>
        <w:t>产品销售淡季的资金支持等，进一步提升与供应商的合作关系，优化供应链管理，实现双方合作共赢。</w:t>
      </w:r>
    </w:p>
    <w:p>
      <w:pPr>
        <w:spacing w:after="0" w:line="417"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5"/>
        <w:rPr>
          <w:rFonts w:ascii="宋体" w:hAnsi="宋体" w:cs="宋体" w:eastAsia="宋体" w:hint="default"/>
          <w:sz w:val="24"/>
          <w:szCs w:val="24"/>
        </w:rPr>
      </w:pPr>
    </w:p>
    <w:p>
      <w:pPr>
        <w:pStyle w:val="Heading4"/>
        <w:spacing w:line="240" w:lineRule="auto" w:before="31"/>
        <w:ind w:left="333" w:right="6132"/>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774" w:right="6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公司报告期不存在募集资金变更项目情况。</w:t>
      </w:r>
    </w:p>
    <w:p>
      <w:pPr>
        <w:spacing w:line="240" w:lineRule="auto" w:before="10"/>
        <w:rPr>
          <w:rFonts w:ascii="宋体" w:hAnsi="宋体" w:cs="宋体" w:eastAsia="宋体" w:hint="default"/>
          <w:sz w:val="21"/>
          <w:szCs w:val="21"/>
        </w:rPr>
      </w:pPr>
    </w:p>
    <w:p>
      <w:pPr>
        <w:pStyle w:val="Heading4"/>
        <w:spacing w:line="240" w:lineRule="auto"/>
        <w:ind w:left="333" w:right="6132"/>
        <w:jc w:val="left"/>
        <w:rPr>
          <w:b w:val="0"/>
          <w:bCs w:val="0"/>
        </w:rPr>
      </w:pPr>
      <w:bookmarkStart w:name="（4）募集资金理财情况" w:id="52"/>
      <w:bookmarkEnd w:id="52"/>
      <w:r>
        <w:rPr>
          <w:b w:val="0"/>
          <w:bCs w:val="0"/>
        </w:rPr>
      </w:r>
      <w:r>
        <w:rPr/>
        <w:t>（</w:t>
      </w:r>
      <w:r>
        <w:rPr>
          <w:rFonts w:ascii="Times New Roman" w:hAnsi="Times New Roman" w:cs="Times New Roman" w:eastAsia="Times New Roman" w:hint="default"/>
        </w:rPr>
        <w:t>4</w:t>
      </w:r>
      <w:r>
        <w:rPr/>
        <w:t>）募集资金理财情况</w:t>
      </w:r>
      <w:r>
        <w:rPr>
          <w:b w:val="0"/>
          <w:bCs w:val="0"/>
        </w:rPr>
      </w:r>
    </w:p>
    <w:p>
      <w:pPr>
        <w:spacing w:line="240" w:lineRule="auto" w:before="6"/>
        <w:rPr>
          <w:rFonts w:ascii="宋体" w:hAnsi="宋体" w:cs="宋体" w:eastAsia="宋体" w:hint="default"/>
          <w:b/>
          <w:bCs/>
          <w:sz w:val="29"/>
          <w:szCs w:val="29"/>
        </w:rPr>
      </w:pPr>
    </w:p>
    <w:p>
      <w:pPr>
        <w:pStyle w:val="BodyText"/>
        <w:spacing w:line="379" w:lineRule="auto"/>
        <w:ind w:left="333" w:right="1023" w:firstLine="440"/>
        <w:jc w:val="both"/>
      </w:pPr>
      <w:r>
        <w:rPr/>
        <w:t>公司第五届董事会第十七次会议审议通过，公司使用不超过</w:t>
      </w:r>
      <w:r>
        <w:rPr>
          <w:spacing w:val="-55"/>
        </w:rPr>
        <w:t> </w:t>
      </w:r>
      <w:r>
        <w:rPr>
          <w:rFonts w:ascii="Times New Roman" w:hAnsi="Times New Roman" w:cs="Times New Roman" w:eastAsia="Times New Roman" w:hint="default"/>
        </w:rPr>
        <w:t>4.5</w:t>
      </w:r>
      <w:r>
        <w:rPr>
          <w:rFonts w:ascii="Times New Roman" w:hAnsi="Times New Roman" w:cs="Times New Roman" w:eastAsia="Times New Roman" w:hint="default"/>
          <w:spacing w:val="-3"/>
        </w:rPr>
        <w:t> </w:t>
      </w:r>
      <w:r>
        <w:rPr/>
        <w:t>亿元（含）闲置募集资金购买商</w:t>
      </w:r>
      <w:r>
        <w:rPr>
          <w:w w:val="99"/>
        </w:rPr>
        <w:t> </w:t>
      </w:r>
      <w:r>
        <w:rPr/>
        <w:t>业银行发行的安全性高、流动性好、保本型的银行理财产品，在该投资理财额度内，资金可以在一年</w:t>
      </w:r>
      <w:r>
        <w:rPr>
          <w:w w:val="99"/>
        </w:rPr>
        <w:t> 内滚动进行使用，即任一时点公司使用闲置募集资金购买银行理财产品的余额不超过</w:t>
      </w:r>
      <w:r>
        <w:rPr>
          <w:spacing w:val="-46"/>
          <w:w w:val="99"/>
        </w:rPr>
        <w:t> </w:t>
      </w:r>
      <w:r>
        <w:rPr>
          <w:rFonts w:ascii="Times New Roman" w:hAnsi="Times New Roman" w:cs="Times New Roman" w:eastAsia="Times New Roman" w:hint="default"/>
          <w:w w:val="99"/>
        </w:rPr>
        <w:t>4.5</w:t>
      </w:r>
      <w:r>
        <w:rPr>
          <w:rFonts w:ascii="Times New Roman" w:hAnsi="Times New Roman" w:cs="Times New Roman" w:eastAsia="Times New Roman" w:hint="default"/>
          <w:spacing w:val="6"/>
          <w:w w:val="99"/>
        </w:rPr>
        <w:t> </w:t>
      </w:r>
      <w:r>
        <w:rPr>
          <w:spacing w:val="-19"/>
          <w:w w:val="99"/>
        </w:rPr>
        <w:t>亿元（含）。</w:t>
      </w:r>
      <w:r>
        <w:rPr>
          <w:spacing w:val="-19"/>
        </w:rPr>
      </w:r>
    </w:p>
    <w:p>
      <w:pPr>
        <w:pStyle w:val="BodyText"/>
        <w:spacing w:line="240" w:lineRule="auto" w:before="60"/>
        <w:ind w:left="77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1-12</w:t>
      </w:r>
      <w:r>
        <w:rPr>
          <w:rFonts w:ascii="Times New Roman" w:hAnsi="Times New Roman" w:cs="Times New Roman" w:eastAsia="Times New Roman" w:hint="default"/>
          <w:spacing w:val="-2"/>
        </w:rPr>
        <w:t> </w:t>
      </w:r>
      <w:r>
        <w:rPr>
          <w:spacing w:val="-3"/>
        </w:rPr>
        <w:t>月，公司累计使用闲置募集资金（含利息）</w:t>
      </w:r>
      <w:r>
        <w:rPr>
          <w:rFonts w:ascii="Times New Roman" w:hAnsi="Times New Roman" w:cs="Times New Roman" w:eastAsia="Times New Roman" w:hint="default"/>
          <w:spacing w:val="-3"/>
        </w:rPr>
        <w:t>18.12</w:t>
      </w:r>
      <w:r>
        <w:rPr>
          <w:rFonts w:ascii="Times New Roman" w:hAnsi="Times New Roman" w:cs="Times New Roman" w:eastAsia="Times New Roman" w:hint="default"/>
          <w:spacing w:val="-1"/>
        </w:rPr>
        <w:t> </w:t>
      </w:r>
      <w:r>
        <w:rPr/>
        <w:t>亿元购买商业银行保本型银行理财</w:t>
      </w:r>
    </w:p>
    <w:p>
      <w:pPr>
        <w:pStyle w:val="BodyText"/>
        <w:spacing w:line="240" w:lineRule="auto" w:before="163"/>
        <w:ind w:left="333" w:right="0"/>
        <w:jc w:val="left"/>
        <w:rPr>
          <w:rFonts w:ascii="Times New Roman" w:hAnsi="Times New Roman" w:cs="Times New Roman" w:eastAsia="Times New Roman" w:hint="default"/>
        </w:rPr>
      </w:pPr>
      <w:r>
        <w:rPr>
          <w:w w:val="99"/>
        </w:rPr>
        <w:t>产品</w:t>
      </w:r>
      <w:r>
        <w:rPr>
          <w:spacing w:val="-110"/>
          <w:w w:val="99"/>
        </w:rPr>
        <w:t>，</w:t>
      </w:r>
      <w:r>
        <w:rPr>
          <w:w w:val="99"/>
        </w:rPr>
        <w:t>报告期内累计实现收益</w:t>
      </w:r>
      <w:r>
        <w:rPr>
          <w:spacing w:val="-58"/>
        </w:rPr>
        <w:t> </w:t>
      </w:r>
      <w:r>
        <w:rPr>
          <w:rFonts w:ascii="Times New Roman" w:hAnsi="Times New Roman" w:cs="Times New Roman" w:eastAsia="Times New Roman" w:hint="default"/>
          <w:w w:val="99"/>
        </w:rPr>
        <w:t>1,423.</w:t>
      </w:r>
      <w:r>
        <w:rPr>
          <w:rFonts w:ascii="Times New Roman" w:hAnsi="Times New Roman" w:cs="Times New Roman" w:eastAsia="Times New Roman" w:hint="default"/>
          <w:spacing w:val="-9"/>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rPr>
        <w:t> </w:t>
      </w:r>
      <w:r>
        <w:rPr>
          <w:w w:val="99"/>
        </w:rPr>
        <w:t>万元</w:t>
      </w:r>
      <w:r>
        <w:rPr>
          <w:spacing w:val="-111"/>
          <w:w w:val="99"/>
        </w:rPr>
        <w:t>。</w:t>
      </w:r>
      <w:r>
        <w:rPr>
          <w:w w:val="99"/>
        </w:rPr>
        <w:t>截至</w:t>
      </w:r>
      <w:r>
        <w:rPr>
          <w:spacing w:val="-57"/>
        </w:rPr>
        <w:t> </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4"/>
        </w:rPr>
        <w:t> </w:t>
      </w:r>
      <w:r>
        <w:rPr>
          <w:w w:val="99"/>
        </w:rPr>
        <w:t>年</w:t>
      </w:r>
      <w:r>
        <w:rPr>
          <w:spacing w:val="-59"/>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4"/>
        </w:rPr>
        <w:t> </w:t>
      </w:r>
      <w:r>
        <w:rPr>
          <w:w w:val="99"/>
        </w:rPr>
        <w:t>月</w:t>
      </w:r>
      <w:r>
        <w:rPr>
          <w:spacing w:val="-59"/>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3"/>
        </w:rPr>
        <w:t> </w:t>
      </w:r>
      <w:r>
        <w:rPr>
          <w:w w:val="99"/>
        </w:rPr>
        <w:t>日</w:t>
      </w:r>
      <w:r>
        <w:rPr>
          <w:spacing w:val="-111"/>
          <w:w w:val="99"/>
        </w:rPr>
        <w:t>，</w:t>
      </w:r>
      <w:r>
        <w:rPr>
          <w:w w:val="99"/>
        </w:rPr>
        <w:t>募集资金理财产品余额为</w:t>
      </w:r>
      <w:r>
        <w:rPr>
          <w:spacing w:val="-57"/>
        </w:rPr>
        <w:t> </w:t>
      </w:r>
      <w:r>
        <w:rPr>
          <w:rFonts w:ascii="Times New Roman" w:hAnsi="Times New Roman" w:cs="Times New Roman" w:eastAsia="Times New Roman" w:hint="default"/>
          <w:w w:val="99"/>
        </w:rPr>
        <w:t>28,000</w:t>
      </w:r>
      <w:r>
        <w:rPr>
          <w:rFonts w:ascii="Times New Roman" w:hAnsi="Times New Roman" w:cs="Times New Roman" w:eastAsia="Times New Roman" w:hint="default"/>
        </w:rPr>
      </w:r>
    </w:p>
    <w:p>
      <w:pPr>
        <w:pStyle w:val="BodyText"/>
        <w:spacing w:line="400" w:lineRule="auto" w:before="164"/>
        <w:ind w:left="774" w:right="4592" w:hanging="441"/>
        <w:jc w:val="left"/>
      </w:pPr>
      <w:r>
        <w:rPr/>
        <w:t>万元，其中募集资金</w:t>
      </w:r>
      <w:r>
        <w:rPr>
          <w:spacing w:val="-56"/>
        </w:rPr>
        <w:t> </w:t>
      </w:r>
      <w:r>
        <w:rPr>
          <w:rFonts w:ascii="Times New Roman" w:hAnsi="Times New Roman" w:cs="Times New Roman" w:eastAsia="Times New Roman" w:hint="default"/>
        </w:rPr>
        <w:t>19,502.03 </w:t>
      </w:r>
      <w:r>
        <w:rPr/>
        <w:t>万元，利息资金</w:t>
      </w:r>
      <w:r>
        <w:rPr>
          <w:spacing w:val="-56"/>
        </w:rPr>
        <w:t> </w:t>
      </w:r>
      <w:r>
        <w:rPr>
          <w:rFonts w:ascii="Times New Roman" w:hAnsi="Times New Roman" w:cs="Times New Roman" w:eastAsia="Times New Roman" w:hint="default"/>
        </w:rPr>
        <w:t>8,497.97</w:t>
      </w:r>
      <w:r>
        <w:rPr>
          <w:rFonts w:ascii="Times New Roman" w:hAnsi="Times New Roman" w:cs="Times New Roman" w:eastAsia="Times New Roman" w:hint="default"/>
          <w:spacing w:val="-2"/>
        </w:rPr>
        <w:t> </w:t>
      </w:r>
      <w:r>
        <w:rPr/>
        <w:t>万元。</w:t>
      </w:r>
      <w:r>
        <w:rPr>
          <w:w w:val="99"/>
        </w:rPr>
        <w:t> </w:t>
      </w:r>
      <w:r>
        <w:rPr/>
        <w:t>报告期内公司购买商业银行保本型银行理财产品明细如下：</w:t>
      </w:r>
    </w:p>
    <w:p>
      <w:pPr>
        <w:spacing w:before="50"/>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3"/>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502"/>
        <w:gridCol w:w="1418"/>
        <w:gridCol w:w="850"/>
        <w:gridCol w:w="1276"/>
        <w:gridCol w:w="852"/>
        <w:gridCol w:w="1132"/>
        <w:gridCol w:w="1133"/>
        <w:gridCol w:w="996"/>
        <w:gridCol w:w="932"/>
      </w:tblGrid>
      <w:tr>
        <w:trPr>
          <w:trHeight w:val="490" w:hRule="exact"/>
        </w:trPr>
        <w:tc>
          <w:tcPr>
            <w:tcW w:w="15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645" w:right="142" w:hanging="503"/>
              <w:jc w:val="left"/>
              <w:rPr>
                <w:rFonts w:ascii="宋体" w:hAnsi="宋体" w:cs="宋体" w:eastAsia="宋体" w:hint="default"/>
                <w:sz w:val="20"/>
                <w:szCs w:val="20"/>
              </w:rPr>
            </w:pPr>
            <w:r>
              <w:rPr>
                <w:rFonts w:ascii="宋体" w:hAnsi="宋体" w:cs="宋体" w:eastAsia="宋体" w:hint="default"/>
                <w:b/>
                <w:bCs/>
                <w:sz w:val="20"/>
                <w:szCs w:val="20"/>
              </w:rPr>
              <w:t>募集资金开户</w:t>
            </w:r>
            <w:r>
              <w:rPr>
                <w:rFonts w:ascii="宋体" w:hAnsi="宋体" w:cs="宋体" w:eastAsia="宋体" w:hint="default"/>
                <w:b/>
                <w:bCs/>
                <w:w w:val="99"/>
                <w:sz w:val="20"/>
                <w:szCs w:val="20"/>
              </w:rPr>
              <w:t> </w:t>
            </w:r>
            <w:r>
              <w:rPr>
                <w:rFonts w:ascii="宋体" w:hAnsi="宋体" w:cs="宋体" w:eastAsia="宋体" w:hint="default"/>
                <w:b/>
                <w:bCs/>
                <w:sz w:val="20"/>
                <w:szCs w:val="20"/>
              </w:rPr>
              <w:t>行</w:t>
            </w:r>
            <w:r>
              <w:rPr>
                <w:rFonts w:ascii="宋体" w:hAnsi="宋体" w:cs="宋体" w:eastAsia="宋体" w:hint="default"/>
                <w:sz w:val="20"/>
                <w:szCs w:val="20"/>
              </w:rPr>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602" w:right="202" w:hanging="402"/>
              <w:jc w:val="left"/>
              <w:rPr>
                <w:rFonts w:ascii="宋体" w:hAnsi="宋体" w:cs="宋体" w:eastAsia="宋体" w:hint="default"/>
                <w:sz w:val="20"/>
                <w:szCs w:val="20"/>
              </w:rPr>
            </w:pPr>
            <w:r>
              <w:rPr>
                <w:rFonts w:ascii="宋体" w:hAnsi="宋体" w:cs="宋体" w:eastAsia="宋体" w:hint="default"/>
                <w:b/>
                <w:bCs/>
                <w:sz w:val="20"/>
                <w:szCs w:val="20"/>
              </w:rPr>
              <w:t>理财产品名</w:t>
            </w:r>
            <w:r>
              <w:rPr>
                <w:rFonts w:ascii="宋体" w:hAnsi="宋体" w:cs="宋体" w:eastAsia="宋体" w:hint="default"/>
                <w:b/>
                <w:bCs/>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319" w:right="118" w:hanging="201"/>
              <w:jc w:val="left"/>
              <w:rPr>
                <w:rFonts w:ascii="宋体" w:hAnsi="宋体" w:cs="宋体" w:eastAsia="宋体" w:hint="default"/>
                <w:sz w:val="20"/>
                <w:szCs w:val="20"/>
              </w:rPr>
            </w:pPr>
            <w:r>
              <w:rPr>
                <w:rFonts w:ascii="宋体" w:hAnsi="宋体" w:cs="宋体" w:eastAsia="宋体" w:hint="default"/>
                <w:b/>
                <w:bCs/>
                <w:sz w:val="20"/>
                <w:szCs w:val="20"/>
              </w:rPr>
              <w:t>收益类</w:t>
            </w:r>
            <w:r>
              <w:rPr>
                <w:rFonts w:ascii="宋体" w:hAnsi="宋体" w:cs="宋体" w:eastAsia="宋体" w:hint="default"/>
                <w:b/>
                <w:bCs/>
                <w:w w:val="99"/>
                <w:sz w:val="20"/>
                <w:szCs w:val="20"/>
              </w:rPr>
              <w:t> </w:t>
            </w:r>
            <w:r>
              <w:rPr>
                <w:rFonts w:ascii="宋体" w:hAnsi="宋体" w:cs="宋体" w:eastAsia="宋体" w:hint="default"/>
                <w:b/>
                <w:bCs/>
                <w:sz w:val="20"/>
                <w:szCs w:val="20"/>
              </w:rPr>
              <w:t>型</w:t>
            </w:r>
            <w:r>
              <w:rPr>
                <w:rFonts w:ascii="宋体" w:hAnsi="宋体" w:cs="宋体" w:eastAsia="宋体" w:hint="default"/>
                <w:sz w:val="20"/>
                <w:szCs w:val="20"/>
              </w:rPr>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431" w:right="130" w:hanging="302"/>
              <w:jc w:val="left"/>
              <w:rPr>
                <w:rFonts w:ascii="宋体" w:hAnsi="宋体" w:cs="宋体" w:eastAsia="宋体" w:hint="default"/>
                <w:sz w:val="20"/>
                <w:szCs w:val="20"/>
              </w:rPr>
            </w:pPr>
            <w:r>
              <w:rPr>
                <w:rFonts w:ascii="宋体" w:hAnsi="宋体" w:cs="宋体" w:eastAsia="宋体" w:hint="default"/>
                <w:b/>
                <w:bCs/>
                <w:sz w:val="20"/>
                <w:szCs w:val="20"/>
              </w:rPr>
              <w:t>预期年化收</w:t>
            </w:r>
            <w:r>
              <w:rPr>
                <w:rFonts w:ascii="宋体" w:hAnsi="宋体" w:cs="宋体" w:eastAsia="宋体" w:hint="default"/>
                <w:b/>
                <w:bCs/>
                <w:w w:val="99"/>
                <w:sz w:val="20"/>
                <w:szCs w:val="20"/>
              </w:rPr>
              <w:t> </w:t>
            </w:r>
            <w:r>
              <w:rPr>
                <w:rFonts w:ascii="宋体" w:hAnsi="宋体" w:cs="宋体" w:eastAsia="宋体" w:hint="default"/>
                <w:b/>
                <w:bCs/>
                <w:sz w:val="20"/>
                <w:szCs w:val="20"/>
              </w:rPr>
              <w:t>益率</w:t>
            </w:r>
            <w:r>
              <w:rPr>
                <w:rFonts w:ascii="宋体" w:hAnsi="宋体" w:cs="宋体" w:eastAsia="宋体" w:hint="default"/>
                <w:sz w:val="20"/>
                <w:szCs w:val="20"/>
              </w:rPr>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320" w:right="118" w:hanging="201"/>
              <w:jc w:val="left"/>
              <w:rPr>
                <w:rFonts w:ascii="宋体" w:hAnsi="宋体" w:cs="宋体" w:eastAsia="宋体" w:hint="default"/>
                <w:sz w:val="20"/>
                <w:szCs w:val="20"/>
              </w:rPr>
            </w:pPr>
            <w:r>
              <w:rPr>
                <w:rFonts w:ascii="宋体" w:hAnsi="宋体" w:cs="宋体" w:eastAsia="宋体" w:hint="default"/>
                <w:b/>
                <w:bCs/>
                <w:sz w:val="20"/>
                <w:szCs w:val="20"/>
              </w:rPr>
              <w:t>期初余</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259" w:right="157" w:hanging="100"/>
              <w:jc w:val="left"/>
              <w:rPr>
                <w:rFonts w:ascii="宋体" w:hAnsi="宋体" w:cs="宋体" w:eastAsia="宋体" w:hint="default"/>
                <w:sz w:val="20"/>
                <w:szCs w:val="20"/>
              </w:rPr>
            </w:pPr>
            <w:r>
              <w:rPr>
                <w:rFonts w:ascii="宋体" w:hAnsi="宋体" w:cs="宋体" w:eastAsia="宋体" w:hint="default"/>
                <w:b/>
                <w:bCs/>
                <w:sz w:val="20"/>
                <w:szCs w:val="20"/>
              </w:rPr>
              <w:t>本期理财</w:t>
            </w:r>
            <w:r>
              <w:rPr>
                <w:rFonts w:ascii="宋体" w:hAnsi="宋体" w:cs="宋体" w:eastAsia="宋体" w:hint="default"/>
                <w:b/>
                <w:bCs/>
                <w:w w:val="99"/>
                <w:sz w:val="20"/>
                <w:szCs w:val="20"/>
              </w:rPr>
              <w:t> </w:t>
            </w:r>
            <w:r>
              <w:rPr>
                <w:rFonts w:ascii="宋体" w:hAnsi="宋体" w:cs="宋体" w:eastAsia="宋体" w:hint="default"/>
                <w:b/>
                <w:bCs/>
                <w:sz w:val="20"/>
                <w:szCs w:val="20"/>
              </w:rPr>
              <w:t>发生额</w:t>
            </w:r>
            <w:r>
              <w:rPr>
                <w:rFonts w:ascii="宋体" w:hAnsi="宋体" w:cs="宋体" w:eastAsia="宋体" w:hint="default"/>
                <w:sz w:val="20"/>
                <w:szCs w:val="20"/>
              </w:rPr>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657"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103" w:right="15" w:firstLine="56"/>
              <w:jc w:val="left"/>
              <w:rPr>
                <w:rFonts w:ascii="宋体" w:hAnsi="宋体" w:cs="宋体" w:eastAsia="宋体" w:hint="default"/>
                <w:sz w:val="20"/>
                <w:szCs w:val="20"/>
              </w:rPr>
            </w:pPr>
            <w:r>
              <w:rPr>
                <w:rFonts w:ascii="宋体" w:hAnsi="宋体" w:cs="宋体" w:eastAsia="宋体" w:hint="default"/>
                <w:b/>
                <w:bCs/>
                <w:sz w:val="20"/>
                <w:szCs w:val="20"/>
              </w:rPr>
              <w:t>理财期</w:t>
            </w:r>
            <w:r>
              <w:rPr>
                <w:rFonts w:ascii="宋体" w:hAnsi="宋体" w:cs="宋体" w:eastAsia="宋体" w:hint="default"/>
                <w:b/>
                <w:bCs/>
                <w:w w:val="99"/>
                <w:sz w:val="20"/>
                <w:szCs w:val="20"/>
              </w:rPr>
              <w:t> </w:t>
            </w:r>
            <w:r>
              <w:rPr>
                <w:rFonts w:ascii="宋体" w:hAnsi="宋体" w:cs="宋体" w:eastAsia="宋体" w:hint="default"/>
                <w:b/>
                <w:bCs/>
                <w:sz w:val="20"/>
                <w:szCs w:val="20"/>
              </w:rPr>
              <w:t>限（天）</w:t>
            </w:r>
            <w:r>
              <w:rPr>
                <w:rFonts w:ascii="宋体" w:hAnsi="宋体" w:cs="宋体" w:eastAsia="宋体" w:hint="default"/>
                <w:sz w:val="20"/>
                <w:szCs w:val="20"/>
              </w:rPr>
            </w:r>
          </w:p>
        </w:tc>
      </w:tr>
      <w:tr>
        <w:trPr>
          <w:trHeight w:val="490" w:hRule="exact"/>
        </w:trPr>
        <w:tc>
          <w:tcPr>
            <w:tcW w:w="1502"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132"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59" w:right="0"/>
              <w:jc w:val="left"/>
              <w:rPr>
                <w:rFonts w:ascii="宋体" w:hAnsi="宋体" w:cs="宋体" w:eastAsia="宋体" w:hint="default"/>
                <w:sz w:val="20"/>
                <w:szCs w:val="20"/>
              </w:rPr>
            </w:pPr>
            <w:r>
              <w:rPr>
                <w:rFonts w:ascii="宋体" w:hAnsi="宋体" w:cs="宋体" w:eastAsia="宋体" w:hint="default"/>
                <w:b/>
                <w:bCs/>
                <w:sz w:val="20"/>
                <w:szCs w:val="20"/>
              </w:rPr>
              <w:t>募集资金</w:t>
            </w:r>
            <w:r>
              <w:rPr>
                <w:rFonts w:ascii="宋体" w:hAnsi="宋体" w:cs="宋体" w:eastAsia="宋体" w:hint="default"/>
                <w:sz w:val="20"/>
                <w:szCs w:val="20"/>
              </w:rPr>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91" w:right="0"/>
              <w:jc w:val="left"/>
              <w:rPr>
                <w:rFonts w:ascii="宋体" w:hAnsi="宋体" w:cs="宋体" w:eastAsia="宋体" w:hint="default"/>
                <w:sz w:val="20"/>
                <w:szCs w:val="20"/>
              </w:rPr>
            </w:pPr>
            <w:r>
              <w:rPr>
                <w:rFonts w:ascii="宋体" w:hAnsi="宋体" w:cs="宋体" w:eastAsia="宋体" w:hint="default"/>
                <w:b/>
                <w:bCs/>
                <w:sz w:val="20"/>
                <w:szCs w:val="20"/>
              </w:rPr>
              <w:t>利息</w:t>
            </w:r>
            <w:r>
              <w:rPr>
                <w:rFonts w:ascii="宋体" w:hAnsi="宋体" w:cs="宋体" w:eastAsia="宋体" w:hint="default"/>
                <w:sz w:val="20"/>
                <w:szCs w:val="20"/>
              </w:rPr>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869"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4"/>
              <w:ind w:left="103" w:right="185"/>
              <w:jc w:val="left"/>
              <w:rPr>
                <w:rFonts w:ascii="宋体" w:hAnsi="宋体" w:cs="宋体" w:eastAsia="宋体" w:hint="default"/>
                <w:sz w:val="20"/>
                <w:szCs w:val="20"/>
              </w:rPr>
            </w:pPr>
            <w:r>
              <w:rPr>
                <w:rFonts w:ascii="宋体" w:hAnsi="宋体" w:cs="宋体" w:eastAsia="宋体" w:hint="default"/>
                <w:sz w:val="20"/>
                <w:szCs w:val="20"/>
              </w:rPr>
              <w:t>农业银行南京</w:t>
            </w:r>
            <w:r>
              <w:rPr>
                <w:rFonts w:ascii="宋体" w:hAnsi="宋体" w:cs="宋体" w:eastAsia="宋体" w:hint="default"/>
                <w:w w:val="100"/>
                <w:sz w:val="20"/>
                <w:szCs w:val="20"/>
              </w:rPr>
              <w:t> </w:t>
            </w:r>
            <w:r>
              <w:rPr>
                <w:rFonts w:ascii="宋体" w:hAnsi="宋体" w:cs="宋体" w:eastAsia="宋体" w:hint="default"/>
                <w:sz w:val="20"/>
                <w:szCs w:val="20"/>
              </w:rPr>
              <w:t>洪武路支行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1" w:right="103"/>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汇利丰</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年对公定制人</w:t>
            </w:r>
            <w:r>
              <w:rPr>
                <w:rFonts w:ascii="宋体" w:hAnsi="宋体" w:cs="宋体" w:eastAsia="宋体" w:hint="default"/>
                <w:w w:val="100"/>
                <w:sz w:val="20"/>
                <w:szCs w:val="20"/>
              </w:rPr>
              <w:t> </w:t>
            </w:r>
            <w:r>
              <w:rPr>
                <w:rFonts w:ascii="宋体" w:hAnsi="宋体" w:cs="宋体" w:eastAsia="宋体" w:hint="default"/>
                <w:sz w:val="20"/>
                <w:szCs w:val="20"/>
              </w:rPr>
              <w:t>民币理财产品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4"/>
              <w:ind w:left="103" w:right="133"/>
              <w:jc w:val="left"/>
              <w:rPr>
                <w:rFonts w:ascii="宋体" w:hAnsi="宋体" w:cs="宋体" w:eastAsia="宋体" w:hint="default"/>
                <w:sz w:val="20"/>
                <w:szCs w:val="20"/>
              </w:rPr>
            </w:pPr>
            <w:r>
              <w:rPr>
                <w:rFonts w:ascii="宋体" w:hAnsi="宋体" w:cs="宋体" w:eastAsia="宋体" w:hint="default"/>
                <w:sz w:val="20"/>
                <w:szCs w:val="20"/>
              </w:rPr>
              <w:t>保本浮</w:t>
            </w:r>
            <w:r>
              <w:rPr>
                <w:rFonts w:ascii="宋体" w:hAnsi="宋体" w:cs="宋体" w:eastAsia="宋体" w:hint="default"/>
                <w:w w:val="100"/>
                <w:sz w:val="20"/>
                <w:szCs w:val="20"/>
              </w:rPr>
              <w:t> </w:t>
            </w:r>
            <w:r>
              <w:rPr>
                <w:rFonts w:ascii="宋体" w:hAnsi="宋体" w:cs="宋体" w:eastAsia="宋体" w:hint="default"/>
                <w:sz w:val="20"/>
                <w:szCs w:val="20"/>
              </w:rPr>
              <w:t>动收益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17,000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41,000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100"/>
                <w:sz w:val="20"/>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39-50</w:t>
            </w:r>
          </w:p>
        </w:tc>
      </w:tr>
      <w:tr>
        <w:trPr>
          <w:trHeight w:val="86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185"/>
              <w:jc w:val="left"/>
              <w:rPr>
                <w:rFonts w:ascii="宋体" w:hAnsi="宋体" w:cs="宋体" w:eastAsia="宋体" w:hint="default"/>
                <w:sz w:val="20"/>
                <w:szCs w:val="20"/>
              </w:rPr>
            </w:pPr>
            <w:r>
              <w:rPr>
                <w:rFonts w:ascii="宋体" w:hAnsi="宋体" w:cs="宋体" w:eastAsia="宋体" w:hint="default"/>
                <w:sz w:val="20"/>
                <w:szCs w:val="20"/>
              </w:rPr>
              <w:t>农业银行南京</w:t>
            </w:r>
            <w:r>
              <w:rPr>
                <w:rFonts w:ascii="宋体" w:hAnsi="宋体" w:cs="宋体" w:eastAsia="宋体" w:hint="default"/>
                <w:w w:val="100"/>
                <w:sz w:val="20"/>
                <w:szCs w:val="20"/>
              </w:rPr>
              <w:t> </w:t>
            </w:r>
            <w:r>
              <w:rPr>
                <w:rFonts w:ascii="宋体" w:hAnsi="宋体" w:cs="宋体" w:eastAsia="宋体" w:hint="default"/>
                <w:sz w:val="20"/>
                <w:szCs w:val="20"/>
              </w:rPr>
              <w:t>洪武路支行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1"/>
              <w:ind w:left="101" w:right="215"/>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本利丰</w:t>
            </w:r>
            <w:r>
              <w:rPr>
                <w:rFonts w:ascii="Times New Roman" w:hAnsi="Times New Roman" w:cs="Times New Roman" w:eastAsia="Times New Roman" w:hint="default"/>
                <w:sz w:val="20"/>
                <w:szCs w:val="20"/>
              </w:rPr>
              <w:t>·62</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天</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人民币理</w:t>
            </w:r>
            <w:r>
              <w:rPr>
                <w:rFonts w:ascii="宋体" w:hAnsi="宋体" w:cs="宋体" w:eastAsia="宋体" w:hint="default"/>
                <w:w w:val="100"/>
                <w:sz w:val="20"/>
                <w:szCs w:val="20"/>
              </w:rPr>
              <w:t> </w:t>
            </w:r>
            <w:r>
              <w:rPr>
                <w:rFonts w:ascii="宋体" w:hAnsi="宋体" w:cs="宋体" w:eastAsia="宋体" w:hint="default"/>
                <w:sz w:val="20"/>
                <w:szCs w:val="20"/>
              </w:rPr>
              <w:t>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133"/>
              <w:jc w:val="left"/>
              <w:rPr>
                <w:rFonts w:ascii="宋体" w:hAnsi="宋体" w:cs="宋体" w:eastAsia="宋体" w:hint="default"/>
                <w:sz w:val="20"/>
                <w:szCs w:val="20"/>
              </w:rPr>
            </w:pPr>
            <w:r>
              <w:rPr>
                <w:rFonts w:ascii="宋体" w:hAnsi="宋体" w:cs="宋体" w:eastAsia="宋体" w:hint="default"/>
                <w:sz w:val="20"/>
                <w:szCs w:val="20"/>
              </w:rPr>
              <w:t>保本保</w:t>
            </w:r>
            <w:r>
              <w:rPr>
                <w:rFonts w:ascii="宋体" w:hAnsi="宋体" w:cs="宋体" w:eastAsia="宋体" w:hint="default"/>
                <w:w w:val="100"/>
                <w:sz w:val="20"/>
                <w:szCs w:val="20"/>
              </w:rPr>
              <w:t> </w:t>
            </w:r>
            <w:r>
              <w:rPr>
                <w:rFonts w:ascii="宋体" w:hAnsi="宋体" w:cs="宋体" w:eastAsia="宋体" w:hint="default"/>
                <w:sz w:val="20"/>
                <w:szCs w:val="20"/>
              </w:rPr>
              <w:t>证收益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100"/>
                <w:sz w:val="20"/>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61-62</w:t>
            </w:r>
          </w:p>
        </w:tc>
      </w:tr>
      <w:tr>
        <w:trPr>
          <w:trHeight w:val="610"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3" w:right="185"/>
              <w:jc w:val="left"/>
              <w:rPr>
                <w:rFonts w:ascii="宋体" w:hAnsi="宋体" w:cs="宋体" w:eastAsia="宋体" w:hint="default"/>
                <w:sz w:val="20"/>
                <w:szCs w:val="20"/>
              </w:rPr>
            </w:pPr>
            <w:r>
              <w:rPr>
                <w:rFonts w:ascii="宋体" w:hAnsi="宋体" w:cs="宋体" w:eastAsia="宋体" w:hint="default"/>
                <w:sz w:val="20"/>
                <w:szCs w:val="20"/>
              </w:rPr>
              <w:t>农业银行南京</w:t>
            </w:r>
            <w:r>
              <w:rPr>
                <w:rFonts w:ascii="宋体" w:hAnsi="宋体" w:cs="宋体" w:eastAsia="宋体" w:hint="default"/>
                <w:w w:val="100"/>
                <w:sz w:val="20"/>
                <w:szCs w:val="20"/>
              </w:rPr>
              <w:t> </w:t>
            </w:r>
            <w:r>
              <w:rPr>
                <w:rFonts w:ascii="宋体" w:hAnsi="宋体" w:cs="宋体" w:eastAsia="宋体" w:hint="default"/>
                <w:sz w:val="20"/>
                <w:szCs w:val="20"/>
              </w:rPr>
              <w:t>洪武路支行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1" w:right="0"/>
              <w:jc w:val="left"/>
              <w:rPr>
                <w:rFonts w:ascii="宋体" w:hAnsi="宋体" w:cs="宋体" w:eastAsia="宋体" w:hint="default"/>
                <w:sz w:val="20"/>
                <w:szCs w:val="20"/>
              </w:rPr>
            </w:pPr>
            <w:r>
              <w:rPr>
                <w:rFonts w:ascii="宋体" w:hAnsi="宋体" w:cs="宋体" w:eastAsia="宋体" w:hint="default"/>
                <w:sz w:val="20"/>
                <w:szCs w:val="20"/>
              </w:rPr>
              <w:t>本利丰步步高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3" w:right="133"/>
              <w:jc w:val="left"/>
              <w:rPr>
                <w:rFonts w:ascii="宋体" w:hAnsi="宋体" w:cs="宋体" w:eastAsia="宋体" w:hint="default"/>
                <w:sz w:val="20"/>
                <w:szCs w:val="20"/>
              </w:rPr>
            </w:pPr>
            <w:r>
              <w:rPr>
                <w:rFonts w:ascii="宋体" w:hAnsi="宋体" w:cs="宋体" w:eastAsia="宋体" w:hint="default"/>
                <w:sz w:val="20"/>
                <w:szCs w:val="20"/>
              </w:rPr>
              <w:t>保本浮</w:t>
            </w:r>
            <w:r>
              <w:rPr>
                <w:rFonts w:ascii="宋体" w:hAnsi="宋体" w:cs="宋体" w:eastAsia="宋体" w:hint="default"/>
                <w:w w:val="100"/>
                <w:sz w:val="20"/>
                <w:szCs w:val="20"/>
              </w:rPr>
              <w:t> </w:t>
            </w:r>
            <w:r>
              <w:rPr>
                <w:rFonts w:ascii="宋体" w:hAnsi="宋体" w:cs="宋体" w:eastAsia="宋体" w:hint="default"/>
                <w:sz w:val="20"/>
                <w:szCs w:val="20"/>
              </w:rPr>
              <w:t>动收益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1.9%-3.05%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4,000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100"/>
                <w:sz w:val="20"/>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2-60</w:t>
            </w:r>
            <w:r>
              <w:rPr>
                <w:rFonts w:ascii="Times New Roman"/>
                <w:sz w:val="20"/>
              </w:rPr>
            </w:r>
          </w:p>
        </w:tc>
      </w:tr>
      <w:tr>
        <w:trPr>
          <w:trHeight w:val="60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85"/>
              <w:jc w:val="left"/>
              <w:rPr>
                <w:rFonts w:ascii="宋体" w:hAnsi="宋体" w:cs="宋体" w:eastAsia="宋体" w:hint="default"/>
                <w:sz w:val="20"/>
                <w:szCs w:val="20"/>
              </w:rPr>
            </w:pPr>
            <w:r>
              <w:rPr>
                <w:rFonts w:ascii="宋体" w:hAnsi="宋体" w:cs="宋体" w:eastAsia="宋体" w:hint="default"/>
                <w:sz w:val="20"/>
                <w:szCs w:val="20"/>
              </w:rPr>
              <w:t>光大银行南京</w:t>
            </w:r>
            <w:r>
              <w:rPr>
                <w:rFonts w:ascii="宋体" w:hAnsi="宋体" w:cs="宋体" w:eastAsia="宋体" w:hint="default"/>
                <w:w w:val="100"/>
                <w:sz w:val="20"/>
                <w:szCs w:val="20"/>
              </w:rPr>
              <w:t> </w:t>
            </w:r>
            <w:r>
              <w:rPr>
                <w:rFonts w:ascii="宋体" w:hAnsi="宋体" w:cs="宋体" w:eastAsia="宋体" w:hint="default"/>
                <w:sz w:val="20"/>
                <w:szCs w:val="20"/>
              </w:rPr>
              <w:t>分行营业部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33"/>
              <w:jc w:val="left"/>
              <w:rPr>
                <w:rFonts w:ascii="宋体" w:hAnsi="宋体" w:cs="宋体" w:eastAsia="宋体" w:hint="default"/>
                <w:sz w:val="20"/>
                <w:szCs w:val="20"/>
              </w:rPr>
            </w:pPr>
            <w:r>
              <w:rPr>
                <w:rFonts w:ascii="宋体" w:hAnsi="宋体" w:cs="宋体" w:eastAsia="宋体" w:hint="default"/>
                <w:sz w:val="20"/>
                <w:szCs w:val="20"/>
              </w:rPr>
              <w:t>保本保</w:t>
            </w:r>
            <w:r>
              <w:rPr>
                <w:rFonts w:ascii="宋体" w:hAnsi="宋体" w:cs="宋体" w:eastAsia="宋体" w:hint="default"/>
                <w:w w:val="100"/>
                <w:sz w:val="20"/>
                <w:szCs w:val="20"/>
              </w:rPr>
              <w:t> </w:t>
            </w:r>
            <w:r>
              <w:rPr>
                <w:rFonts w:ascii="宋体" w:hAnsi="宋体" w:cs="宋体" w:eastAsia="宋体" w:hint="default"/>
                <w:sz w:val="20"/>
                <w:szCs w:val="20"/>
              </w:rPr>
              <w:t>证收益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3.4%-4.76%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19,502.03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8,497.97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90-184</w:t>
            </w:r>
          </w:p>
        </w:tc>
      </w:tr>
      <w:tr>
        <w:trPr>
          <w:trHeight w:val="86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185"/>
              <w:jc w:val="left"/>
              <w:rPr>
                <w:rFonts w:ascii="宋体" w:hAnsi="宋体" w:cs="宋体" w:eastAsia="宋体" w:hint="default"/>
                <w:sz w:val="20"/>
                <w:szCs w:val="20"/>
              </w:rPr>
            </w:pPr>
            <w:r>
              <w:rPr>
                <w:rFonts w:ascii="宋体" w:hAnsi="宋体" w:cs="宋体" w:eastAsia="宋体" w:hint="default"/>
                <w:sz w:val="20"/>
                <w:szCs w:val="20"/>
              </w:rPr>
              <w:t>民生银行南京</w:t>
            </w:r>
            <w:r>
              <w:rPr>
                <w:rFonts w:ascii="宋体" w:hAnsi="宋体" w:cs="宋体" w:eastAsia="宋体" w:hint="default"/>
                <w:w w:val="100"/>
                <w:sz w:val="20"/>
                <w:szCs w:val="20"/>
              </w:rPr>
              <w:t> </w:t>
            </w:r>
            <w:r>
              <w:rPr>
                <w:rFonts w:ascii="宋体" w:hAnsi="宋体" w:cs="宋体" w:eastAsia="宋体" w:hint="default"/>
                <w:sz w:val="20"/>
                <w:szCs w:val="20"/>
              </w:rPr>
              <w:t>新街口支行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1" w:right="103"/>
              <w:jc w:val="both"/>
              <w:rPr>
                <w:rFonts w:ascii="宋体" w:hAnsi="宋体" w:cs="宋体" w:eastAsia="宋体" w:hint="default"/>
                <w:sz w:val="20"/>
                <w:szCs w:val="20"/>
              </w:rPr>
            </w:pPr>
            <w:r>
              <w:rPr>
                <w:rFonts w:ascii="宋体" w:hAnsi="宋体" w:cs="宋体" w:eastAsia="宋体" w:hint="default"/>
                <w:sz w:val="20"/>
                <w:szCs w:val="20"/>
              </w:rPr>
              <w:t>非凡资产管理</w:t>
            </w:r>
            <w:r>
              <w:rPr>
                <w:rFonts w:ascii="宋体" w:hAnsi="宋体" w:cs="宋体" w:eastAsia="宋体" w:hint="default"/>
                <w:w w:val="100"/>
                <w:sz w:val="20"/>
                <w:szCs w:val="20"/>
              </w:rPr>
              <w:t> </w:t>
            </w:r>
            <w:r>
              <w:rPr>
                <w:rFonts w:ascii="宋体" w:hAnsi="宋体" w:cs="宋体" w:eastAsia="宋体" w:hint="default"/>
                <w:sz w:val="20"/>
                <w:szCs w:val="20"/>
              </w:rPr>
              <w:t>安赢系列理财</w:t>
            </w:r>
            <w:r>
              <w:rPr>
                <w:rFonts w:ascii="宋体" w:hAnsi="宋体" w:cs="宋体" w:eastAsia="宋体" w:hint="default"/>
                <w:w w:val="100"/>
                <w:sz w:val="20"/>
                <w:szCs w:val="20"/>
              </w:rPr>
              <w:t> </w:t>
            </w:r>
            <w:r>
              <w:rPr>
                <w:rFonts w:ascii="宋体" w:hAnsi="宋体" w:cs="宋体" w:eastAsia="宋体" w:hint="default"/>
                <w:sz w:val="20"/>
                <w:szCs w:val="20"/>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133"/>
              <w:jc w:val="left"/>
              <w:rPr>
                <w:rFonts w:ascii="宋体" w:hAnsi="宋体" w:cs="宋体" w:eastAsia="宋体" w:hint="default"/>
                <w:sz w:val="20"/>
                <w:szCs w:val="20"/>
              </w:rPr>
            </w:pPr>
            <w:r>
              <w:rPr>
                <w:rFonts w:ascii="宋体" w:hAnsi="宋体" w:cs="宋体" w:eastAsia="宋体" w:hint="default"/>
                <w:sz w:val="20"/>
                <w:szCs w:val="20"/>
              </w:rPr>
              <w:t>保本浮</w:t>
            </w:r>
            <w:r>
              <w:rPr>
                <w:rFonts w:ascii="宋体" w:hAnsi="宋体" w:cs="宋体" w:eastAsia="宋体" w:hint="default"/>
                <w:w w:val="100"/>
                <w:sz w:val="20"/>
                <w:szCs w:val="20"/>
              </w:rPr>
              <w:t> </w:t>
            </w:r>
            <w:r>
              <w:rPr>
                <w:rFonts w:ascii="宋体" w:hAnsi="宋体" w:cs="宋体" w:eastAsia="宋体" w:hint="default"/>
                <w:sz w:val="20"/>
                <w:szCs w:val="20"/>
              </w:rPr>
              <w:t>动收益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4.2%-4.4%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6,000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100"/>
                <w:sz w:val="20"/>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35-61</w:t>
            </w:r>
          </w:p>
        </w:tc>
      </w:tr>
      <w:tr>
        <w:trPr>
          <w:trHeight w:val="869"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4"/>
              <w:ind w:left="103" w:right="185"/>
              <w:jc w:val="left"/>
              <w:rPr>
                <w:rFonts w:ascii="宋体" w:hAnsi="宋体" w:cs="宋体" w:eastAsia="宋体" w:hint="default"/>
                <w:sz w:val="20"/>
                <w:szCs w:val="20"/>
              </w:rPr>
            </w:pPr>
            <w:r>
              <w:rPr>
                <w:rFonts w:ascii="宋体" w:hAnsi="宋体" w:cs="宋体" w:eastAsia="宋体" w:hint="default"/>
                <w:sz w:val="20"/>
                <w:szCs w:val="20"/>
              </w:rPr>
              <w:t>交通银行江苏</w:t>
            </w:r>
            <w:r>
              <w:rPr>
                <w:rFonts w:ascii="宋体" w:hAnsi="宋体" w:cs="宋体" w:eastAsia="宋体" w:hint="default"/>
                <w:w w:val="100"/>
                <w:sz w:val="20"/>
                <w:szCs w:val="20"/>
              </w:rPr>
              <w:t> </w:t>
            </w:r>
            <w:r>
              <w:rPr>
                <w:rFonts w:ascii="宋体" w:hAnsi="宋体" w:cs="宋体" w:eastAsia="宋体" w:hint="default"/>
                <w:sz w:val="20"/>
                <w:szCs w:val="20"/>
              </w:rPr>
              <w:t>省分行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1" w:right="101"/>
              <w:jc w:val="left"/>
              <w:rPr>
                <w:rFonts w:ascii="宋体" w:hAnsi="宋体" w:cs="宋体" w:eastAsia="宋体" w:hint="default"/>
                <w:sz w:val="20"/>
                <w:szCs w:val="20"/>
              </w:rPr>
            </w:pPr>
            <w:r>
              <w:rPr>
                <w:rFonts w:ascii="宋体" w:hAnsi="宋体" w:cs="宋体" w:eastAsia="宋体" w:hint="default"/>
                <w:sz w:val="20"/>
                <w:szCs w:val="20"/>
              </w:rPr>
              <w:t>蕴通财富</w:t>
            </w:r>
            <w:r>
              <w:rPr>
                <w:rFonts w:ascii="Times New Roman" w:hAnsi="Times New Roman" w:cs="Times New Roman" w:eastAsia="Times New Roman" w:hint="default"/>
                <w:sz w:val="20"/>
                <w:szCs w:val="20"/>
              </w:rPr>
              <w:t>.</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增利</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S</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款集合</w:t>
            </w:r>
            <w:r>
              <w:rPr>
                <w:rFonts w:ascii="宋体" w:hAnsi="宋体" w:cs="宋体" w:eastAsia="宋体" w:hint="default"/>
                <w:w w:val="100"/>
                <w:sz w:val="20"/>
                <w:szCs w:val="20"/>
              </w:rPr>
              <w:t> </w:t>
            </w:r>
            <w:r>
              <w:rPr>
                <w:rFonts w:ascii="宋体" w:hAnsi="宋体" w:cs="宋体" w:eastAsia="宋体" w:hint="default"/>
                <w:sz w:val="20"/>
                <w:szCs w:val="20"/>
              </w:rPr>
              <w:t>理财计划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4"/>
              <w:ind w:left="103" w:right="133"/>
              <w:jc w:val="left"/>
              <w:rPr>
                <w:rFonts w:ascii="宋体" w:hAnsi="宋体" w:cs="宋体" w:eastAsia="宋体" w:hint="default"/>
                <w:sz w:val="20"/>
                <w:szCs w:val="20"/>
              </w:rPr>
            </w:pPr>
            <w:r>
              <w:rPr>
                <w:rFonts w:ascii="宋体" w:hAnsi="宋体" w:cs="宋体" w:eastAsia="宋体" w:hint="default"/>
                <w:sz w:val="20"/>
                <w:szCs w:val="20"/>
              </w:rPr>
              <w:t>保本浮</w:t>
            </w:r>
            <w:r>
              <w:rPr>
                <w:rFonts w:ascii="宋体" w:hAnsi="宋体" w:cs="宋体" w:eastAsia="宋体" w:hint="default"/>
                <w:w w:val="100"/>
                <w:sz w:val="20"/>
                <w:szCs w:val="20"/>
              </w:rPr>
              <w:t> </w:t>
            </w:r>
            <w:r>
              <w:rPr>
                <w:rFonts w:ascii="宋体" w:hAnsi="宋体" w:cs="宋体" w:eastAsia="宋体" w:hint="default"/>
                <w:sz w:val="20"/>
                <w:szCs w:val="20"/>
              </w:rPr>
              <w:t>动收益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2.55%-3.6%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7,300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26,800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100"/>
                <w:sz w:val="20"/>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sz w:val="20"/>
                <w:szCs w:val="20"/>
              </w:rPr>
              <w:t>不定期</w:t>
            </w:r>
          </w:p>
        </w:tc>
      </w:tr>
      <w:tr>
        <w:trPr>
          <w:trHeight w:val="86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185"/>
              <w:jc w:val="left"/>
              <w:rPr>
                <w:rFonts w:ascii="宋体" w:hAnsi="宋体" w:cs="宋体" w:eastAsia="宋体" w:hint="default"/>
                <w:sz w:val="20"/>
                <w:szCs w:val="20"/>
              </w:rPr>
            </w:pPr>
            <w:r>
              <w:rPr>
                <w:rFonts w:ascii="宋体" w:hAnsi="宋体" w:cs="宋体" w:eastAsia="宋体" w:hint="default"/>
                <w:sz w:val="20"/>
                <w:szCs w:val="20"/>
              </w:rPr>
              <w:t>交通银行江苏</w:t>
            </w:r>
            <w:r>
              <w:rPr>
                <w:rFonts w:ascii="宋体" w:hAnsi="宋体" w:cs="宋体" w:eastAsia="宋体" w:hint="default"/>
                <w:w w:val="100"/>
                <w:sz w:val="20"/>
                <w:szCs w:val="20"/>
              </w:rPr>
              <w:t> </w:t>
            </w:r>
            <w:r>
              <w:rPr>
                <w:rFonts w:ascii="宋体" w:hAnsi="宋体" w:cs="宋体" w:eastAsia="宋体" w:hint="default"/>
                <w:sz w:val="20"/>
                <w:szCs w:val="20"/>
              </w:rPr>
              <w:t>省分行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1" w:right="103"/>
              <w:jc w:val="left"/>
              <w:rPr>
                <w:rFonts w:ascii="宋体" w:hAnsi="宋体" w:cs="宋体" w:eastAsia="宋体" w:hint="default"/>
                <w:sz w:val="20"/>
                <w:szCs w:val="20"/>
              </w:rPr>
            </w:pPr>
            <w:r>
              <w:rPr>
                <w:rFonts w:ascii="宋体" w:hAnsi="宋体" w:cs="宋体" w:eastAsia="宋体" w:hint="default"/>
                <w:sz w:val="20"/>
                <w:szCs w:val="20"/>
              </w:rPr>
              <w:t>蕴通财富</w:t>
            </w:r>
            <w:r>
              <w:rPr>
                <w:rFonts w:ascii="Times New Roman" w:hAnsi="Times New Roman" w:cs="Times New Roman" w:eastAsia="Times New Roman" w:hint="default"/>
                <w:sz w:val="20"/>
                <w:szCs w:val="20"/>
              </w:rPr>
              <w:t>.</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增利集合理财</w:t>
            </w:r>
            <w:r>
              <w:rPr>
                <w:rFonts w:ascii="宋体" w:hAnsi="宋体" w:cs="宋体" w:eastAsia="宋体" w:hint="default"/>
                <w:w w:val="100"/>
                <w:sz w:val="20"/>
                <w:szCs w:val="20"/>
              </w:rPr>
              <w:t> </w:t>
            </w:r>
            <w:r>
              <w:rPr>
                <w:rFonts w:ascii="宋体" w:hAnsi="宋体" w:cs="宋体" w:eastAsia="宋体" w:hint="default"/>
                <w:sz w:val="20"/>
                <w:szCs w:val="20"/>
              </w:rPr>
              <w:t>计划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133"/>
              <w:jc w:val="left"/>
              <w:rPr>
                <w:rFonts w:ascii="宋体" w:hAnsi="宋体" w:cs="宋体" w:eastAsia="宋体" w:hint="default"/>
                <w:sz w:val="20"/>
                <w:szCs w:val="20"/>
              </w:rPr>
            </w:pPr>
            <w:r>
              <w:rPr>
                <w:rFonts w:ascii="宋体" w:hAnsi="宋体" w:cs="宋体" w:eastAsia="宋体" w:hint="default"/>
                <w:sz w:val="20"/>
                <w:szCs w:val="20"/>
              </w:rPr>
              <w:t>保本保</w:t>
            </w:r>
            <w:r>
              <w:rPr>
                <w:rFonts w:ascii="宋体" w:hAnsi="宋体" w:cs="宋体" w:eastAsia="宋体" w:hint="default"/>
                <w:w w:val="100"/>
                <w:sz w:val="20"/>
                <w:szCs w:val="20"/>
              </w:rPr>
              <w:t> </w:t>
            </w:r>
            <w:r>
              <w:rPr>
                <w:rFonts w:ascii="宋体" w:hAnsi="宋体" w:cs="宋体" w:eastAsia="宋体" w:hint="default"/>
                <w:sz w:val="20"/>
                <w:szCs w:val="20"/>
              </w:rPr>
              <w:t>证收益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Times New Roman" w:hAnsi="Times New Roman" w:cs="Times New Roman" w:eastAsia="Times New Roman" w:hint="default"/>
                <w:sz w:val="20"/>
                <w:szCs w:val="20"/>
              </w:rPr>
            </w:pPr>
            <w:r>
              <w:rPr>
                <w:rFonts w:ascii="Times New Roman"/>
                <w:sz w:val="20"/>
              </w:rPr>
              <w:t>4.40%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w w:val="100"/>
                <w:sz w:val="20"/>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z w:val="20"/>
              </w:rPr>
              <w:t>5,400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0"/>
                <w:szCs w:val="20"/>
              </w:rPr>
            </w:pPr>
            <w:r>
              <w:rPr>
                <w:rFonts w:ascii="Times New Roman"/>
                <w:w w:val="100"/>
                <w:sz w:val="20"/>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w w:val="100"/>
                <w:sz w:val="20"/>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0"/>
                <w:szCs w:val="20"/>
              </w:rPr>
            </w:pPr>
            <w:r>
              <w:rPr>
                <w:rFonts w:ascii="Times New Roman"/>
                <w:sz w:val="20"/>
              </w:rPr>
              <w:t>35</w:t>
            </w:r>
          </w:p>
        </w:tc>
      </w:tr>
      <w:tr>
        <w:trPr>
          <w:trHeight w:val="461" w:hRule="exact"/>
        </w:trPr>
        <w:tc>
          <w:tcPr>
            <w:tcW w:w="50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b/>
                <w:spacing w:val="-1"/>
                <w:sz w:val="20"/>
              </w:rPr>
              <w:t>44,300</w:t>
            </w:r>
            <w:r>
              <w:rPr>
                <w:rFonts w:ascii="Times New Roman"/>
                <w:spacing w:val="-1"/>
                <w:sz w:val="20"/>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b/>
                <w:spacing w:val="-1"/>
                <w:sz w:val="20"/>
              </w:rPr>
              <w:t>181,200</w:t>
            </w:r>
            <w:r>
              <w:rPr>
                <w:rFonts w:ascii="Times New Roman"/>
                <w:spacing w:val="-1"/>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0"/>
                <w:szCs w:val="20"/>
              </w:rPr>
            </w:pPr>
            <w:r>
              <w:rPr>
                <w:rFonts w:ascii="Times New Roman"/>
                <w:b/>
                <w:spacing w:val="-1"/>
                <w:sz w:val="20"/>
              </w:rPr>
              <w:t>19,502.03</w:t>
            </w:r>
            <w:r>
              <w:rPr>
                <w:rFonts w:ascii="Times New Roman"/>
                <w:spacing w:val="-1"/>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b/>
                <w:spacing w:val="-1"/>
                <w:sz w:val="20"/>
              </w:rPr>
              <w:t>8,497.97</w:t>
            </w:r>
            <w:r>
              <w:rPr>
                <w:rFonts w:ascii="Times New Roman"/>
                <w:spacing w:val="-1"/>
                <w:sz w:val="20"/>
              </w:rPr>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800" w:right="0"/>
        </w:sectPr>
      </w:pPr>
    </w:p>
    <w:p>
      <w:pPr>
        <w:spacing w:line="240" w:lineRule="auto" w:before="5"/>
        <w:rPr>
          <w:rFonts w:ascii="宋体" w:hAnsi="宋体" w:cs="宋体" w:eastAsia="宋体" w:hint="default"/>
          <w:sz w:val="24"/>
          <w:szCs w:val="24"/>
        </w:rPr>
      </w:pPr>
    </w:p>
    <w:p>
      <w:pPr>
        <w:pStyle w:val="Heading4"/>
        <w:spacing w:line="240" w:lineRule="auto" w:before="31"/>
        <w:ind w:left="213" w:right="1019"/>
        <w:jc w:val="left"/>
        <w:rPr>
          <w:b w:val="0"/>
          <w:bCs w:val="0"/>
        </w:rPr>
      </w:pPr>
      <w:bookmarkStart w:name="6、投资理财情况" w:id="53"/>
      <w:bookmarkEnd w:id="53"/>
      <w:r>
        <w:rPr>
          <w:b w:val="0"/>
          <w:bCs w:val="0"/>
        </w:rPr>
      </w:r>
      <w:r>
        <w:rPr>
          <w:rFonts w:ascii="Times New Roman" w:hAnsi="Times New Roman" w:cs="Times New Roman" w:eastAsia="Times New Roman" w:hint="default"/>
        </w:rPr>
        <w:t>6</w:t>
      </w:r>
      <w:r>
        <w:rPr/>
        <w:t>、投资理财情况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213" w:right="1141" w:firstLine="440"/>
        <w:jc w:val="both"/>
      </w:pPr>
      <w:r>
        <w:rPr/>
        <w:t>（</w:t>
      </w:r>
      <w:r>
        <w:rPr>
          <w:rFonts w:ascii="Times New Roman" w:hAnsi="Times New Roman" w:cs="Times New Roman" w:eastAsia="Times New Roman" w:hint="default"/>
        </w:rPr>
        <w:t>1</w:t>
      </w:r>
      <w:r>
        <w:rPr/>
        <w:t>）公司第五届董事会第十八次会议审议、</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年年度股东大会决议通过《关于使用自有资金</w:t>
      </w:r>
      <w:r>
        <w:rPr>
          <w:w w:val="99"/>
        </w:rPr>
        <w:t> </w:t>
      </w:r>
      <w:r>
        <w:rPr>
          <w:spacing w:val="-3"/>
          <w:w w:val="99"/>
        </w:rPr>
        <w:t>进行投资理财的议案》，同意公司在满足日常经营资金需求和确保资金安全的前提下，使用不超过</w:t>
      </w:r>
      <w:r>
        <w:rPr>
          <w:spacing w:val="-36"/>
          <w:w w:val="99"/>
        </w:rPr>
        <w:t> </w:t>
      </w:r>
      <w:r>
        <w:rPr>
          <w:rFonts w:ascii="Times New Roman" w:hAnsi="Times New Roman" w:cs="Times New Roman" w:eastAsia="Times New Roman" w:hint="default"/>
          <w:w w:val="99"/>
        </w:rPr>
        <w:t>80</w:t>
      </w:r>
      <w:r>
        <w:rPr>
          <w:rFonts w:ascii="Times New Roman" w:hAnsi="Times New Roman" w:cs="Times New Roman" w:eastAsia="Times New Roman" w:hint="default"/>
          <w:spacing w:val="-50"/>
          <w:w w:val="99"/>
        </w:rPr>
        <w:t> </w:t>
      </w:r>
      <w:r>
        <w:rPr/>
        <w:t>亿元的自有资金进行投资理财。</w:t>
      </w:r>
    </w:p>
    <w:p>
      <w:pPr>
        <w:pStyle w:val="BodyText"/>
        <w:spacing w:line="369" w:lineRule="auto" w:before="61"/>
        <w:ind w:left="654" w:right="1019"/>
        <w:jc w:val="left"/>
      </w:pPr>
      <w:r>
        <w:rPr/>
        <w:t>截至</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日，公司投资理财产品余额为</w:t>
      </w:r>
      <w:r>
        <w:rPr>
          <w:spacing w:val="-57"/>
        </w:rPr>
        <w:t> </w:t>
      </w:r>
      <w:r>
        <w:rPr>
          <w:rFonts w:ascii="Times New Roman" w:hAnsi="Times New Roman" w:cs="Times New Roman" w:eastAsia="Times New Roman" w:hint="default"/>
        </w:rPr>
        <w:t>47.63</w:t>
      </w:r>
      <w:r>
        <w:rPr>
          <w:rFonts w:ascii="Times New Roman" w:hAnsi="Times New Roman" w:cs="Times New Roman" w:eastAsia="Times New Roman" w:hint="default"/>
          <w:spacing w:val="-1"/>
        </w:rPr>
        <w:t> </w:t>
      </w:r>
      <w:r>
        <w:rPr/>
        <w:t>亿元。</w:t>
      </w:r>
      <w:r>
        <w:rPr>
          <w:w w:val="99"/>
        </w:rPr>
        <w:t> </w:t>
      </w:r>
      <w:r>
        <w:rPr/>
        <w:t>报告期内，公司投资理财情况如下：</w:t>
      </w:r>
    </w:p>
    <w:p>
      <w:pPr>
        <w:spacing w:before="78"/>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70"/>
        <w:gridCol w:w="1842"/>
        <w:gridCol w:w="1278"/>
        <w:gridCol w:w="989"/>
        <w:gridCol w:w="1274"/>
        <w:gridCol w:w="1136"/>
        <w:gridCol w:w="1128"/>
        <w:gridCol w:w="1009"/>
      </w:tblGrid>
      <w:tr>
        <w:trPr>
          <w:trHeight w:val="529" w:hRule="exact"/>
        </w:trPr>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银行名称</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514"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收益类型</w:t>
            </w:r>
            <w:r>
              <w:rPr>
                <w:rFonts w:ascii="宋体" w:hAnsi="宋体" w:cs="宋体" w:eastAsia="宋体" w:hint="default"/>
                <w:sz w:val="20"/>
                <w:szCs w:val="20"/>
              </w:rPr>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b/>
                <w:bCs/>
                <w:sz w:val="20"/>
                <w:szCs w:val="20"/>
              </w:rPr>
              <w:t>期初余</w:t>
            </w:r>
            <w:r>
              <w:rPr>
                <w:rFonts w:ascii="宋体" w:hAnsi="宋体" w:cs="宋体" w:eastAsia="宋体" w:hint="default"/>
                <w:sz w:val="20"/>
                <w:szCs w:val="20"/>
              </w:rPr>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额</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29"/>
              <w:jc w:val="righ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60"/>
              <w:jc w:val="right"/>
              <w:rPr>
                <w:rFonts w:ascii="宋体" w:hAnsi="宋体" w:cs="宋体" w:eastAsia="宋体" w:hint="default"/>
                <w:sz w:val="20"/>
                <w:szCs w:val="20"/>
              </w:rPr>
            </w:pPr>
            <w:r>
              <w:rPr>
                <w:rFonts w:ascii="宋体" w:hAnsi="宋体" w:cs="宋体" w:eastAsia="宋体" w:hint="default"/>
                <w:b/>
                <w:bCs/>
                <w:w w:val="95"/>
                <w:sz w:val="20"/>
                <w:szCs w:val="20"/>
              </w:rPr>
              <w:t>期末余额</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b/>
                <w:bCs/>
                <w:sz w:val="20"/>
                <w:szCs w:val="20"/>
              </w:rPr>
              <w:t>预期收益</w:t>
            </w:r>
            <w:r>
              <w:rPr>
                <w:rFonts w:ascii="宋体" w:hAnsi="宋体" w:cs="宋体" w:eastAsia="宋体" w:hint="default"/>
                <w:sz w:val="20"/>
                <w:szCs w:val="20"/>
              </w:rPr>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率</w:t>
            </w:r>
            <w:r>
              <w:rPr>
                <w:rFonts w:ascii="宋体" w:hAnsi="宋体" w:cs="宋体" w:eastAsia="宋体" w:hint="default"/>
                <w:sz w:val="20"/>
                <w:szCs w:val="20"/>
              </w:rPr>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02" w:right="0" w:firstLine="96"/>
              <w:jc w:val="left"/>
              <w:rPr>
                <w:rFonts w:ascii="宋体" w:hAnsi="宋体" w:cs="宋体" w:eastAsia="宋体" w:hint="default"/>
                <w:sz w:val="20"/>
                <w:szCs w:val="20"/>
              </w:rPr>
            </w:pPr>
            <w:r>
              <w:rPr>
                <w:rFonts w:ascii="宋体" w:hAnsi="宋体" w:cs="宋体" w:eastAsia="宋体" w:hint="default"/>
                <w:b/>
                <w:bCs/>
                <w:sz w:val="20"/>
                <w:szCs w:val="20"/>
              </w:rPr>
              <w:t>理财期</w:t>
            </w:r>
            <w:r>
              <w:rPr>
                <w:rFonts w:ascii="宋体" w:hAnsi="宋体" w:cs="宋体" w:eastAsia="宋体" w:hint="default"/>
                <w:sz w:val="20"/>
                <w:szCs w:val="20"/>
              </w:rPr>
            </w:r>
          </w:p>
          <w:p>
            <w:pPr>
              <w:pStyle w:val="TableParagraph"/>
              <w:spacing w:line="261" w:lineRule="exact"/>
              <w:ind w:left="102" w:right="0"/>
              <w:jc w:val="left"/>
              <w:rPr>
                <w:rFonts w:ascii="宋体" w:hAnsi="宋体" w:cs="宋体" w:eastAsia="宋体" w:hint="default"/>
                <w:sz w:val="20"/>
                <w:szCs w:val="20"/>
              </w:rPr>
            </w:pPr>
            <w:r>
              <w:rPr>
                <w:rFonts w:ascii="宋体" w:hAnsi="宋体" w:cs="宋体" w:eastAsia="宋体" w:hint="default"/>
                <w:b/>
                <w:bCs/>
                <w:sz w:val="20"/>
                <w:szCs w:val="20"/>
              </w:rPr>
              <w:t>限（天）</w:t>
            </w:r>
            <w:r>
              <w:rPr>
                <w:rFonts w:ascii="宋体" w:hAnsi="宋体" w:cs="宋体" w:eastAsia="宋体" w:hint="default"/>
                <w:sz w:val="20"/>
                <w:szCs w:val="20"/>
              </w:rPr>
            </w:r>
          </w:p>
        </w:tc>
      </w:tr>
      <w:tr>
        <w:trPr>
          <w:trHeight w:val="55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
              <w:ind w:left="103" w:right="154"/>
              <w:jc w:val="left"/>
              <w:rPr>
                <w:rFonts w:ascii="宋体" w:hAnsi="宋体" w:cs="宋体" w:eastAsia="宋体" w:hint="default"/>
                <w:sz w:val="20"/>
                <w:szCs w:val="20"/>
              </w:rPr>
            </w:pPr>
            <w:r>
              <w:rPr>
                <w:rFonts w:ascii="宋体" w:hAnsi="宋体" w:cs="宋体" w:eastAsia="宋体" w:hint="default"/>
                <w:sz w:val="20"/>
                <w:szCs w:val="20"/>
              </w:rPr>
              <w:t>安信证券珠江路</w:t>
            </w:r>
            <w:r>
              <w:rPr>
                <w:rFonts w:ascii="宋体" w:hAnsi="宋体" w:cs="宋体" w:eastAsia="宋体" w:hint="default"/>
                <w:w w:val="100"/>
                <w:sz w:val="20"/>
                <w:szCs w:val="20"/>
              </w:rPr>
              <w:t> </w:t>
            </w:r>
            <w:r>
              <w:rPr>
                <w:rFonts w:ascii="宋体" w:hAnsi="宋体" w:cs="宋体" w:eastAsia="宋体" w:hint="default"/>
                <w:sz w:val="20"/>
                <w:szCs w:val="20"/>
              </w:rPr>
              <w:t>证券营业部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安信证券收益凭证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安益乐享</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
              <w:ind w:left="103" w:right="162"/>
              <w:jc w:val="left"/>
              <w:rPr>
                <w:rFonts w:ascii="宋体" w:hAnsi="宋体" w:cs="宋体" w:eastAsia="宋体" w:hint="default"/>
                <w:sz w:val="20"/>
                <w:szCs w:val="20"/>
              </w:rPr>
            </w:pPr>
            <w:r>
              <w:rPr>
                <w:rFonts w:ascii="宋体" w:hAnsi="宋体" w:cs="宋体" w:eastAsia="宋体" w:hint="default"/>
                <w:sz w:val="20"/>
                <w:szCs w:val="20"/>
              </w:rPr>
              <w:t>保本固定收</w:t>
            </w:r>
            <w:r>
              <w:rPr>
                <w:rFonts w:ascii="宋体" w:hAnsi="宋体" w:cs="宋体" w:eastAsia="宋体" w:hint="default"/>
                <w:w w:val="100"/>
                <w:sz w:val="20"/>
                <w:szCs w:val="20"/>
              </w:rPr>
              <w:t> </w:t>
            </w: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Calibri" w:hAnsi="Calibri" w:cs="Calibri" w:eastAsia="Calibri" w:hint="default"/>
                <w:sz w:val="20"/>
                <w:szCs w:val="20"/>
              </w:rPr>
            </w:pPr>
            <w:r>
              <w:rPr>
                <w:rFonts w:ascii="Calibri"/>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0"/>
                <w:szCs w:val="20"/>
              </w:rPr>
            </w:pPr>
            <w:r>
              <w:rPr>
                <w:rFonts w:ascii="宋体"/>
                <w:sz w:val="20"/>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0"/>
                <w:szCs w:val="20"/>
              </w:rPr>
            </w:pPr>
            <w:r>
              <w:rPr>
                <w:rFonts w:ascii="宋体"/>
                <w:sz w:val="20"/>
              </w:rPr>
              <w:t>5.90%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0"/>
                <w:szCs w:val="20"/>
              </w:rPr>
            </w:pPr>
            <w:r>
              <w:rPr>
                <w:rFonts w:ascii="宋体"/>
                <w:sz w:val="20"/>
              </w:rPr>
              <w:t>40</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工商银行南京汉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府支行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无固定期限</w:t>
            </w:r>
          </w:p>
          <w:p>
            <w:pPr>
              <w:pStyle w:val="TableParagraph"/>
              <w:spacing w:line="260" w:lineRule="exact"/>
              <w:ind w:left="103" w:right="0"/>
              <w:jc w:val="left"/>
              <w:rPr>
                <w:rFonts w:ascii="宋体" w:hAnsi="宋体" w:cs="宋体" w:eastAsia="宋体" w:hint="default"/>
                <w:sz w:val="20"/>
                <w:szCs w:val="20"/>
              </w:rPr>
            </w:pPr>
            <w:r>
              <w:rPr>
                <w:rFonts w:ascii="宋体"/>
                <w:sz w:val="20"/>
              </w:rPr>
              <w:t>0706CDQB</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46,000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2.70%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hAnsi="宋体" w:cs="宋体" w:eastAsia="宋体" w:hint="default"/>
                <w:sz w:val="20"/>
                <w:szCs w:val="20"/>
              </w:rPr>
              <w:t>不定期</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工商银行钟山路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工银理财共赢</w:t>
            </w:r>
            <w:r>
              <w:rPr>
                <w:rFonts w:ascii="宋体" w:hAnsi="宋体" w:cs="宋体" w:eastAsia="宋体" w:hint="default"/>
                <w:spacing w:val="-52"/>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3.70%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13</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光大银行南京分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行营业部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保本固定收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69,000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289,000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175,000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spacing w:val="-1"/>
                <w:sz w:val="20"/>
              </w:rPr>
              <w:t>3.3%-4.78</w:t>
            </w:r>
          </w:p>
          <w:p>
            <w:pPr>
              <w:pStyle w:val="TableParagraph"/>
              <w:spacing w:line="260" w:lineRule="exact"/>
              <w:ind w:right="101"/>
              <w:jc w:val="right"/>
              <w:rPr>
                <w:rFonts w:ascii="宋体" w:hAnsi="宋体" w:cs="宋体" w:eastAsia="宋体" w:hint="default"/>
                <w:sz w:val="20"/>
                <w:szCs w:val="20"/>
              </w:rPr>
            </w:pPr>
            <w:r>
              <w:rPr>
                <w:rFonts w:ascii="宋体"/>
                <w:w w:val="100"/>
                <w:sz w:val="20"/>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30-360</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光大银行南京分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行营业部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机构定活宝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130,010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1"/>
                <w:sz w:val="20"/>
              </w:rPr>
              <w:t>3.4%-4%</w:t>
            </w:r>
            <w:r>
              <w:rPr>
                <w:rFonts w:ascii="宋体"/>
                <w:sz w:val="20"/>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hAnsi="宋体" w:cs="宋体" w:eastAsia="宋体" w:hint="default"/>
                <w:sz w:val="20"/>
                <w:szCs w:val="20"/>
              </w:rPr>
              <w:t>不定期</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光大银行南京分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行营业部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双月盈理财产品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30,000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4.50%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61</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光大银行南京分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行营业部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双周盈理财产品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272,000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sz w:val="20"/>
              </w:rPr>
              <w:t>40,000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3.4%-4.1%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14</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光大银行南京分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行营业部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月月盈理财产品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3.9%-4.4%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30-31</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光大银行南京分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行营业部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周周盈理财产品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50,000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3.2%-3.9%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7-14</w:t>
            </w:r>
            <w:r>
              <w:rPr>
                <w:rFonts w:ascii="宋体"/>
                <w:sz w:val="20"/>
              </w:rPr>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广发银行南京玄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武支行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盆满钵盈日日盈人</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民币理财计划</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124,000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1"/>
                <w:sz w:val="20"/>
              </w:rPr>
              <w:t>3.4%-4%</w:t>
            </w:r>
            <w:r>
              <w:rPr>
                <w:rFonts w:ascii="宋体"/>
                <w:sz w:val="20"/>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hAnsi="宋体" w:cs="宋体" w:eastAsia="宋体" w:hint="default"/>
                <w:sz w:val="20"/>
                <w:szCs w:val="20"/>
              </w:rPr>
              <w:t>不定期</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广发银行南京玄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武支行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广赢安薪</w:t>
            </w:r>
            <w:r>
              <w:rPr>
                <w:rFonts w:ascii="宋体" w:hAnsi="宋体" w:cs="宋体" w:eastAsia="宋体" w:hint="default"/>
                <w:spacing w:val="-51"/>
                <w:sz w:val="20"/>
                <w:szCs w:val="20"/>
              </w:rPr>
              <w:t> </w:t>
            </w:r>
            <w:r>
              <w:rPr>
                <w:rFonts w:ascii="宋体" w:hAnsi="宋体" w:cs="宋体" w:eastAsia="宋体" w:hint="default"/>
                <w:sz w:val="20"/>
                <w:szCs w:val="20"/>
              </w:rPr>
              <w:t>A</w:t>
            </w:r>
            <w:r>
              <w:rPr>
                <w:rFonts w:ascii="宋体" w:hAnsi="宋体" w:cs="宋体" w:eastAsia="宋体" w:hint="default"/>
                <w:spacing w:val="-49"/>
                <w:sz w:val="20"/>
                <w:szCs w:val="20"/>
              </w:rPr>
              <w:t> </w:t>
            </w:r>
            <w:r>
              <w:rPr>
                <w:rFonts w:ascii="宋体" w:hAnsi="宋体" w:cs="宋体" w:eastAsia="宋体" w:hint="default"/>
                <w:sz w:val="20"/>
                <w:szCs w:val="20"/>
              </w:rPr>
              <w:t>款</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32,000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3.7%-4%</w:t>
            </w:r>
            <w:r>
              <w:rPr>
                <w:rFonts w:ascii="宋体"/>
                <w:sz w:val="20"/>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7-14</w:t>
            </w:r>
            <w:r>
              <w:rPr>
                <w:rFonts w:ascii="宋体"/>
                <w:sz w:val="20"/>
              </w:rPr>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广发证券股份有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多添利集合资产管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理计划</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80,000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40,000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3.8%-4.2%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7-21</w:t>
            </w:r>
            <w:r>
              <w:rPr>
                <w:rFonts w:ascii="宋体"/>
                <w:sz w:val="20"/>
              </w:rPr>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广发证券股份有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广发多添富</w:t>
            </w:r>
            <w:r>
              <w:rPr>
                <w:rFonts w:ascii="宋体" w:hAnsi="宋体" w:cs="宋体" w:eastAsia="宋体" w:hint="default"/>
                <w:spacing w:val="-51"/>
                <w:sz w:val="20"/>
                <w:szCs w:val="20"/>
              </w:rPr>
              <w:t> </w:t>
            </w:r>
            <w:r>
              <w:rPr>
                <w:rFonts w:ascii="宋体" w:hAnsi="宋体" w:cs="宋体" w:eastAsia="宋体" w:hint="default"/>
                <w:sz w:val="20"/>
                <w:szCs w:val="20"/>
              </w:rPr>
              <w:t>8</w:t>
            </w:r>
            <w:r>
              <w:rPr>
                <w:rFonts w:ascii="宋体" w:hAnsi="宋体" w:cs="宋体" w:eastAsia="宋体" w:hint="default"/>
                <w:spacing w:val="-51"/>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38,000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sz w:val="20"/>
              </w:rPr>
              <w:t>10,000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1"/>
                <w:sz w:val="20"/>
              </w:rPr>
              <w:t>5.6-6%</w:t>
            </w:r>
            <w:r>
              <w:rPr>
                <w:rFonts w:ascii="宋体"/>
                <w:sz w:val="20"/>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29-49</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广发证券股份有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广发多添富</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1"/>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172,000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5.6-6.2%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30-92</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国信证券股份有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国信金理财</w:t>
            </w:r>
            <w:r>
              <w:rPr>
                <w:rFonts w:ascii="宋体" w:hAnsi="宋体" w:cs="宋体" w:eastAsia="宋体" w:hint="default"/>
                <w:spacing w:val="-51"/>
                <w:sz w:val="20"/>
                <w:szCs w:val="20"/>
              </w:rPr>
              <w:t> </w:t>
            </w:r>
            <w:r>
              <w:rPr>
                <w:rFonts w:ascii="宋体" w:hAnsi="宋体" w:cs="宋体" w:eastAsia="宋体" w:hint="default"/>
                <w:sz w:val="20"/>
                <w:szCs w:val="20"/>
              </w:rPr>
              <w:t>8</w:t>
            </w:r>
            <w:r>
              <w:rPr>
                <w:rFonts w:ascii="宋体" w:hAnsi="宋体" w:cs="宋体" w:eastAsia="宋体" w:hint="default"/>
                <w:spacing w:val="-51"/>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6.50%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91</w:t>
            </w:r>
          </w:p>
        </w:tc>
      </w:tr>
      <w:tr>
        <w:trPr>
          <w:trHeight w:val="78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154"/>
              <w:jc w:val="left"/>
              <w:rPr>
                <w:rFonts w:ascii="宋体" w:hAnsi="宋体" w:cs="宋体" w:eastAsia="宋体" w:hint="default"/>
                <w:sz w:val="20"/>
                <w:szCs w:val="20"/>
              </w:rPr>
            </w:pPr>
            <w:r>
              <w:rPr>
                <w:rFonts w:ascii="宋体" w:hAnsi="宋体" w:cs="宋体" w:eastAsia="宋体" w:hint="default"/>
                <w:sz w:val="20"/>
                <w:szCs w:val="20"/>
              </w:rPr>
              <w:t>国信证券股份有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沪深</w:t>
            </w:r>
            <w:r>
              <w:rPr>
                <w:rFonts w:ascii="宋体" w:hAnsi="宋体" w:cs="宋体" w:eastAsia="宋体" w:hint="default"/>
                <w:spacing w:val="-51"/>
                <w:sz w:val="20"/>
                <w:szCs w:val="20"/>
              </w:rPr>
              <w:t> </w:t>
            </w:r>
            <w:r>
              <w:rPr>
                <w:rFonts w:ascii="宋体" w:hAnsi="宋体" w:cs="宋体" w:eastAsia="宋体" w:hint="default"/>
                <w:sz w:val="20"/>
                <w:szCs w:val="20"/>
              </w:rPr>
              <w:t>300</w:t>
            </w:r>
            <w:r>
              <w:rPr>
                <w:rFonts w:ascii="宋体" w:hAnsi="宋体" w:cs="宋体" w:eastAsia="宋体" w:hint="default"/>
                <w:spacing w:val="-51"/>
                <w:sz w:val="20"/>
                <w:szCs w:val="20"/>
              </w:rPr>
              <w:t> </w:t>
            </w:r>
            <w:r>
              <w:rPr>
                <w:rFonts w:ascii="宋体" w:hAnsi="宋体" w:cs="宋体" w:eastAsia="宋体" w:hint="default"/>
                <w:sz w:val="20"/>
                <w:szCs w:val="20"/>
              </w:rPr>
              <w:t>指数挂钩</w:t>
            </w:r>
          </w:p>
          <w:p>
            <w:pPr>
              <w:pStyle w:val="TableParagraph"/>
              <w:spacing w:line="260" w:lineRule="exact" w:before="25"/>
              <w:ind w:left="103" w:right="227"/>
              <w:jc w:val="left"/>
              <w:rPr>
                <w:rFonts w:ascii="宋体" w:hAnsi="宋体" w:cs="宋体" w:eastAsia="宋体" w:hint="default"/>
                <w:sz w:val="20"/>
                <w:szCs w:val="20"/>
              </w:rPr>
            </w:pPr>
            <w:r>
              <w:rPr>
                <w:rFonts w:ascii="宋体" w:hAnsi="宋体" w:cs="宋体" w:eastAsia="宋体" w:hint="default"/>
                <w:sz w:val="20"/>
                <w:szCs w:val="20"/>
              </w:rPr>
              <w:t>保本收益凭证</w:t>
            </w:r>
            <w:r>
              <w:rPr>
                <w:rFonts w:ascii="宋体" w:hAnsi="宋体" w:cs="宋体" w:eastAsia="宋体" w:hint="default"/>
                <w:sz w:val="20"/>
                <w:szCs w:val="20"/>
              </w:rPr>
              <w:t>-</w:t>
            </w:r>
            <w:r>
              <w:rPr>
                <w:rFonts w:ascii="宋体" w:hAnsi="宋体" w:cs="宋体" w:eastAsia="宋体" w:hint="default"/>
                <w:sz w:val="20"/>
                <w:szCs w:val="20"/>
              </w:rPr>
              <w:t>金</w:t>
            </w:r>
            <w:r>
              <w:rPr>
                <w:rFonts w:ascii="宋体" w:hAnsi="宋体" w:cs="宋体" w:eastAsia="宋体" w:hint="default"/>
                <w:w w:val="100"/>
                <w:sz w:val="20"/>
                <w:szCs w:val="20"/>
              </w:rPr>
              <w:t> </w:t>
            </w:r>
            <w:r>
              <w:rPr>
                <w:rFonts w:ascii="宋体" w:hAnsi="宋体" w:cs="宋体" w:eastAsia="宋体" w:hint="default"/>
                <w:sz w:val="20"/>
                <w:szCs w:val="20"/>
              </w:rPr>
              <w:t>元系列</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162"/>
              <w:jc w:val="left"/>
              <w:rPr>
                <w:rFonts w:ascii="宋体" w:hAnsi="宋体" w:cs="宋体" w:eastAsia="宋体" w:hint="default"/>
                <w:sz w:val="20"/>
                <w:szCs w:val="20"/>
              </w:rPr>
            </w:pPr>
            <w:r>
              <w:rPr>
                <w:rFonts w:ascii="宋体" w:hAnsi="宋体" w:cs="宋体" w:eastAsia="宋体" w:hint="default"/>
                <w:sz w:val="20"/>
                <w:szCs w:val="20"/>
              </w:rPr>
              <w:t>保本浮动收</w:t>
            </w:r>
            <w:r>
              <w:rPr>
                <w:rFonts w:ascii="宋体" w:hAnsi="宋体" w:cs="宋体" w:eastAsia="宋体" w:hint="default"/>
                <w:w w:val="100"/>
                <w:sz w:val="20"/>
                <w:szCs w:val="20"/>
              </w:rPr>
              <w:t> </w:t>
            </w: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z w:val="20"/>
              </w:rPr>
              <w:t>20,000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z w:val="20"/>
              </w:rPr>
              <w:t>41,000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5%-5.6%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13-31</w:t>
            </w:r>
          </w:p>
        </w:tc>
      </w:tr>
      <w:tr>
        <w:trPr>
          <w:trHeight w:val="78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54"/>
              <w:jc w:val="left"/>
              <w:rPr>
                <w:rFonts w:ascii="宋体" w:hAnsi="宋体" w:cs="宋体" w:eastAsia="宋体" w:hint="default"/>
                <w:sz w:val="20"/>
                <w:szCs w:val="20"/>
              </w:rPr>
            </w:pPr>
            <w:r>
              <w:rPr>
                <w:rFonts w:ascii="宋体" w:hAnsi="宋体" w:cs="宋体" w:eastAsia="宋体" w:hint="default"/>
                <w:sz w:val="20"/>
                <w:szCs w:val="20"/>
              </w:rPr>
              <w:t>国信证券股份有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国信“金理财”债</w:t>
            </w:r>
          </w:p>
          <w:p>
            <w:pPr>
              <w:pStyle w:val="TableParagraph"/>
              <w:spacing w:line="260" w:lineRule="exact" w:before="24"/>
              <w:ind w:left="103" w:right="126"/>
              <w:jc w:val="left"/>
              <w:rPr>
                <w:rFonts w:ascii="宋体" w:hAnsi="宋体" w:cs="宋体" w:eastAsia="宋体" w:hint="default"/>
                <w:sz w:val="20"/>
                <w:szCs w:val="20"/>
              </w:rPr>
            </w:pPr>
            <w:r>
              <w:rPr>
                <w:rFonts w:ascii="宋体" w:hAnsi="宋体" w:cs="宋体" w:eastAsia="宋体" w:hint="default"/>
                <w:sz w:val="20"/>
                <w:szCs w:val="20"/>
              </w:rPr>
              <w:t>券分级</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号集合资</w:t>
            </w:r>
            <w:r>
              <w:rPr>
                <w:rFonts w:ascii="宋体" w:hAnsi="宋体" w:cs="宋体" w:eastAsia="宋体" w:hint="default"/>
                <w:w w:val="100"/>
                <w:sz w:val="20"/>
                <w:szCs w:val="20"/>
              </w:rPr>
              <w:t> </w:t>
            </w:r>
            <w:r>
              <w:rPr>
                <w:rFonts w:ascii="宋体" w:hAnsi="宋体" w:cs="宋体" w:eastAsia="宋体" w:hint="default"/>
                <w:sz w:val="20"/>
                <w:szCs w:val="20"/>
              </w:rPr>
              <w:t>产管理计划</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2"/>
              <w:jc w:val="left"/>
              <w:rPr>
                <w:rFonts w:ascii="宋体" w:hAnsi="宋体" w:cs="宋体" w:eastAsia="宋体" w:hint="default"/>
                <w:sz w:val="20"/>
                <w:szCs w:val="20"/>
              </w:rPr>
            </w:pPr>
            <w:r>
              <w:rPr>
                <w:rFonts w:ascii="宋体" w:hAnsi="宋体" w:cs="宋体" w:eastAsia="宋体" w:hint="default"/>
                <w:sz w:val="20"/>
                <w:szCs w:val="20"/>
              </w:rPr>
              <w:t>非保本浮动</w:t>
            </w:r>
            <w:r>
              <w:rPr>
                <w:rFonts w:ascii="宋体" w:hAnsi="宋体" w:cs="宋体" w:eastAsia="宋体" w:hint="default"/>
                <w:w w:val="100"/>
                <w:sz w:val="20"/>
                <w:szCs w:val="20"/>
              </w:rPr>
              <w:t> </w:t>
            </w: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z w:val="20"/>
              </w:rPr>
              <w:t>7,000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z w:val="20"/>
              </w:rPr>
              <w:t>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31-61</w:t>
            </w:r>
          </w:p>
        </w:tc>
      </w:tr>
      <w:tr>
        <w:trPr>
          <w:trHeight w:val="445"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1"/>
              <w:jc w:val="center"/>
              <w:rPr>
                <w:rFonts w:ascii="宋体" w:hAnsi="宋体" w:cs="宋体" w:eastAsia="宋体" w:hint="default"/>
                <w:sz w:val="20"/>
                <w:szCs w:val="20"/>
              </w:rPr>
            </w:pPr>
            <w:r>
              <w:rPr>
                <w:rFonts w:ascii="宋体" w:hAnsi="宋体" w:cs="宋体" w:eastAsia="宋体" w:hint="default"/>
                <w:sz w:val="20"/>
                <w:szCs w:val="20"/>
              </w:rPr>
              <w:t>恒生银行南京分</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“恒汇盈”系列保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z w:val="20"/>
              </w:rPr>
              <w:t>20,000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z w:val="20"/>
              </w:rPr>
              <w:t>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宋体" w:hAnsi="宋体" w:cs="宋体" w:eastAsia="宋体" w:hint="default"/>
                <w:sz w:val="20"/>
                <w:szCs w:val="20"/>
              </w:rPr>
            </w:pPr>
            <w:r>
              <w:rPr>
                <w:rFonts w:ascii="宋体"/>
                <w:sz w:val="20"/>
              </w:rPr>
              <w:t>20,000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3.5%-4.4%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z w:val="20"/>
              </w:rPr>
              <w:t>365</w:t>
            </w:r>
          </w:p>
        </w:tc>
      </w:tr>
    </w:tbl>
    <w:p>
      <w:pPr>
        <w:spacing w:after="0" w:line="240" w:lineRule="auto"/>
        <w:jc w:val="right"/>
        <w:rPr>
          <w:rFonts w:ascii="宋体" w:hAnsi="宋体" w:cs="宋体" w:eastAsia="宋体" w:hint="default"/>
          <w:sz w:val="20"/>
          <w:szCs w:val="20"/>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670"/>
        <w:gridCol w:w="1842"/>
        <w:gridCol w:w="1278"/>
        <w:gridCol w:w="989"/>
        <w:gridCol w:w="1274"/>
        <w:gridCol w:w="1136"/>
        <w:gridCol w:w="1128"/>
        <w:gridCol w:w="1009"/>
      </w:tblGrid>
      <w:tr>
        <w:trPr>
          <w:trHeight w:val="529" w:hRule="exact"/>
        </w:trPr>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428" w:right="0"/>
              <w:jc w:val="left"/>
              <w:rPr>
                <w:rFonts w:ascii="宋体" w:hAnsi="宋体" w:cs="宋体" w:eastAsia="宋体" w:hint="default"/>
                <w:sz w:val="20"/>
                <w:szCs w:val="20"/>
              </w:rPr>
            </w:pPr>
            <w:r>
              <w:rPr>
                <w:rFonts w:ascii="宋体" w:hAnsi="宋体" w:cs="宋体" w:eastAsia="宋体" w:hint="default"/>
                <w:b/>
                <w:bCs/>
                <w:sz w:val="20"/>
                <w:szCs w:val="20"/>
              </w:rPr>
              <w:t>银行名称</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514"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收益类型</w:t>
            </w:r>
            <w:r>
              <w:rPr>
                <w:rFonts w:ascii="宋体" w:hAnsi="宋体" w:cs="宋体" w:eastAsia="宋体" w:hint="default"/>
                <w:sz w:val="20"/>
                <w:szCs w:val="20"/>
              </w:rPr>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期初余</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额</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29"/>
              <w:jc w:val="righ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60"/>
              <w:jc w:val="right"/>
              <w:rPr>
                <w:rFonts w:ascii="宋体" w:hAnsi="宋体" w:cs="宋体" w:eastAsia="宋体" w:hint="default"/>
                <w:sz w:val="20"/>
                <w:szCs w:val="20"/>
              </w:rPr>
            </w:pPr>
            <w:r>
              <w:rPr>
                <w:rFonts w:ascii="宋体" w:hAnsi="宋体" w:cs="宋体" w:eastAsia="宋体" w:hint="default"/>
                <w:b/>
                <w:bCs/>
                <w:w w:val="95"/>
                <w:sz w:val="20"/>
                <w:szCs w:val="20"/>
              </w:rPr>
              <w:t>期末余额</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预期收益</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率</w:t>
            </w:r>
            <w:r>
              <w:rPr>
                <w:rFonts w:ascii="宋体" w:hAnsi="宋体" w:cs="宋体" w:eastAsia="宋体" w:hint="default"/>
                <w:sz w:val="20"/>
                <w:szCs w:val="20"/>
              </w:rPr>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02" w:right="0" w:firstLine="96"/>
              <w:jc w:val="left"/>
              <w:rPr>
                <w:rFonts w:ascii="宋体" w:hAnsi="宋体" w:cs="宋体" w:eastAsia="宋体" w:hint="default"/>
                <w:sz w:val="20"/>
                <w:szCs w:val="20"/>
              </w:rPr>
            </w:pPr>
            <w:r>
              <w:rPr>
                <w:rFonts w:ascii="宋体" w:hAnsi="宋体" w:cs="宋体" w:eastAsia="宋体" w:hint="default"/>
                <w:b/>
                <w:bCs/>
                <w:sz w:val="20"/>
                <w:szCs w:val="20"/>
              </w:rPr>
              <w:t>理财期</w:t>
            </w:r>
            <w:r>
              <w:rPr>
                <w:rFonts w:ascii="宋体" w:hAnsi="宋体" w:cs="宋体" w:eastAsia="宋体" w:hint="default"/>
                <w:sz w:val="20"/>
                <w:szCs w:val="20"/>
              </w:rPr>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b/>
                <w:bCs/>
                <w:sz w:val="20"/>
                <w:szCs w:val="20"/>
              </w:rPr>
              <w:t>限（天）</w:t>
            </w:r>
            <w:r>
              <w:rPr>
                <w:rFonts w:ascii="宋体" w:hAnsi="宋体" w:cs="宋体" w:eastAsia="宋体" w:hint="default"/>
                <w:sz w:val="20"/>
                <w:szCs w:val="20"/>
              </w:rPr>
            </w:r>
          </w:p>
        </w:tc>
      </w:tr>
      <w:tr>
        <w:trPr>
          <w:trHeight w:val="444"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本投资产品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华夏银行北京分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创盈</w:t>
            </w:r>
            <w:r>
              <w:rPr>
                <w:rFonts w:ascii="宋体" w:hAnsi="宋体" w:cs="宋体" w:eastAsia="宋体" w:hint="default"/>
                <w:spacing w:val="-52"/>
                <w:sz w:val="20"/>
                <w:szCs w:val="20"/>
              </w:rPr>
              <w:t> </w:t>
            </w: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号机构理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财产品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4.90%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62</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华夏银行南京分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人民币结构性存款</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理财产品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220,000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173,000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4.0%-4.5%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89-365</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汇添富资本管理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添添富理财</w:t>
            </w:r>
            <w:r>
              <w:rPr>
                <w:rFonts w:ascii="宋体" w:hAnsi="宋体" w:cs="宋体" w:eastAsia="宋体" w:hint="default"/>
                <w:sz w:val="20"/>
                <w:szCs w:val="20"/>
              </w:rPr>
              <w:t>-1</w:t>
            </w:r>
            <w:r>
              <w:rPr>
                <w:rFonts w:ascii="宋体" w:hAnsi="宋体" w:cs="宋体" w:eastAsia="宋体" w:hint="default"/>
                <w:spacing w:val="-75"/>
                <w:sz w:val="20"/>
                <w:szCs w:val="20"/>
              </w:rPr>
              <w:t> </w:t>
            </w:r>
            <w:r>
              <w:rPr>
                <w:rFonts w:ascii="宋体" w:hAnsi="宋体" w:cs="宋体" w:eastAsia="宋体" w:hint="default"/>
                <w:sz w:val="20"/>
                <w:szCs w:val="20"/>
              </w:rPr>
              <w:t>号专</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项资产管理计划</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62,880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z w:val="20"/>
              </w:rPr>
              <w:t>1,000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5.0%-6.2%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7-91</w:t>
            </w:r>
            <w:r>
              <w:rPr>
                <w:rFonts w:ascii="宋体"/>
                <w:sz w:val="20"/>
              </w:rPr>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建设银行江苏省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分行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“存汇盈</w:t>
            </w:r>
            <w:r>
              <w:rPr>
                <w:rFonts w:ascii="宋体" w:hAnsi="宋体" w:cs="宋体" w:eastAsia="宋体" w:hint="default"/>
                <w:spacing w:val="-51"/>
                <w:sz w:val="20"/>
                <w:szCs w:val="20"/>
              </w:rPr>
              <w:t> </w:t>
            </w:r>
            <w:r>
              <w:rPr>
                <w:rFonts w:ascii="宋体" w:hAnsi="宋体" w:cs="宋体" w:eastAsia="宋体" w:hint="default"/>
                <w:sz w:val="20"/>
                <w:szCs w:val="20"/>
              </w:rPr>
              <w:t>II</w:t>
            </w:r>
            <w:r>
              <w:rPr>
                <w:rFonts w:ascii="宋体" w:hAnsi="宋体" w:cs="宋体" w:eastAsia="宋体" w:hint="default"/>
                <w:spacing w:val="-52"/>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保本固定收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30</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建设银行南京徐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庄软件园支行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乾元添利</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50,880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z w:val="20"/>
              </w:rPr>
              <w:t>9,910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spacing w:val="-1"/>
                <w:sz w:val="20"/>
              </w:rPr>
              <w:t>2.3%-4.55</w:t>
            </w:r>
          </w:p>
          <w:p>
            <w:pPr>
              <w:pStyle w:val="TableParagraph"/>
              <w:spacing w:line="260" w:lineRule="exact"/>
              <w:ind w:right="101"/>
              <w:jc w:val="right"/>
              <w:rPr>
                <w:rFonts w:ascii="宋体" w:hAnsi="宋体" w:cs="宋体" w:eastAsia="宋体" w:hint="default"/>
                <w:sz w:val="20"/>
                <w:szCs w:val="20"/>
              </w:rPr>
            </w:pPr>
            <w:r>
              <w:rPr>
                <w:rFonts w:ascii="宋体"/>
                <w:w w:val="100"/>
                <w:sz w:val="20"/>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hAnsi="宋体" w:cs="宋体" w:eastAsia="宋体" w:hint="default"/>
                <w:sz w:val="20"/>
                <w:szCs w:val="20"/>
              </w:rPr>
              <w:t>不定期</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江苏银行营业部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聚宝财富</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稳</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赢</w:t>
            </w:r>
            <w:r>
              <w:rPr>
                <w:rFonts w:ascii="宋体" w:hAnsi="宋体" w:cs="宋体" w:eastAsia="宋体" w:hint="default"/>
                <w:spacing w:val="-51"/>
                <w:sz w:val="20"/>
                <w:szCs w:val="20"/>
              </w:rPr>
              <w:t> </w:t>
            </w:r>
            <w:r>
              <w:rPr>
                <w:rFonts w:ascii="宋体" w:hAnsi="宋体" w:cs="宋体" w:eastAsia="宋体" w:hint="default"/>
                <w:sz w:val="20"/>
                <w:szCs w:val="20"/>
              </w:rPr>
              <w:t>296</w:t>
            </w:r>
            <w:r>
              <w:rPr>
                <w:rFonts w:ascii="宋体" w:hAnsi="宋体" w:cs="宋体" w:eastAsia="宋体" w:hint="default"/>
                <w:spacing w:val="-50"/>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4.40%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91</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交通银行鼓楼支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“蕴通财富”日增</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利</w:t>
            </w:r>
            <w:r>
              <w:rPr>
                <w:rFonts w:ascii="宋体" w:hAnsi="宋体" w:cs="宋体" w:eastAsia="宋体" w:hint="default"/>
                <w:spacing w:val="-50"/>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天</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z w:val="20"/>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4.70%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31</w:t>
            </w:r>
          </w:p>
        </w:tc>
      </w:tr>
      <w:tr>
        <w:trPr>
          <w:trHeight w:val="78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54"/>
              <w:jc w:val="left"/>
              <w:rPr>
                <w:rFonts w:ascii="宋体" w:hAnsi="宋体" w:cs="宋体" w:eastAsia="宋体" w:hint="default"/>
                <w:sz w:val="20"/>
                <w:szCs w:val="20"/>
              </w:rPr>
            </w:pPr>
            <w:r>
              <w:rPr>
                <w:rFonts w:ascii="宋体" w:hAnsi="宋体" w:cs="宋体" w:eastAsia="宋体" w:hint="default"/>
                <w:sz w:val="20"/>
                <w:szCs w:val="20"/>
              </w:rPr>
              <w:t>交通银行鼓楼支</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“蕴通财富</w:t>
            </w:r>
            <w:r>
              <w:rPr>
                <w:rFonts w:ascii="宋体" w:hAnsi="宋体" w:cs="宋体" w:eastAsia="宋体" w:hint="default"/>
                <w:sz w:val="20"/>
                <w:szCs w:val="20"/>
              </w:rPr>
              <w:t>.</w:t>
            </w:r>
            <w:r>
              <w:rPr>
                <w:rFonts w:ascii="宋体" w:hAnsi="宋体" w:cs="宋体" w:eastAsia="宋体" w:hint="default"/>
                <w:sz w:val="20"/>
                <w:szCs w:val="20"/>
              </w:rPr>
              <w:t>日增</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利”集合理财计划</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（期次型）</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2"/>
              <w:jc w:val="left"/>
              <w:rPr>
                <w:rFonts w:ascii="宋体" w:hAnsi="宋体" w:cs="宋体" w:eastAsia="宋体" w:hint="default"/>
                <w:sz w:val="20"/>
                <w:szCs w:val="20"/>
              </w:rPr>
            </w:pPr>
            <w:r>
              <w:rPr>
                <w:rFonts w:ascii="宋体" w:hAnsi="宋体" w:cs="宋体" w:eastAsia="宋体" w:hint="default"/>
                <w:sz w:val="20"/>
                <w:szCs w:val="20"/>
              </w:rPr>
              <w:t>保本浮动收</w:t>
            </w:r>
            <w:r>
              <w:rPr>
                <w:rFonts w:ascii="宋体" w:hAnsi="宋体" w:cs="宋体" w:eastAsia="宋体" w:hint="default"/>
                <w:w w:val="100"/>
                <w:sz w:val="20"/>
                <w:szCs w:val="20"/>
              </w:rPr>
              <w:t> </w:t>
            </w: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2.10%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4</w:t>
            </w:r>
          </w:p>
        </w:tc>
      </w:tr>
      <w:tr>
        <w:trPr>
          <w:trHeight w:val="787"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54"/>
              <w:jc w:val="left"/>
              <w:rPr>
                <w:rFonts w:ascii="宋体" w:hAnsi="宋体" w:cs="宋体" w:eastAsia="宋体" w:hint="default"/>
                <w:sz w:val="20"/>
                <w:szCs w:val="20"/>
              </w:rPr>
            </w:pPr>
            <w:r>
              <w:rPr>
                <w:rFonts w:ascii="宋体" w:hAnsi="宋体" w:cs="宋体" w:eastAsia="宋体" w:hint="default"/>
                <w:sz w:val="20"/>
                <w:szCs w:val="20"/>
              </w:rPr>
              <w:t>交通银行陆家嘴</w:t>
            </w:r>
            <w:r>
              <w:rPr>
                <w:rFonts w:ascii="宋体" w:hAnsi="宋体" w:cs="宋体" w:eastAsia="宋体" w:hint="default"/>
                <w:w w:val="100"/>
                <w:sz w:val="20"/>
                <w:szCs w:val="20"/>
              </w:rPr>
              <w:t> </w:t>
            </w:r>
            <w:r>
              <w:rPr>
                <w:rFonts w:ascii="宋体" w:hAnsi="宋体" w:cs="宋体" w:eastAsia="宋体" w:hint="default"/>
                <w:sz w:val="20"/>
                <w:szCs w:val="20"/>
              </w:rPr>
              <w:t>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“蕴通财富</w:t>
            </w:r>
            <w:r>
              <w:rPr>
                <w:rFonts w:ascii="宋体" w:hAnsi="宋体" w:cs="宋体" w:eastAsia="宋体" w:hint="default"/>
                <w:sz w:val="20"/>
                <w:szCs w:val="20"/>
              </w:rPr>
              <w:t>.</w:t>
            </w:r>
            <w:r>
              <w:rPr>
                <w:rFonts w:ascii="宋体" w:hAnsi="宋体" w:cs="宋体" w:eastAsia="宋体" w:hint="default"/>
                <w:sz w:val="20"/>
                <w:szCs w:val="20"/>
              </w:rPr>
              <w:t>日增</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利”集合理财计划</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（期次型）</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2"/>
              <w:jc w:val="left"/>
              <w:rPr>
                <w:rFonts w:ascii="宋体" w:hAnsi="宋体" w:cs="宋体" w:eastAsia="宋体" w:hint="default"/>
                <w:sz w:val="20"/>
                <w:szCs w:val="20"/>
              </w:rPr>
            </w:pPr>
            <w:r>
              <w:rPr>
                <w:rFonts w:ascii="宋体" w:hAnsi="宋体" w:cs="宋体" w:eastAsia="宋体" w:hint="default"/>
                <w:sz w:val="20"/>
                <w:szCs w:val="20"/>
              </w:rPr>
              <w:t>保本保证收</w:t>
            </w:r>
            <w:r>
              <w:rPr>
                <w:rFonts w:ascii="宋体" w:hAnsi="宋体" w:cs="宋体" w:eastAsia="宋体" w:hint="default"/>
                <w:w w:val="100"/>
                <w:sz w:val="20"/>
                <w:szCs w:val="20"/>
              </w:rPr>
              <w:t> </w:t>
            </w: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15,000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z w:val="20"/>
              </w:rPr>
              <w:t>5,000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2.9%-4.6%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91</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民生银行新街口</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90,000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sz w:val="20"/>
              </w:rPr>
              <w:t>45,000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1"/>
                <w:sz w:val="20"/>
              </w:rPr>
              <w:t>3.5%-5%</w:t>
            </w:r>
            <w:r>
              <w:rPr>
                <w:rFonts w:ascii="宋体"/>
                <w:sz w:val="20"/>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182-183</w:t>
            </w:r>
            <w:r>
              <w:rPr>
                <w:rFonts w:ascii="宋体"/>
                <w:sz w:val="20"/>
              </w:rPr>
            </w:r>
          </w:p>
        </w:tc>
      </w:tr>
      <w:tr>
        <w:trPr>
          <w:trHeight w:val="78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154"/>
              <w:jc w:val="left"/>
              <w:rPr>
                <w:rFonts w:ascii="宋体" w:hAnsi="宋体" w:cs="宋体" w:eastAsia="宋体" w:hint="default"/>
                <w:sz w:val="20"/>
                <w:szCs w:val="20"/>
              </w:rPr>
            </w:pPr>
            <w:r>
              <w:rPr>
                <w:rFonts w:ascii="宋体" w:hAnsi="宋体" w:cs="宋体" w:eastAsia="宋体" w:hint="default"/>
                <w:sz w:val="20"/>
                <w:szCs w:val="20"/>
              </w:rPr>
              <w:t>南京银行龙蟠路</w:t>
            </w:r>
            <w:r>
              <w:rPr>
                <w:rFonts w:ascii="宋体" w:hAnsi="宋体" w:cs="宋体" w:eastAsia="宋体" w:hint="default"/>
                <w:w w:val="100"/>
                <w:sz w:val="20"/>
                <w:szCs w:val="20"/>
              </w:rPr>
              <w:t> </w:t>
            </w:r>
            <w:r>
              <w:rPr>
                <w:rFonts w:ascii="宋体" w:hAnsi="宋体" w:cs="宋体" w:eastAsia="宋体" w:hint="default"/>
                <w:sz w:val="20"/>
                <w:szCs w:val="20"/>
              </w:rPr>
              <w:t>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“日日聚金（</w:t>
            </w:r>
            <w:r>
              <w:rPr>
                <w:rFonts w:ascii="宋体" w:hAnsi="宋体" w:cs="宋体" w:eastAsia="宋体" w:hint="default"/>
                <w:sz w:val="20"/>
                <w:szCs w:val="20"/>
              </w:rPr>
              <w:t>1501</w:t>
            </w:r>
          </w:p>
          <w:p>
            <w:pPr>
              <w:pStyle w:val="TableParagraph"/>
              <w:spacing w:line="240" w:lineRule="auto"/>
              <w:ind w:left="103" w:right="126"/>
              <w:jc w:val="left"/>
              <w:rPr>
                <w:rFonts w:ascii="宋体" w:hAnsi="宋体" w:cs="宋体" w:eastAsia="宋体" w:hint="default"/>
                <w:sz w:val="20"/>
                <w:szCs w:val="20"/>
              </w:rPr>
            </w:pPr>
            <w:r>
              <w:rPr>
                <w:rFonts w:ascii="宋体" w:hAnsi="宋体" w:cs="宋体" w:eastAsia="宋体" w:hint="default"/>
                <w:sz w:val="20"/>
                <w:szCs w:val="20"/>
              </w:rPr>
              <w:t>期）”人民币理财</w:t>
            </w:r>
            <w:r>
              <w:rPr>
                <w:rFonts w:ascii="宋体" w:hAnsi="宋体" w:cs="宋体" w:eastAsia="宋体" w:hint="default"/>
                <w:w w:val="100"/>
                <w:sz w:val="20"/>
                <w:szCs w:val="20"/>
              </w:rPr>
              <w:t> </w:t>
            </w:r>
            <w:r>
              <w:rPr>
                <w:rFonts w:ascii="宋体" w:hAnsi="宋体" w:cs="宋体" w:eastAsia="宋体" w:hint="default"/>
                <w:sz w:val="20"/>
                <w:szCs w:val="20"/>
              </w:rPr>
              <w:t>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162"/>
              <w:jc w:val="left"/>
              <w:rPr>
                <w:rFonts w:ascii="宋体" w:hAnsi="宋体" w:cs="宋体" w:eastAsia="宋体" w:hint="default"/>
                <w:sz w:val="20"/>
                <w:szCs w:val="20"/>
              </w:rPr>
            </w:pPr>
            <w:r>
              <w:rPr>
                <w:rFonts w:ascii="宋体" w:hAnsi="宋体" w:cs="宋体" w:eastAsia="宋体" w:hint="default"/>
                <w:sz w:val="20"/>
                <w:szCs w:val="20"/>
              </w:rPr>
              <w:t>非保本浮动</w:t>
            </w:r>
            <w:r>
              <w:rPr>
                <w:rFonts w:ascii="宋体" w:hAnsi="宋体" w:cs="宋体" w:eastAsia="宋体" w:hint="default"/>
                <w:w w:val="100"/>
                <w:sz w:val="20"/>
                <w:szCs w:val="20"/>
              </w:rPr>
              <w:t> </w:t>
            </w: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3</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宁波银行南京鼓</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楼支行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启盈智能定期理财</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35,000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3.6%-4.7%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7-40</w:t>
            </w:r>
            <w:r>
              <w:rPr>
                <w:rFonts w:ascii="宋体"/>
                <w:sz w:val="20"/>
              </w:rPr>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农业银行南京洪</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武路支行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本利丰步步高</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14,000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2.60%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9</w:t>
            </w:r>
          </w:p>
        </w:tc>
      </w:tr>
      <w:tr>
        <w:trPr>
          <w:trHeight w:val="78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154"/>
              <w:jc w:val="left"/>
              <w:rPr>
                <w:rFonts w:ascii="宋体" w:hAnsi="宋体" w:cs="宋体" w:eastAsia="宋体" w:hint="default"/>
                <w:sz w:val="20"/>
                <w:szCs w:val="20"/>
              </w:rPr>
            </w:pPr>
            <w:r>
              <w:rPr>
                <w:rFonts w:ascii="宋体" w:hAnsi="宋体" w:cs="宋体" w:eastAsia="宋体" w:hint="default"/>
                <w:sz w:val="20"/>
                <w:szCs w:val="20"/>
              </w:rPr>
              <w:t>浦发银行南京银</w:t>
            </w:r>
            <w:r>
              <w:rPr>
                <w:rFonts w:ascii="宋体" w:hAnsi="宋体" w:cs="宋体" w:eastAsia="宋体" w:hint="default"/>
                <w:w w:val="100"/>
                <w:sz w:val="20"/>
                <w:szCs w:val="20"/>
              </w:rPr>
              <w:t> </w:t>
            </w:r>
            <w:r>
              <w:rPr>
                <w:rFonts w:ascii="宋体" w:hAnsi="宋体" w:cs="宋体" w:eastAsia="宋体" w:hint="default"/>
                <w:sz w:val="20"/>
                <w:szCs w:val="20"/>
              </w:rPr>
              <w:t>行城北支行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利多多对公结构性</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存款</w:t>
            </w:r>
            <w:r>
              <w:rPr>
                <w:rFonts w:ascii="宋体" w:hAnsi="宋体" w:cs="宋体" w:eastAsia="宋体" w:hint="default"/>
                <w:spacing w:val="-59"/>
                <w:sz w:val="20"/>
                <w:szCs w:val="20"/>
              </w:rPr>
              <w:t> </w:t>
            </w:r>
            <w:r>
              <w:rPr>
                <w:rFonts w:ascii="宋体" w:hAnsi="宋体" w:cs="宋体" w:eastAsia="宋体" w:hint="default"/>
                <w:sz w:val="20"/>
                <w:szCs w:val="20"/>
              </w:rPr>
              <w:t>2015</w:t>
            </w:r>
            <w:r>
              <w:rPr>
                <w:rFonts w:ascii="宋体" w:hAnsi="宋体" w:cs="宋体" w:eastAsia="宋体" w:hint="default"/>
                <w:spacing w:val="-59"/>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JG204</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期</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162"/>
              <w:jc w:val="left"/>
              <w:rPr>
                <w:rFonts w:ascii="宋体" w:hAnsi="宋体" w:cs="宋体" w:eastAsia="宋体" w:hint="default"/>
                <w:sz w:val="20"/>
                <w:szCs w:val="20"/>
              </w:rPr>
            </w:pPr>
            <w:r>
              <w:rPr>
                <w:rFonts w:ascii="宋体" w:hAnsi="宋体" w:cs="宋体" w:eastAsia="宋体" w:hint="default"/>
                <w:sz w:val="20"/>
                <w:szCs w:val="20"/>
              </w:rPr>
              <w:t>保本保证收</w:t>
            </w:r>
            <w:r>
              <w:rPr>
                <w:rFonts w:ascii="宋体" w:hAnsi="宋体" w:cs="宋体" w:eastAsia="宋体" w:hint="default"/>
                <w:w w:val="100"/>
                <w:sz w:val="20"/>
                <w:szCs w:val="20"/>
              </w:rPr>
              <w:t> </w:t>
            </w: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z w:val="20"/>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4.70%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34</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兴业银行南京中</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央路支行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金雪球</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1,292,800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3.2%-3.5%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hAnsi="宋体" w:cs="宋体" w:eastAsia="宋体" w:hint="default"/>
                <w:sz w:val="20"/>
                <w:szCs w:val="20"/>
              </w:rPr>
              <w:t>不定期</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兴业银行南京中</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央路支行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金雪球</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11,390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z w:val="20"/>
              </w:rPr>
              <w:t>390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1"/>
                <w:sz w:val="20"/>
              </w:rPr>
              <w:t>2.5%-4%</w:t>
            </w:r>
            <w:r>
              <w:rPr>
                <w:rFonts w:ascii="宋体"/>
                <w:sz w:val="20"/>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hAnsi="宋体" w:cs="宋体" w:eastAsia="宋体" w:hint="default"/>
                <w:sz w:val="20"/>
                <w:szCs w:val="20"/>
              </w:rPr>
              <w:t>不定期</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兴业银行南京中</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央路支行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金雪球</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396,800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3.1%-3.9%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hAnsi="宋体" w:cs="宋体" w:eastAsia="宋体" w:hint="default"/>
                <w:sz w:val="20"/>
                <w:szCs w:val="20"/>
              </w:rPr>
              <w:t>不定期</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招行天津鞍山西</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道支行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人民币结构性存款</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理财产品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4.3%-4.5%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217-365</w:t>
            </w:r>
            <w:r>
              <w:rPr>
                <w:rFonts w:ascii="宋体"/>
                <w:sz w:val="20"/>
              </w:rPr>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招商银行城西分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朝招金理财计划</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1,417,175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sz w:val="20"/>
              </w:rPr>
              <w:t>70,000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3.29%-4.1</w:t>
            </w:r>
          </w:p>
          <w:p>
            <w:pPr>
              <w:pStyle w:val="TableParagraph"/>
              <w:spacing w:line="260" w:lineRule="exact"/>
              <w:ind w:right="101"/>
              <w:jc w:val="right"/>
              <w:rPr>
                <w:rFonts w:ascii="宋体" w:hAnsi="宋体" w:cs="宋体" w:eastAsia="宋体" w:hint="default"/>
                <w:sz w:val="20"/>
                <w:szCs w:val="20"/>
              </w:rPr>
            </w:pPr>
            <w:r>
              <w:rPr>
                <w:rFonts w:ascii="宋体"/>
                <w:sz w:val="20"/>
              </w:rPr>
              <w:t>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hAnsi="宋体" w:cs="宋体" w:eastAsia="宋体" w:hint="default"/>
                <w:sz w:val="20"/>
                <w:szCs w:val="20"/>
              </w:rPr>
              <w:t>不定期</w:t>
            </w:r>
          </w:p>
        </w:tc>
      </w:tr>
      <w:tr>
        <w:trPr>
          <w:trHeight w:val="530"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浙商银行南京分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人民币专属理财</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4.40%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30</w:t>
            </w:r>
          </w:p>
        </w:tc>
      </w:tr>
      <w:tr>
        <w:trPr>
          <w:trHeight w:val="5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中国银行南京浦</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口支行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人民币“按期开放”</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理财产品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保本固定收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z w:val="20"/>
              </w:rPr>
              <w:t>2,000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3.80%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66</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中国银行南京鼓</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楼支行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人民币“按期开放”</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理财产品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11,000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2.70%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9</w:t>
            </w:r>
          </w:p>
        </w:tc>
      </w:tr>
    </w:tbl>
    <w:p>
      <w:pPr>
        <w:spacing w:after="0" w:line="240" w:lineRule="auto"/>
        <w:jc w:val="right"/>
        <w:rPr>
          <w:rFonts w:ascii="宋体" w:hAnsi="宋体" w:cs="宋体" w:eastAsia="宋体" w:hint="default"/>
          <w:sz w:val="20"/>
          <w:szCs w:val="20"/>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670"/>
        <w:gridCol w:w="1842"/>
        <w:gridCol w:w="1278"/>
        <w:gridCol w:w="989"/>
        <w:gridCol w:w="1274"/>
        <w:gridCol w:w="1136"/>
        <w:gridCol w:w="1128"/>
        <w:gridCol w:w="1009"/>
      </w:tblGrid>
      <w:tr>
        <w:trPr>
          <w:trHeight w:val="529" w:hRule="exact"/>
        </w:trPr>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428" w:right="0"/>
              <w:jc w:val="left"/>
              <w:rPr>
                <w:rFonts w:ascii="宋体" w:hAnsi="宋体" w:cs="宋体" w:eastAsia="宋体" w:hint="default"/>
                <w:sz w:val="20"/>
                <w:szCs w:val="20"/>
              </w:rPr>
            </w:pPr>
            <w:r>
              <w:rPr>
                <w:rFonts w:ascii="宋体" w:hAnsi="宋体" w:cs="宋体" w:eastAsia="宋体" w:hint="default"/>
                <w:b/>
                <w:bCs/>
                <w:sz w:val="20"/>
                <w:szCs w:val="20"/>
              </w:rPr>
              <w:t>银行名称</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514"/>
              <w:jc w:val="right"/>
              <w:rPr>
                <w:rFonts w:ascii="宋体" w:hAnsi="宋体" w:cs="宋体" w:eastAsia="宋体" w:hint="default"/>
                <w:sz w:val="20"/>
                <w:szCs w:val="20"/>
              </w:rPr>
            </w:pPr>
            <w:r>
              <w:rPr>
                <w:rFonts w:ascii="宋体" w:hAnsi="宋体" w:cs="宋体" w:eastAsia="宋体" w:hint="default"/>
                <w:b/>
                <w:bCs/>
                <w:w w:val="95"/>
                <w:sz w:val="20"/>
                <w:szCs w:val="20"/>
              </w:rPr>
              <w:t>产品名称</w:t>
            </w:r>
            <w:r>
              <w:rPr>
                <w:rFonts w:ascii="宋体" w:hAnsi="宋体" w:cs="宋体" w:eastAsia="宋体" w:hint="default"/>
                <w:sz w:val="20"/>
                <w:szCs w:val="20"/>
              </w:rPr>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收益类型</w:t>
            </w:r>
            <w:r>
              <w:rPr>
                <w:rFonts w:ascii="宋体" w:hAnsi="宋体" w:cs="宋体" w:eastAsia="宋体" w:hint="default"/>
                <w:sz w:val="20"/>
                <w:szCs w:val="20"/>
              </w:rPr>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期初余</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额</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29"/>
              <w:jc w:val="righ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60"/>
              <w:jc w:val="right"/>
              <w:rPr>
                <w:rFonts w:ascii="宋体" w:hAnsi="宋体" w:cs="宋体" w:eastAsia="宋体" w:hint="default"/>
                <w:sz w:val="20"/>
                <w:szCs w:val="20"/>
              </w:rPr>
            </w:pPr>
            <w:r>
              <w:rPr>
                <w:rFonts w:ascii="宋体" w:hAnsi="宋体" w:cs="宋体" w:eastAsia="宋体" w:hint="default"/>
                <w:b/>
                <w:bCs/>
                <w:w w:val="95"/>
                <w:sz w:val="20"/>
                <w:szCs w:val="20"/>
              </w:rPr>
              <w:t>期末余额</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预期收益</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率</w:t>
            </w:r>
            <w:r>
              <w:rPr>
                <w:rFonts w:ascii="宋体" w:hAnsi="宋体" w:cs="宋体" w:eastAsia="宋体" w:hint="default"/>
                <w:sz w:val="20"/>
                <w:szCs w:val="20"/>
              </w:rPr>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02" w:right="0" w:firstLine="96"/>
              <w:jc w:val="left"/>
              <w:rPr>
                <w:rFonts w:ascii="宋体" w:hAnsi="宋体" w:cs="宋体" w:eastAsia="宋体" w:hint="default"/>
                <w:sz w:val="20"/>
                <w:szCs w:val="20"/>
              </w:rPr>
            </w:pPr>
            <w:r>
              <w:rPr>
                <w:rFonts w:ascii="宋体" w:hAnsi="宋体" w:cs="宋体" w:eastAsia="宋体" w:hint="default"/>
                <w:b/>
                <w:bCs/>
                <w:sz w:val="20"/>
                <w:szCs w:val="20"/>
              </w:rPr>
              <w:t>理财期</w:t>
            </w:r>
            <w:r>
              <w:rPr>
                <w:rFonts w:ascii="宋体" w:hAnsi="宋体" w:cs="宋体" w:eastAsia="宋体" w:hint="default"/>
                <w:sz w:val="20"/>
                <w:szCs w:val="20"/>
              </w:rPr>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b/>
                <w:bCs/>
                <w:sz w:val="20"/>
                <w:szCs w:val="20"/>
              </w:rPr>
              <w:t>限（天）</w:t>
            </w:r>
            <w:r>
              <w:rPr>
                <w:rFonts w:ascii="宋体" w:hAnsi="宋体" w:cs="宋体" w:eastAsia="宋体" w:hint="default"/>
                <w:sz w:val="20"/>
                <w:szCs w:val="20"/>
              </w:rPr>
            </w:r>
          </w:p>
        </w:tc>
      </w:tr>
      <w:tr>
        <w:trPr>
          <w:trHeight w:val="787"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54"/>
              <w:jc w:val="left"/>
              <w:rPr>
                <w:rFonts w:ascii="宋体" w:hAnsi="宋体" w:cs="宋体" w:eastAsia="宋体" w:hint="default"/>
                <w:sz w:val="20"/>
                <w:szCs w:val="20"/>
              </w:rPr>
            </w:pPr>
            <w:r>
              <w:rPr>
                <w:rFonts w:ascii="宋体" w:hAnsi="宋体" w:cs="宋体" w:eastAsia="宋体" w:hint="default"/>
                <w:sz w:val="20"/>
                <w:szCs w:val="20"/>
              </w:rPr>
              <w:t>中信信诚资产管</w:t>
            </w:r>
            <w:r>
              <w:rPr>
                <w:rFonts w:ascii="宋体" w:hAnsi="宋体" w:cs="宋体" w:eastAsia="宋体" w:hint="default"/>
                <w:w w:val="100"/>
                <w:sz w:val="20"/>
                <w:szCs w:val="20"/>
              </w:rPr>
              <w:t> </w:t>
            </w:r>
            <w:r>
              <w:rPr>
                <w:rFonts w:ascii="宋体" w:hAnsi="宋体" w:cs="宋体" w:eastAsia="宋体" w:hint="default"/>
                <w:sz w:val="20"/>
                <w:szCs w:val="20"/>
              </w:rPr>
              <w:t>理有限公司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中信信诚 诚涨</w:t>
            </w:r>
            <w:r>
              <w:rPr>
                <w:rFonts w:ascii="宋体" w:hAnsi="宋体" w:cs="宋体" w:eastAsia="宋体" w:hint="default"/>
                <w:spacing w:val="-51"/>
                <w:sz w:val="20"/>
                <w:szCs w:val="20"/>
              </w:rPr>
              <w:t> </w:t>
            </w:r>
            <w:r>
              <w:rPr>
                <w:rFonts w:ascii="宋体" w:hAnsi="宋体" w:cs="宋体" w:eastAsia="宋体" w:hint="default"/>
                <w:sz w:val="20"/>
                <w:szCs w:val="20"/>
              </w:rPr>
              <w:t>1</w:t>
            </w:r>
          </w:p>
          <w:p>
            <w:pPr>
              <w:pStyle w:val="TableParagraph"/>
              <w:spacing w:line="260" w:lineRule="exact" w:before="24"/>
              <w:ind w:left="103" w:right="126"/>
              <w:jc w:val="left"/>
              <w:rPr>
                <w:rFonts w:ascii="宋体" w:hAnsi="宋体" w:cs="宋体" w:eastAsia="宋体" w:hint="default"/>
                <w:sz w:val="20"/>
                <w:szCs w:val="20"/>
              </w:rPr>
            </w:pPr>
            <w:r>
              <w:rPr>
                <w:rFonts w:ascii="宋体" w:hAnsi="宋体" w:cs="宋体" w:eastAsia="宋体" w:hint="default"/>
                <w:sz w:val="20"/>
                <w:szCs w:val="20"/>
              </w:rPr>
              <w:t>号固定收益投资专</w:t>
            </w:r>
            <w:r>
              <w:rPr>
                <w:rFonts w:ascii="宋体" w:hAnsi="宋体" w:cs="宋体" w:eastAsia="宋体" w:hint="default"/>
                <w:w w:val="100"/>
                <w:sz w:val="20"/>
                <w:szCs w:val="20"/>
              </w:rPr>
              <w:t> </w:t>
            </w:r>
            <w:r>
              <w:rPr>
                <w:rFonts w:ascii="宋体" w:hAnsi="宋体" w:cs="宋体" w:eastAsia="宋体" w:hint="default"/>
                <w:sz w:val="20"/>
                <w:szCs w:val="20"/>
              </w:rPr>
              <w:t>项资产管理计划</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62"/>
              <w:jc w:val="left"/>
              <w:rPr>
                <w:rFonts w:ascii="宋体" w:hAnsi="宋体" w:cs="宋体" w:eastAsia="宋体" w:hint="default"/>
                <w:sz w:val="20"/>
                <w:szCs w:val="20"/>
              </w:rPr>
            </w:pPr>
            <w:r>
              <w:rPr>
                <w:rFonts w:ascii="宋体" w:hAnsi="宋体" w:cs="宋体" w:eastAsia="宋体" w:hint="default"/>
                <w:sz w:val="20"/>
                <w:szCs w:val="20"/>
              </w:rPr>
              <w:t>非保本浮动</w:t>
            </w:r>
            <w:r>
              <w:rPr>
                <w:rFonts w:ascii="宋体" w:hAnsi="宋体" w:cs="宋体" w:eastAsia="宋体" w:hint="default"/>
                <w:w w:val="100"/>
                <w:sz w:val="20"/>
                <w:szCs w:val="20"/>
              </w:rPr>
              <w:t> </w:t>
            </w: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z w:val="20"/>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z w:val="20"/>
              </w:rPr>
              <w:t>5,000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89</w:t>
            </w:r>
          </w:p>
        </w:tc>
      </w:tr>
      <w:tr>
        <w:trPr>
          <w:trHeight w:val="530"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中信证券股份有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26"/>
              <w:jc w:val="right"/>
              <w:rPr>
                <w:rFonts w:ascii="宋体" w:hAnsi="宋体" w:cs="宋体" w:eastAsia="宋体" w:hint="default"/>
                <w:sz w:val="20"/>
                <w:szCs w:val="20"/>
              </w:rPr>
            </w:pPr>
            <w:r>
              <w:rPr>
                <w:rFonts w:ascii="宋体" w:hAnsi="宋体" w:cs="宋体" w:eastAsia="宋体" w:hint="default"/>
                <w:spacing w:val="-1"/>
                <w:sz w:val="20"/>
                <w:szCs w:val="20"/>
              </w:rPr>
              <w:t>信泽财富系列</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非保本浮动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z w:val="20"/>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z w:val="20"/>
              </w:rPr>
              <w:t>5,000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5.80%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z w:val="20"/>
              </w:rPr>
              <w:t>90</w:t>
            </w:r>
          </w:p>
        </w:tc>
      </w:tr>
      <w:tr>
        <w:trPr>
          <w:trHeight w:val="5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中信证券股份有</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中信证券</w:t>
            </w:r>
            <w:r>
              <w:rPr>
                <w:rFonts w:ascii="宋体" w:hAnsi="宋体" w:cs="宋体" w:eastAsia="宋体" w:hint="default"/>
                <w:spacing w:val="-52"/>
                <w:sz w:val="20"/>
                <w:szCs w:val="20"/>
              </w:rPr>
              <w:t> </w:t>
            </w:r>
            <w:r>
              <w:rPr>
                <w:rFonts w:ascii="宋体" w:hAnsi="宋体" w:cs="宋体" w:eastAsia="宋体" w:hint="default"/>
                <w:sz w:val="20"/>
                <w:szCs w:val="20"/>
              </w:rPr>
              <w:t>2015</w:t>
            </w:r>
            <w:r>
              <w:rPr>
                <w:rFonts w:ascii="宋体" w:hAnsi="宋体" w:cs="宋体" w:eastAsia="宋体" w:hint="default"/>
                <w:spacing w:val="-51"/>
                <w:sz w:val="20"/>
                <w:szCs w:val="20"/>
              </w:rPr>
              <w:t> </w:t>
            </w:r>
            <w:r>
              <w:rPr>
                <w:rFonts w:ascii="宋体" w:hAnsi="宋体" w:cs="宋体" w:eastAsia="宋体" w:hint="default"/>
                <w:sz w:val="20"/>
                <w:szCs w:val="20"/>
              </w:rPr>
              <w:t>年</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度收益凭证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保本浮动收</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益型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65,000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100"/>
                <w:sz w:val="20"/>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20"/>
                <w:szCs w:val="20"/>
              </w:rPr>
            </w:pPr>
            <w:r>
              <w:rPr>
                <w:rFonts w:ascii="宋体"/>
                <w:spacing w:val="-1"/>
                <w:sz w:val="20"/>
              </w:rPr>
              <w:t>4.3%-5.15</w:t>
            </w:r>
          </w:p>
          <w:p>
            <w:pPr>
              <w:pStyle w:val="TableParagraph"/>
              <w:spacing w:line="261" w:lineRule="exact"/>
              <w:ind w:right="101"/>
              <w:jc w:val="right"/>
              <w:rPr>
                <w:rFonts w:ascii="宋体" w:hAnsi="宋体" w:cs="宋体" w:eastAsia="宋体" w:hint="default"/>
                <w:sz w:val="20"/>
                <w:szCs w:val="20"/>
              </w:rPr>
            </w:pPr>
            <w:r>
              <w:rPr>
                <w:rFonts w:ascii="宋体"/>
                <w:w w:val="100"/>
                <w:sz w:val="20"/>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14</w:t>
            </w:r>
          </w:p>
        </w:tc>
      </w:tr>
      <w:tr>
        <w:trPr>
          <w:trHeight w:val="298" w:hRule="exact"/>
        </w:trPr>
        <w:tc>
          <w:tcPr>
            <w:tcW w:w="47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b/>
                <w:w w:val="95"/>
                <w:sz w:val="20"/>
              </w:rPr>
              <w:t>447,000</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b/>
                <w:w w:val="95"/>
                <w:sz w:val="20"/>
              </w:rPr>
              <w:t>5,139,935</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b/>
                <w:w w:val="95"/>
                <w:sz w:val="20"/>
              </w:rPr>
              <w:t>476,300</w:t>
            </w:r>
            <w:r>
              <w:rPr>
                <w:rFonts w:ascii="宋体"/>
                <w:sz w:val="20"/>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BodyText"/>
        <w:spacing w:line="369" w:lineRule="auto" w:before="31"/>
        <w:ind w:left="213" w:right="1133" w:firstLine="440"/>
        <w:jc w:val="both"/>
      </w:pPr>
      <w:r>
        <w:rPr>
          <w:spacing w:val="-4"/>
          <w:w w:val="99"/>
        </w:rPr>
        <w:t>（</w:t>
      </w:r>
      <w:r>
        <w:rPr>
          <w:rFonts w:ascii="Times New Roman" w:hAnsi="Times New Roman" w:cs="Times New Roman" w:eastAsia="Times New Roman" w:hint="default"/>
          <w:spacing w:val="-4"/>
          <w:w w:val="99"/>
        </w:rPr>
        <w:t>2</w:t>
      </w:r>
      <w:r>
        <w:rPr>
          <w:spacing w:val="-4"/>
          <w:w w:val="99"/>
        </w:rPr>
        <w:t>）第五届董事会第二十四次会议审议通过《关于使用自有资金投资货币市场基金的议案》，同</w:t>
      </w:r>
      <w:r>
        <w:rPr>
          <w:w w:val="99"/>
        </w:rPr>
        <w:t> </w:t>
      </w:r>
      <w:r>
        <w:rPr/>
        <w:t>意公司在满足日常资金需求的情况下，使用自有资金规模不超过</w:t>
      </w:r>
      <w:r>
        <w:rPr>
          <w:spacing w:val="-57"/>
        </w:rPr>
        <w:t> </w:t>
      </w:r>
      <w:r>
        <w:rPr>
          <w:rFonts w:ascii="Times New Roman" w:hAnsi="Times New Roman" w:cs="Times New Roman" w:eastAsia="Times New Roman" w:hint="default"/>
        </w:rPr>
        <w:t>50</w:t>
      </w:r>
      <w:r>
        <w:rPr>
          <w:rFonts w:ascii="Times New Roman" w:hAnsi="Times New Roman" w:cs="Times New Roman" w:eastAsia="Times New Roman" w:hint="default"/>
          <w:spacing w:val="-5"/>
        </w:rPr>
        <w:t> </w:t>
      </w:r>
      <w:r>
        <w:rPr/>
        <w:t>亿元（含）用于投资货币市场基</w:t>
      </w:r>
      <w:r>
        <w:rPr>
          <w:w w:val="99"/>
        </w:rPr>
        <w:t> </w:t>
      </w:r>
      <w:r>
        <w:rPr/>
        <w:t>金。</w:t>
      </w:r>
    </w:p>
    <w:p>
      <w:pPr>
        <w:spacing w:after="0" w:line="369" w:lineRule="auto"/>
        <w:jc w:val="both"/>
        <w:sectPr>
          <w:pgSz w:w="11910" w:h="16840"/>
          <w:pgMar w:header="747" w:footer="979" w:top="1060" w:bottom="1160" w:left="920" w:right="0"/>
        </w:sectPr>
      </w:pPr>
    </w:p>
    <w:p>
      <w:pPr>
        <w:pStyle w:val="BodyText"/>
        <w:spacing w:line="307" w:lineRule="auto" w:before="61"/>
        <w:ind w:left="654" w:right="-4"/>
        <w:jc w:val="left"/>
      </w:pPr>
      <w:r>
        <w:rPr/>
        <w:t>截至</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日，公司投资货币市场基金余额为</w:t>
      </w:r>
      <w:r>
        <w:rPr>
          <w:spacing w:val="-54"/>
        </w:rPr>
        <w:t> </w:t>
      </w:r>
      <w:r>
        <w:rPr>
          <w:rFonts w:ascii="Times New Roman" w:hAnsi="Times New Roman" w:cs="Times New Roman" w:eastAsia="Times New Roman" w:hint="default"/>
        </w:rPr>
        <w:t>1.06</w:t>
      </w:r>
      <w:r>
        <w:rPr>
          <w:rFonts w:ascii="Times New Roman" w:hAnsi="Times New Roman" w:cs="Times New Roman" w:eastAsia="Times New Roman" w:hint="default"/>
          <w:spacing w:val="-1"/>
        </w:rPr>
        <w:t> </w:t>
      </w:r>
      <w:r>
        <w:rPr/>
        <w:t>亿元。</w:t>
      </w:r>
      <w:r>
        <w:rPr>
          <w:w w:val="99"/>
        </w:rPr>
        <w:t> </w:t>
      </w:r>
      <w:r>
        <w:rPr/>
        <w:t>报告期内，公司投资货币市场资金情况如下：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0"/>
        <w:ind w:left="654" w:right="0" w:firstLine="0"/>
        <w:jc w:val="left"/>
        <w:rPr>
          <w:rFonts w:ascii="宋体" w:hAnsi="宋体" w:cs="宋体" w:eastAsia="宋体" w:hint="default"/>
          <w:sz w:val="20"/>
          <w:szCs w:val="20"/>
        </w:rPr>
      </w:pP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10" w:h="16840"/>
          <w:pgMar w:top="1060" w:bottom="1160" w:left="920" w:right="0"/>
          <w:cols w:num="2" w:equalWidth="0">
            <w:col w:w="7202" w:space="998"/>
            <w:col w:w="2790"/>
          </w:cols>
        </w:sectPr>
      </w:pPr>
    </w:p>
    <w:p>
      <w:pPr>
        <w:spacing w:line="240" w:lineRule="auto" w:before="7"/>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192"/>
        <w:gridCol w:w="1917"/>
        <w:gridCol w:w="2026"/>
        <w:gridCol w:w="2026"/>
        <w:gridCol w:w="1696"/>
      </w:tblGrid>
      <w:tr>
        <w:trPr>
          <w:trHeight w:val="275"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689" w:right="0"/>
              <w:jc w:val="left"/>
              <w:rPr>
                <w:rFonts w:ascii="宋体" w:hAnsi="宋体" w:cs="宋体" w:eastAsia="宋体" w:hint="default"/>
                <w:sz w:val="20"/>
                <w:szCs w:val="20"/>
              </w:rPr>
            </w:pPr>
            <w:r>
              <w:rPr>
                <w:rFonts w:ascii="宋体" w:hAnsi="宋体" w:cs="宋体" w:eastAsia="宋体" w:hint="default"/>
                <w:b/>
                <w:bCs/>
                <w:sz w:val="20"/>
                <w:szCs w:val="20"/>
              </w:rPr>
              <w:t>基金名称</w:t>
            </w:r>
            <w:r>
              <w:rPr>
                <w:rFonts w:ascii="宋体" w:hAnsi="宋体" w:cs="宋体" w:eastAsia="宋体" w:hint="default"/>
                <w:sz w:val="20"/>
                <w:szCs w:val="20"/>
              </w:rPr>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551"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503" w:right="0"/>
              <w:jc w:val="lef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405" w:right="0"/>
              <w:jc w:val="left"/>
              <w:rPr>
                <w:rFonts w:ascii="宋体" w:hAnsi="宋体" w:cs="宋体" w:eastAsia="宋体" w:hint="default"/>
                <w:sz w:val="20"/>
                <w:szCs w:val="20"/>
              </w:rPr>
            </w:pPr>
            <w:r>
              <w:rPr>
                <w:rFonts w:ascii="宋体" w:hAnsi="宋体" w:cs="宋体" w:eastAsia="宋体" w:hint="default"/>
                <w:b/>
                <w:bCs/>
                <w:sz w:val="20"/>
                <w:szCs w:val="20"/>
              </w:rPr>
              <w:t>本期赎回金额</w:t>
            </w:r>
            <w:r>
              <w:rPr>
                <w:rFonts w:ascii="宋体" w:hAnsi="宋体" w:cs="宋体" w:eastAsia="宋体" w:hint="default"/>
                <w:sz w:val="20"/>
                <w:szCs w:val="20"/>
              </w:rPr>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440"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28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广发货币</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0"/>
                <w:szCs w:val="20"/>
              </w:rPr>
            </w:pPr>
            <w:r>
              <w:rPr>
                <w:rFonts w:ascii="Times New Roman"/>
                <w:sz w:val="20"/>
              </w:rPr>
              <w:t>1,300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0"/>
                <w:szCs w:val="20"/>
              </w:rPr>
            </w:pPr>
            <w:r>
              <w:rPr>
                <w:rFonts w:ascii="Times New Roman"/>
                <w:spacing w:val="-1"/>
                <w:sz w:val="20"/>
              </w:rPr>
              <w:t>309,400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0"/>
                <w:szCs w:val="20"/>
              </w:rPr>
            </w:pPr>
            <w:r>
              <w:rPr>
                <w:rFonts w:ascii="Times New Roman"/>
                <w:spacing w:val="-1"/>
                <w:sz w:val="20"/>
              </w:rPr>
              <w:t>309,700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0"/>
                <w:szCs w:val="20"/>
              </w:rPr>
            </w:pPr>
            <w:r>
              <w:rPr>
                <w:rFonts w:ascii="Times New Roman"/>
                <w:sz w:val="20"/>
              </w:rPr>
              <w:t>1,000</w:t>
            </w:r>
          </w:p>
        </w:tc>
      </w:tr>
      <w:tr>
        <w:trPr>
          <w:trHeight w:val="28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广发天天红</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z w:val="20"/>
              </w:rPr>
              <w:t>6,000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spacing w:val="-1"/>
                <w:sz w:val="20"/>
              </w:rPr>
              <w:t>207,600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208,000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z w:val="20"/>
              </w:rPr>
              <w:t>5,600</w:t>
            </w:r>
          </w:p>
        </w:tc>
      </w:tr>
      <w:tr>
        <w:trPr>
          <w:trHeight w:val="281"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易方达货币</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15,500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34,000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48,500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z w:val="20"/>
              </w:rPr>
              <w:t>1,000</w:t>
            </w:r>
          </w:p>
        </w:tc>
      </w:tr>
      <w:tr>
        <w:trPr>
          <w:trHeight w:val="28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工银瑞信货币</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spacing w:val="-1"/>
                <w:sz w:val="20"/>
              </w:rPr>
              <w:t>101,000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101,000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28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工银薪金货币</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spacing w:val="-1"/>
                <w:sz w:val="20"/>
              </w:rPr>
              <w:t>138,000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137,000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z w:val="20"/>
              </w:rPr>
              <w:t>1,000</w:t>
            </w:r>
          </w:p>
        </w:tc>
      </w:tr>
      <w:tr>
        <w:trPr>
          <w:trHeight w:val="281"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上投摩根货币</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spacing w:val="-1"/>
                <w:sz w:val="20"/>
              </w:rPr>
              <w:t>115,000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115,000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28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富国天时货币</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50,000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50,000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28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汇添富货币</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30,000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30,000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281"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博时现金收益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z w:val="20"/>
              </w:rPr>
              <w:t>6,000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z w:val="20"/>
              </w:rPr>
              <w:t>6,000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28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南方现金增利</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z w:val="20"/>
              </w:rPr>
              <w:t>1,000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z w:val="20"/>
              </w:rPr>
              <w:t>1,000</w:t>
            </w:r>
          </w:p>
        </w:tc>
      </w:tr>
      <w:tr>
        <w:trPr>
          <w:trHeight w:val="28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民生加银现金增利</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45,000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45,000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281"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鑫元货币</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B</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21,000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20,000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z w:val="20"/>
              </w:rPr>
              <w:t>1,000</w:t>
            </w:r>
          </w:p>
        </w:tc>
      </w:tr>
      <w:tr>
        <w:trPr>
          <w:trHeight w:val="28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汇添富现金宝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0"/>
                <w:sz w:val="20"/>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spacing w:val="-1"/>
                <w:sz w:val="20"/>
              </w:rPr>
              <w:t>132,600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132,600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28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鑫元合丰分级</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A</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z w:val="20"/>
              </w:rPr>
              <w:t>5,970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z w:val="20"/>
              </w:rPr>
              <w:t>1,500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z w:val="20"/>
              </w:rPr>
              <w:t>7,470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281"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20"/>
                <w:szCs w:val="20"/>
              </w:rPr>
            </w:pPr>
            <w:r>
              <w:rPr>
                <w:rFonts w:ascii="Times New Roman"/>
                <w:b/>
                <w:spacing w:val="-1"/>
                <w:sz w:val="20"/>
              </w:rPr>
              <w:t>73,770</w:t>
            </w:r>
            <w:r>
              <w:rPr>
                <w:rFonts w:ascii="Times New Roman"/>
                <w:spacing w:val="-1"/>
                <w:sz w:val="20"/>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b/>
                <w:spacing w:val="-1"/>
                <w:sz w:val="20"/>
              </w:rPr>
              <w:t>1,147,100</w:t>
            </w:r>
            <w:r>
              <w:rPr>
                <w:rFonts w:ascii="Times New Roman"/>
                <w:spacing w:val="-1"/>
                <w:sz w:val="20"/>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b/>
                <w:spacing w:val="-1"/>
                <w:sz w:val="20"/>
              </w:rPr>
              <w:t>1,210,270</w:t>
            </w:r>
            <w:r>
              <w:rPr>
                <w:rFonts w:ascii="Times New Roman"/>
                <w:spacing w:val="-1"/>
                <w:sz w:val="20"/>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b/>
                <w:spacing w:val="-1"/>
                <w:sz w:val="20"/>
              </w:rPr>
              <w:t>10,600</w:t>
            </w:r>
            <w:r>
              <w:rPr>
                <w:rFonts w:ascii="Times New Roman"/>
                <w:spacing w:val="-1"/>
                <w:sz w:val="20"/>
              </w:rPr>
            </w:r>
          </w:p>
        </w:tc>
      </w:tr>
    </w:tbl>
    <w:p>
      <w:pPr>
        <w:spacing w:line="240" w:lineRule="auto" w:before="11"/>
        <w:rPr>
          <w:rFonts w:ascii="宋体" w:hAnsi="宋体" w:cs="宋体" w:eastAsia="宋体" w:hint="default"/>
          <w:sz w:val="18"/>
          <w:szCs w:val="18"/>
        </w:rPr>
      </w:pPr>
    </w:p>
    <w:p>
      <w:pPr>
        <w:pStyle w:val="Heading4"/>
        <w:spacing w:line="240" w:lineRule="auto" w:before="31"/>
        <w:ind w:left="214" w:right="1019"/>
        <w:jc w:val="left"/>
        <w:rPr>
          <w:b w:val="0"/>
          <w:bCs w:val="0"/>
        </w:rPr>
      </w:pPr>
      <w:bookmarkStart w:name="7、风险投资情况" w:id="54"/>
      <w:bookmarkEnd w:id="54"/>
      <w:r>
        <w:rPr>
          <w:b w:val="0"/>
          <w:bCs w:val="0"/>
        </w:rPr>
      </w:r>
      <w:r>
        <w:rPr>
          <w:rFonts w:ascii="Times New Roman" w:hAnsi="Times New Roman" w:cs="Times New Roman" w:eastAsia="Times New Roman" w:hint="default"/>
        </w:rPr>
        <w:t>7</w:t>
      </w:r>
      <w:r>
        <w:rPr/>
        <w:t>、风险投资情况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213" w:right="1019" w:firstLine="440"/>
        <w:jc w:val="left"/>
      </w:pPr>
      <w:r>
        <w:rPr>
          <w:spacing w:val="-3"/>
        </w:rPr>
        <w:t>公司第五届董事会第十八次会议审议、</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3"/>
        </w:rPr>
        <w:t> </w:t>
      </w:r>
      <w:r>
        <w:rPr>
          <w:spacing w:val="-3"/>
        </w:rPr>
        <w:t>年年度股东大会决议通过《关于使用自有资金进行风</w:t>
      </w:r>
      <w:r>
        <w:rPr>
          <w:w w:val="99"/>
        </w:rPr>
        <w:t> </w:t>
      </w:r>
      <w:r>
        <w:rPr>
          <w:spacing w:val="-6"/>
          <w:w w:val="99"/>
        </w:rPr>
        <w:t>险投资的议案》，公司使用自有资金不超过</w:t>
      </w:r>
      <w:r>
        <w:rPr>
          <w:spacing w:val="-52"/>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2"/>
          <w:w w:val="99"/>
        </w:rPr>
        <w:t> </w:t>
      </w:r>
      <w:r>
        <w:rPr>
          <w:w w:val="99"/>
        </w:rPr>
        <w:t>亿元（含）进行风险投资。</w:t>
      </w:r>
      <w:r>
        <w:rPr/>
      </w:r>
    </w:p>
    <w:p>
      <w:pPr>
        <w:pStyle w:val="BodyText"/>
        <w:spacing w:line="240" w:lineRule="auto" w:before="32"/>
        <w:ind w:left="654" w:right="1019"/>
        <w:jc w:val="left"/>
      </w:pPr>
      <w:r>
        <w:rPr/>
        <w:t>报告期内，公司未开展上述风险投资业务。</w:t>
      </w:r>
    </w:p>
    <w:p>
      <w:pPr>
        <w:spacing w:after="0" w:line="240" w:lineRule="auto"/>
        <w:jc w:val="left"/>
        <w:sectPr>
          <w:type w:val="continuous"/>
          <w:pgSz w:w="11910" w:h="16840"/>
          <w:pgMar w:top="1060" w:bottom="1160" w:left="920" w:right="0"/>
        </w:sectPr>
      </w:pPr>
    </w:p>
    <w:p>
      <w:pPr>
        <w:spacing w:line="240" w:lineRule="auto" w:before="12"/>
        <w:rPr>
          <w:rFonts w:ascii="宋体" w:hAnsi="宋体" w:cs="宋体" w:eastAsia="宋体" w:hint="default"/>
          <w:sz w:val="2"/>
          <w:szCs w:val="2"/>
        </w:rPr>
      </w:pPr>
      <w:r>
        <w:rPr/>
        <w:pict>
          <v:group style="position:absolute;margin-left:149.960007pt;margin-top:290.080017pt;width:39.2pt;height:234.05pt;mso-position-horizontal-relative:page;mso-position-vertical-relative:page;z-index:-1832200" coordorigin="2999,5802" coordsize="784,4681">
            <v:shape style="position:absolute;left:2999;top:5802;width:784;height:4681" coordorigin="2999,5802" coordsize="784,4681" path="m2999,10482l3783,10482,3783,5802,2999,5802,2999,10482xe" filled="true" fillcolor="#ffffff" stroked="false">
              <v:path arrowok="t"/>
              <v:fill type="solid"/>
            </v:shape>
            <w10:wrap type="none"/>
          </v:group>
        </w:pict>
      </w:r>
      <w:r>
        <w:rPr/>
        <w:pict>
          <v:group style="position:absolute;margin-left:293.059998pt;margin-top:243.26001pt;width:47pt;height:15.65pt;mso-position-horizontal-relative:page;mso-position-vertical-relative:page;z-index:-1832176" coordorigin="5861,4865" coordsize="940,313">
            <v:shape style="position:absolute;left:5861;top:4865;width:940;height:313" coordorigin="5861,4865" coordsize="940,313" path="m5861,5178l6801,5178,6801,4865,5861,4865,5861,5178xe" filled="true" fillcolor="#ffffff" stroked="false">
              <v:path arrowok="t"/>
              <v:fill type="solid"/>
            </v:shape>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8"/>
          <w:szCs w:val="18"/>
        </w:rPr>
      </w:pPr>
    </w:p>
    <w:p>
      <w:pPr>
        <w:pStyle w:val="Heading2"/>
        <w:spacing w:line="240" w:lineRule="auto" w:before="26"/>
        <w:ind w:left="140" w:right="1276"/>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140" w:right="1276"/>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802"/>
        <w:gridCol w:w="780"/>
        <w:gridCol w:w="794"/>
        <w:gridCol w:w="937"/>
        <w:gridCol w:w="1119"/>
        <w:gridCol w:w="983"/>
        <w:gridCol w:w="992"/>
        <w:gridCol w:w="710"/>
        <w:gridCol w:w="708"/>
        <w:gridCol w:w="992"/>
        <w:gridCol w:w="850"/>
        <w:gridCol w:w="991"/>
        <w:gridCol w:w="1135"/>
        <w:gridCol w:w="993"/>
        <w:gridCol w:w="1228"/>
      </w:tblGrid>
      <w:tr>
        <w:trPr>
          <w:trHeight w:val="219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85" w:lineRule="auto"/>
              <w:ind w:left="290" w:right="99" w:hanging="201"/>
              <w:jc w:val="left"/>
              <w:rPr>
                <w:rFonts w:ascii="宋体" w:hAnsi="宋体" w:cs="宋体" w:eastAsia="宋体" w:hint="default"/>
                <w:sz w:val="20"/>
                <w:szCs w:val="20"/>
              </w:rPr>
            </w:pPr>
            <w:r>
              <w:rPr>
                <w:rFonts w:ascii="宋体" w:hAnsi="宋体" w:cs="宋体" w:eastAsia="宋体" w:hint="default"/>
                <w:sz w:val="20"/>
                <w:szCs w:val="20"/>
              </w:rPr>
              <w:t>交易对</w:t>
            </w:r>
            <w:r>
              <w:rPr>
                <w:rFonts w:ascii="宋体" w:hAnsi="宋体" w:cs="宋体" w:eastAsia="宋体" w:hint="default"/>
                <w:w w:val="100"/>
                <w:sz w:val="20"/>
                <w:szCs w:val="20"/>
              </w:rPr>
              <w:t> </w:t>
            </w:r>
            <w:r>
              <w:rPr>
                <w:rFonts w:ascii="宋体" w:hAnsi="宋体" w:cs="宋体" w:eastAsia="宋体" w:hint="default"/>
                <w:sz w:val="20"/>
                <w:szCs w:val="20"/>
              </w:rPr>
              <w:t>方</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85" w:lineRule="auto"/>
              <w:ind w:left="179" w:right="88" w:hanging="101"/>
              <w:jc w:val="left"/>
              <w:rPr>
                <w:rFonts w:ascii="宋体" w:hAnsi="宋体" w:cs="宋体" w:eastAsia="宋体" w:hint="default"/>
                <w:sz w:val="20"/>
                <w:szCs w:val="20"/>
              </w:rPr>
            </w:pPr>
            <w:r>
              <w:rPr>
                <w:rFonts w:ascii="宋体" w:hAnsi="宋体" w:cs="宋体" w:eastAsia="宋体" w:hint="default"/>
                <w:sz w:val="20"/>
                <w:szCs w:val="20"/>
              </w:rPr>
              <w:t>被出售</w:t>
            </w:r>
            <w:r>
              <w:rPr>
                <w:rFonts w:ascii="宋体" w:hAnsi="宋体" w:cs="宋体" w:eastAsia="宋体" w:hint="default"/>
                <w:w w:val="100"/>
                <w:sz w:val="20"/>
                <w:szCs w:val="20"/>
              </w:rPr>
              <w:t> </w:t>
            </w:r>
            <w:r>
              <w:rPr>
                <w:rFonts w:ascii="宋体" w:hAnsi="宋体" w:cs="宋体" w:eastAsia="宋体" w:hint="default"/>
                <w:sz w:val="20"/>
                <w:szCs w:val="20"/>
              </w:rPr>
              <w:t>资产</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5"/>
              <w:ind w:left="91" w:right="0"/>
              <w:jc w:val="left"/>
              <w:rPr>
                <w:rFonts w:ascii="宋体" w:hAnsi="宋体" w:cs="宋体" w:eastAsia="宋体" w:hint="default"/>
                <w:sz w:val="20"/>
                <w:szCs w:val="20"/>
              </w:rPr>
            </w:pPr>
            <w:r>
              <w:rPr>
                <w:rFonts w:ascii="宋体" w:hAnsi="宋体" w:cs="宋体" w:eastAsia="宋体" w:hint="default"/>
                <w:sz w:val="20"/>
                <w:szCs w:val="20"/>
              </w:rPr>
              <w:t>出售日</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2" w:right="0"/>
              <w:jc w:val="left"/>
              <w:rPr>
                <w:rFonts w:ascii="宋体" w:hAnsi="宋体" w:cs="宋体" w:eastAsia="宋体" w:hint="default"/>
                <w:sz w:val="20"/>
                <w:szCs w:val="20"/>
              </w:rPr>
            </w:pPr>
            <w:r>
              <w:rPr>
                <w:rFonts w:ascii="宋体" w:hAnsi="宋体" w:cs="宋体" w:eastAsia="宋体" w:hint="default"/>
                <w:sz w:val="20"/>
                <w:szCs w:val="20"/>
              </w:rPr>
              <w:t>交易价格</w:t>
            </w:r>
          </w:p>
          <w:p>
            <w:pPr>
              <w:pStyle w:val="TableParagraph"/>
              <w:spacing w:line="240" w:lineRule="auto" w:before="50"/>
              <w:ind w:left="62"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85" w:lineRule="auto"/>
              <w:ind w:left="49" w:right="57"/>
              <w:jc w:val="center"/>
              <w:rPr>
                <w:rFonts w:ascii="宋体" w:hAnsi="宋体" w:cs="宋体" w:eastAsia="宋体" w:hint="default"/>
                <w:sz w:val="20"/>
                <w:szCs w:val="20"/>
              </w:rPr>
            </w:pPr>
            <w:r>
              <w:rPr>
                <w:rFonts w:ascii="宋体" w:hAnsi="宋体" w:cs="宋体" w:eastAsia="宋体" w:hint="default"/>
                <w:sz w:val="20"/>
                <w:szCs w:val="20"/>
              </w:rPr>
              <w:t>本期初起至</w:t>
            </w:r>
            <w:r>
              <w:rPr>
                <w:rFonts w:ascii="宋体" w:hAnsi="宋体" w:cs="宋体" w:eastAsia="宋体" w:hint="default"/>
                <w:w w:val="100"/>
                <w:sz w:val="20"/>
                <w:szCs w:val="20"/>
              </w:rPr>
              <w:t> </w:t>
            </w:r>
            <w:r>
              <w:rPr>
                <w:rFonts w:ascii="宋体" w:hAnsi="宋体" w:cs="宋体" w:eastAsia="宋体" w:hint="default"/>
                <w:sz w:val="20"/>
                <w:szCs w:val="20"/>
              </w:rPr>
              <w:t>出售日该资</w:t>
            </w:r>
            <w:r>
              <w:rPr>
                <w:rFonts w:ascii="宋体" w:hAnsi="宋体" w:cs="宋体" w:eastAsia="宋体" w:hint="default"/>
                <w:w w:val="100"/>
                <w:sz w:val="20"/>
                <w:szCs w:val="20"/>
              </w:rPr>
              <w:t> </w:t>
            </w:r>
            <w:r>
              <w:rPr>
                <w:rFonts w:ascii="宋体" w:hAnsi="宋体" w:cs="宋体" w:eastAsia="宋体" w:hint="default"/>
                <w:sz w:val="20"/>
                <w:szCs w:val="20"/>
              </w:rPr>
              <w:t>产为上市公</w:t>
            </w:r>
            <w:r>
              <w:rPr>
                <w:rFonts w:ascii="宋体" w:hAnsi="宋体" w:cs="宋体" w:eastAsia="宋体" w:hint="default"/>
                <w:w w:val="100"/>
                <w:sz w:val="20"/>
                <w:szCs w:val="20"/>
              </w:rPr>
              <w:t> </w:t>
            </w:r>
            <w:r>
              <w:rPr>
                <w:rFonts w:ascii="宋体" w:hAnsi="宋体" w:cs="宋体" w:eastAsia="宋体" w:hint="default"/>
                <w:sz w:val="20"/>
                <w:szCs w:val="20"/>
              </w:rPr>
              <w:t>司贡献的净</w:t>
            </w:r>
            <w:r>
              <w:rPr>
                <w:rFonts w:ascii="宋体" w:hAnsi="宋体" w:cs="宋体" w:eastAsia="宋体" w:hint="default"/>
                <w:w w:val="100"/>
                <w:sz w:val="20"/>
                <w:szCs w:val="20"/>
              </w:rPr>
              <w:t> </w:t>
            </w:r>
            <w:r>
              <w:rPr>
                <w:rFonts w:ascii="宋体" w:hAnsi="宋体" w:cs="宋体" w:eastAsia="宋体" w:hint="default"/>
                <w:sz w:val="20"/>
                <w:szCs w:val="20"/>
              </w:rPr>
              <w:t>利润</w:t>
            </w:r>
          </w:p>
        </w:tc>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85" w:lineRule="auto"/>
              <w:ind w:left="79" w:right="90"/>
              <w:jc w:val="left"/>
              <w:rPr>
                <w:rFonts w:ascii="宋体" w:hAnsi="宋体" w:cs="宋体" w:eastAsia="宋体" w:hint="default"/>
                <w:sz w:val="20"/>
                <w:szCs w:val="20"/>
              </w:rPr>
            </w:pPr>
            <w:r>
              <w:rPr>
                <w:rFonts w:ascii="宋体" w:hAnsi="宋体" w:cs="宋体" w:eastAsia="宋体" w:hint="default"/>
                <w:sz w:val="20"/>
                <w:szCs w:val="20"/>
              </w:rPr>
              <w:t>出售对公</w:t>
            </w:r>
            <w:r>
              <w:rPr>
                <w:rFonts w:ascii="宋体" w:hAnsi="宋体" w:cs="宋体" w:eastAsia="宋体" w:hint="default"/>
                <w:w w:val="100"/>
                <w:sz w:val="20"/>
                <w:szCs w:val="20"/>
              </w:rPr>
              <w:t> </w:t>
            </w:r>
            <w:r>
              <w:rPr>
                <w:rFonts w:ascii="宋体" w:hAnsi="宋体" w:cs="宋体" w:eastAsia="宋体" w:hint="default"/>
                <w:sz w:val="20"/>
                <w:szCs w:val="20"/>
              </w:rPr>
              <w:t>司的影响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0"/>
              <w:ind w:left="90" w:right="89"/>
              <w:jc w:val="both"/>
              <w:rPr>
                <w:rFonts w:ascii="宋体" w:hAnsi="宋体" w:cs="宋体" w:eastAsia="宋体" w:hint="default"/>
                <w:sz w:val="20"/>
                <w:szCs w:val="20"/>
              </w:rPr>
            </w:pPr>
            <w:r>
              <w:rPr>
                <w:rFonts w:ascii="宋体" w:hAnsi="宋体" w:cs="宋体" w:eastAsia="宋体" w:hint="default"/>
                <w:sz w:val="20"/>
                <w:szCs w:val="20"/>
              </w:rPr>
              <w:t>资产出售</w:t>
            </w:r>
            <w:r>
              <w:rPr>
                <w:rFonts w:ascii="宋体" w:hAnsi="宋体" w:cs="宋体" w:eastAsia="宋体" w:hint="default"/>
                <w:w w:val="100"/>
                <w:sz w:val="20"/>
                <w:szCs w:val="20"/>
              </w:rPr>
              <w:t> </w:t>
            </w:r>
            <w:r>
              <w:rPr>
                <w:rFonts w:ascii="宋体" w:hAnsi="宋体" w:cs="宋体" w:eastAsia="宋体" w:hint="default"/>
                <w:sz w:val="20"/>
                <w:szCs w:val="20"/>
              </w:rPr>
              <w:t>为上市公</w:t>
            </w:r>
            <w:r>
              <w:rPr>
                <w:rFonts w:ascii="宋体" w:hAnsi="宋体" w:cs="宋体" w:eastAsia="宋体" w:hint="default"/>
                <w:w w:val="100"/>
                <w:sz w:val="20"/>
                <w:szCs w:val="20"/>
              </w:rPr>
              <w:t> </w:t>
            </w:r>
            <w:r>
              <w:rPr>
                <w:rFonts w:ascii="宋体" w:hAnsi="宋体" w:cs="宋体" w:eastAsia="宋体" w:hint="default"/>
                <w:sz w:val="20"/>
                <w:szCs w:val="20"/>
              </w:rPr>
              <w:t>司贡献的</w:t>
            </w:r>
            <w:r>
              <w:rPr>
                <w:rFonts w:ascii="宋体" w:hAnsi="宋体" w:cs="宋体" w:eastAsia="宋体" w:hint="default"/>
                <w:w w:val="100"/>
                <w:sz w:val="20"/>
                <w:szCs w:val="20"/>
              </w:rPr>
              <w:t> </w:t>
            </w:r>
            <w:r>
              <w:rPr>
                <w:rFonts w:ascii="宋体" w:hAnsi="宋体" w:cs="宋体" w:eastAsia="宋体" w:hint="default"/>
                <w:sz w:val="20"/>
                <w:szCs w:val="20"/>
              </w:rPr>
              <w:t>净利润占</w:t>
            </w:r>
            <w:r>
              <w:rPr>
                <w:rFonts w:ascii="宋体" w:hAnsi="宋体" w:cs="宋体" w:eastAsia="宋体" w:hint="default"/>
                <w:w w:val="100"/>
                <w:sz w:val="20"/>
                <w:szCs w:val="20"/>
              </w:rPr>
              <w:t> </w:t>
            </w:r>
            <w:r>
              <w:rPr>
                <w:rFonts w:ascii="宋体" w:hAnsi="宋体" w:cs="宋体" w:eastAsia="宋体" w:hint="default"/>
                <w:sz w:val="20"/>
                <w:szCs w:val="20"/>
              </w:rPr>
              <w:t>净利润总</w:t>
            </w:r>
            <w:r>
              <w:rPr>
                <w:rFonts w:ascii="宋体" w:hAnsi="宋体" w:cs="宋体" w:eastAsia="宋体" w:hint="default"/>
                <w:w w:val="100"/>
                <w:sz w:val="20"/>
                <w:szCs w:val="20"/>
              </w:rPr>
              <w:t> </w:t>
            </w:r>
            <w:r>
              <w:rPr>
                <w:rFonts w:ascii="宋体" w:hAnsi="宋体" w:cs="宋体" w:eastAsia="宋体" w:hint="default"/>
                <w:sz w:val="20"/>
                <w:szCs w:val="20"/>
              </w:rPr>
              <w:t>额的比例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7"/>
                <w:szCs w:val="27"/>
              </w:rPr>
            </w:pPr>
          </w:p>
          <w:p>
            <w:pPr>
              <w:pStyle w:val="TableParagraph"/>
              <w:spacing w:line="285" w:lineRule="auto"/>
              <w:ind w:left="49" w:right="47"/>
              <w:jc w:val="both"/>
              <w:rPr>
                <w:rFonts w:ascii="宋体" w:hAnsi="宋体" w:cs="宋体" w:eastAsia="宋体" w:hint="default"/>
                <w:sz w:val="20"/>
                <w:szCs w:val="20"/>
              </w:rPr>
            </w:pPr>
            <w:r>
              <w:rPr>
                <w:rFonts w:ascii="宋体" w:hAnsi="宋体" w:cs="宋体" w:eastAsia="宋体" w:hint="default"/>
                <w:sz w:val="20"/>
                <w:szCs w:val="20"/>
              </w:rPr>
              <w:t>资产出</w:t>
            </w:r>
            <w:r>
              <w:rPr>
                <w:rFonts w:ascii="宋体" w:hAnsi="宋体" w:cs="宋体" w:eastAsia="宋体" w:hint="default"/>
                <w:w w:val="100"/>
                <w:sz w:val="20"/>
                <w:szCs w:val="20"/>
              </w:rPr>
              <w:t> </w:t>
            </w:r>
            <w:r>
              <w:rPr>
                <w:rFonts w:ascii="宋体" w:hAnsi="宋体" w:cs="宋体" w:eastAsia="宋体" w:hint="default"/>
                <w:sz w:val="20"/>
                <w:szCs w:val="20"/>
              </w:rPr>
              <w:t>售定价</w:t>
            </w:r>
            <w:r>
              <w:rPr>
                <w:rFonts w:ascii="宋体" w:hAnsi="宋体" w:cs="宋体" w:eastAsia="宋体" w:hint="default"/>
                <w:w w:val="100"/>
                <w:sz w:val="20"/>
                <w:szCs w:val="20"/>
              </w:rPr>
              <w:t> </w:t>
            </w:r>
            <w:r>
              <w:rPr>
                <w:rFonts w:ascii="宋体" w:hAnsi="宋体" w:cs="宋体" w:eastAsia="宋体" w:hint="default"/>
                <w:sz w:val="20"/>
                <w:szCs w:val="20"/>
              </w:rPr>
              <w:t>原则</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7"/>
                <w:szCs w:val="27"/>
              </w:rPr>
            </w:pPr>
          </w:p>
          <w:p>
            <w:pPr>
              <w:pStyle w:val="TableParagraph"/>
              <w:spacing w:line="285" w:lineRule="auto"/>
              <w:ind w:left="49" w:right="47"/>
              <w:jc w:val="center"/>
              <w:rPr>
                <w:rFonts w:ascii="宋体" w:hAnsi="宋体" w:cs="宋体" w:eastAsia="宋体" w:hint="default"/>
                <w:sz w:val="20"/>
                <w:szCs w:val="20"/>
              </w:rPr>
            </w:pPr>
            <w:r>
              <w:rPr>
                <w:rFonts w:ascii="宋体" w:hAnsi="宋体" w:cs="宋体" w:eastAsia="宋体" w:hint="default"/>
                <w:sz w:val="20"/>
                <w:szCs w:val="20"/>
              </w:rPr>
              <w:t>是否为</w:t>
            </w:r>
            <w:r>
              <w:rPr>
                <w:rFonts w:ascii="宋体" w:hAnsi="宋体" w:cs="宋体" w:eastAsia="宋体" w:hint="default"/>
                <w:w w:val="100"/>
                <w:sz w:val="20"/>
                <w:szCs w:val="20"/>
              </w:rPr>
              <w:t> </w:t>
            </w:r>
            <w:r>
              <w:rPr>
                <w:rFonts w:ascii="宋体" w:hAnsi="宋体" w:cs="宋体" w:eastAsia="宋体" w:hint="default"/>
                <w:sz w:val="20"/>
                <w:szCs w:val="20"/>
              </w:rPr>
              <w:t>关联交</w:t>
            </w:r>
            <w:r>
              <w:rPr>
                <w:rFonts w:ascii="宋体" w:hAnsi="宋体" w:cs="宋体" w:eastAsia="宋体" w:hint="default"/>
                <w:w w:val="100"/>
                <w:sz w:val="20"/>
                <w:szCs w:val="20"/>
              </w:rPr>
              <w:t> </w:t>
            </w:r>
            <w:r>
              <w:rPr>
                <w:rFonts w:ascii="宋体" w:hAnsi="宋体" w:cs="宋体" w:eastAsia="宋体" w:hint="default"/>
                <w:sz w:val="20"/>
                <w:szCs w:val="20"/>
              </w:rPr>
              <w:t>易</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85" w:lineRule="auto"/>
              <w:ind w:left="23" w:right="19" w:hanging="2"/>
              <w:jc w:val="center"/>
              <w:rPr>
                <w:rFonts w:ascii="宋体" w:hAnsi="宋体" w:cs="宋体" w:eastAsia="宋体" w:hint="default"/>
                <w:sz w:val="20"/>
                <w:szCs w:val="20"/>
              </w:rPr>
            </w:pPr>
            <w:r>
              <w:rPr>
                <w:rFonts w:ascii="宋体" w:hAnsi="宋体" w:cs="宋体" w:eastAsia="宋体" w:hint="default"/>
                <w:sz w:val="20"/>
                <w:szCs w:val="20"/>
              </w:rPr>
              <w:t>与交易对</w:t>
            </w:r>
            <w:r>
              <w:rPr>
                <w:rFonts w:ascii="宋体" w:hAnsi="宋体" w:cs="宋体" w:eastAsia="宋体" w:hint="default"/>
                <w:w w:val="100"/>
                <w:sz w:val="20"/>
                <w:szCs w:val="20"/>
              </w:rPr>
              <w:t> </w:t>
            </w:r>
            <w:r>
              <w:rPr>
                <w:rFonts w:ascii="宋体" w:hAnsi="宋体" w:cs="宋体" w:eastAsia="宋体" w:hint="default"/>
                <w:sz w:val="20"/>
                <w:szCs w:val="20"/>
              </w:rPr>
              <w:t>方的关联</w:t>
            </w:r>
            <w:r>
              <w:rPr>
                <w:rFonts w:ascii="宋体" w:hAnsi="宋体" w:cs="宋体" w:eastAsia="宋体" w:hint="default"/>
                <w:w w:val="100"/>
                <w:sz w:val="20"/>
                <w:szCs w:val="20"/>
              </w:rPr>
              <w:t> </w:t>
            </w:r>
            <w:r>
              <w:rPr>
                <w:rFonts w:ascii="宋体" w:hAnsi="宋体" w:cs="宋体" w:eastAsia="宋体" w:hint="default"/>
                <w:spacing w:val="-14"/>
                <w:sz w:val="20"/>
                <w:szCs w:val="20"/>
              </w:rPr>
              <w:t>关系（适用</w:t>
            </w:r>
            <w:r>
              <w:rPr>
                <w:rFonts w:ascii="宋体" w:hAnsi="宋体" w:cs="宋体" w:eastAsia="宋体" w:hint="default"/>
                <w:w w:val="100"/>
                <w:sz w:val="20"/>
                <w:szCs w:val="20"/>
              </w:rPr>
              <w:t> </w:t>
            </w:r>
            <w:r>
              <w:rPr>
                <w:rFonts w:ascii="宋体" w:hAnsi="宋体" w:cs="宋体" w:eastAsia="宋体" w:hint="default"/>
                <w:sz w:val="20"/>
                <w:szCs w:val="20"/>
              </w:rPr>
              <w:t>关联交易</w:t>
            </w:r>
            <w:r>
              <w:rPr>
                <w:rFonts w:ascii="宋体" w:hAnsi="宋体" w:cs="宋体" w:eastAsia="宋体" w:hint="default"/>
                <w:w w:val="100"/>
                <w:sz w:val="20"/>
                <w:szCs w:val="20"/>
              </w:rPr>
              <w:t> </w:t>
            </w:r>
            <w:r>
              <w:rPr>
                <w:rFonts w:ascii="宋体" w:hAnsi="宋体" w:cs="宋体" w:eastAsia="宋体" w:hint="default"/>
                <w:sz w:val="20"/>
                <w:szCs w:val="20"/>
              </w:rPr>
              <w:t>情形）</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85" w:lineRule="auto"/>
              <w:ind w:left="118" w:right="119"/>
              <w:jc w:val="both"/>
              <w:rPr>
                <w:rFonts w:ascii="宋体" w:hAnsi="宋体" w:cs="宋体" w:eastAsia="宋体" w:hint="default"/>
                <w:sz w:val="20"/>
                <w:szCs w:val="20"/>
              </w:rPr>
            </w:pPr>
            <w:r>
              <w:rPr>
                <w:rFonts w:ascii="宋体" w:hAnsi="宋体" w:cs="宋体" w:eastAsia="宋体" w:hint="default"/>
                <w:sz w:val="20"/>
                <w:szCs w:val="20"/>
              </w:rPr>
              <w:t>所涉及</w:t>
            </w:r>
            <w:r>
              <w:rPr>
                <w:rFonts w:ascii="宋体" w:hAnsi="宋体" w:cs="宋体" w:eastAsia="宋体" w:hint="default"/>
                <w:w w:val="100"/>
                <w:sz w:val="20"/>
                <w:szCs w:val="20"/>
              </w:rPr>
              <w:t> </w:t>
            </w:r>
            <w:r>
              <w:rPr>
                <w:rFonts w:ascii="宋体" w:hAnsi="宋体" w:cs="宋体" w:eastAsia="宋体" w:hint="default"/>
                <w:sz w:val="20"/>
                <w:szCs w:val="20"/>
              </w:rPr>
              <w:t>的资产</w:t>
            </w:r>
            <w:r>
              <w:rPr>
                <w:rFonts w:ascii="宋体" w:hAnsi="宋体" w:cs="宋体" w:eastAsia="宋体" w:hint="default"/>
                <w:w w:val="100"/>
                <w:sz w:val="20"/>
                <w:szCs w:val="20"/>
              </w:rPr>
              <w:t> </w:t>
            </w:r>
            <w:r>
              <w:rPr>
                <w:rFonts w:ascii="宋体" w:hAnsi="宋体" w:cs="宋体" w:eastAsia="宋体" w:hint="default"/>
                <w:sz w:val="20"/>
                <w:szCs w:val="20"/>
              </w:rPr>
              <w:t>产权是</w:t>
            </w:r>
            <w:r>
              <w:rPr>
                <w:rFonts w:ascii="宋体" w:hAnsi="宋体" w:cs="宋体" w:eastAsia="宋体" w:hint="default"/>
                <w:w w:val="100"/>
                <w:sz w:val="20"/>
                <w:szCs w:val="20"/>
              </w:rPr>
              <w:t> </w:t>
            </w:r>
            <w:r>
              <w:rPr>
                <w:rFonts w:ascii="宋体" w:hAnsi="宋体" w:cs="宋体" w:eastAsia="宋体" w:hint="default"/>
                <w:sz w:val="20"/>
                <w:szCs w:val="20"/>
              </w:rPr>
              <w:t>否已全</w:t>
            </w:r>
            <w:r>
              <w:rPr>
                <w:rFonts w:ascii="宋体" w:hAnsi="宋体" w:cs="宋体" w:eastAsia="宋体" w:hint="default"/>
                <w:w w:val="100"/>
                <w:sz w:val="20"/>
                <w:szCs w:val="20"/>
              </w:rPr>
              <w:t> </w:t>
            </w:r>
            <w:r>
              <w:rPr>
                <w:rFonts w:ascii="宋体" w:hAnsi="宋体" w:cs="宋体" w:eastAsia="宋体" w:hint="default"/>
                <w:sz w:val="20"/>
                <w:szCs w:val="20"/>
              </w:rPr>
              <w:t>部过户</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85" w:lineRule="auto"/>
              <w:ind w:left="90" w:right="89"/>
              <w:jc w:val="both"/>
              <w:rPr>
                <w:rFonts w:ascii="宋体" w:hAnsi="宋体" w:cs="宋体" w:eastAsia="宋体" w:hint="default"/>
                <w:sz w:val="20"/>
                <w:szCs w:val="20"/>
              </w:rPr>
            </w:pPr>
            <w:r>
              <w:rPr>
                <w:rFonts w:ascii="宋体" w:hAnsi="宋体" w:cs="宋体" w:eastAsia="宋体" w:hint="default"/>
                <w:sz w:val="20"/>
                <w:szCs w:val="20"/>
              </w:rPr>
              <w:t>所涉及的</w:t>
            </w:r>
            <w:r>
              <w:rPr>
                <w:rFonts w:ascii="宋体" w:hAnsi="宋体" w:cs="宋体" w:eastAsia="宋体" w:hint="default"/>
                <w:w w:val="100"/>
                <w:sz w:val="20"/>
                <w:szCs w:val="20"/>
              </w:rPr>
              <w:t> </w:t>
            </w:r>
            <w:r>
              <w:rPr>
                <w:rFonts w:ascii="宋体" w:hAnsi="宋体" w:cs="宋体" w:eastAsia="宋体" w:hint="default"/>
                <w:sz w:val="20"/>
                <w:szCs w:val="20"/>
              </w:rPr>
              <w:t>债权债务</w:t>
            </w:r>
            <w:r>
              <w:rPr>
                <w:rFonts w:ascii="宋体" w:hAnsi="宋体" w:cs="宋体" w:eastAsia="宋体" w:hint="default"/>
                <w:w w:val="100"/>
                <w:sz w:val="20"/>
                <w:szCs w:val="20"/>
              </w:rPr>
              <w:t> </w:t>
            </w:r>
            <w:r>
              <w:rPr>
                <w:rFonts w:ascii="宋体" w:hAnsi="宋体" w:cs="宋体" w:eastAsia="宋体" w:hint="default"/>
                <w:sz w:val="20"/>
                <w:szCs w:val="20"/>
              </w:rPr>
              <w:t>是否已全</w:t>
            </w:r>
            <w:r>
              <w:rPr>
                <w:rFonts w:ascii="宋体" w:hAnsi="宋体" w:cs="宋体" w:eastAsia="宋体" w:hint="default"/>
                <w:w w:val="100"/>
                <w:sz w:val="20"/>
                <w:szCs w:val="20"/>
              </w:rPr>
              <w:t> </w:t>
            </w:r>
            <w:r>
              <w:rPr>
                <w:rFonts w:ascii="宋体" w:hAnsi="宋体" w:cs="宋体" w:eastAsia="宋体" w:hint="default"/>
                <w:sz w:val="20"/>
                <w:szCs w:val="20"/>
              </w:rPr>
              <w:t>部转移</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62" w:right="60"/>
              <w:jc w:val="center"/>
              <w:rPr>
                <w:rFonts w:ascii="宋体" w:hAnsi="宋体" w:cs="宋体" w:eastAsia="宋体" w:hint="default"/>
                <w:sz w:val="20"/>
                <w:szCs w:val="20"/>
              </w:rPr>
            </w:pPr>
            <w:r>
              <w:rPr>
                <w:rFonts w:ascii="宋体" w:hAnsi="宋体" w:cs="宋体" w:eastAsia="宋体" w:hint="default"/>
                <w:sz w:val="20"/>
                <w:szCs w:val="20"/>
              </w:rPr>
              <w:t>是否按计划</w:t>
            </w:r>
            <w:r>
              <w:rPr>
                <w:rFonts w:ascii="宋体" w:hAnsi="宋体" w:cs="宋体" w:eastAsia="宋体" w:hint="default"/>
                <w:w w:val="100"/>
                <w:sz w:val="20"/>
                <w:szCs w:val="20"/>
              </w:rPr>
              <w:t> </w:t>
            </w:r>
            <w:r>
              <w:rPr>
                <w:rFonts w:ascii="宋体" w:hAnsi="宋体" w:cs="宋体" w:eastAsia="宋体" w:hint="default"/>
                <w:sz w:val="20"/>
                <w:szCs w:val="20"/>
              </w:rPr>
              <w:t>如期实施，</w:t>
            </w:r>
            <w:r>
              <w:rPr>
                <w:rFonts w:ascii="宋体" w:hAnsi="宋体" w:cs="宋体" w:eastAsia="宋体" w:hint="default"/>
                <w:w w:val="100"/>
                <w:sz w:val="20"/>
                <w:szCs w:val="20"/>
              </w:rPr>
              <w:t> </w:t>
            </w:r>
            <w:r>
              <w:rPr>
                <w:rFonts w:ascii="宋体" w:hAnsi="宋体" w:cs="宋体" w:eastAsia="宋体" w:hint="default"/>
                <w:sz w:val="20"/>
                <w:szCs w:val="20"/>
              </w:rPr>
              <w:t>如未按计划</w:t>
            </w:r>
            <w:r>
              <w:rPr>
                <w:rFonts w:ascii="宋体" w:hAnsi="宋体" w:cs="宋体" w:eastAsia="宋体" w:hint="default"/>
                <w:w w:val="100"/>
                <w:sz w:val="20"/>
                <w:szCs w:val="20"/>
              </w:rPr>
              <w:t> </w:t>
            </w:r>
            <w:r>
              <w:rPr>
                <w:rFonts w:ascii="宋体" w:hAnsi="宋体" w:cs="宋体" w:eastAsia="宋体" w:hint="default"/>
                <w:sz w:val="20"/>
                <w:szCs w:val="20"/>
              </w:rPr>
              <w:t>实施，应当</w:t>
            </w:r>
            <w:r>
              <w:rPr>
                <w:rFonts w:ascii="宋体" w:hAnsi="宋体" w:cs="宋体" w:eastAsia="宋体" w:hint="default"/>
                <w:w w:val="100"/>
                <w:sz w:val="20"/>
                <w:szCs w:val="20"/>
              </w:rPr>
              <w:t> </w:t>
            </w:r>
            <w:r>
              <w:rPr>
                <w:rFonts w:ascii="宋体" w:hAnsi="宋体" w:cs="宋体" w:eastAsia="宋体" w:hint="default"/>
                <w:sz w:val="20"/>
                <w:szCs w:val="20"/>
              </w:rPr>
              <w:t>说明原因及</w:t>
            </w:r>
            <w:r>
              <w:rPr>
                <w:rFonts w:ascii="宋体" w:hAnsi="宋体" w:cs="宋体" w:eastAsia="宋体" w:hint="default"/>
                <w:w w:val="100"/>
                <w:sz w:val="20"/>
                <w:szCs w:val="20"/>
              </w:rPr>
              <w:t> </w:t>
            </w:r>
            <w:r>
              <w:rPr>
                <w:rFonts w:ascii="宋体" w:hAnsi="宋体" w:cs="宋体" w:eastAsia="宋体" w:hint="default"/>
                <w:sz w:val="20"/>
                <w:szCs w:val="20"/>
              </w:rPr>
              <w:t>公司已采取</w:t>
            </w:r>
            <w:r>
              <w:rPr>
                <w:rFonts w:ascii="宋体" w:hAnsi="宋体" w:cs="宋体" w:eastAsia="宋体" w:hint="default"/>
                <w:w w:val="100"/>
                <w:sz w:val="20"/>
                <w:szCs w:val="20"/>
              </w:rPr>
              <w:t> </w:t>
            </w:r>
            <w:r>
              <w:rPr>
                <w:rFonts w:ascii="宋体" w:hAnsi="宋体" w:cs="宋体" w:eastAsia="宋体" w:hint="default"/>
                <w:sz w:val="20"/>
                <w:szCs w:val="20"/>
              </w:rPr>
              <w:t>的措施</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5"/>
              <w:ind w:left="90" w:right="0"/>
              <w:jc w:val="left"/>
              <w:rPr>
                <w:rFonts w:ascii="宋体" w:hAnsi="宋体" w:cs="宋体" w:eastAsia="宋体" w:hint="default"/>
                <w:sz w:val="20"/>
                <w:szCs w:val="20"/>
              </w:rPr>
            </w:pPr>
            <w:r>
              <w:rPr>
                <w:rFonts w:ascii="宋体" w:hAnsi="宋体" w:cs="宋体" w:eastAsia="宋体" w:hint="default"/>
                <w:sz w:val="20"/>
                <w:szCs w:val="20"/>
              </w:rPr>
              <w:t>披露日期</w:t>
            </w:r>
          </w:p>
        </w:tc>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5"/>
              <w:ind w:left="208" w:right="0"/>
              <w:jc w:val="left"/>
              <w:rPr>
                <w:rFonts w:ascii="宋体" w:hAnsi="宋体" w:cs="宋体" w:eastAsia="宋体" w:hint="default"/>
                <w:sz w:val="20"/>
                <w:szCs w:val="20"/>
              </w:rPr>
            </w:pPr>
            <w:r>
              <w:rPr>
                <w:rFonts w:ascii="宋体" w:hAnsi="宋体" w:cs="宋体" w:eastAsia="宋体" w:hint="default"/>
                <w:sz w:val="20"/>
                <w:szCs w:val="20"/>
              </w:rPr>
              <w:t>披露索引</w:t>
            </w:r>
          </w:p>
        </w:tc>
      </w:tr>
      <w:tr>
        <w:trPr>
          <w:trHeight w:val="5628" w:hRule="exact"/>
        </w:trPr>
        <w:tc>
          <w:tcPr>
            <w:tcW w:w="802" w:type="dxa"/>
            <w:tcBorders>
              <w:top w:val="single" w:sz="4" w:space="0" w:color="000000"/>
              <w:left w:val="single" w:sz="4" w:space="0" w:color="000000"/>
              <w:bottom w:val="single" w:sz="4" w:space="0" w:color="000000"/>
              <w:right w:val="single" w:sz="13" w:space="0" w:color="FFFFFF"/>
            </w:tcBorders>
          </w:tcPr>
          <w:p>
            <w:pPr>
              <w:pStyle w:val="TableParagraph"/>
              <w:spacing w:line="283" w:lineRule="auto"/>
              <w:ind w:left="22" w:right="-45"/>
              <w:jc w:val="both"/>
              <w:rPr>
                <w:rFonts w:ascii="宋体" w:hAnsi="宋体" w:cs="宋体" w:eastAsia="宋体" w:hint="default"/>
                <w:sz w:val="20"/>
                <w:szCs w:val="20"/>
              </w:rPr>
            </w:pPr>
            <w:r>
              <w:rPr>
                <w:rFonts w:ascii="宋体" w:hAnsi="宋体" w:cs="宋体" w:eastAsia="宋体" w:hint="default"/>
                <w:spacing w:val="44"/>
                <w:sz w:val="20"/>
                <w:szCs w:val="20"/>
              </w:rPr>
              <w:t>华夏资</w:t>
            </w:r>
            <w:r>
              <w:rPr>
                <w:rFonts w:ascii="宋体" w:hAnsi="宋体" w:cs="宋体" w:eastAsia="宋体" w:hint="default"/>
                <w:spacing w:val="-97"/>
                <w:sz w:val="20"/>
                <w:szCs w:val="20"/>
              </w:rPr>
              <w:t> </w:t>
            </w:r>
            <w:r>
              <w:rPr>
                <w:rFonts w:ascii="宋体" w:hAnsi="宋体" w:cs="宋体" w:eastAsia="宋体" w:hint="default"/>
                <w:spacing w:val="44"/>
                <w:sz w:val="20"/>
                <w:szCs w:val="20"/>
              </w:rPr>
              <w:t>本管理</w:t>
            </w:r>
            <w:r>
              <w:rPr>
                <w:rFonts w:ascii="宋体" w:hAnsi="宋体" w:cs="宋体" w:eastAsia="宋体" w:hint="default"/>
                <w:spacing w:val="-97"/>
                <w:sz w:val="20"/>
                <w:szCs w:val="20"/>
              </w:rPr>
              <w:t> </w:t>
            </w:r>
            <w:r>
              <w:rPr>
                <w:rFonts w:ascii="宋体" w:hAnsi="宋体" w:cs="宋体" w:eastAsia="宋体" w:hint="default"/>
                <w:spacing w:val="44"/>
                <w:sz w:val="20"/>
                <w:szCs w:val="20"/>
              </w:rPr>
              <w:t>有限公</w:t>
            </w:r>
            <w:r>
              <w:rPr>
                <w:rFonts w:ascii="宋体" w:hAnsi="宋体" w:cs="宋体" w:eastAsia="宋体" w:hint="default"/>
                <w:spacing w:val="-97"/>
                <w:sz w:val="20"/>
                <w:szCs w:val="20"/>
              </w:rPr>
              <w:t> </w:t>
            </w:r>
            <w:r>
              <w:rPr>
                <w:rFonts w:ascii="宋体" w:hAnsi="宋体" w:cs="宋体" w:eastAsia="宋体" w:hint="default"/>
                <w:spacing w:val="44"/>
                <w:sz w:val="20"/>
                <w:szCs w:val="20"/>
              </w:rPr>
              <w:t>司（为</w:t>
            </w:r>
            <w:r>
              <w:rPr>
                <w:rFonts w:ascii="宋体" w:hAnsi="宋体" w:cs="宋体" w:eastAsia="宋体" w:hint="default"/>
                <w:spacing w:val="-97"/>
                <w:sz w:val="20"/>
                <w:szCs w:val="20"/>
              </w:rPr>
              <w:t> </w:t>
            </w:r>
            <w:r>
              <w:rPr>
                <w:rFonts w:ascii="Times New Roman" w:hAnsi="Times New Roman" w:cs="Times New Roman" w:eastAsia="Times New Roman" w:hint="default"/>
                <w:spacing w:val="10"/>
                <w:sz w:val="20"/>
                <w:szCs w:val="20"/>
              </w:rPr>
              <w:t>“</w:t>
            </w:r>
            <w:r>
              <w:rPr>
                <w:rFonts w:ascii="宋体" w:hAnsi="宋体" w:cs="宋体" w:eastAsia="宋体" w:hint="default"/>
                <w:spacing w:val="10"/>
                <w:sz w:val="20"/>
                <w:szCs w:val="20"/>
              </w:rPr>
              <w:t>中信华</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4"/>
                <w:sz w:val="20"/>
                <w:szCs w:val="20"/>
              </w:rPr>
              <w:t>夏苏宁</w:t>
            </w:r>
            <w:r>
              <w:rPr>
                <w:rFonts w:ascii="宋体" w:hAnsi="宋体" w:cs="宋体" w:eastAsia="宋体" w:hint="default"/>
                <w:spacing w:val="-97"/>
                <w:sz w:val="20"/>
                <w:szCs w:val="20"/>
              </w:rPr>
              <w:t> </w:t>
            </w:r>
            <w:r>
              <w:rPr>
                <w:rFonts w:ascii="宋体" w:hAnsi="宋体" w:cs="宋体" w:eastAsia="宋体" w:hint="default"/>
                <w:spacing w:val="44"/>
                <w:sz w:val="20"/>
                <w:szCs w:val="20"/>
              </w:rPr>
              <w:t>云创二</w:t>
            </w:r>
            <w:r>
              <w:rPr>
                <w:rFonts w:ascii="宋体" w:hAnsi="宋体" w:cs="宋体" w:eastAsia="宋体" w:hint="default"/>
                <w:spacing w:val="-97"/>
                <w:sz w:val="20"/>
                <w:szCs w:val="20"/>
              </w:rPr>
              <w:t> </w:t>
            </w:r>
            <w:r>
              <w:rPr>
                <w:rFonts w:ascii="宋体" w:hAnsi="宋体" w:cs="宋体" w:eastAsia="宋体" w:hint="default"/>
                <w:spacing w:val="44"/>
                <w:sz w:val="20"/>
                <w:szCs w:val="20"/>
              </w:rPr>
              <w:t>期资产</w:t>
            </w:r>
            <w:r>
              <w:rPr>
                <w:rFonts w:ascii="宋体" w:hAnsi="宋体" w:cs="宋体" w:eastAsia="宋体" w:hint="default"/>
                <w:spacing w:val="-97"/>
                <w:sz w:val="20"/>
                <w:szCs w:val="20"/>
              </w:rPr>
              <w:t> </w:t>
            </w:r>
            <w:r>
              <w:rPr>
                <w:rFonts w:ascii="宋体" w:hAnsi="宋体" w:cs="宋体" w:eastAsia="宋体" w:hint="default"/>
                <w:spacing w:val="44"/>
                <w:sz w:val="20"/>
                <w:szCs w:val="20"/>
              </w:rPr>
              <w:t>支持专</w:t>
            </w:r>
            <w:r>
              <w:rPr>
                <w:rFonts w:ascii="宋体" w:hAnsi="宋体" w:cs="宋体" w:eastAsia="宋体" w:hint="default"/>
                <w:spacing w:val="-97"/>
                <w:sz w:val="20"/>
                <w:szCs w:val="20"/>
              </w:rPr>
              <w:t> </w:t>
            </w:r>
            <w:r>
              <w:rPr>
                <w:rFonts w:ascii="宋体" w:hAnsi="宋体" w:cs="宋体" w:eastAsia="宋体" w:hint="default"/>
                <w:spacing w:val="10"/>
                <w:sz w:val="20"/>
                <w:szCs w:val="20"/>
              </w:rPr>
              <w:t>项计划</w:t>
            </w:r>
            <w:r>
              <w:rPr>
                <w:rFonts w:ascii="Times New Roman" w:hAnsi="Times New Roman" w:cs="Times New Roman" w:eastAsia="Times New Roman" w:hint="default"/>
                <w:spacing w:val="10"/>
                <w:sz w:val="20"/>
                <w:szCs w:val="20"/>
              </w:rPr>
              <w:t>”</w:t>
            </w:r>
            <w:r>
              <w:rPr>
                <w:rFonts w:ascii="Times New Roman" w:hAnsi="Times New Roman" w:cs="Times New Roman" w:eastAsia="Times New Roman" w:hint="default"/>
                <w:spacing w:val="-45"/>
                <w:sz w:val="20"/>
                <w:szCs w:val="20"/>
              </w:rPr>
              <w:t> </w:t>
            </w:r>
            <w:r>
              <w:rPr>
                <w:rFonts w:ascii="宋体" w:hAnsi="宋体" w:cs="宋体" w:eastAsia="宋体" w:hint="default"/>
                <w:spacing w:val="44"/>
                <w:sz w:val="20"/>
                <w:szCs w:val="20"/>
              </w:rPr>
              <w:t>的计划</w:t>
            </w:r>
            <w:r>
              <w:rPr>
                <w:rFonts w:ascii="宋体" w:hAnsi="宋体" w:cs="宋体" w:eastAsia="宋体" w:hint="default"/>
                <w:spacing w:val="-97"/>
                <w:sz w:val="20"/>
                <w:szCs w:val="20"/>
              </w:rPr>
              <w:t> </w:t>
            </w:r>
            <w:r>
              <w:rPr>
                <w:rFonts w:ascii="宋体" w:hAnsi="宋体" w:cs="宋体" w:eastAsia="宋体" w:hint="default"/>
                <w:sz w:val="20"/>
                <w:szCs w:val="20"/>
              </w:rPr>
              <w:t>管理人、</w:t>
            </w:r>
            <w:r>
              <w:rPr>
                <w:rFonts w:ascii="宋体" w:hAnsi="宋体" w:cs="宋体" w:eastAsia="宋体" w:hint="default"/>
                <w:w w:val="100"/>
                <w:sz w:val="20"/>
                <w:szCs w:val="20"/>
              </w:rPr>
              <w:t> </w:t>
            </w:r>
            <w:r>
              <w:rPr>
                <w:rFonts w:ascii="宋体" w:hAnsi="宋体" w:cs="宋体" w:eastAsia="宋体" w:hint="default"/>
                <w:spacing w:val="44"/>
                <w:sz w:val="20"/>
                <w:szCs w:val="20"/>
              </w:rPr>
              <w:t>代表专</w:t>
            </w:r>
            <w:r>
              <w:rPr>
                <w:rFonts w:ascii="宋体" w:hAnsi="宋体" w:cs="宋体" w:eastAsia="宋体" w:hint="default"/>
                <w:spacing w:val="-97"/>
                <w:sz w:val="20"/>
                <w:szCs w:val="20"/>
              </w:rPr>
              <w:t> </w:t>
            </w:r>
            <w:r>
              <w:rPr>
                <w:rFonts w:ascii="宋体" w:hAnsi="宋体" w:cs="宋体" w:eastAsia="宋体" w:hint="default"/>
                <w:sz w:val="20"/>
                <w:szCs w:val="20"/>
              </w:rPr>
              <w:t>项计划）</w:t>
            </w:r>
          </w:p>
        </w:tc>
        <w:tc>
          <w:tcPr>
            <w:tcW w:w="780" w:type="dxa"/>
            <w:tcBorders>
              <w:top w:val="single" w:sz="4" w:space="0" w:color="000000"/>
              <w:left w:val="single" w:sz="13" w:space="0" w:color="FFFFFF"/>
              <w:bottom w:val="single" w:sz="4" w:space="0" w:color="000000"/>
              <w:right w:val="single" w:sz="9" w:space="0" w:color="FFFFFF"/>
            </w:tcBorders>
          </w:tcPr>
          <w:p>
            <w:pPr>
              <w:pStyle w:val="TableParagraph"/>
              <w:spacing w:line="283" w:lineRule="auto"/>
              <w:ind w:right="-51"/>
              <w:jc w:val="left"/>
              <w:rPr>
                <w:rFonts w:ascii="宋体" w:hAnsi="宋体" w:cs="宋体" w:eastAsia="宋体" w:hint="default"/>
                <w:sz w:val="20"/>
                <w:szCs w:val="20"/>
              </w:rPr>
            </w:pPr>
            <w:r>
              <w:rPr>
                <w:rFonts w:ascii="宋体" w:hAnsi="宋体" w:cs="宋体" w:eastAsia="宋体" w:hint="default"/>
                <w:sz w:val="20"/>
                <w:szCs w:val="20"/>
              </w:rPr>
              <w:t>以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家</w:t>
            </w:r>
            <w:r>
              <w:rPr>
                <w:rFonts w:ascii="宋体" w:hAnsi="宋体" w:cs="宋体" w:eastAsia="宋体" w:hint="default"/>
                <w:w w:val="100"/>
                <w:sz w:val="20"/>
                <w:szCs w:val="20"/>
              </w:rPr>
              <w:t> </w:t>
            </w:r>
            <w:r>
              <w:rPr>
                <w:rFonts w:ascii="宋体" w:hAnsi="宋体" w:cs="宋体" w:eastAsia="宋体" w:hint="default"/>
                <w:spacing w:val="44"/>
                <w:sz w:val="20"/>
                <w:szCs w:val="20"/>
              </w:rPr>
              <w:t>自有门</w:t>
            </w:r>
            <w:r>
              <w:rPr>
                <w:rFonts w:ascii="宋体" w:hAnsi="宋体" w:cs="宋体" w:eastAsia="宋体" w:hint="default"/>
                <w:spacing w:val="-97"/>
                <w:sz w:val="20"/>
                <w:szCs w:val="20"/>
              </w:rPr>
              <w:t> </w:t>
            </w:r>
            <w:r>
              <w:rPr>
                <w:rFonts w:ascii="宋体" w:hAnsi="宋体" w:cs="宋体" w:eastAsia="宋体" w:hint="default"/>
                <w:spacing w:val="44"/>
                <w:sz w:val="20"/>
                <w:szCs w:val="20"/>
              </w:rPr>
              <w:t>店物业</w:t>
            </w:r>
            <w:r>
              <w:rPr>
                <w:rFonts w:ascii="宋体" w:hAnsi="宋体" w:cs="宋体" w:eastAsia="宋体" w:hint="default"/>
                <w:spacing w:val="-97"/>
                <w:sz w:val="20"/>
                <w:szCs w:val="20"/>
              </w:rPr>
              <w:t> </w:t>
            </w:r>
            <w:r>
              <w:rPr>
                <w:rFonts w:ascii="宋体" w:hAnsi="宋体" w:cs="宋体" w:eastAsia="宋体" w:hint="default"/>
                <w:spacing w:val="44"/>
                <w:sz w:val="20"/>
                <w:szCs w:val="20"/>
              </w:rPr>
              <w:t>的房屋</w:t>
            </w:r>
            <w:r>
              <w:rPr>
                <w:rFonts w:ascii="宋体" w:hAnsi="宋体" w:cs="宋体" w:eastAsia="宋体" w:hint="default"/>
                <w:spacing w:val="-97"/>
                <w:sz w:val="20"/>
                <w:szCs w:val="20"/>
              </w:rPr>
              <w:t> </w:t>
            </w:r>
            <w:r>
              <w:rPr>
                <w:rFonts w:ascii="宋体" w:hAnsi="宋体" w:cs="宋体" w:eastAsia="宋体" w:hint="default"/>
                <w:spacing w:val="44"/>
                <w:sz w:val="20"/>
                <w:szCs w:val="20"/>
              </w:rPr>
              <w:t>所有权</w:t>
            </w:r>
            <w:r>
              <w:rPr>
                <w:rFonts w:ascii="宋体" w:hAnsi="宋体" w:cs="宋体" w:eastAsia="宋体" w:hint="default"/>
                <w:spacing w:val="-97"/>
                <w:sz w:val="20"/>
                <w:szCs w:val="20"/>
              </w:rPr>
              <w:t> </w:t>
            </w:r>
            <w:r>
              <w:rPr>
                <w:rFonts w:ascii="宋体" w:hAnsi="宋体" w:cs="宋体" w:eastAsia="宋体" w:hint="default"/>
                <w:spacing w:val="44"/>
                <w:sz w:val="20"/>
                <w:szCs w:val="20"/>
              </w:rPr>
              <w:t>及对应</w:t>
            </w:r>
            <w:r>
              <w:rPr>
                <w:rFonts w:ascii="宋体" w:hAnsi="宋体" w:cs="宋体" w:eastAsia="宋体" w:hint="default"/>
                <w:spacing w:val="-97"/>
                <w:sz w:val="20"/>
                <w:szCs w:val="20"/>
              </w:rPr>
              <w:t> </w:t>
            </w:r>
            <w:r>
              <w:rPr>
                <w:rFonts w:ascii="宋体" w:hAnsi="宋体" w:cs="宋体" w:eastAsia="宋体" w:hint="default"/>
                <w:spacing w:val="44"/>
                <w:sz w:val="20"/>
                <w:szCs w:val="20"/>
              </w:rPr>
              <w:t>的土地</w:t>
            </w:r>
            <w:r>
              <w:rPr>
                <w:rFonts w:ascii="宋体" w:hAnsi="宋体" w:cs="宋体" w:eastAsia="宋体" w:hint="default"/>
                <w:spacing w:val="-97"/>
                <w:sz w:val="20"/>
                <w:szCs w:val="20"/>
              </w:rPr>
              <w:t> </w:t>
            </w:r>
            <w:r>
              <w:rPr>
                <w:rFonts w:ascii="宋体" w:hAnsi="宋体" w:cs="宋体" w:eastAsia="宋体" w:hint="default"/>
                <w:spacing w:val="44"/>
                <w:sz w:val="20"/>
                <w:szCs w:val="20"/>
              </w:rPr>
              <w:t>使用权</w:t>
            </w:r>
            <w:r>
              <w:rPr>
                <w:rFonts w:ascii="宋体" w:hAnsi="宋体" w:cs="宋体" w:eastAsia="宋体" w:hint="default"/>
                <w:spacing w:val="-97"/>
                <w:sz w:val="20"/>
                <w:szCs w:val="20"/>
              </w:rPr>
              <w:t> </w:t>
            </w:r>
            <w:r>
              <w:rPr>
                <w:rFonts w:ascii="宋体" w:hAnsi="宋体" w:cs="宋体" w:eastAsia="宋体" w:hint="default"/>
                <w:spacing w:val="44"/>
                <w:sz w:val="20"/>
                <w:szCs w:val="20"/>
              </w:rPr>
              <w:t>分别出</w:t>
            </w:r>
            <w:r>
              <w:rPr>
                <w:rFonts w:ascii="宋体" w:hAnsi="宋体" w:cs="宋体" w:eastAsia="宋体" w:hint="default"/>
                <w:spacing w:val="-97"/>
                <w:sz w:val="20"/>
                <w:szCs w:val="20"/>
              </w:rPr>
              <w:t> </w:t>
            </w:r>
            <w:r>
              <w:rPr>
                <w:rFonts w:ascii="宋体" w:hAnsi="宋体" w:cs="宋体" w:eastAsia="宋体" w:hint="default"/>
                <w:spacing w:val="44"/>
                <w:sz w:val="20"/>
                <w:szCs w:val="20"/>
              </w:rPr>
              <w:t>资设立</w:t>
            </w:r>
            <w:r>
              <w:rPr>
                <w:rFonts w:ascii="宋体" w:hAnsi="宋体" w:cs="宋体" w:eastAsia="宋体" w:hint="default"/>
                <w:spacing w:val="-97"/>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8"/>
                <w:sz w:val="20"/>
                <w:szCs w:val="20"/>
              </w:rPr>
              <w:t> </w:t>
            </w:r>
            <w:r>
              <w:rPr>
                <w:rFonts w:ascii="宋体" w:hAnsi="宋体" w:cs="宋体" w:eastAsia="宋体" w:hint="default"/>
                <w:spacing w:val="15"/>
                <w:sz w:val="20"/>
                <w:szCs w:val="20"/>
              </w:rPr>
              <w:t>家全</w:t>
            </w:r>
            <w:r>
              <w:rPr>
                <w:rFonts w:ascii="宋体" w:hAnsi="宋体" w:cs="宋体" w:eastAsia="宋体" w:hint="default"/>
                <w:spacing w:val="16"/>
                <w:w w:val="100"/>
                <w:sz w:val="20"/>
                <w:szCs w:val="20"/>
              </w:rPr>
              <w:t> </w:t>
            </w:r>
            <w:r>
              <w:rPr>
                <w:rFonts w:ascii="宋体" w:hAnsi="宋体" w:cs="宋体" w:eastAsia="宋体" w:hint="default"/>
                <w:spacing w:val="44"/>
                <w:sz w:val="20"/>
                <w:szCs w:val="20"/>
              </w:rPr>
              <w:t>资子公</w:t>
            </w:r>
            <w:r>
              <w:rPr>
                <w:rFonts w:ascii="宋体" w:hAnsi="宋体" w:cs="宋体" w:eastAsia="宋体" w:hint="default"/>
                <w:spacing w:val="-97"/>
                <w:sz w:val="20"/>
                <w:szCs w:val="20"/>
              </w:rPr>
              <w:t> </w:t>
            </w:r>
            <w:r>
              <w:rPr>
                <w:rFonts w:ascii="宋体" w:hAnsi="宋体" w:cs="宋体" w:eastAsia="宋体" w:hint="default"/>
                <w:spacing w:val="-17"/>
                <w:sz w:val="20"/>
                <w:szCs w:val="20"/>
              </w:rPr>
              <w:t>司，出售</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44"/>
                <w:sz w:val="20"/>
                <w:szCs w:val="20"/>
              </w:rPr>
              <w:t>资产为</w:t>
            </w:r>
            <w:r>
              <w:rPr>
                <w:rFonts w:ascii="宋体" w:hAnsi="宋体" w:cs="宋体" w:eastAsia="宋体" w:hint="default"/>
                <w:spacing w:val="-97"/>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8"/>
                <w:sz w:val="20"/>
                <w:szCs w:val="20"/>
              </w:rPr>
              <w:t> </w:t>
            </w:r>
            <w:r>
              <w:rPr>
                <w:rFonts w:ascii="宋体" w:hAnsi="宋体" w:cs="宋体" w:eastAsia="宋体" w:hint="default"/>
                <w:spacing w:val="15"/>
                <w:sz w:val="20"/>
                <w:szCs w:val="20"/>
              </w:rPr>
              <w:t>家全</w:t>
            </w:r>
            <w:r>
              <w:rPr>
                <w:rFonts w:ascii="宋体" w:hAnsi="宋体" w:cs="宋体" w:eastAsia="宋体" w:hint="default"/>
                <w:spacing w:val="16"/>
                <w:w w:val="100"/>
                <w:sz w:val="20"/>
                <w:szCs w:val="20"/>
              </w:rPr>
              <w:t> </w:t>
            </w:r>
            <w:r>
              <w:rPr>
                <w:rFonts w:ascii="宋体" w:hAnsi="宋体" w:cs="宋体" w:eastAsia="宋体" w:hint="default"/>
                <w:spacing w:val="44"/>
                <w:sz w:val="20"/>
                <w:szCs w:val="20"/>
              </w:rPr>
              <w:t>资子公</w:t>
            </w:r>
            <w:r>
              <w:rPr>
                <w:rFonts w:ascii="宋体" w:hAnsi="宋体" w:cs="宋体" w:eastAsia="宋体" w:hint="default"/>
                <w:spacing w:val="-97"/>
                <w:sz w:val="20"/>
                <w:szCs w:val="20"/>
              </w:rPr>
              <w:t> </w:t>
            </w:r>
            <w:r>
              <w:rPr>
                <w:rFonts w:ascii="宋体" w:hAnsi="宋体" w:cs="宋体" w:eastAsia="宋体" w:hint="default"/>
                <w:spacing w:val="44"/>
                <w:sz w:val="20"/>
                <w:szCs w:val="20"/>
              </w:rPr>
              <w:t>司全部</w:t>
            </w:r>
            <w:r>
              <w:rPr>
                <w:rFonts w:ascii="宋体" w:hAnsi="宋体" w:cs="宋体" w:eastAsia="宋体" w:hint="default"/>
                <w:spacing w:val="-97"/>
                <w:sz w:val="20"/>
                <w:szCs w:val="20"/>
              </w:rPr>
              <w:t> </w:t>
            </w:r>
            <w:r>
              <w:rPr>
                <w:rFonts w:ascii="宋体" w:hAnsi="宋体" w:cs="宋体" w:eastAsia="宋体" w:hint="default"/>
                <w:spacing w:val="44"/>
                <w:sz w:val="20"/>
                <w:szCs w:val="20"/>
              </w:rPr>
              <w:t>相关权</w:t>
            </w:r>
            <w:r>
              <w:rPr>
                <w:rFonts w:ascii="宋体" w:hAnsi="宋体" w:cs="宋体" w:eastAsia="宋体" w:hint="default"/>
                <w:spacing w:val="-33"/>
                <w:sz w:val="20"/>
                <w:szCs w:val="20"/>
              </w:rPr>
              <w:t> </w:t>
            </w:r>
            <w:r>
              <w:rPr>
                <w:rFonts w:ascii="宋体" w:hAnsi="宋体" w:cs="宋体" w:eastAsia="宋体" w:hint="default"/>
                <w:sz w:val="20"/>
                <w:szCs w:val="20"/>
              </w:rPr>
            </w:r>
          </w:p>
        </w:tc>
        <w:tc>
          <w:tcPr>
            <w:tcW w:w="794" w:type="dxa"/>
            <w:tcBorders>
              <w:top w:val="single" w:sz="4" w:space="0" w:color="000000"/>
              <w:left w:val="single" w:sz="9" w:space="0" w:color="FFFFFF"/>
              <w:bottom w:val="single" w:sz="4" w:space="0" w:color="000000"/>
              <w:right w:val="single" w:sz="4" w:space="0" w:color="000000"/>
            </w:tcBorders>
          </w:tcPr>
          <w:p>
            <w:pPr>
              <w:pStyle w:val="TableParagraph"/>
              <w:spacing w:line="273" w:lineRule="exact"/>
              <w:ind w:left="1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 </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年</w:t>
            </w:r>
          </w:p>
          <w:p>
            <w:pPr>
              <w:pStyle w:val="TableParagraph"/>
              <w:spacing w:line="240" w:lineRule="auto" w:before="35"/>
              <w:ind w:left="1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29</w:t>
            </w:r>
          </w:p>
          <w:p>
            <w:pPr>
              <w:pStyle w:val="TableParagraph"/>
              <w:spacing w:line="240" w:lineRule="auto" w:before="35"/>
              <w:ind w:left="16"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3" w:right="0"/>
              <w:jc w:val="left"/>
              <w:rPr>
                <w:rFonts w:ascii="Times New Roman" w:hAnsi="Times New Roman" w:cs="Times New Roman" w:eastAsia="Times New Roman" w:hint="default"/>
                <w:sz w:val="20"/>
                <w:szCs w:val="20"/>
              </w:rPr>
            </w:pPr>
            <w:r>
              <w:rPr>
                <w:rFonts w:ascii="Times New Roman"/>
                <w:sz w:val="20"/>
              </w:rPr>
              <w:t>326,450</w:t>
            </w:r>
          </w:p>
        </w:tc>
        <w:tc>
          <w:tcPr>
            <w:tcW w:w="1119" w:type="dxa"/>
            <w:tcBorders>
              <w:top w:val="single" w:sz="4" w:space="0" w:color="000000"/>
              <w:left w:val="single" w:sz="4" w:space="0" w:color="000000"/>
              <w:bottom w:val="single" w:sz="4" w:space="0" w:color="000000"/>
              <w:right w:val="single" w:sz="13" w:space="0" w:color="FFFFFF"/>
            </w:tcBorders>
          </w:tcPr>
          <w:p>
            <w:pPr>
              <w:pStyle w:val="TableParagraph"/>
              <w:spacing w:line="258" w:lineRule="exact"/>
              <w:ind w:left="22" w:right="-33"/>
              <w:jc w:val="left"/>
              <w:rPr>
                <w:rFonts w:ascii="宋体" w:hAnsi="宋体" w:cs="宋体" w:eastAsia="宋体" w:hint="default"/>
                <w:sz w:val="20"/>
                <w:szCs w:val="20"/>
              </w:rPr>
            </w:pPr>
            <w:r>
              <w:rPr>
                <w:rFonts w:ascii="宋体" w:hAnsi="宋体" w:cs="宋体" w:eastAsia="宋体" w:hint="default"/>
                <w:spacing w:val="-16"/>
                <w:sz w:val="20"/>
                <w:szCs w:val="20"/>
              </w:rPr>
              <w:t>不适用（注）</w:t>
            </w:r>
            <w:r>
              <w:rPr>
                <w:rFonts w:ascii="宋体" w:hAnsi="宋体" w:cs="宋体" w:eastAsia="宋体" w:hint="default"/>
                <w:sz w:val="20"/>
                <w:szCs w:val="20"/>
              </w:rPr>
            </w:r>
          </w:p>
        </w:tc>
        <w:tc>
          <w:tcPr>
            <w:tcW w:w="983" w:type="dxa"/>
            <w:tcBorders>
              <w:top w:val="single" w:sz="4" w:space="0" w:color="000000"/>
              <w:left w:val="single" w:sz="13" w:space="0" w:color="FFFFFF"/>
              <w:bottom w:val="single" w:sz="4" w:space="0" w:color="000000"/>
              <w:right w:val="single" w:sz="4" w:space="0" w:color="000000"/>
            </w:tcBorders>
          </w:tcPr>
          <w:p>
            <w:pPr>
              <w:pStyle w:val="TableParagraph"/>
              <w:spacing w:line="283" w:lineRule="auto"/>
              <w:ind w:right="20"/>
              <w:jc w:val="both"/>
              <w:rPr>
                <w:rFonts w:ascii="宋体" w:hAnsi="宋体" w:cs="宋体" w:eastAsia="宋体" w:hint="default"/>
                <w:sz w:val="20"/>
                <w:szCs w:val="20"/>
              </w:rPr>
            </w:pPr>
            <w:r>
              <w:rPr>
                <w:rFonts w:ascii="宋体" w:hAnsi="宋体" w:cs="宋体" w:eastAsia="宋体" w:hint="default"/>
                <w:spacing w:val="8"/>
                <w:sz w:val="20"/>
                <w:szCs w:val="20"/>
              </w:rPr>
              <w:t>公司以</w:t>
            </w:r>
            <w:r>
              <w:rPr>
                <w:rFonts w:ascii="宋体" w:hAnsi="宋体" w:cs="宋体" w:eastAsia="宋体" w:hint="default"/>
                <w:spacing w:val="12"/>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w w:val="100"/>
                <w:sz w:val="20"/>
                <w:szCs w:val="20"/>
              </w:rPr>
              <w:t> </w:t>
            </w:r>
            <w:r>
              <w:rPr>
                <w:rFonts w:ascii="宋体" w:hAnsi="宋体" w:cs="宋体" w:eastAsia="宋体" w:hint="default"/>
                <w:sz w:val="20"/>
                <w:szCs w:val="20"/>
              </w:rPr>
              <w:t>家</w:t>
            </w:r>
            <w:r>
              <w:rPr>
                <w:rFonts w:ascii="宋体" w:hAnsi="宋体" w:cs="宋体" w:eastAsia="宋体" w:hint="default"/>
                <w:spacing w:val="-54"/>
                <w:sz w:val="20"/>
                <w:szCs w:val="20"/>
              </w:rPr>
              <w:t> </w:t>
            </w:r>
            <w:r>
              <w:rPr>
                <w:rFonts w:ascii="宋体" w:hAnsi="宋体" w:cs="宋体" w:eastAsia="宋体" w:hint="default"/>
                <w:sz w:val="20"/>
                <w:szCs w:val="20"/>
              </w:rPr>
              <w:t>优</w:t>
            </w:r>
            <w:r>
              <w:rPr>
                <w:rFonts w:ascii="宋体" w:hAnsi="宋体" w:cs="宋体" w:eastAsia="宋体" w:hint="default"/>
                <w:spacing w:val="-55"/>
                <w:sz w:val="20"/>
                <w:szCs w:val="20"/>
              </w:rPr>
              <w:t> </w:t>
            </w:r>
            <w:r>
              <w:rPr>
                <w:rFonts w:ascii="宋体" w:hAnsi="宋体" w:cs="宋体" w:eastAsia="宋体" w:hint="default"/>
                <w:sz w:val="20"/>
                <w:szCs w:val="20"/>
              </w:rPr>
              <w:t>质</w:t>
            </w:r>
            <w:r>
              <w:rPr>
                <w:rFonts w:ascii="宋体" w:hAnsi="宋体" w:cs="宋体" w:eastAsia="宋体" w:hint="default"/>
                <w:spacing w:val="-55"/>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店</w:t>
            </w:r>
            <w:r>
              <w:rPr>
                <w:rFonts w:ascii="宋体" w:hAnsi="宋体" w:cs="宋体" w:eastAsia="宋体" w:hint="default"/>
                <w:spacing w:val="-54"/>
                <w:sz w:val="20"/>
                <w:szCs w:val="20"/>
              </w:rPr>
              <w:t> </w:t>
            </w:r>
            <w:r>
              <w:rPr>
                <w:rFonts w:ascii="宋体" w:hAnsi="宋体" w:cs="宋体" w:eastAsia="宋体" w:hint="default"/>
                <w:sz w:val="20"/>
                <w:szCs w:val="20"/>
              </w:rPr>
              <w:t>物</w:t>
            </w:r>
            <w:r>
              <w:rPr>
                <w:rFonts w:ascii="宋体" w:hAnsi="宋体" w:cs="宋体" w:eastAsia="宋体" w:hint="default"/>
                <w:spacing w:val="-55"/>
                <w:sz w:val="20"/>
                <w:szCs w:val="20"/>
              </w:rPr>
              <w:t> </w:t>
            </w:r>
            <w:r>
              <w:rPr>
                <w:rFonts w:ascii="宋体" w:hAnsi="宋体" w:cs="宋体" w:eastAsia="宋体" w:hint="default"/>
                <w:sz w:val="20"/>
                <w:szCs w:val="20"/>
              </w:rPr>
              <w:t>业</w:t>
            </w:r>
            <w:r>
              <w:rPr>
                <w:rFonts w:ascii="宋体" w:hAnsi="宋体" w:cs="宋体" w:eastAsia="宋体" w:hint="default"/>
                <w:spacing w:val="-55"/>
                <w:sz w:val="20"/>
                <w:szCs w:val="20"/>
              </w:rPr>
              <w:t> </w:t>
            </w:r>
            <w:r>
              <w:rPr>
                <w:rFonts w:ascii="宋体" w:hAnsi="宋体" w:cs="宋体" w:eastAsia="宋体" w:hint="default"/>
                <w:sz w:val="20"/>
                <w:szCs w:val="20"/>
              </w:rPr>
              <w:t>资</w:t>
            </w:r>
            <w:r>
              <w:rPr>
                <w:rFonts w:ascii="宋体" w:hAnsi="宋体" w:cs="宋体" w:eastAsia="宋体" w:hint="default"/>
                <w:w w:val="100"/>
                <w:sz w:val="20"/>
                <w:szCs w:val="20"/>
              </w:rPr>
              <w:t> </w:t>
            </w:r>
            <w:r>
              <w:rPr>
                <w:rFonts w:ascii="宋体" w:hAnsi="宋体" w:cs="宋体" w:eastAsia="宋体" w:hint="default"/>
                <w:sz w:val="20"/>
                <w:szCs w:val="20"/>
              </w:rPr>
              <w:t>产</w:t>
            </w:r>
            <w:r>
              <w:rPr>
                <w:rFonts w:ascii="宋体" w:hAnsi="宋体" w:cs="宋体" w:eastAsia="宋体" w:hint="default"/>
                <w:spacing w:val="-54"/>
                <w:sz w:val="20"/>
                <w:szCs w:val="20"/>
              </w:rPr>
              <w:t> </w:t>
            </w:r>
            <w:r>
              <w:rPr>
                <w:rFonts w:ascii="宋体" w:hAnsi="宋体" w:cs="宋体" w:eastAsia="宋体" w:hint="default"/>
                <w:sz w:val="20"/>
                <w:szCs w:val="20"/>
              </w:rPr>
              <w:t>作</w:t>
            </w:r>
            <w:r>
              <w:rPr>
                <w:rFonts w:ascii="宋体" w:hAnsi="宋体" w:cs="宋体" w:eastAsia="宋体" w:hint="default"/>
                <w:spacing w:val="-55"/>
                <w:sz w:val="20"/>
                <w:szCs w:val="20"/>
              </w:rPr>
              <w:t> </w:t>
            </w:r>
            <w:r>
              <w:rPr>
                <w:rFonts w:ascii="宋体" w:hAnsi="宋体" w:cs="宋体" w:eastAsia="宋体" w:hint="default"/>
                <w:sz w:val="20"/>
                <w:szCs w:val="20"/>
              </w:rPr>
              <w:t>为</w:t>
            </w:r>
            <w:r>
              <w:rPr>
                <w:rFonts w:ascii="宋体" w:hAnsi="宋体" w:cs="宋体" w:eastAsia="宋体" w:hint="default"/>
                <w:spacing w:val="-55"/>
                <w:sz w:val="20"/>
                <w:szCs w:val="20"/>
              </w:rPr>
              <w:t> </w:t>
            </w:r>
            <w:r>
              <w:rPr>
                <w:rFonts w:ascii="宋体" w:hAnsi="宋体" w:cs="宋体" w:eastAsia="宋体" w:hint="default"/>
                <w:sz w:val="20"/>
                <w:szCs w:val="20"/>
              </w:rPr>
              <w:t>标</w:t>
            </w:r>
            <w:r>
              <w:rPr>
                <w:rFonts w:ascii="宋体" w:hAnsi="宋体" w:cs="宋体" w:eastAsia="宋体" w:hint="default"/>
                <w:w w:val="100"/>
                <w:sz w:val="20"/>
                <w:szCs w:val="20"/>
              </w:rPr>
              <w:t> </w:t>
            </w:r>
            <w:r>
              <w:rPr>
                <w:rFonts w:ascii="宋体" w:hAnsi="宋体" w:cs="宋体" w:eastAsia="宋体" w:hint="default"/>
                <w:sz w:val="20"/>
                <w:szCs w:val="20"/>
              </w:rPr>
              <w:t>的</w:t>
            </w:r>
            <w:r>
              <w:rPr>
                <w:rFonts w:ascii="宋体" w:hAnsi="宋体" w:cs="宋体" w:eastAsia="宋体" w:hint="default"/>
                <w:spacing w:val="-54"/>
                <w:sz w:val="20"/>
                <w:szCs w:val="20"/>
              </w:rPr>
              <w:t> </w:t>
            </w:r>
            <w:r>
              <w:rPr>
                <w:rFonts w:ascii="宋体" w:hAnsi="宋体" w:cs="宋体" w:eastAsia="宋体" w:hint="default"/>
                <w:sz w:val="20"/>
                <w:szCs w:val="20"/>
              </w:rPr>
              <w:t>资</w:t>
            </w:r>
            <w:r>
              <w:rPr>
                <w:rFonts w:ascii="宋体" w:hAnsi="宋体" w:cs="宋体" w:eastAsia="宋体" w:hint="default"/>
                <w:spacing w:val="-55"/>
                <w:sz w:val="20"/>
                <w:szCs w:val="20"/>
              </w:rPr>
              <w:t> </w:t>
            </w:r>
            <w:r>
              <w:rPr>
                <w:rFonts w:ascii="宋体" w:hAnsi="宋体" w:cs="宋体" w:eastAsia="宋体" w:hint="default"/>
                <w:sz w:val="20"/>
                <w:szCs w:val="20"/>
              </w:rPr>
              <w:t>产</w:t>
            </w:r>
            <w:r>
              <w:rPr>
                <w:rFonts w:ascii="宋体" w:hAnsi="宋体" w:cs="宋体" w:eastAsia="宋体" w:hint="default"/>
                <w:spacing w:val="-55"/>
                <w:sz w:val="20"/>
                <w:szCs w:val="20"/>
              </w:rPr>
              <w:t> </w:t>
            </w:r>
            <w:r>
              <w:rPr>
                <w:rFonts w:ascii="宋体" w:hAnsi="宋体" w:cs="宋体" w:eastAsia="宋体" w:hint="default"/>
                <w:sz w:val="20"/>
                <w:szCs w:val="20"/>
              </w:rPr>
              <w:t>实</w:t>
            </w:r>
            <w:r>
              <w:rPr>
                <w:rFonts w:ascii="宋体" w:hAnsi="宋体" w:cs="宋体" w:eastAsia="宋体" w:hint="default"/>
                <w:w w:val="100"/>
                <w:sz w:val="20"/>
                <w:szCs w:val="20"/>
              </w:rPr>
              <w:t> </w:t>
            </w:r>
            <w:r>
              <w:rPr>
                <w:rFonts w:ascii="宋体" w:hAnsi="宋体" w:cs="宋体" w:eastAsia="宋体" w:hint="default"/>
                <w:sz w:val="20"/>
                <w:szCs w:val="20"/>
              </w:rPr>
              <w:t>施</w:t>
            </w:r>
            <w:r>
              <w:rPr>
                <w:rFonts w:ascii="宋体" w:hAnsi="宋体" w:cs="宋体" w:eastAsia="宋体" w:hint="default"/>
                <w:spacing w:val="-54"/>
                <w:sz w:val="20"/>
                <w:szCs w:val="20"/>
              </w:rPr>
              <w:t> </w:t>
            </w:r>
            <w:r>
              <w:rPr>
                <w:rFonts w:ascii="宋体" w:hAnsi="宋体" w:cs="宋体" w:eastAsia="宋体" w:hint="default"/>
                <w:sz w:val="20"/>
                <w:szCs w:val="20"/>
              </w:rPr>
              <w:t>了</w:t>
            </w:r>
            <w:r>
              <w:rPr>
                <w:rFonts w:ascii="宋体" w:hAnsi="宋体" w:cs="宋体" w:eastAsia="宋体" w:hint="default"/>
                <w:spacing w:val="-55"/>
                <w:sz w:val="20"/>
                <w:szCs w:val="20"/>
              </w:rPr>
              <w:t> </w:t>
            </w:r>
            <w:r>
              <w:rPr>
                <w:rFonts w:ascii="宋体" w:hAnsi="宋体" w:cs="宋体" w:eastAsia="宋体" w:hint="default"/>
                <w:sz w:val="20"/>
                <w:szCs w:val="20"/>
              </w:rPr>
              <w:t>本</w:t>
            </w:r>
            <w:r>
              <w:rPr>
                <w:rFonts w:ascii="宋体" w:hAnsi="宋体" w:cs="宋体" w:eastAsia="宋体" w:hint="default"/>
                <w:spacing w:val="-55"/>
                <w:sz w:val="20"/>
                <w:szCs w:val="20"/>
              </w:rPr>
              <w:t> </w:t>
            </w:r>
            <w:r>
              <w:rPr>
                <w:rFonts w:ascii="宋体" w:hAnsi="宋体" w:cs="宋体" w:eastAsia="宋体" w:hint="default"/>
                <w:sz w:val="20"/>
                <w:szCs w:val="20"/>
              </w:rPr>
              <w:t>次</w:t>
            </w:r>
            <w:r>
              <w:rPr>
                <w:rFonts w:ascii="宋体" w:hAnsi="宋体" w:cs="宋体" w:eastAsia="宋体" w:hint="default"/>
                <w:w w:val="100"/>
                <w:sz w:val="20"/>
                <w:szCs w:val="20"/>
              </w:rPr>
              <w:t> </w:t>
            </w:r>
            <w:r>
              <w:rPr>
                <w:rFonts w:ascii="宋体" w:hAnsi="宋体" w:cs="宋体" w:eastAsia="宋体" w:hint="default"/>
                <w:spacing w:val="-13"/>
                <w:sz w:val="20"/>
                <w:szCs w:val="20"/>
              </w:rPr>
              <w:t>交易，盘活</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了</w:t>
            </w:r>
            <w:r>
              <w:rPr>
                <w:rFonts w:ascii="宋体" w:hAnsi="宋体" w:cs="宋体" w:eastAsia="宋体" w:hint="default"/>
                <w:spacing w:val="-54"/>
                <w:sz w:val="20"/>
                <w:szCs w:val="20"/>
              </w:rPr>
              <w:t> </w:t>
            </w:r>
            <w:r>
              <w:rPr>
                <w:rFonts w:ascii="宋体" w:hAnsi="宋体" w:cs="宋体" w:eastAsia="宋体" w:hint="default"/>
                <w:sz w:val="20"/>
                <w:szCs w:val="20"/>
              </w:rPr>
              <w:t>存</w:t>
            </w:r>
            <w:r>
              <w:rPr>
                <w:rFonts w:ascii="宋体" w:hAnsi="宋体" w:cs="宋体" w:eastAsia="宋体" w:hint="default"/>
                <w:spacing w:val="-55"/>
                <w:sz w:val="20"/>
                <w:szCs w:val="20"/>
              </w:rPr>
              <w:t> </w:t>
            </w:r>
            <w:r>
              <w:rPr>
                <w:rFonts w:ascii="宋体" w:hAnsi="宋体" w:cs="宋体" w:eastAsia="宋体" w:hint="default"/>
                <w:sz w:val="20"/>
                <w:szCs w:val="20"/>
              </w:rPr>
              <w:t>量</w:t>
            </w:r>
            <w:r>
              <w:rPr>
                <w:rFonts w:ascii="宋体" w:hAnsi="宋体" w:cs="宋体" w:eastAsia="宋体" w:hint="default"/>
                <w:spacing w:val="-55"/>
                <w:sz w:val="20"/>
                <w:szCs w:val="20"/>
              </w:rPr>
              <w:t> </w:t>
            </w:r>
            <w:r>
              <w:rPr>
                <w:rFonts w:ascii="宋体" w:hAnsi="宋体" w:cs="宋体" w:eastAsia="宋体" w:hint="default"/>
                <w:sz w:val="20"/>
                <w:szCs w:val="20"/>
              </w:rPr>
              <w:t>资</w:t>
            </w:r>
            <w:r>
              <w:rPr>
                <w:rFonts w:ascii="宋体" w:hAnsi="宋体" w:cs="宋体" w:eastAsia="宋体" w:hint="default"/>
                <w:w w:val="100"/>
                <w:sz w:val="20"/>
                <w:szCs w:val="20"/>
              </w:rPr>
              <w:t> </w:t>
            </w:r>
            <w:r>
              <w:rPr>
                <w:rFonts w:ascii="宋体" w:hAnsi="宋体" w:cs="宋体" w:eastAsia="宋体" w:hint="default"/>
                <w:spacing w:val="-13"/>
                <w:sz w:val="20"/>
                <w:szCs w:val="20"/>
              </w:rPr>
              <w:t>产，获得充</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沛</w:t>
            </w:r>
            <w:r>
              <w:rPr>
                <w:rFonts w:ascii="宋体" w:hAnsi="宋体" w:cs="宋体" w:eastAsia="宋体" w:hint="default"/>
                <w:spacing w:val="-54"/>
                <w:sz w:val="20"/>
                <w:szCs w:val="20"/>
              </w:rPr>
              <w:t> </w:t>
            </w:r>
            <w:r>
              <w:rPr>
                <w:rFonts w:ascii="宋体" w:hAnsi="宋体" w:cs="宋体" w:eastAsia="宋体" w:hint="default"/>
                <w:sz w:val="20"/>
                <w:szCs w:val="20"/>
              </w:rPr>
              <w:t>资</w:t>
            </w:r>
            <w:r>
              <w:rPr>
                <w:rFonts w:ascii="宋体" w:hAnsi="宋体" w:cs="宋体" w:eastAsia="宋体" w:hint="default"/>
                <w:spacing w:val="-55"/>
                <w:sz w:val="20"/>
                <w:szCs w:val="20"/>
              </w:rPr>
              <w:t> </w:t>
            </w:r>
            <w:r>
              <w:rPr>
                <w:rFonts w:ascii="宋体" w:hAnsi="宋体" w:cs="宋体" w:eastAsia="宋体" w:hint="default"/>
                <w:sz w:val="20"/>
                <w:szCs w:val="20"/>
              </w:rPr>
              <w:t>金</w:t>
            </w:r>
            <w:r>
              <w:rPr>
                <w:rFonts w:ascii="宋体" w:hAnsi="宋体" w:cs="宋体" w:eastAsia="宋体" w:hint="default"/>
                <w:spacing w:val="-55"/>
                <w:sz w:val="20"/>
                <w:szCs w:val="20"/>
              </w:rPr>
              <w:t> </w:t>
            </w:r>
            <w:r>
              <w:rPr>
                <w:rFonts w:ascii="宋体" w:hAnsi="宋体" w:cs="宋体" w:eastAsia="宋体" w:hint="default"/>
                <w:sz w:val="20"/>
                <w:szCs w:val="20"/>
              </w:rPr>
              <w:t>回</w:t>
            </w:r>
            <w:r>
              <w:rPr>
                <w:rFonts w:ascii="宋体" w:hAnsi="宋体" w:cs="宋体" w:eastAsia="宋体" w:hint="default"/>
                <w:w w:val="100"/>
                <w:sz w:val="20"/>
                <w:szCs w:val="20"/>
              </w:rPr>
              <w:t> </w:t>
            </w:r>
            <w:r>
              <w:rPr>
                <w:rFonts w:ascii="宋体" w:hAnsi="宋体" w:cs="宋体" w:eastAsia="宋体" w:hint="default"/>
                <w:sz w:val="20"/>
                <w:szCs w:val="20"/>
              </w:rPr>
              <w:t>笼</w:t>
            </w:r>
            <w:r>
              <w:rPr>
                <w:rFonts w:ascii="宋体" w:hAnsi="宋体" w:cs="宋体" w:eastAsia="宋体" w:hint="default"/>
                <w:spacing w:val="-54"/>
                <w:sz w:val="20"/>
                <w:szCs w:val="20"/>
              </w:rPr>
              <w:t> </w:t>
            </w:r>
            <w:r>
              <w:rPr>
                <w:rFonts w:ascii="宋体" w:hAnsi="宋体" w:cs="宋体" w:eastAsia="宋体" w:hint="default"/>
                <w:sz w:val="20"/>
                <w:szCs w:val="20"/>
              </w:rPr>
              <w:t>以</w:t>
            </w:r>
            <w:r>
              <w:rPr>
                <w:rFonts w:ascii="宋体" w:hAnsi="宋体" w:cs="宋体" w:eastAsia="宋体" w:hint="default"/>
                <w:spacing w:val="-55"/>
                <w:sz w:val="20"/>
                <w:szCs w:val="20"/>
              </w:rPr>
              <w:t> </w:t>
            </w:r>
            <w:r>
              <w:rPr>
                <w:rFonts w:ascii="宋体" w:hAnsi="宋体" w:cs="宋体" w:eastAsia="宋体" w:hint="default"/>
                <w:sz w:val="20"/>
                <w:szCs w:val="20"/>
              </w:rPr>
              <w:t>再</w:t>
            </w:r>
            <w:r>
              <w:rPr>
                <w:rFonts w:ascii="宋体" w:hAnsi="宋体" w:cs="宋体" w:eastAsia="宋体" w:hint="default"/>
                <w:spacing w:val="-55"/>
                <w:sz w:val="20"/>
                <w:szCs w:val="20"/>
              </w:rPr>
              <w:t> </w:t>
            </w:r>
            <w:r>
              <w:rPr>
                <w:rFonts w:ascii="宋体" w:hAnsi="宋体" w:cs="宋体" w:eastAsia="宋体" w:hint="default"/>
                <w:sz w:val="20"/>
                <w:szCs w:val="20"/>
              </w:rPr>
              <w:t>次</w:t>
            </w:r>
            <w:r>
              <w:rPr>
                <w:rFonts w:ascii="宋体" w:hAnsi="宋体" w:cs="宋体" w:eastAsia="宋体" w:hint="default"/>
                <w:w w:val="100"/>
                <w:sz w:val="20"/>
                <w:szCs w:val="20"/>
              </w:rPr>
              <w:t> </w:t>
            </w:r>
            <w:r>
              <w:rPr>
                <w:rFonts w:ascii="宋体" w:hAnsi="宋体" w:cs="宋体" w:eastAsia="宋体" w:hint="default"/>
                <w:sz w:val="20"/>
                <w:szCs w:val="20"/>
              </w:rPr>
              <w:t>投</w:t>
            </w:r>
            <w:r>
              <w:rPr>
                <w:rFonts w:ascii="宋体" w:hAnsi="宋体" w:cs="宋体" w:eastAsia="宋体" w:hint="default"/>
                <w:spacing w:val="-54"/>
                <w:sz w:val="20"/>
                <w:szCs w:val="20"/>
              </w:rPr>
              <w:t> </w:t>
            </w:r>
            <w:r>
              <w:rPr>
                <w:rFonts w:ascii="宋体" w:hAnsi="宋体" w:cs="宋体" w:eastAsia="宋体" w:hint="default"/>
                <w:sz w:val="20"/>
                <w:szCs w:val="20"/>
              </w:rPr>
              <w:t>入</w:t>
            </w:r>
            <w:r>
              <w:rPr>
                <w:rFonts w:ascii="宋体" w:hAnsi="宋体" w:cs="宋体" w:eastAsia="宋体" w:hint="default"/>
                <w:spacing w:val="-55"/>
                <w:sz w:val="20"/>
                <w:szCs w:val="20"/>
              </w:rPr>
              <w:t> </w:t>
            </w:r>
            <w:r>
              <w:rPr>
                <w:rFonts w:ascii="宋体" w:hAnsi="宋体" w:cs="宋体" w:eastAsia="宋体" w:hint="default"/>
                <w:sz w:val="20"/>
                <w:szCs w:val="20"/>
              </w:rPr>
              <w:t>优</w:t>
            </w:r>
            <w:r>
              <w:rPr>
                <w:rFonts w:ascii="宋体" w:hAnsi="宋体" w:cs="宋体" w:eastAsia="宋体" w:hint="default"/>
                <w:spacing w:val="-55"/>
                <w:sz w:val="20"/>
                <w:szCs w:val="20"/>
              </w:rPr>
              <w:t> </w:t>
            </w:r>
            <w:r>
              <w:rPr>
                <w:rFonts w:ascii="宋体" w:hAnsi="宋体" w:cs="宋体" w:eastAsia="宋体" w:hint="default"/>
                <w:sz w:val="20"/>
                <w:szCs w:val="20"/>
              </w:rPr>
              <w:t>质</w:t>
            </w:r>
            <w:r>
              <w:rPr>
                <w:rFonts w:ascii="宋体" w:hAnsi="宋体" w:cs="宋体" w:eastAsia="宋体" w:hint="default"/>
                <w:w w:val="100"/>
                <w:sz w:val="20"/>
                <w:szCs w:val="20"/>
              </w:rPr>
              <w:t> </w:t>
            </w:r>
            <w:r>
              <w:rPr>
                <w:rFonts w:ascii="宋体" w:hAnsi="宋体" w:cs="宋体" w:eastAsia="宋体" w:hint="default"/>
                <w:spacing w:val="-13"/>
                <w:sz w:val="20"/>
                <w:szCs w:val="20"/>
              </w:rPr>
              <w:t>门店，进一</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步</w:t>
            </w:r>
            <w:r>
              <w:rPr>
                <w:rFonts w:ascii="宋体" w:hAnsi="宋体" w:cs="宋体" w:eastAsia="宋体" w:hint="default"/>
                <w:spacing w:val="-54"/>
                <w:sz w:val="20"/>
                <w:szCs w:val="20"/>
              </w:rPr>
              <w:t> </w:t>
            </w:r>
            <w:r>
              <w:rPr>
                <w:rFonts w:ascii="宋体" w:hAnsi="宋体" w:cs="宋体" w:eastAsia="宋体" w:hint="default"/>
                <w:sz w:val="20"/>
                <w:szCs w:val="20"/>
              </w:rPr>
              <w:t>践</w:t>
            </w:r>
            <w:r>
              <w:rPr>
                <w:rFonts w:ascii="宋体" w:hAnsi="宋体" w:cs="宋体" w:eastAsia="宋体" w:hint="default"/>
                <w:spacing w:val="-55"/>
                <w:sz w:val="20"/>
                <w:szCs w:val="20"/>
              </w:rPr>
              <w:t> </w:t>
            </w:r>
            <w:r>
              <w:rPr>
                <w:rFonts w:ascii="宋体" w:hAnsi="宋体" w:cs="宋体" w:eastAsia="宋体" w:hint="default"/>
                <w:sz w:val="20"/>
                <w:szCs w:val="20"/>
              </w:rPr>
              <w:t>行</w:t>
            </w:r>
            <w:r>
              <w:rPr>
                <w:rFonts w:ascii="宋体" w:hAnsi="宋体" w:cs="宋体" w:eastAsia="宋体" w:hint="default"/>
                <w:spacing w:val="-55"/>
                <w:sz w:val="20"/>
                <w:szCs w:val="20"/>
              </w:rPr>
              <w:t> </w:t>
            </w:r>
            <w:r>
              <w:rPr>
                <w:rFonts w:ascii="宋体" w:hAnsi="宋体" w:cs="宋体" w:eastAsia="宋体" w:hint="default"/>
                <w:sz w:val="20"/>
                <w:szCs w:val="20"/>
              </w:rPr>
              <w:t>了</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spacing w:val="-54"/>
                <w:sz w:val="20"/>
                <w:szCs w:val="20"/>
              </w:rPr>
              <w:t> </w:t>
            </w:r>
            <w:r>
              <w:rPr>
                <w:rFonts w:ascii="宋体" w:hAnsi="宋体" w:cs="宋体" w:eastAsia="宋体" w:hint="default"/>
                <w:sz w:val="20"/>
                <w:szCs w:val="20"/>
              </w:rPr>
              <w:t>店</w:t>
            </w:r>
            <w:r>
              <w:rPr>
                <w:rFonts w:ascii="宋体" w:hAnsi="宋体" w:cs="宋体" w:eastAsia="宋体" w:hint="default"/>
                <w:spacing w:val="-55"/>
                <w:sz w:val="20"/>
                <w:szCs w:val="20"/>
              </w:rPr>
              <w:t> </w:t>
            </w:r>
            <w:r>
              <w:rPr>
                <w:rFonts w:ascii="宋体" w:hAnsi="宋体" w:cs="宋体" w:eastAsia="宋体" w:hint="default"/>
                <w:sz w:val="20"/>
                <w:szCs w:val="20"/>
              </w:rPr>
              <w:t>资</w:t>
            </w:r>
            <w:r>
              <w:rPr>
                <w:rFonts w:ascii="宋体" w:hAnsi="宋体" w:cs="宋体" w:eastAsia="宋体" w:hint="default"/>
                <w:spacing w:val="-55"/>
                <w:sz w:val="20"/>
                <w:szCs w:val="20"/>
              </w:rPr>
              <w:t> </w:t>
            </w:r>
            <w:r>
              <w:rPr>
                <w:rFonts w:ascii="宋体" w:hAnsi="宋体" w:cs="宋体" w:eastAsia="宋体" w:hint="default"/>
                <w:sz w:val="20"/>
                <w:szCs w:val="20"/>
              </w:rPr>
              <w:t>产</w:t>
            </w:r>
            <w:r>
              <w:rPr>
                <w:rFonts w:ascii="宋体" w:hAnsi="宋体" w:cs="宋体" w:eastAsia="宋体" w:hint="default"/>
                <w:w w:val="100"/>
                <w:sz w:val="20"/>
                <w:szCs w:val="20"/>
              </w:rPr>
              <w:t> </w:t>
            </w:r>
            <w:r>
              <w:rPr>
                <w:rFonts w:ascii="宋体" w:hAnsi="宋体" w:cs="宋体" w:eastAsia="宋体" w:hint="default"/>
                <w:spacing w:val="22"/>
                <w:sz w:val="20"/>
                <w:szCs w:val="20"/>
              </w:rPr>
              <w:t>购置</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店</w:t>
            </w:r>
            <w:r>
              <w:rPr>
                <w:rFonts w:ascii="宋体" w:hAnsi="宋体" w:cs="宋体" w:eastAsia="宋体" w:hint="default"/>
                <w:spacing w:val="-54"/>
                <w:sz w:val="20"/>
                <w:szCs w:val="20"/>
              </w:rPr>
              <w:t> </w:t>
            </w:r>
            <w:r>
              <w:rPr>
                <w:rFonts w:ascii="宋体" w:hAnsi="宋体" w:cs="宋体" w:eastAsia="宋体" w:hint="default"/>
                <w:sz w:val="20"/>
                <w:szCs w:val="20"/>
              </w:rPr>
              <w:t>运</w:t>
            </w:r>
            <w:r>
              <w:rPr>
                <w:rFonts w:ascii="宋体" w:hAnsi="宋体" w:cs="宋体" w:eastAsia="宋体" w:hint="default"/>
                <w:spacing w:val="-55"/>
                <w:sz w:val="20"/>
                <w:szCs w:val="20"/>
              </w:rPr>
              <w:t> </w:t>
            </w:r>
            <w:r>
              <w:rPr>
                <w:rFonts w:ascii="宋体" w:hAnsi="宋体" w:cs="宋体" w:eastAsia="宋体" w:hint="default"/>
                <w:sz w:val="20"/>
                <w:szCs w:val="20"/>
              </w:rPr>
              <w:t>营</w:t>
            </w:r>
            <w:r>
              <w:rPr>
                <w:rFonts w:ascii="宋体" w:hAnsi="宋体" w:cs="宋体" w:eastAsia="宋体" w:hint="default"/>
                <w:spacing w:val="-55"/>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z w:val="20"/>
                <w:szCs w:val="20"/>
              </w:rPr>
              <w:t>这</w:t>
            </w:r>
            <w:r>
              <w:rPr>
                <w:rFonts w:ascii="宋体" w:hAnsi="宋体" w:cs="宋体" w:eastAsia="宋体" w:hint="default"/>
                <w:spacing w:val="-54"/>
                <w:sz w:val="20"/>
                <w:szCs w:val="20"/>
              </w:rPr>
              <w:t> </w:t>
            </w:r>
            <w:r>
              <w:rPr>
                <w:rFonts w:ascii="宋体" w:hAnsi="宋体" w:cs="宋体" w:eastAsia="宋体" w:hint="default"/>
                <w:sz w:val="20"/>
                <w:szCs w:val="20"/>
              </w:rPr>
              <w:t>一</w:t>
            </w:r>
            <w:r>
              <w:rPr>
                <w:rFonts w:ascii="宋体" w:hAnsi="宋体" w:cs="宋体" w:eastAsia="宋体" w:hint="default"/>
                <w:spacing w:val="-55"/>
                <w:sz w:val="20"/>
                <w:szCs w:val="20"/>
              </w:rPr>
              <w:t> </w:t>
            </w:r>
            <w:r>
              <w:rPr>
                <w:rFonts w:ascii="宋体" w:hAnsi="宋体" w:cs="宋体" w:eastAsia="宋体" w:hint="default"/>
                <w:sz w:val="20"/>
                <w:szCs w:val="20"/>
              </w:rPr>
              <w:t>良</w:t>
            </w:r>
            <w:r>
              <w:rPr>
                <w:rFonts w:ascii="宋体" w:hAnsi="宋体" w:cs="宋体" w:eastAsia="宋体" w:hint="default"/>
                <w:spacing w:val="-55"/>
                <w:sz w:val="20"/>
                <w:szCs w:val="20"/>
              </w:rPr>
              <w:t> </w:t>
            </w:r>
            <w:r>
              <w:rPr>
                <w:rFonts w:ascii="宋体" w:hAnsi="宋体" w:cs="宋体" w:eastAsia="宋体" w:hint="default"/>
                <w:sz w:val="20"/>
                <w:szCs w:val="20"/>
              </w:rPr>
              <w:t>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2" w:right="0"/>
              <w:jc w:val="left"/>
              <w:rPr>
                <w:rFonts w:ascii="Times New Roman" w:hAnsi="Times New Roman" w:cs="Times New Roman" w:eastAsia="Times New Roman" w:hint="default"/>
                <w:sz w:val="20"/>
                <w:szCs w:val="20"/>
              </w:rPr>
            </w:pPr>
            <w:r>
              <w:rPr>
                <w:rFonts w:ascii="Times New Roman"/>
                <w:sz w:val="20"/>
              </w:rPr>
              <w:t>137.34%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4"/>
              <w:jc w:val="both"/>
              <w:rPr>
                <w:rFonts w:ascii="宋体" w:hAnsi="宋体" w:cs="宋体" w:eastAsia="宋体" w:hint="default"/>
                <w:sz w:val="20"/>
                <w:szCs w:val="20"/>
              </w:rPr>
            </w:pPr>
            <w:r>
              <w:rPr>
                <w:rFonts w:ascii="宋体" w:hAnsi="宋体" w:cs="宋体" w:eastAsia="宋体" w:hint="default"/>
                <w:spacing w:val="16"/>
                <w:sz w:val="20"/>
                <w:szCs w:val="20"/>
              </w:rPr>
              <w:t>根据资</w:t>
            </w:r>
            <w:r>
              <w:rPr>
                <w:rFonts w:ascii="宋体" w:hAnsi="宋体" w:cs="宋体" w:eastAsia="宋体" w:hint="default"/>
                <w:spacing w:val="-95"/>
                <w:sz w:val="20"/>
                <w:szCs w:val="20"/>
              </w:rPr>
              <w:t> </w:t>
            </w:r>
            <w:r>
              <w:rPr>
                <w:rFonts w:ascii="宋体" w:hAnsi="宋体" w:cs="宋体" w:eastAsia="宋体" w:hint="default"/>
                <w:spacing w:val="16"/>
                <w:sz w:val="20"/>
                <w:szCs w:val="20"/>
              </w:rPr>
              <w:t>产评估</w:t>
            </w:r>
            <w:r>
              <w:rPr>
                <w:rFonts w:ascii="宋体" w:hAnsi="宋体" w:cs="宋体" w:eastAsia="宋体" w:hint="default"/>
                <w:spacing w:val="-95"/>
                <w:sz w:val="20"/>
                <w:szCs w:val="20"/>
              </w:rPr>
              <w:t> </w:t>
            </w:r>
            <w:r>
              <w:rPr>
                <w:rFonts w:ascii="宋体" w:hAnsi="宋体" w:cs="宋体" w:eastAsia="宋体" w:hint="default"/>
                <w:spacing w:val="16"/>
                <w:sz w:val="20"/>
                <w:szCs w:val="20"/>
              </w:rPr>
              <w:t>值协商</w:t>
            </w:r>
            <w:r>
              <w:rPr>
                <w:rFonts w:ascii="宋体" w:hAnsi="宋体" w:cs="宋体" w:eastAsia="宋体" w:hint="default"/>
                <w:spacing w:val="-95"/>
                <w:sz w:val="20"/>
                <w:szCs w:val="20"/>
              </w:rPr>
              <w:t> </w:t>
            </w:r>
            <w:r>
              <w:rPr>
                <w:rFonts w:ascii="宋体" w:hAnsi="宋体" w:cs="宋体" w:eastAsia="宋体" w:hint="default"/>
                <w:sz w:val="20"/>
                <w:szCs w:val="20"/>
              </w:rPr>
              <w:t>确定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5</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  </w:t>
            </w:r>
            <w:r>
              <w:rPr>
                <w:rFonts w:ascii="Times New Roman" w:hAnsi="Times New Roman" w:cs="Times New Roman" w:eastAsia="Times New Roman" w:hint="default"/>
                <w:sz w:val="20"/>
                <w:szCs w:val="20"/>
              </w:rPr>
              <w:t>19 </w:t>
            </w:r>
            <w:r>
              <w:rPr>
                <w:rFonts w:ascii="Times New Roman" w:hAnsi="Times New Roman" w:cs="Times New Roman" w:eastAsia="Times New Roman" w:hint="default"/>
                <w:spacing w:val="36"/>
                <w:sz w:val="20"/>
                <w:szCs w:val="20"/>
              </w:rPr>
              <w:t> </w:t>
            </w:r>
            <w:r>
              <w:rPr>
                <w:rFonts w:ascii="宋体" w:hAnsi="宋体" w:cs="宋体" w:eastAsia="宋体" w:hint="default"/>
                <w:sz w:val="20"/>
                <w:szCs w:val="20"/>
              </w:rPr>
              <w:t>日</w:t>
            </w:r>
          </w:p>
          <w:p>
            <w:pPr>
              <w:pStyle w:val="TableParagraph"/>
              <w:spacing w:line="240" w:lineRule="auto" w:before="35"/>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6</w:t>
            </w:r>
          </w:p>
          <w:p>
            <w:pPr>
              <w:pStyle w:val="TableParagraph"/>
              <w:tabs>
                <w:tab w:pos="440" w:val="left" w:leader="none"/>
                <w:tab w:pos="759" w:val="left" w:leader="none"/>
              </w:tabs>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tab/>
            </w:r>
            <w:r>
              <w:rPr>
                <w:rFonts w:ascii="Times New Roman" w:hAnsi="Times New Roman" w:cs="Times New Roman" w:eastAsia="Times New Roman" w:hint="default"/>
                <w:sz w:val="20"/>
                <w:szCs w:val="20"/>
              </w:rPr>
              <w:t>5</w:t>
              <w:tab/>
            </w:r>
            <w:r>
              <w:rPr>
                <w:rFonts w:ascii="宋体" w:hAnsi="宋体" w:cs="宋体" w:eastAsia="宋体" w:hint="default"/>
                <w:sz w:val="20"/>
                <w:szCs w:val="20"/>
              </w:rPr>
              <w:t>日</w:t>
            </w:r>
          </w:p>
          <w:p>
            <w:pPr>
              <w:pStyle w:val="TableParagraph"/>
              <w:spacing w:line="240" w:lineRule="auto" w:before="35"/>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21"/>
                <w:sz w:val="20"/>
                <w:szCs w:val="20"/>
              </w:rPr>
              <w:t> </w:t>
            </w:r>
            <w:r>
              <w:rPr>
                <w:rFonts w:ascii="Times New Roman" w:hAnsi="Times New Roman" w:cs="Times New Roman" w:eastAsia="Times New Roman" w:hint="default"/>
                <w:sz w:val="20"/>
                <w:szCs w:val="20"/>
              </w:rPr>
              <w:t>7</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2" w:right="0"/>
              <w:jc w:val="left"/>
              <w:rPr>
                <w:rFonts w:ascii="宋体" w:hAnsi="宋体" w:cs="宋体" w:eastAsia="宋体" w:hint="default"/>
                <w:sz w:val="20"/>
                <w:szCs w:val="20"/>
              </w:rPr>
            </w:pPr>
            <w:r>
              <w:rPr>
                <w:rFonts w:ascii="宋体" w:hAnsi="宋体" w:cs="宋体" w:eastAsia="宋体" w:hint="default"/>
                <w:sz w:val="20"/>
                <w:szCs w:val="20"/>
              </w:rPr>
              <w:t>巨</w:t>
            </w:r>
            <w:r>
              <w:rPr>
                <w:rFonts w:ascii="宋体" w:hAnsi="宋体" w:cs="宋体" w:eastAsia="宋体" w:hint="default"/>
                <w:spacing w:val="-57"/>
                <w:sz w:val="20"/>
                <w:szCs w:val="20"/>
              </w:rPr>
              <w:t> </w:t>
            </w:r>
            <w:r>
              <w:rPr>
                <w:rFonts w:ascii="宋体" w:hAnsi="宋体" w:cs="宋体" w:eastAsia="宋体" w:hint="default"/>
                <w:sz w:val="20"/>
                <w:szCs w:val="20"/>
              </w:rPr>
              <w:t>潮</w:t>
            </w:r>
            <w:r>
              <w:rPr>
                <w:rFonts w:ascii="宋体" w:hAnsi="宋体" w:cs="宋体" w:eastAsia="宋体" w:hint="default"/>
                <w:spacing w:val="-59"/>
                <w:sz w:val="20"/>
                <w:szCs w:val="20"/>
              </w:rPr>
              <w:t> </w:t>
            </w:r>
            <w:r>
              <w:rPr>
                <w:rFonts w:ascii="宋体" w:hAnsi="宋体" w:cs="宋体" w:eastAsia="宋体" w:hint="default"/>
                <w:sz w:val="20"/>
                <w:szCs w:val="20"/>
              </w:rPr>
              <w:t>资</w:t>
            </w:r>
            <w:r>
              <w:rPr>
                <w:rFonts w:ascii="宋体" w:hAnsi="宋体" w:cs="宋体" w:eastAsia="宋体" w:hint="default"/>
                <w:spacing w:val="-57"/>
                <w:sz w:val="20"/>
                <w:szCs w:val="20"/>
              </w:rPr>
              <w:t> </w:t>
            </w:r>
            <w:r>
              <w:rPr>
                <w:rFonts w:ascii="宋体" w:hAnsi="宋体" w:cs="宋体" w:eastAsia="宋体" w:hint="default"/>
                <w:sz w:val="20"/>
                <w:szCs w:val="20"/>
              </w:rPr>
              <w:t>讯</w:t>
            </w:r>
            <w:r>
              <w:rPr>
                <w:rFonts w:ascii="宋体" w:hAnsi="宋体" w:cs="宋体" w:eastAsia="宋体" w:hint="default"/>
                <w:spacing w:val="-57"/>
                <w:sz w:val="20"/>
                <w:szCs w:val="20"/>
              </w:rPr>
              <w:t> </w:t>
            </w:r>
            <w:r>
              <w:rPr>
                <w:rFonts w:ascii="宋体" w:hAnsi="宋体" w:cs="宋体" w:eastAsia="宋体" w:hint="default"/>
                <w:sz w:val="20"/>
                <w:szCs w:val="20"/>
              </w:rPr>
              <w:t>网</w:t>
            </w:r>
          </w:p>
          <w:p>
            <w:pPr>
              <w:pStyle w:val="TableParagraph"/>
              <w:spacing w:line="240" w:lineRule="auto" w:before="96"/>
              <w:ind w:left="22" w:right="0"/>
              <w:jc w:val="left"/>
              <w:rPr>
                <w:rFonts w:ascii="Times New Roman" w:hAnsi="Times New Roman" w:cs="Times New Roman" w:eastAsia="Times New Roman" w:hint="default"/>
                <w:sz w:val="20"/>
                <w:szCs w:val="20"/>
              </w:rPr>
            </w:pPr>
            <w:r>
              <w:rPr>
                <w:rFonts w:ascii="Times New Roman"/>
                <w:sz w:val="20"/>
              </w:rPr>
              <w:t>2015-024/201</w:t>
            </w:r>
          </w:p>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sz w:val="20"/>
              </w:rPr>
              <w:t>5-027/2015-0</w:t>
            </w:r>
          </w:p>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号公告</w:t>
            </w:r>
          </w:p>
        </w:tc>
      </w:tr>
    </w:tbl>
    <w:p>
      <w:pPr>
        <w:spacing w:after="0" w:line="240" w:lineRule="auto"/>
        <w:jc w:val="left"/>
        <w:rPr>
          <w:rFonts w:ascii="宋体" w:hAnsi="宋体" w:cs="宋体" w:eastAsia="宋体" w:hint="default"/>
          <w:sz w:val="20"/>
          <w:szCs w:val="20"/>
        </w:rPr>
        <w:sectPr>
          <w:headerReference w:type="default" r:id="rId12"/>
          <w:footerReference w:type="default" r:id="rId13"/>
          <w:pgSz w:w="16840" w:h="11910" w:orient="landscape"/>
          <w:pgMar w:header="867" w:footer="979" w:top="1060" w:bottom="1160" w:left="1300" w:right="0"/>
          <w:pgNumType w:start="43"/>
        </w:sectPr>
      </w:pPr>
    </w:p>
    <w:p>
      <w:pPr>
        <w:spacing w:line="240" w:lineRule="auto" w:before="12"/>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791"/>
        <w:gridCol w:w="791"/>
        <w:gridCol w:w="794"/>
        <w:gridCol w:w="937"/>
        <w:gridCol w:w="1108"/>
        <w:gridCol w:w="995"/>
        <w:gridCol w:w="992"/>
        <w:gridCol w:w="710"/>
        <w:gridCol w:w="708"/>
        <w:gridCol w:w="992"/>
        <w:gridCol w:w="850"/>
        <w:gridCol w:w="991"/>
        <w:gridCol w:w="1135"/>
        <w:gridCol w:w="993"/>
        <w:gridCol w:w="1228"/>
      </w:tblGrid>
      <w:tr>
        <w:trPr>
          <w:trHeight w:val="2834" w:hRule="exact"/>
        </w:trPr>
        <w:tc>
          <w:tcPr>
            <w:tcW w:w="791" w:type="dxa"/>
            <w:tcBorders>
              <w:top w:val="single" w:sz="15" w:space="0" w:color="000000"/>
              <w:left w:val="single" w:sz="4" w:space="0" w:color="000000"/>
              <w:bottom w:val="single" w:sz="4" w:space="0" w:color="000000"/>
              <w:right w:val="single" w:sz="4" w:space="0" w:color="000000"/>
            </w:tcBorders>
          </w:tcPr>
          <w:p>
            <w:pPr/>
          </w:p>
        </w:tc>
        <w:tc>
          <w:tcPr>
            <w:tcW w:w="791" w:type="dxa"/>
            <w:tcBorders>
              <w:top w:val="single" w:sz="15"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益。</w:t>
            </w:r>
          </w:p>
        </w:tc>
        <w:tc>
          <w:tcPr>
            <w:tcW w:w="794" w:type="dxa"/>
            <w:tcBorders>
              <w:top w:val="single" w:sz="15" w:space="0" w:color="000000"/>
              <w:left w:val="single" w:sz="4" w:space="0" w:color="000000"/>
              <w:bottom w:val="single" w:sz="4" w:space="0" w:color="000000"/>
              <w:right w:val="single" w:sz="4" w:space="0" w:color="000000"/>
            </w:tcBorders>
          </w:tcPr>
          <w:p>
            <w:pPr/>
          </w:p>
        </w:tc>
        <w:tc>
          <w:tcPr>
            <w:tcW w:w="937" w:type="dxa"/>
            <w:tcBorders>
              <w:top w:val="single" w:sz="15" w:space="0" w:color="000000"/>
              <w:left w:val="single" w:sz="4" w:space="0" w:color="000000"/>
              <w:bottom w:val="single" w:sz="4" w:space="0" w:color="000000"/>
              <w:right w:val="single" w:sz="4" w:space="0" w:color="000000"/>
            </w:tcBorders>
          </w:tcPr>
          <w:p>
            <w:pPr/>
          </w:p>
        </w:tc>
        <w:tc>
          <w:tcPr>
            <w:tcW w:w="1108" w:type="dxa"/>
            <w:tcBorders>
              <w:top w:val="single" w:sz="15" w:space="0" w:color="000000"/>
              <w:left w:val="single" w:sz="4" w:space="0" w:color="000000"/>
              <w:bottom w:val="single" w:sz="4" w:space="0" w:color="000000"/>
              <w:right w:val="single" w:sz="4" w:space="0" w:color="000000"/>
            </w:tcBorders>
          </w:tcPr>
          <w:p>
            <w:pPr/>
          </w:p>
        </w:tc>
        <w:tc>
          <w:tcPr>
            <w:tcW w:w="995" w:type="dxa"/>
            <w:tcBorders>
              <w:top w:val="single" w:sz="15" w:space="0" w:color="000000"/>
              <w:left w:val="single" w:sz="4" w:space="0" w:color="000000"/>
              <w:bottom w:val="single" w:sz="4" w:space="0" w:color="000000"/>
              <w:right w:val="single" w:sz="4" w:space="0" w:color="000000"/>
            </w:tcBorders>
          </w:tcPr>
          <w:p>
            <w:pPr>
              <w:pStyle w:val="TableParagraph"/>
              <w:spacing w:line="283" w:lineRule="auto"/>
              <w:ind w:left="22" w:right="20"/>
              <w:jc w:val="both"/>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54"/>
                <w:sz w:val="20"/>
                <w:szCs w:val="20"/>
              </w:rPr>
              <w:t> </w:t>
            </w:r>
            <w:r>
              <w:rPr>
                <w:rFonts w:ascii="宋体" w:hAnsi="宋体" w:cs="宋体" w:eastAsia="宋体" w:hint="default"/>
                <w:sz w:val="20"/>
                <w:szCs w:val="20"/>
              </w:rPr>
              <w:t>产</w:t>
            </w:r>
            <w:r>
              <w:rPr>
                <w:rFonts w:ascii="宋体" w:hAnsi="宋体" w:cs="宋体" w:eastAsia="宋体" w:hint="default"/>
                <w:spacing w:val="-55"/>
                <w:sz w:val="20"/>
                <w:szCs w:val="20"/>
              </w:rPr>
              <w:t> </w:t>
            </w:r>
            <w:r>
              <w:rPr>
                <w:rFonts w:ascii="宋体" w:hAnsi="宋体" w:cs="宋体" w:eastAsia="宋体" w:hint="default"/>
                <w:sz w:val="20"/>
                <w:szCs w:val="20"/>
              </w:rPr>
              <w:t>运</w:t>
            </w:r>
            <w:r>
              <w:rPr>
                <w:rFonts w:ascii="宋体" w:hAnsi="宋体" w:cs="宋体" w:eastAsia="宋体" w:hint="default"/>
                <w:spacing w:val="-55"/>
                <w:sz w:val="20"/>
                <w:szCs w:val="20"/>
              </w:rPr>
              <w:t> </w:t>
            </w:r>
            <w:r>
              <w:rPr>
                <w:rFonts w:ascii="宋体" w:hAnsi="宋体" w:cs="宋体" w:eastAsia="宋体" w:hint="default"/>
                <w:sz w:val="20"/>
                <w:szCs w:val="20"/>
              </w:rPr>
              <w:t>作</w:t>
            </w:r>
            <w:r>
              <w:rPr>
                <w:rFonts w:ascii="宋体" w:hAnsi="宋体" w:cs="宋体" w:eastAsia="宋体" w:hint="default"/>
                <w:w w:val="100"/>
                <w:sz w:val="20"/>
                <w:szCs w:val="20"/>
              </w:rPr>
              <w:t> </w:t>
            </w:r>
            <w:r>
              <w:rPr>
                <w:rFonts w:ascii="宋体" w:hAnsi="宋体" w:cs="宋体" w:eastAsia="宋体" w:hint="default"/>
                <w:spacing w:val="-13"/>
                <w:sz w:val="20"/>
                <w:szCs w:val="20"/>
              </w:rPr>
              <w:t>方式，有利</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于</w:t>
            </w:r>
            <w:r>
              <w:rPr>
                <w:rFonts w:ascii="宋体" w:hAnsi="宋体" w:cs="宋体" w:eastAsia="宋体" w:hint="default"/>
                <w:spacing w:val="-54"/>
                <w:sz w:val="20"/>
                <w:szCs w:val="20"/>
              </w:rPr>
              <w:t> </w:t>
            </w:r>
            <w:r>
              <w:rPr>
                <w:rFonts w:ascii="宋体" w:hAnsi="宋体" w:cs="宋体" w:eastAsia="宋体" w:hint="default"/>
                <w:sz w:val="20"/>
                <w:szCs w:val="20"/>
              </w:rPr>
              <w:t>继</w:t>
            </w:r>
            <w:r>
              <w:rPr>
                <w:rFonts w:ascii="宋体" w:hAnsi="宋体" w:cs="宋体" w:eastAsia="宋体" w:hint="default"/>
                <w:spacing w:val="-55"/>
                <w:sz w:val="20"/>
                <w:szCs w:val="20"/>
              </w:rPr>
              <w:t> </w:t>
            </w:r>
            <w:r>
              <w:rPr>
                <w:rFonts w:ascii="宋体" w:hAnsi="宋体" w:cs="宋体" w:eastAsia="宋体" w:hint="default"/>
                <w:sz w:val="20"/>
                <w:szCs w:val="20"/>
              </w:rPr>
              <w:t>续</w:t>
            </w:r>
            <w:r>
              <w:rPr>
                <w:rFonts w:ascii="宋体" w:hAnsi="宋体" w:cs="宋体" w:eastAsia="宋体" w:hint="default"/>
                <w:spacing w:val="-55"/>
                <w:sz w:val="20"/>
                <w:szCs w:val="20"/>
              </w:rPr>
              <w:t> </w:t>
            </w:r>
            <w:r>
              <w:rPr>
                <w:rFonts w:ascii="宋体" w:hAnsi="宋体" w:cs="宋体" w:eastAsia="宋体" w:hint="default"/>
                <w:sz w:val="20"/>
                <w:szCs w:val="20"/>
              </w:rPr>
              <w:t>巩</w:t>
            </w:r>
            <w:r>
              <w:rPr>
                <w:rFonts w:ascii="宋体" w:hAnsi="宋体" w:cs="宋体" w:eastAsia="宋体" w:hint="default"/>
                <w:w w:val="100"/>
                <w:sz w:val="20"/>
                <w:szCs w:val="20"/>
              </w:rPr>
              <w:t> </w:t>
            </w:r>
            <w:r>
              <w:rPr>
                <w:rFonts w:ascii="宋体" w:hAnsi="宋体" w:cs="宋体" w:eastAsia="宋体" w:hint="default"/>
                <w:sz w:val="20"/>
                <w:szCs w:val="20"/>
              </w:rPr>
              <w:t>固</w:t>
            </w:r>
            <w:r>
              <w:rPr>
                <w:rFonts w:ascii="宋体" w:hAnsi="宋体" w:cs="宋体" w:eastAsia="宋体" w:hint="default"/>
                <w:spacing w:val="-54"/>
                <w:sz w:val="20"/>
                <w:szCs w:val="20"/>
              </w:rPr>
              <w:t> </w:t>
            </w:r>
            <w:r>
              <w:rPr>
                <w:rFonts w:ascii="宋体" w:hAnsi="宋体" w:cs="宋体" w:eastAsia="宋体" w:hint="default"/>
                <w:sz w:val="20"/>
                <w:szCs w:val="20"/>
              </w:rPr>
              <w:t>公</w:t>
            </w:r>
            <w:r>
              <w:rPr>
                <w:rFonts w:ascii="宋体" w:hAnsi="宋体" w:cs="宋体" w:eastAsia="宋体" w:hint="default"/>
                <w:spacing w:val="-55"/>
                <w:sz w:val="20"/>
                <w:szCs w:val="20"/>
              </w:rPr>
              <w:t> </w:t>
            </w:r>
            <w:r>
              <w:rPr>
                <w:rFonts w:ascii="宋体" w:hAnsi="宋体" w:cs="宋体" w:eastAsia="宋体" w:hint="default"/>
                <w:sz w:val="20"/>
                <w:szCs w:val="20"/>
              </w:rPr>
              <w:t>司</w:t>
            </w:r>
            <w:r>
              <w:rPr>
                <w:rFonts w:ascii="宋体" w:hAnsi="宋体" w:cs="宋体" w:eastAsia="宋体" w:hint="default"/>
                <w:spacing w:val="-55"/>
                <w:sz w:val="20"/>
                <w:szCs w:val="20"/>
              </w:rPr>
              <w:t> </w:t>
            </w:r>
            <w:r>
              <w:rPr>
                <w:rFonts w:ascii="宋体" w:hAnsi="宋体" w:cs="宋体" w:eastAsia="宋体" w:hint="default"/>
                <w:sz w:val="20"/>
                <w:szCs w:val="20"/>
              </w:rPr>
              <w:t>线</w:t>
            </w:r>
            <w:r>
              <w:rPr>
                <w:rFonts w:ascii="宋体" w:hAnsi="宋体" w:cs="宋体" w:eastAsia="宋体" w:hint="default"/>
                <w:w w:val="100"/>
                <w:sz w:val="20"/>
                <w:szCs w:val="20"/>
              </w:rPr>
              <w:t> </w:t>
            </w:r>
            <w:r>
              <w:rPr>
                <w:rFonts w:ascii="宋体" w:hAnsi="宋体" w:cs="宋体" w:eastAsia="宋体" w:hint="default"/>
                <w:spacing w:val="-13"/>
                <w:sz w:val="20"/>
                <w:szCs w:val="20"/>
              </w:rPr>
              <w:t>下门店，提</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升 </w:t>
            </w:r>
            <w:r>
              <w:rPr>
                <w:rFonts w:ascii="Times New Roman" w:hAnsi="Times New Roman" w:cs="Times New Roman" w:eastAsia="Times New Roman" w:hint="default"/>
                <w:sz w:val="20"/>
                <w:szCs w:val="20"/>
              </w:rPr>
              <w:t>O2O</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模</w:t>
            </w:r>
            <w:r>
              <w:rPr>
                <w:rFonts w:ascii="宋体" w:hAnsi="宋体" w:cs="宋体" w:eastAsia="宋体" w:hint="default"/>
                <w:w w:val="100"/>
                <w:sz w:val="20"/>
                <w:szCs w:val="20"/>
              </w:rPr>
              <w:t> </w:t>
            </w:r>
            <w:r>
              <w:rPr>
                <w:rFonts w:ascii="宋体" w:hAnsi="宋体" w:cs="宋体" w:eastAsia="宋体" w:hint="default"/>
                <w:sz w:val="20"/>
                <w:szCs w:val="20"/>
              </w:rPr>
              <w:t>式</w:t>
            </w:r>
            <w:r>
              <w:rPr>
                <w:rFonts w:ascii="宋体" w:hAnsi="宋体" w:cs="宋体" w:eastAsia="宋体" w:hint="default"/>
                <w:spacing w:val="-54"/>
                <w:sz w:val="20"/>
                <w:szCs w:val="20"/>
              </w:rPr>
              <w:t> </w:t>
            </w:r>
            <w:r>
              <w:rPr>
                <w:rFonts w:ascii="宋体" w:hAnsi="宋体" w:cs="宋体" w:eastAsia="宋体" w:hint="default"/>
                <w:sz w:val="20"/>
                <w:szCs w:val="20"/>
              </w:rPr>
              <w:t>中</w:t>
            </w:r>
            <w:r>
              <w:rPr>
                <w:rFonts w:ascii="宋体" w:hAnsi="宋体" w:cs="宋体" w:eastAsia="宋体" w:hint="default"/>
                <w:spacing w:val="-55"/>
                <w:sz w:val="20"/>
                <w:szCs w:val="20"/>
              </w:rPr>
              <w:t> </w:t>
            </w:r>
            <w:r>
              <w:rPr>
                <w:rFonts w:ascii="宋体" w:hAnsi="宋体" w:cs="宋体" w:eastAsia="宋体" w:hint="default"/>
                <w:sz w:val="20"/>
                <w:szCs w:val="20"/>
              </w:rPr>
              <w:t>的</w:t>
            </w:r>
            <w:r>
              <w:rPr>
                <w:rFonts w:ascii="宋体" w:hAnsi="宋体" w:cs="宋体" w:eastAsia="宋体" w:hint="default"/>
                <w:spacing w:val="-55"/>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店</w:t>
            </w:r>
            <w:r>
              <w:rPr>
                <w:rFonts w:ascii="宋体" w:hAnsi="宋体" w:cs="宋体" w:eastAsia="宋体" w:hint="default"/>
                <w:spacing w:val="-54"/>
                <w:sz w:val="20"/>
                <w:szCs w:val="20"/>
              </w:rPr>
              <w:t> </w:t>
            </w:r>
            <w:r>
              <w:rPr>
                <w:rFonts w:ascii="宋体" w:hAnsi="宋体" w:cs="宋体" w:eastAsia="宋体" w:hint="default"/>
                <w:sz w:val="20"/>
                <w:szCs w:val="20"/>
              </w:rPr>
              <w:t>核</w:t>
            </w:r>
            <w:r>
              <w:rPr>
                <w:rFonts w:ascii="宋体" w:hAnsi="宋体" w:cs="宋体" w:eastAsia="宋体" w:hint="default"/>
                <w:spacing w:val="-55"/>
                <w:sz w:val="20"/>
                <w:szCs w:val="20"/>
              </w:rPr>
              <w:t> </w:t>
            </w:r>
            <w:r>
              <w:rPr>
                <w:rFonts w:ascii="宋体" w:hAnsi="宋体" w:cs="宋体" w:eastAsia="宋体" w:hint="default"/>
                <w:sz w:val="20"/>
                <w:szCs w:val="20"/>
              </w:rPr>
              <w:t>心</w:t>
            </w:r>
            <w:r>
              <w:rPr>
                <w:rFonts w:ascii="宋体" w:hAnsi="宋体" w:cs="宋体" w:eastAsia="宋体" w:hint="default"/>
                <w:spacing w:val="-55"/>
                <w:sz w:val="20"/>
                <w:szCs w:val="20"/>
              </w:rPr>
              <w:t> </w:t>
            </w:r>
            <w:r>
              <w:rPr>
                <w:rFonts w:ascii="宋体" w:hAnsi="宋体" w:cs="宋体" w:eastAsia="宋体" w:hint="default"/>
                <w:sz w:val="20"/>
                <w:szCs w:val="20"/>
              </w:rPr>
              <w:t>竞</w:t>
            </w:r>
            <w:r>
              <w:rPr>
                <w:rFonts w:ascii="宋体" w:hAnsi="宋体" w:cs="宋体" w:eastAsia="宋体" w:hint="default"/>
                <w:w w:val="100"/>
                <w:sz w:val="20"/>
                <w:szCs w:val="20"/>
              </w:rPr>
              <w:t> </w:t>
            </w:r>
            <w:r>
              <w:rPr>
                <w:rFonts w:ascii="宋体" w:hAnsi="宋体" w:cs="宋体" w:eastAsia="宋体" w:hint="default"/>
                <w:sz w:val="20"/>
                <w:szCs w:val="20"/>
              </w:rPr>
              <w:t>争力。</w:t>
            </w:r>
          </w:p>
        </w:tc>
        <w:tc>
          <w:tcPr>
            <w:tcW w:w="992"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1228" w:type="dxa"/>
            <w:tcBorders>
              <w:top w:val="single" w:sz="15" w:space="0" w:color="000000"/>
              <w:left w:val="single" w:sz="4" w:space="0" w:color="000000"/>
              <w:bottom w:val="single" w:sz="4" w:space="0" w:color="000000"/>
              <w:right w:val="single" w:sz="4" w:space="0" w:color="000000"/>
            </w:tcBorders>
          </w:tcPr>
          <w:p>
            <w:pPr/>
          </w:p>
        </w:tc>
      </w:tr>
    </w:tbl>
    <w:p>
      <w:pPr>
        <w:spacing w:before="18"/>
        <w:ind w:left="140" w:right="1276"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1</w:t>
      </w:r>
      <w:r>
        <w:rPr>
          <w:rFonts w:ascii="宋体" w:hAnsi="宋体" w:cs="宋体" w:eastAsia="宋体" w:hint="default"/>
          <w:sz w:val="20"/>
          <w:szCs w:val="20"/>
        </w:rPr>
        <w:t>、公司</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家自有门店物业的房屋所有权及对应的土地使用权作为门店经营，资产本身按照规则计提折旧。</w:t>
      </w:r>
    </w:p>
    <w:p>
      <w:pPr>
        <w:spacing w:before="82"/>
        <w:ind w:left="140" w:right="127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、公司</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家门店物业的转让价格根据外部独立评估师的资产评估值协商确定，总计为人民币</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32.65</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亿元，该交易价格与账面价值的差额扣除相关税费并确认以</w:t>
      </w:r>
    </w:p>
    <w:p>
      <w:pPr>
        <w:spacing w:before="82"/>
        <w:ind w:left="139" w:right="1276" w:firstLine="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公允价</w:t>
      </w:r>
      <w:r>
        <w:rPr>
          <w:rFonts w:ascii="宋体" w:hAnsi="宋体" w:cs="宋体" w:eastAsia="宋体" w:hint="default"/>
          <w:spacing w:val="-2"/>
          <w:w w:val="100"/>
          <w:sz w:val="20"/>
          <w:szCs w:val="20"/>
        </w:rPr>
        <w:t>值</w:t>
      </w:r>
      <w:r>
        <w:rPr>
          <w:rFonts w:ascii="宋体" w:hAnsi="宋体" w:cs="宋体" w:eastAsia="宋体" w:hint="default"/>
          <w:w w:val="100"/>
          <w:sz w:val="20"/>
          <w:szCs w:val="20"/>
        </w:rPr>
        <w:t>计</w:t>
      </w:r>
      <w:r>
        <w:rPr>
          <w:rFonts w:ascii="宋体" w:hAnsi="宋体" w:cs="宋体" w:eastAsia="宋体" w:hint="default"/>
          <w:spacing w:val="-2"/>
          <w:w w:val="100"/>
          <w:sz w:val="20"/>
          <w:szCs w:val="20"/>
        </w:rPr>
        <w:t>量</w:t>
      </w:r>
      <w:r>
        <w:rPr>
          <w:rFonts w:ascii="宋体" w:hAnsi="宋体" w:cs="宋体" w:eastAsia="宋体" w:hint="default"/>
          <w:w w:val="100"/>
          <w:sz w:val="20"/>
          <w:szCs w:val="20"/>
        </w:rPr>
        <w:t>且其变</w:t>
      </w:r>
      <w:r>
        <w:rPr>
          <w:rFonts w:ascii="宋体" w:hAnsi="宋体" w:cs="宋体" w:eastAsia="宋体" w:hint="default"/>
          <w:spacing w:val="-2"/>
          <w:w w:val="100"/>
          <w:sz w:val="20"/>
          <w:szCs w:val="20"/>
        </w:rPr>
        <w:t>动</w:t>
      </w:r>
      <w:r>
        <w:rPr>
          <w:rFonts w:ascii="宋体" w:hAnsi="宋体" w:cs="宋体" w:eastAsia="宋体" w:hint="default"/>
          <w:w w:val="100"/>
          <w:sz w:val="20"/>
          <w:szCs w:val="20"/>
        </w:rPr>
        <w:t>计</w:t>
      </w:r>
      <w:r>
        <w:rPr>
          <w:rFonts w:ascii="宋体" w:hAnsi="宋体" w:cs="宋体" w:eastAsia="宋体" w:hint="default"/>
          <w:spacing w:val="-2"/>
          <w:w w:val="100"/>
          <w:sz w:val="20"/>
          <w:szCs w:val="20"/>
        </w:rPr>
        <w:t>入</w:t>
      </w:r>
      <w:r>
        <w:rPr>
          <w:rFonts w:ascii="宋体" w:hAnsi="宋体" w:cs="宋体" w:eastAsia="宋体" w:hint="default"/>
          <w:w w:val="100"/>
          <w:sz w:val="20"/>
          <w:szCs w:val="20"/>
        </w:rPr>
        <w:t>当期损</w:t>
      </w:r>
      <w:r>
        <w:rPr>
          <w:rFonts w:ascii="宋体" w:hAnsi="宋体" w:cs="宋体" w:eastAsia="宋体" w:hint="default"/>
          <w:spacing w:val="-2"/>
          <w:w w:val="100"/>
          <w:sz w:val="20"/>
          <w:szCs w:val="20"/>
        </w:rPr>
        <w:t>益</w:t>
      </w:r>
      <w:r>
        <w:rPr>
          <w:rFonts w:ascii="宋体" w:hAnsi="宋体" w:cs="宋体" w:eastAsia="宋体" w:hint="default"/>
          <w:w w:val="100"/>
          <w:sz w:val="20"/>
          <w:szCs w:val="20"/>
        </w:rPr>
        <w:t>的</w:t>
      </w:r>
      <w:r>
        <w:rPr>
          <w:rFonts w:ascii="宋体" w:hAnsi="宋体" w:cs="宋体" w:eastAsia="宋体" w:hint="default"/>
          <w:spacing w:val="-2"/>
          <w:w w:val="100"/>
          <w:sz w:val="20"/>
          <w:szCs w:val="20"/>
        </w:rPr>
        <w:t>金</w:t>
      </w:r>
      <w:r>
        <w:rPr>
          <w:rFonts w:ascii="宋体" w:hAnsi="宋体" w:cs="宋体" w:eastAsia="宋体" w:hint="default"/>
          <w:w w:val="100"/>
          <w:sz w:val="20"/>
          <w:szCs w:val="20"/>
        </w:rPr>
        <w:t>融负债</w:t>
      </w:r>
      <w:r>
        <w:rPr>
          <w:rFonts w:ascii="宋体" w:hAnsi="宋体" w:cs="宋体" w:eastAsia="宋体" w:hint="default"/>
          <w:spacing w:val="-2"/>
          <w:w w:val="100"/>
          <w:sz w:val="20"/>
          <w:szCs w:val="20"/>
        </w:rPr>
        <w:t>后</w:t>
      </w:r>
      <w:r>
        <w:rPr>
          <w:rFonts w:ascii="宋体" w:hAnsi="宋体" w:cs="宋体" w:eastAsia="宋体" w:hint="default"/>
          <w:w w:val="100"/>
          <w:sz w:val="20"/>
          <w:szCs w:val="20"/>
        </w:rPr>
        <w:t>的</w:t>
      </w:r>
      <w:r>
        <w:rPr>
          <w:rFonts w:ascii="宋体" w:hAnsi="宋体" w:cs="宋体" w:eastAsia="宋体" w:hint="default"/>
          <w:spacing w:val="-2"/>
          <w:w w:val="100"/>
          <w:sz w:val="20"/>
          <w:szCs w:val="20"/>
        </w:rPr>
        <w:t>盈</w:t>
      </w:r>
      <w:r>
        <w:rPr>
          <w:rFonts w:ascii="宋体" w:hAnsi="宋体" w:cs="宋体" w:eastAsia="宋体" w:hint="default"/>
          <w:w w:val="100"/>
          <w:sz w:val="20"/>
          <w:szCs w:val="20"/>
        </w:rPr>
        <w:t>余</w:t>
      </w:r>
      <w:r>
        <w:rPr>
          <w:rFonts w:ascii="宋体" w:hAnsi="宋体" w:cs="宋体" w:eastAsia="宋体" w:hint="default"/>
          <w:spacing w:val="-97"/>
          <w:w w:val="100"/>
          <w:sz w:val="20"/>
          <w:szCs w:val="20"/>
        </w:rPr>
        <w:t>，</w:t>
      </w:r>
      <w:r>
        <w:rPr>
          <w:rFonts w:ascii="宋体" w:hAnsi="宋体" w:cs="宋体" w:eastAsia="宋体" w:hint="default"/>
          <w:w w:val="100"/>
          <w:sz w:val="20"/>
          <w:szCs w:val="20"/>
        </w:rPr>
        <w:t>考</w:t>
      </w:r>
      <w:r>
        <w:rPr>
          <w:rFonts w:ascii="宋体" w:hAnsi="宋体" w:cs="宋体" w:eastAsia="宋体" w:hint="default"/>
          <w:spacing w:val="-2"/>
          <w:w w:val="100"/>
          <w:sz w:val="20"/>
          <w:szCs w:val="20"/>
        </w:rPr>
        <w:t>虑</w:t>
      </w:r>
      <w:r>
        <w:rPr>
          <w:rFonts w:ascii="宋体" w:hAnsi="宋体" w:cs="宋体" w:eastAsia="宋体" w:hint="default"/>
          <w:w w:val="100"/>
          <w:sz w:val="20"/>
          <w:szCs w:val="20"/>
        </w:rPr>
        <w:t>交</w:t>
      </w:r>
      <w:r>
        <w:rPr>
          <w:rFonts w:ascii="宋体" w:hAnsi="宋体" w:cs="宋体" w:eastAsia="宋体" w:hint="default"/>
          <w:spacing w:val="-2"/>
          <w:w w:val="100"/>
          <w:sz w:val="20"/>
          <w:szCs w:val="20"/>
        </w:rPr>
        <w:t>易</w:t>
      </w:r>
      <w:r>
        <w:rPr>
          <w:rFonts w:ascii="宋体" w:hAnsi="宋体" w:cs="宋体" w:eastAsia="宋体" w:hint="default"/>
          <w:w w:val="100"/>
          <w:sz w:val="20"/>
          <w:szCs w:val="20"/>
        </w:rPr>
        <w:t>完成后</w:t>
      </w:r>
      <w:r>
        <w:rPr>
          <w:rFonts w:ascii="宋体" w:hAnsi="宋体" w:cs="宋体" w:eastAsia="宋体" w:hint="default"/>
          <w:spacing w:val="-2"/>
          <w:w w:val="100"/>
          <w:sz w:val="20"/>
          <w:szCs w:val="20"/>
        </w:rPr>
        <w:t>收</w:t>
      </w:r>
      <w:r>
        <w:rPr>
          <w:rFonts w:ascii="宋体" w:hAnsi="宋体" w:cs="宋体" w:eastAsia="宋体" w:hint="default"/>
          <w:w w:val="100"/>
          <w:sz w:val="20"/>
          <w:szCs w:val="20"/>
        </w:rPr>
        <w:t>到</w:t>
      </w:r>
      <w:r>
        <w:rPr>
          <w:rFonts w:ascii="宋体" w:hAnsi="宋体" w:cs="宋体" w:eastAsia="宋体" w:hint="default"/>
          <w:spacing w:val="-2"/>
          <w:w w:val="100"/>
          <w:sz w:val="20"/>
          <w:szCs w:val="20"/>
        </w:rPr>
        <w:t>的</w:t>
      </w:r>
      <w:r>
        <w:rPr>
          <w:rFonts w:ascii="宋体" w:hAnsi="宋体" w:cs="宋体" w:eastAsia="宋体" w:hint="default"/>
          <w:w w:val="100"/>
          <w:sz w:val="20"/>
          <w:szCs w:val="20"/>
        </w:rPr>
        <w:t>契税返</w:t>
      </w:r>
      <w:r>
        <w:rPr>
          <w:rFonts w:ascii="宋体" w:hAnsi="宋体" w:cs="宋体" w:eastAsia="宋体" w:hint="default"/>
          <w:spacing w:val="-2"/>
          <w:w w:val="100"/>
          <w:sz w:val="20"/>
          <w:szCs w:val="20"/>
        </w:rPr>
        <w:t>还</w:t>
      </w:r>
      <w:r>
        <w:rPr>
          <w:rFonts w:ascii="宋体" w:hAnsi="宋体" w:cs="宋体" w:eastAsia="宋体" w:hint="default"/>
          <w:spacing w:val="-97"/>
          <w:w w:val="100"/>
          <w:sz w:val="20"/>
          <w:szCs w:val="20"/>
        </w:rPr>
        <w:t>，</w:t>
      </w:r>
      <w:r>
        <w:rPr>
          <w:rFonts w:ascii="宋体" w:hAnsi="宋体" w:cs="宋体" w:eastAsia="宋体" w:hint="default"/>
          <w:spacing w:val="-2"/>
          <w:w w:val="100"/>
          <w:sz w:val="20"/>
          <w:szCs w:val="20"/>
        </w:rPr>
        <w:t>人</w:t>
      </w:r>
      <w:r>
        <w:rPr>
          <w:rFonts w:ascii="宋体" w:hAnsi="宋体" w:cs="宋体" w:eastAsia="宋体" w:hint="default"/>
          <w:w w:val="100"/>
          <w:sz w:val="20"/>
          <w:szCs w:val="20"/>
        </w:rPr>
        <w:t>民币</w:t>
      </w:r>
      <w:r>
        <w:rPr>
          <w:rFonts w:ascii="宋体" w:hAnsi="宋体" w:cs="宋体" w:eastAsia="宋体" w:hint="default"/>
          <w:spacing w:val="-51"/>
          <w:sz w:val="20"/>
          <w:szCs w:val="20"/>
        </w:rPr>
        <w:t> </w:t>
      </w:r>
      <w:r>
        <w:rPr>
          <w:rFonts w:ascii="Times New Roman" w:hAnsi="Times New Roman" w:cs="Times New Roman" w:eastAsia="Times New Roman" w:hint="default"/>
          <w:w w:val="100"/>
          <w:sz w:val="20"/>
          <w:szCs w:val="20"/>
        </w:rPr>
        <w:t>13.88</w:t>
      </w:r>
      <w:r>
        <w:rPr>
          <w:rFonts w:ascii="Times New Roman" w:hAnsi="Times New Roman" w:cs="Times New Roman" w:eastAsia="Times New Roman" w:hint="default"/>
          <w:spacing w:val="-1"/>
          <w:sz w:val="20"/>
          <w:szCs w:val="20"/>
        </w:rPr>
        <w:t> </w:t>
      </w:r>
      <w:r>
        <w:rPr>
          <w:rFonts w:ascii="宋体" w:hAnsi="宋体" w:cs="宋体" w:eastAsia="宋体" w:hint="default"/>
          <w:spacing w:val="-2"/>
          <w:w w:val="100"/>
          <w:sz w:val="20"/>
          <w:szCs w:val="20"/>
        </w:rPr>
        <w:t>亿</w:t>
      </w:r>
      <w:r>
        <w:rPr>
          <w:rFonts w:ascii="宋体" w:hAnsi="宋体" w:cs="宋体" w:eastAsia="宋体" w:hint="default"/>
          <w:w w:val="100"/>
          <w:sz w:val="20"/>
          <w:szCs w:val="20"/>
        </w:rPr>
        <w:t>元计入</w:t>
      </w:r>
      <w:r>
        <w:rPr>
          <w:rFonts w:ascii="宋体" w:hAnsi="宋体" w:cs="宋体" w:eastAsia="宋体" w:hint="default"/>
          <w:spacing w:val="-2"/>
          <w:w w:val="100"/>
          <w:sz w:val="20"/>
          <w:szCs w:val="20"/>
        </w:rPr>
        <w:t>当</w:t>
      </w:r>
      <w:r>
        <w:rPr>
          <w:rFonts w:ascii="宋体" w:hAnsi="宋体" w:cs="宋体" w:eastAsia="宋体" w:hint="default"/>
          <w:w w:val="100"/>
          <w:sz w:val="20"/>
          <w:szCs w:val="20"/>
        </w:rPr>
        <w:t>期</w:t>
      </w:r>
      <w:r>
        <w:rPr>
          <w:rFonts w:ascii="宋体" w:hAnsi="宋体" w:cs="宋体" w:eastAsia="宋体" w:hint="default"/>
          <w:spacing w:val="-2"/>
          <w:w w:val="100"/>
          <w:sz w:val="20"/>
          <w:szCs w:val="20"/>
        </w:rPr>
        <w:t>营</w:t>
      </w:r>
      <w:r>
        <w:rPr>
          <w:rFonts w:ascii="宋体" w:hAnsi="宋体" w:cs="宋体" w:eastAsia="宋体" w:hint="default"/>
          <w:w w:val="100"/>
          <w:sz w:val="20"/>
          <w:szCs w:val="20"/>
        </w:rPr>
        <w:t>业外收</w:t>
      </w:r>
      <w:r>
        <w:rPr>
          <w:rFonts w:ascii="宋体" w:hAnsi="宋体" w:cs="宋体" w:eastAsia="宋体" w:hint="default"/>
          <w:spacing w:val="-2"/>
          <w:w w:val="100"/>
          <w:sz w:val="20"/>
          <w:szCs w:val="20"/>
        </w:rPr>
        <w:t>入</w:t>
      </w:r>
      <w:r>
        <w:rPr>
          <w:rFonts w:ascii="宋体" w:hAnsi="宋体" w:cs="宋体" w:eastAsia="宋体" w:hint="default"/>
          <w:spacing w:val="-98"/>
          <w:w w:val="100"/>
          <w:sz w:val="20"/>
          <w:szCs w:val="20"/>
        </w:rPr>
        <w:t>，</w:t>
      </w:r>
      <w:r>
        <w:rPr>
          <w:rFonts w:ascii="宋体" w:hAnsi="宋体" w:cs="宋体" w:eastAsia="宋体" w:hint="default"/>
          <w:spacing w:val="-2"/>
          <w:w w:val="100"/>
          <w:sz w:val="20"/>
          <w:szCs w:val="20"/>
        </w:rPr>
        <w:t>实</w:t>
      </w:r>
      <w:r>
        <w:rPr>
          <w:rFonts w:ascii="宋体" w:hAnsi="宋体" w:cs="宋体" w:eastAsia="宋体" w:hint="default"/>
          <w:w w:val="100"/>
          <w:sz w:val="20"/>
          <w:szCs w:val="20"/>
        </w:rPr>
        <w:t>现税后</w:t>
      </w:r>
      <w:r>
        <w:rPr>
          <w:rFonts w:ascii="宋体" w:hAnsi="宋体" w:cs="宋体" w:eastAsia="宋体" w:hint="default"/>
          <w:spacing w:val="-2"/>
          <w:w w:val="100"/>
          <w:sz w:val="20"/>
          <w:szCs w:val="20"/>
        </w:rPr>
        <w:t>净</w:t>
      </w:r>
      <w:r>
        <w:rPr>
          <w:rFonts w:ascii="宋体" w:hAnsi="宋体" w:cs="宋体" w:eastAsia="宋体" w:hint="default"/>
          <w:w w:val="100"/>
          <w:sz w:val="20"/>
          <w:szCs w:val="20"/>
        </w:rPr>
        <w:t>利</w:t>
      </w:r>
      <w:r>
        <w:rPr>
          <w:rFonts w:ascii="宋体" w:hAnsi="宋体" w:cs="宋体" w:eastAsia="宋体" w:hint="default"/>
          <w:spacing w:val="-2"/>
          <w:w w:val="100"/>
          <w:sz w:val="20"/>
          <w:szCs w:val="20"/>
        </w:rPr>
        <w:t>润</w:t>
      </w:r>
      <w:r>
        <w:rPr>
          <w:rFonts w:ascii="宋体" w:hAnsi="宋体" w:cs="宋体" w:eastAsia="宋体" w:hint="default"/>
          <w:w w:val="100"/>
          <w:sz w:val="20"/>
          <w:szCs w:val="20"/>
        </w:rPr>
        <w:t>人民币</w:t>
      </w:r>
      <w:r>
        <w:rPr>
          <w:rFonts w:ascii="宋体" w:hAnsi="宋体" w:cs="宋体" w:eastAsia="宋体" w:hint="default"/>
          <w:spacing w:val="-51"/>
          <w:sz w:val="20"/>
          <w:szCs w:val="20"/>
        </w:rPr>
        <w:t> </w:t>
      </w:r>
      <w:r>
        <w:rPr>
          <w:rFonts w:ascii="Times New Roman" w:hAnsi="Times New Roman" w:cs="Times New Roman" w:eastAsia="Times New Roman" w:hint="default"/>
          <w:w w:val="100"/>
          <w:sz w:val="20"/>
          <w:szCs w:val="20"/>
        </w:rPr>
        <w:t>10</w:t>
      </w:r>
      <w:r>
        <w:rPr>
          <w:rFonts w:ascii="Times New Roman" w:hAnsi="Times New Roman" w:cs="Times New Roman" w:eastAsia="Times New Roman" w:hint="default"/>
          <w:spacing w:val="-1"/>
          <w:w w:val="100"/>
          <w:sz w:val="20"/>
          <w:szCs w:val="20"/>
        </w:rPr>
        <w:t>.</w:t>
      </w:r>
      <w:r>
        <w:rPr>
          <w:rFonts w:ascii="Times New Roman" w:hAnsi="Times New Roman" w:cs="Times New Roman" w:eastAsia="Times New Roman" w:hint="default"/>
          <w:w w:val="100"/>
          <w:sz w:val="20"/>
          <w:szCs w:val="20"/>
        </w:rPr>
        <w:t>41</w:t>
      </w:r>
    </w:p>
    <w:p>
      <w:pPr>
        <w:spacing w:before="82"/>
        <w:ind w:left="139" w:right="1276" w:firstLine="0"/>
        <w:jc w:val="left"/>
        <w:rPr>
          <w:rFonts w:ascii="宋体" w:hAnsi="宋体" w:cs="宋体" w:eastAsia="宋体" w:hint="default"/>
          <w:sz w:val="20"/>
          <w:szCs w:val="20"/>
        </w:rPr>
      </w:pPr>
      <w:r>
        <w:rPr>
          <w:rFonts w:ascii="宋体" w:hAnsi="宋体" w:cs="宋体" w:eastAsia="宋体" w:hint="default"/>
          <w:sz w:val="20"/>
          <w:szCs w:val="20"/>
        </w:rPr>
        <w:t>亿元。</w:t>
      </w:r>
    </w:p>
    <w:p>
      <w:pPr>
        <w:spacing w:line="240" w:lineRule="auto" w:before="4"/>
        <w:rPr>
          <w:rFonts w:ascii="宋体" w:hAnsi="宋体" w:cs="宋体" w:eastAsia="宋体" w:hint="default"/>
          <w:sz w:val="27"/>
          <w:szCs w:val="27"/>
        </w:rPr>
      </w:pPr>
    </w:p>
    <w:p>
      <w:pPr>
        <w:pStyle w:val="Heading4"/>
        <w:spacing w:line="240" w:lineRule="auto"/>
        <w:ind w:left="139" w:right="1276"/>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877"/>
        <w:gridCol w:w="1024"/>
        <w:gridCol w:w="877"/>
        <w:gridCol w:w="955"/>
        <w:gridCol w:w="830"/>
        <w:gridCol w:w="1984"/>
        <w:gridCol w:w="1136"/>
        <w:gridCol w:w="850"/>
        <w:gridCol w:w="709"/>
        <w:gridCol w:w="1134"/>
        <w:gridCol w:w="709"/>
        <w:gridCol w:w="1135"/>
        <w:gridCol w:w="993"/>
        <w:gridCol w:w="802"/>
      </w:tblGrid>
      <w:tr>
        <w:trPr>
          <w:trHeight w:val="2818" w:hRule="exact"/>
        </w:trPr>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 w:right="0"/>
              <w:jc w:val="left"/>
              <w:rPr>
                <w:rFonts w:ascii="宋体" w:hAnsi="宋体" w:cs="宋体" w:eastAsia="宋体" w:hint="default"/>
                <w:sz w:val="20"/>
                <w:szCs w:val="20"/>
              </w:rPr>
            </w:pPr>
            <w:r>
              <w:rPr>
                <w:rFonts w:ascii="宋体" w:hAnsi="宋体" w:cs="宋体" w:eastAsia="宋体" w:hint="default"/>
                <w:sz w:val="20"/>
                <w:szCs w:val="20"/>
              </w:rPr>
              <w:t>交易对方</w:t>
            </w:r>
          </w:p>
        </w:tc>
        <w:tc>
          <w:tcPr>
            <w:tcW w:w="1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85" w:lineRule="auto"/>
              <w:ind w:left="406" w:right="105" w:hanging="300"/>
              <w:jc w:val="left"/>
              <w:rPr>
                <w:rFonts w:ascii="宋体" w:hAnsi="宋体" w:cs="宋体" w:eastAsia="宋体" w:hint="default"/>
                <w:sz w:val="20"/>
                <w:szCs w:val="20"/>
              </w:rPr>
            </w:pPr>
            <w:r>
              <w:rPr>
                <w:rFonts w:ascii="宋体" w:hAnsi="宋体" w:cs="宋体" w:eastAsia="宋体" w:hint="default"/>
                <w:sz w:val="20"/>
                <w:szCs w:val="20"/>
              </w:rPr>
              <w:t>被出售股</w:t>
            </w:r>
            <w:r>
              <w:rPr>
                <w:rFonts w:ascii="宋体" w:hAnsi="宋体" w:cs="宋体" w:eastAsia="宋体" w:hint="default"/>
                <w:w w:val="100"/>
                <w:sz w:val="20"/>
                <w:szCs w:val="20"/>
              </w:rPr>
              <w:t> </w:t>
            </w:r>
            <w:r>
              <w:rPr>
                <w:rFonts w:ascii="宋体" w:hAnsi="宋体" w:cs="宋体" w:eastAsia="宋体" w:hint="default"/>
                <w:sz w:val="20"/>
                <w:szCs w:val="20"/>
              </w:rPr>
              <w:t>权</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33" w:right="0"/>
              <w:jc w:val="left"/>
              <w:rPr>
                <w:rFonts w:ascii="宋体" w:hAnsi="宋体" w:cs="宋体" w:eastAsia="宋体" w:hint="default"/>
                <w:sz w:val="20"/>
                <w:szCs w:val="20"/>
              </w:rPr>
            </w:pPr>
            <w:r>
              <w:rPr>
                <w:rFonts w:ascii="宋体" w:hAnsi="宋体" w:cs="宋体" w:eastAsia="宋体" w:hint="default"/>
                <w:sz w:val="20"/>
                <w:szCs w:val="20"/>
              </w:rPr>
              <w:t>出售日</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71" w:right="0"/>
              <w:jc w:val="left"/>
              <w:rPr>
                <w:rFonts w:ascii="宋体" w:hAnsi="宋体" w:cs="宋体" w:eastAsia="宋体" w:hint="default"/>
                <w:sz w:val="20"/>
                <w:szCs w:val="20"/>
              </w:rPr>
            </w:pPr>
            <w:r>
              <w:rPr>
                <w:rFonts w:ascii="宋体" w:hAnsi="宋体" w:cs="宋体" w:eastAsia="宋体" w:hint="default"/>
                <w:sz w:val="20"/>
                <w:szCs w:val="20"/>
              </w:rPr>
              <w:t>交易价格</w:t>
            </w:r>
          </w:p>
          <w:p>
            <w:pPr>
              <w:pStyle w:val="TableParagraph"/>
              <w:spacing w:line="240" w:lineRule="auto" w:before="50"/>
              <w:ind w:left="71" w:right="0"/>
              <w:jc w:val="left"/>
              <w:rPr>
                <w:rFonts w:ascii="宋体" w:hAnsi="宋体" w:cs="宋体" w:eastAsia="宋体" w:hint="default"/>
                <w:sz w:val="20"/>
                <w:szCs w:val="20"/>
              </w:rPr>
            </w:pPr>
            <w:r>
              <w:rPr>
                <w:rFonts w:ascii="宋体" w:hAnsi="宋体" w:cs="宋体" w:eastAsia="宋体" w:hint="default"/>
                <w:sz w:val="20"/>
                <w:szCs w:val="20"/>
              </w:rPr>
              <w:t>（亿元）</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110" w:right="107"/>
              <w:jc w:val="both"/>
              <w:rPr>
                <w:rFonts w:ascii="宋体" w:hAnsi="宋体" w:cs="宋体" w:eastAsia="宋体" w:hint="default"/>
                <w:sz w:val="20"/>
                <w:szCs w:val="20"/>
              </w:rPr>
            </w:pPr>
            <w:r>
              <w:rPr>
                <w:rFonts w:ascii="宋体" w:hAnsi="宋体" w:cs="宋体" w:eastAsia="宋体" w:hint="default"/>
                <w:sz w:val="20"/>
                <w:szCs w:val="20"/>
              </w:rPr>
              <w:t>本期初</w:t>
            </w:r>
            <w:r>
              <w:rPr>
                <w:rFonts w:ascii="宋体" w:hAnsi="宋体" w:cs="宋体" w:eastAsia="宋体" w:hint="default"/>
                <w:w w:val="100"/>
                <w:sz w:val="20"/>
                <w:szCs w:val="20"/>
              </w:rPr>
              <w:t> </w:t>
            </w:r>
            <w:r>
              <w:rPr>
                <w:rFonts w:ascii="宋体" w:hAnsi="宋体" w:cs="宋体" w:eastAsia="宋体" w:hint="default"/>
                <w:sz w:val="20"/>
                <w:szCs w:val="20"/>
              </w:rPr>
              <w:t>起至出</w:t>
            </w:r>
            <w:r>
              <w:rPr>
                <w:rFonts w:ascii="宋体" w:hAnsi="宋体" w:cs="宋体" w:eastAsia="宋体" w:hint="default"/>
                <w:w w:val="100"/>
                <w:sz w:val="20"/>
                <w:szCs w:val="20"/>
              </w:rPr>
              <w:t> </w:t>
            </w:r>
            <w:r>
              <w:rPr>
                <w:rFonts w:ascii="宋体" w:hAnsi="宋体" w:cs="宋体" w:eastAsia="宋体" w:hint="default"/>
                <w:sz w:val="20"/>
                <w:szCs w:val="20"/>
              </w:rPr>
              <w:t>售日该</w:t>
            </w:r>
            <w:r>
              <w:rPr>
                <w:rFonts w:ascii="宋体" w:hAnsi="宋体" w:cs="宋体" w:eastAsia="宋体" w:hint="default"/>
                <w:w w:val="100"/>
                <w:sz w:val="20"/>
                <w:szCs w:val="20"/>
              </w:rPr>
              <w:t> </w:t>
            </w:r>
            <w:r>
              <w:rPr>
                <w:rFonts w:ascii="宋体" w:hAnsi="宋体" w:cs="宋体" w:eastAsia="宋体" w:hint="default"/>
                <w:sz w:val="20"/>
                <w:szCs w:val="20"/>
              </w:rPr>
              <w:t>股权为</w:t>
            </w:r>
            <w:r>
              <w:rPr>
                <w:rFonts w:ascii="宋体" w:hAnsi="宋体" w:cs="宋体" w:eastAsia="宋体" w:hint="default"/>
                <w:w w:val="100"/>
                <w:sz w:val="20"/>
                <w:szCs w:val="20"/>
              </w:rPr>
              <w:t> </w:t>
            </w:r>
            <w:r>
              <w:rPr>
                <w:rFonts w:ascii="宋体" w:hAnsi="宋体" w:cs="宋体" w:eastAsia="宋体" w:hint="default"/>
                <w:sz w:val="20"/>
                <w:szCs w:val="20"/>
              </w:rPr>
              <w:t>上市公</w:t>
            </w:r>
            <w:r>
              <w:rPr>
                <w:rFonts w:ascii="宋体" w:hAnsi="宋体" w:cs="宋体" w:eastAsia="宋体" w:hint="default"/>
                <w:w w:val="100"/>
                <w:sz w:val="20"/>
                <w:szCs w:val="20"/>
              </w:rPr>
              <w:t> </w:t>
            </w:r>
            <w:r>
              <w:rPr>
                <w:rFonts w:ascii="宋体" w:hAnsi="宋体" w:cs="宋体" w:eastAsia="宋体" w:hint="default"/>
                <w:sz w:val="20"/>
                <w:szCs w:val="20"/>
              </w:rPr>
              <w:t>司贡献</w:t>
            </w:r>
            <w:r>
              <w:rPr>
                <w:rFonts w:ascii="宋体" w:hAnsi="宋体" w:cs="宋体" w:eastAsia="宋体" w:hint="default"/>
                <w:w w:val="100"/>
                <w:sz w:val="20"/>
                <w:szCs w:val="20"/>
              </w:rPr>
              <w:t> </w:t>
            </w:r>
            <w:r>
              <w:rPr>
                <w:rFonts w:ascii="宋体" w:hAnsi="宋体" w:cs="宋体" w:eastAsia="宋体" w:hint="default"/>
                <w:sz w:val="20"/>
                <w:szCs w:val="20"/>
              </w:rPr>
              <w:t>的净利</w:t>
            </w:r>
            <w:r>
              <w:rPr>
                <w:rFonts w:ascii="宋体" w:hAnsi="宋体" w:cs="宋体" w:eastAsia="宋体" w:hint="default"/>
                <w:w w:val="100"/>
                <w:sz w:val="20"/>
                <w:szCs w:val="20"/>
              </w:rPr>
              <w:t> </w:t>
            </w:r>
            <w:r>
              <w:rPr>
                <w:rFonts w:ascii="宋体" w:hAnsi="宋体" w:cs="宋体" w:eastAsia="宋体" w:hint="default"/>
                <w:sz w:val="20"/>
                <w:szCs w:val="20"/>
              </w:rPr>
              <w:t>润（亿</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出售对公司的影响</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85" w:lineRule="auto"/>
              <w:ind w:left="63" w:right="59"/>
              <w:jc w:val="both"/>
              <w:rPr>
                <w:rFonts w:ascii="宋体" w:hAnsi="宋体" w:cs="宋体" w:eastAsia="宋体" w:hint="default"/>
                <w:sz w:val="20"/>
                <w:szCs w:val="20"/>
              </w:rPr>
            </w:pPr>
            <w:r>
              <w:rPr>
                <w:rFonts w:ascii="宋体" w:hAnsi="宋体" w:cs="宋体" w:eastAsia="宋体" w:hint="default"/>
                <w:sz w:val="20"/>
                <w:szCs w:val="20"/>
              </w:rPr>
              <w:t>股权出售为</w:t>
            </w:r>
            <w:r>
              <w:rPr>
                <w:rFonts w:ascii="宋体" w:hAnsi="宋体" w:cs="宋体" w:eastAsia="宋体" w:hint="default"/>
                <w:w w:val="100"/>
                <w:sz w:val="20"/>
                <w:szCs w:val="20"/>
              </w:rPr>
              <w:t> </w:t>
            </w:r>
            <w:r>
              <w:rPr>
                <w:rFonts w:ascii="宋体" w:hAnsi="宋体" w:cs="宋体" w:eastAsia="宋体" w:hint="default"/>
                <w:sz w:val="20"/>
                <w:szCs w:val="20"/>
              </w:rPr>
              <w:t>上市公司贡</w:t>
            </w:r>
            <w:r>
              <w:rPr>
                <w:rFonts w:ascii="宋体" w:hAnsi="宋体" w:cs="宋体" w:eastAsia="宋体" w:hint="default"/>
                <w:w w:val="100"/>
                <w:sz w:val="20"/>
                <w:szCs w:val="20"/>
              </w:rPr>
              <w:t> </w:t>
            </w:r>
            <w:r>
              <w:rPr>
                <w:rFonts w:ascii="宋体" w:hAnsi="宋体" w:cs="宋体" w:eastAsia="宋体" w:hint="default"/>
                <w:sz w:val="20"/>
                <w:szCs w:val="20"/>
              </w:rPr>
              <w:t>献的净利润</w:t>
            </w:r>
            <w:r>
              <w:rPr>
                <w:rFonts w:ascii="宋体" w:hAnsi="宋体" w:cs="宋体" w:eastAsia="宋体" w:hint="default"/>
                <w:w w:val="100"/>
                <w:sz w:val="20"/>
                <w:szCs w:val="20"/>
              </w:rPr>
              <w:t> </w:t>
            </w:r>
            <w:r>
              <w:rPr>
                <w:rFonts w:ascii="宋体" w:hAnsi="宋体" w:cs="宋体" w:eastAsia="宋体" w:hint="default"/>
                <w:sz w:val="20"/>
                <w:szCs w:val="20"/>
              </w:rPr>
              <w:t>占净利润总</w:t>
            </w:r>
            <w:r>
              <w:rPr>
                <w:rFonts w:ascii="宋体" w:hAnsi="宋体" w:cs="宋体" w:eastAsia="宋体" w:hint="default"/>
                <w:w w:val="100"/>
                <w:sz w:val="20"/>
                <w:szCs w:val="20"/>
              </w:rPr>
              <w:t> </w:t>
            </w:r>
            <w:r>
              <w:rPr>
                <w:rFonts w:ascii="宋体" w:hAnsi="宋体" w:cs="宋体" w:eastAsia="宋体" w:hint="default"/>
                <w:sz w:val="20"/>
                <w:szCs w:val="20"/>
              </w:rPr>
              <w:t>额的比例</w:t>
            </w:r>
          </w:p>
          <w:p>
            <w:pPr>
              <w:pStyle w:val="TableParagraph"/>
              <w:spacing w:line="240" w:lineRule="auto" w:before="12"/>
              <w:ind w:left="262" w:right="0"/>
              <w:jc w:val="left"/>
              <w:rPr>
                <w:rFonts w:ascii="宋体" w:hAnsi="宋体" w:cs="宋体" w:eastAsia="宋体" w:hint="default"/>
                <w:sz w:val="20"/>
                <w:szCs w:val="20"/>
              </w:rPr>
            </w:pPr>
            <w:r>
              <w:rPr>
                <w:rFonts w:ascii="宋体" w:hAnsi="宋体" w:cs="宋体" w:eastAsia="宋体" w:hint="default"/>
                <w:sz w:val="20"/>
                <w:szCs w:val="20"/>
              </w:rPr>
              <w:t>（注）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85" w:lineRule="auto" w:before="145"/>
              <w:ind w:left="118" w:right="119"/>
              <w:jc w:val="both"/>
              <w:rPr>
                <w:rFonts w:ascii="宋体" w:hAnsi="宋体" w:cs="宋体" w:eastAsia="宋体" w:hint="default"/>
                <w:sz w:val="20"/>
                <w:szCs w:val="20"/>
              </w:rPr>
            </w:pPr>
            <w:r>
              <w:rPr>
                <w:rFonts w:ascii="宋体" w:hAnsi="宋体" w:cs="宋体" w:eastAsia="宋体" w:hint="default"/>
                <w:sz w:val="20"/>
                <w:szCs w:val="20"/>
              </w:rPr>
              <w:t>股权出</w:t>
            </w:r>
            <w:r>
              <w:rPr>
                <w:rFonts w:ascii="宋体" w:hAnsi="宋体" w:cs="宋体" w:eastAsia="宋体" w:hint="default"/>
                <w:w w:val="100"/>
                <w:sz w:val="20"/>
                <w:szCs w:val="20"/>
              </w:rPr>
              <w:t> </w:t>
            </w:r>
            <w:r>
              <w:rPr>
                <w:rFonts w:ascii="宋体" w:hAnsi="宋体" w:cs="宋体" w:eastAsia="宋体" w:hint="default"/>
                <w:sz w:val="20"/>
                <w:szCs w:val="20"/>
              </w:rPr>
              <w:t>售定价</w:t>
            </w:r>
            <w:r>
              <w:rPr>
                <w:rFonts w:ascii="宋体" w:hAnsi="宋体" w:cs="宋体" w:eastAsia="宋体" w:hint="default"/>
                <w:w w:val="100"/>
                <w:sz w:val="20"/>
                <w:szCs w:val="20"/>
              </w:rPr>
              <w:t> </w:t>
            </w:r>
            <w:r>
              <w:rPr>
                <w:rFonts w:ascii="宋体" w:hAnsi="宋体" w:cs="宋体" w:eastAsia="宋体" w:hint="default"/>
                <w:sz w:val="20"/>
                <w:szCs w:val="20"/>
              </w:rPr>
              <w:t>原则</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85" w:lineRule="auto" w:before="145"/>
              <w:ind w:left="49" w:right="47"/>
              <w:jc w:val="center"/>
              <w:rPr>
                <w:rFonts w:ascii="宋体" w:hAnsi="宋体" w:cs="宋体" w:eastAsia="宋体" w:hint="default"/>
                <w:sz w:val="20"/>
                <w:szCs w:val="20"/>
              </w:rPr>
            </w:pPr>
            <w:r>
              <w:rPr>
                <w:rFonts w:ascii="宋体" w:hAnsi="宋体" w:cs="宋体" w:eastAsia="宋体" w:hint="default"/>
                <w:sz w:val="20"/>
                <w:szCs w:val="20"/>
              </w:rPr>
              <w:t>是否为</w:t>
            </w:r>
            <w:r>
              <w:rPr>
                <w:rFonts w:ascii="宋体" w:hAnsi="宋体" w:cs="宋体" w:eastAsia="宋体" w:hint="default"/>
                <w:w w:val="100"/>
                <w:sz w:val="20"/>
                <w:szCs w:val="20"/>
              </w:rPr>
              <w:t> </w:t>
            </w:r>
            <w:r>
              <w:rPr>
                <w:rFonts w:ascii="宋体" w:hAnsi="宋体" w:cs="宋体" w:eastAsia="宋体" w:hint="default"/>
                <w:sz w:val="20"/>
                <w:szCs w:val="20"/>
              </w:rPr>
              <w:t>关联交</w:t>
            </w:r>
            <w:r>
              <w:rPr>
                <w:rFonts w:ascii="宋体" w:hAnsi="宋体" w:cs="宋体" w:eastAsia="宋体" w:hint="default"/>
                <w:w w:val="100"/>
                <w:sz w:val="20"/>
                <w:szCs w:val="20"/>
              </w:rPr>
              <w:t> </w:t>
            </w:r>
            <w:r>
              <w:rPr>
                <w:rFonts w:ascii="宋体" w:hAnsi="宋体" w:cs="宋体" w:eastAsia="宋体" w:hint="default"/>
                <w:sz w:val="20"/>
                <w:szCs w:val="20"/>
              </w:rPr>
              <w:t>易</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85" w:lineRule="auto"/>
              <w:ind w:left="62" w:right="59"/>
              <w:jc w:val="left"/>
              <w:rPr>
                <w:rFonts w:ascii="宋体" w:hAnsi="宋体" w:cs="宋体" w:eastAsia="宋体" w:hint="default"/>
                <w:sz w:val="20"/>
                <w:szCs w:val="20"/>
              </w:rPr>
            </w:pPr>
            <w:r>
              <w:rPr>
                <w:rFonts w:ascii="宋体" w:hAnsi="宋体" w:cs="宋体" w:eastAsia="宋体" w:hint="default"/>
                <w:sz w:val="20"/>
                <w:szCs w:val="20"/>
              </w:rPr>
              <w:t>与交易对方</w:t>
            </w:r>
            <w:r>
              <w:rPr>
                <w:rFonts w:ascii="宋体" w:hAnsi="宋体" w:cs="宋体" w:eastAsia="宋体" w:hint="default"/>
                <w:w w:val="100"/>
                <w:sz w:val="20"/>
                <w:szCs w:val="20"/>
              </w:rPr>
              <w:t> </w:t>
            </w:r>
            <w:r>
              <w:rPr>
                <w:rFonts w:ascii="宋体" w:hAnsi="宋体" w:cs="宋体" w:eastAsia="宋体" w:hint="default"/>
                <w:sz w:val="20"/>
                <w:szCs w:val="20"/>
              </w:rPr>
              <w:t>的关联关系</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7"/>
                <w:szCs w:val="27"/>
              </w:rPr>
            </w:pPr>
          </w:p>
          <w:p>
            <w:pPr>
              <w:pStyle w:val="TableParagraph"/>
              <w:spacing w:line="285" w:lineRule="auto"/>
              <w:ind w:left="50" w:right="47"/>
              <w:jc w:val="center"/>
              <w:rPr>
                <w:rFonts w:ascii="宋体" w:hAnsi="宋体" w:cs="宋体" w:eastAsia="宋体" w:hint="default"/>
                <w:sz w:val="20"/>
                <w:szCs w:val="20"/>
              </w:rPr>
            </w:pPr>
            <w:r>
              <w:rPr>
                <w:rFonts w:ascii="宋体" w:hAnsi="宋体" w:cs="宋体" w:eastAsia="宋体" w:hint="default"/>
                <w:sz w:val="20"/>
                <w:szCs w:val="20"/>
              </w:rPr>
              <w:t>所涉及</w:t>
            </w:r>
            <w:r>
              <w:rPr>
                <w:rFonts w:ascii="宋体" w:hAnsi="宋体" w:cs="宋体" w:eastAsia="宋体" w:hint="default"/>
                <w:w w:val="100"/>
                <w:sz w:val="20"/>
                <w:szCs w:val="20"/>
              </w:rPr>
              <w:t> </w:t>
            </w:r>
            <w:r>
              <w:rPr>
                <w:rFonts w:ascii="宋体" w:hAnsi="宋体" w:cs="宋体" w:eastAsia="宋体" w:hint="default"/>
                <w:sz w:val="20"/>
                <w:szCs w:val="20"/>
              </w:rPr>
              <w:t>的股权</w:t>
            </w:r>
            <w:r>
              <w:rPr>
                <w:rFonts w:ascii="宋体" w:hAnsi="宋体" w:cs="宋体" w:eastAsia="宋体" w:hint="default"/>
                <w:w w:val="100"/>
                <w:sz w:val="20"/>
                <w:szCs w:val="20"/>
              </w:rPr>
              <w:t> </w:t>
            </w:r>
            <w:r>
              <w:rPr>
                <w:rFonts w:ascii="宋体" w:hAnsi="宋体" w:cs="宋体" w:eastAsia="宋体" w:hint="default"/>
                <w:sz w:val="20"/>
                <w:szCs w:val="20"/>
              </w:rPr>
              <w:t>是否已</w:t>
            </w:r>
            <w:r>
              <w:rPr>
                <w:rFonts w:ascii="宋体" w:hAnsi="宋体" w:cs="宋体" w:eastAsia="宋体" w:hint="default"/>
                <w:w w:val="100"/>
                <w:sz w:val="20"/>
                <w:szCs w:val="20"/>
              </w:rPr>
              <w:t> </w:t>
            </w:r>
            <w:r>
              <w:rPr>
                <w:rFonts w:ascii="宋体" w:hAnsi="宋体" w:cs="宋体" w:eastAsia="宋体" w:hint="default"/>
                <w:sz w:val="20"/>
                <w:szCs w:val="20"/>
              </w:rPr>
              <w:t>全部过</w:t>
            </w:r>
            <w:r>
              <w:rPr>
                <w:rFonts w:ascii="宋体" w:hAnsi="宋体" w:cs="宋体" w:eastAsia="宋体" w:hint="default"/>
                <w:w w:val="100"/>
                <w:sz w:val="20"/>
                <w:szCs w:val="20"/>
              </w:rPr>
              <w:t> </w:t>
            </w:r>
            <w:r>
              <w:rPr>
                <w:rFonts w:ascii="宋体" w:hAnsi="宋体" w:cs="宋体" w:eastAsia="宋体" w:hint="default"/>
                <w:sz w:val="20"/>
                <w:szCs w:val="20"/>
              </w:rPr>
              <w:t>户</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85" w:lineRule="auto"/>
              <w:ind w:left="63" w:right="59"/>
              <w:jc w:val="center"/>
              <w:rPr>
                <w:rFonts w:ascii="宋体" w:hAnsi="宋体" w:cs="宋体" w:eastAsia="宋体" w:hint="default"/>
                <w:sz w:val="20"/>
                <w:szCs w:val="20"/>
              </w:rPr>
            </w:pPr>
            <w:r>
              <w:rPr>
                <w:rFonts w:ascii="宋体" w:hAnsi="宋体" w:cs="宋体" w:eastAsia="宋体" w:hint="default"/>
                <w:sz w:val="20"/>
                <w:szCs w:val="20"/>
              </w:rPr>
              <w:t>是否按计划</w:t>
            </w:r>
            <w:r>
              <w:rPr>
                <w:rFonts w:ascii="宋体" w:hAnsi="宋体" w:cs="宋体" w:eastAsia="宋体" w:hint="default"/>
                <w:w w:val="100"/>
                <w:sz w:val="20"/>
                <w:szCs w:val="20"/>
              </w:rPr>
              <w:t> </w:t>
            </w:r>
            <w:r>
              <w:rPr>
                <w:rFonts w:ascii="宋体" w:hAnsi="宋体" w:cs="宋体" w:eastAsia="宋体" w:hint="default"/>
                <w:sz w:val="20"/>
                <w:szCs w:val="20"/>
              </w:rPr>
              <w:t>如期实施，</w:t>
            </w:r>
            <w:r>
              <w:rPr>
                <w:rFonts w:ascii="宋体" w:hAnsi="宋体" w:cs="宋体" w:eastAsia="宋体" w:hint="default"/>
                <w:w w:val="100"/>
                <w:sz w:val="20"/>
                <w:szCs w:val="20"/>
              </w:rPr>
              <w:t> </w:t>
            </w:r>
            <w:r>
              <w:rPr>
                <w:rFonts w:ascii="宋体" w:hAnsi="宋体" w:cs="宋体" w:eastAsia="宋体" w:hint="default"/>
                <w:sz w:val="20"/>
                <w:szCs w:val="20"/>
              </w:rPr>
              <w:t>如未按计划</w:t>
            </w:r>
            <w:r>
              <w:rPr>
                <w:rFonts w:ascii="宋体" w:hAnsi="宋体" w:cs="宋体" w:eastAsia="宋体" w:hint="default"/>
                <w:w w:val="100"/>
                <w:sz w:val="20"/>
                <w:szCs w:val="20"/>
              </w:rPr>
              <w:t> </w:t>
            </w:r>
            <w:r>
              <w:rPr>
                <w:rFonts w:ascii="宋体" w:hAnsi="宋体" w:cs="宋体" w:eastAsia="宋体" w:hint="default"/>
                <w:sz w:val="20"/>
                <w:szCs w:val="20"/>
              </w:rPr>
              <w:t>实施，应当</w:t>
            </w:r>
            <w:r>
              <w:rPr>
                <w:rFonts w:ascii="宋体" w:hAnsi="宋体" w:cs="宋体" w:eastAsia="宋体" w:hint="default"/>
                <w:w w:val="100"/>
                <w:sz w:val="20"/>
                <w:szCs w:val="20"/>
              </w:rPr>
              <w:t> </w:t>
            </w:r>
            <w:r>
              <w:rPr>
                <w:rFonts w:ascii="宋体" w:hAnsi="宋体" w:cs="宋体" w:eastAsia="宋体" w:hint="default"/>
                <w:sz w:val="20"/>
                <w:szCs w:val="20"/>
              </w:rPr>
              <w:t>说明原因及</w:t>
            </w:r>
            <w:r>
              <w:rPr>
                <w:rFonts w:ascii="宋体" w:hAnsi="宋体" w:cs="宋体" w:eastAsia="宋体" w:hint="default"/>
                <w:w w:val="100"/>
                <w:sz w:val="20"/>
                <w:szCs w:val="20"/>
              </w:rPr>
              <w:t> </w:t>
            </w:r>
            <w:r>
              <w:rPr>
                <w:rFonts w:ascii="宋体" w:hAnsi="宋体" w:cs="宋体" w:eastAsia="宋体" w:hint="default"/>
                <w:sz w:val="20"/>
                <w:szCs w:val="20"/>
              </w:rPr>
              <w:t>公司已采取</w:t>
            </w:r>
            <w:r>
              <w:rPr>
                <w:rFonts w:ascii="宋体" w:hAnsi="宋体" w:cs="宋体" w:eastAsia="宋体" w:hint="default"/>
                <w:w w:val="100"/>
                <w:sz w:val="20"/>
                <w:szCs w:val="20"/>
              </w:rPr>
              <w:t> </w:t>
            </w:r>
            <w:r>
              <w:rPr>
                <w:rFonts w:ascii="宋体" w:hAnsi="宋体" w:cs="宋体" w:eastAsia="宋体" w:hint="default"/>
                <w:sz w:val="20"/>
                <w:szCs w:val="20"/>
              </w:rPr>
              <w:t>的措施</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90" w:right="0"/>
              <w:jc w:val="left"/>
              <w:rPr>
                <w:rFonts w:ascii="宋体" w:hAnsi="宋体" w:cs="宋体" w:eastAsia="宋体" w:hint="default"/>
                <w:sz w:val="20"/>
                <w:szCs w:val="20"/>
              </w:rPr>
            </w:pPr>
            <w:r>
              <w:rPr>
                <w:rFonts w:ascii="宋体" w:hAnsi="宋体" w:cs="宋体" w:eastAsia="宋体" w:hint="default"/>
                <w:sz w:val="20"/>
                <w:szCs w:val="20"/>
              </w:rPr>
              <w:t>披露日期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85" w:lineRule="auto"/>
              <w:ind w:left="295" w:right="92" w:hanging="200"/>
              <w:jc w:val="left"/>
              <w:rPr>
                <w:rFonts w:ascii="宋体" w:hAnsi="宋体" w:cs="宋体" w:eastAsia="宋体" w:hint="default"/>
                <w:sz w:val="20"/>
                <w:szCs w:val="20"/>
              </w:rPr>
            </w:pPr>
            <w:r>
              <w:rPr>
                <w:rFonts w:ascii="宋体" w:hAnsi="宋体" w:cs="宋体" w:eastAsia="宋体" w:hint="default"/>
                <w:sz w:val="20"/>
                <w:szCs w:val="20"/>
              </w:rPr>
              <w:t>披露索</w:t>
            </w:r>
            <w:r>
              <w:rPr>
                <w:rFonts w:ascii="宋体" w:hAnsi="宋体" w:cs="宋体" w:eastAsia="宋体" w:hint="default"/>
                <w:w w:val="100"/>
                <w:sz w:val="20"/>
                <w:szCs w:val="20"/>
              </w:rPr>
              <w:t> </w:t>
            </w:r>
            <w:r>
              <w:rPr>
                <w:rFonts w:ascii="宋体" w:hAnsi="宋体" w:cs="宋体" w:eastAsia="宋体" w:hint="default"/>
                <w:sz w:val="20"/>
                <w:szCs w:val="20"/>
              </w:rPr>
              <w:t>引</w:t>
            </w:r>
          </w:p>
        </w:tc>
      </w:tr>
      <w:tr>
        <w:trPr>
          <w:trHeight w:val="1259"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2"/>
              <w:jc w:val="both"/>
              <w:rPr>
                <w:rFonts w:ascii="宋体" w:hAnsi="宋体" w:cs="宋体" w:eastAsia="宋体" w:hint="default"/>
                <w:sz w:val="20"/>
                <w:szCs w:val="20"/>
              </w:rPr>
            </w:pPr>
            <w:r>
              <w:rPr>
                <w:rFonts w:ascii="宋体" w:hAnsi="宋体" w:cs="宋体" w:eastAsia="宋体" w:hint="default"/>
                <w:spacing w:val="6"/>
                <w:sz w:val="20"/>
                <w:szCs w:val="20"/>
              </w:rPr>
              <w:t>苏宁文化</w:t>
            </w:r>
            <w:r>
              <w:rPr>
                <w:rFonts w:ascii="宋体" w:hAnsi="宋体" w:cs="宋体" w:eastAsia="宋体" w:hint="default"/>
                <w:spacing w:val="-95"/>
                <w:sz w:val="20"/>
                <w:szCs w:val="20"/>
              </w:rPr>
              <w:t> </w:t>
            </w:r>
            <w:r>
              <w:rPr>
                <w:rFonts w:ascii="宋体" w:hAnsi="宋体" w:cs="宋体" w:eastAsia="宋体" w:hint="default"/>
                <w:spacing w:val="6"/>
                <w:sz w:val="20"/>
                <w:szCs w:val="20"/>
              </w:rPr>
              <w:t>投资管理</w:t>
            </w:r>
            <w:r>
              <w:rPr>
                <w:rFonts w:ascii="宋体" w:hAnsi="宋体" w:cs="宋体" w:eastAsia="宋体" w:hint="default"/>
                <w:spacing w:val="-95"/>
                <w:sz w:val="20"/>
                <w:szCs w:val="20"/>
              </w:rPr>
              <w:t> </w:t>
            </w:r>
            <w:r>
              <w:rPr>
                <w:rFonts w:ascii="宋体" w:hAnsi="宋体" w:cs="宋体" w:eastAsia="宋体" w:hint="default"/>
                <w:spacing w:val="6"/>
                <w:sz w:val="20"/>
                <w:szCs w:val="20"/>
              </w:rPr>
              <w:t>有限公司</w:t>
            </w:r>
            <w:r>
              <w:rPr>
                <w:rFonts w:ascii="宋体" w:hAnsi="宋体" w:cs="宋体" w:eastAsia="宋体" w:hint="default"/>
                <w:spacing w:val="-95"/>
                <w:sz w:val="20"/>
                <w:szCs w:val="20"/>
              </w:rPr>
              <w:t> </w:t>
            </w:r>
            <w:r>
              <w:rPr>
                <w:rFonts w:ascii="宋体" w:hAnsi="宋体" w:cs="宋体" w:eastAsia="宋体" w:hint="default"/>
                <w:spacing w:val="6"/>
                <w:sz w:val="20"/>
                <w:szCs w:val="20"/>
              </w:rPr>
              <w:t>的境外子</w:t>
            </w:r>
            <w:r>
              <w:rPr>
                <w:rFonts w:ascii="宋体" w:hAnsi="宋体" w:cs="宋体" w:eastAsia="宋体" w:hint="default"/>
                <w:sz w:val="20"/>
                <w:szCs w:val="20"/>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0"/>
              <w:ind w:left="24" w:right="19"/>
              <w:jc w:val="left"/>
              <w:rPr>
                <w:rFonts w:ascii="宋体" w:hAnsi="宋体" w:cs="宋体" w:eastAsia="宋体" w:hint="default"/>
                <w:sz w:val="20"/>
                <w:szCs w:val="20"/>
              </w:rPr>
            </w:pPr>
            <w:r>
              <w:rPr>
                <w:rFonts w:ascii="Times New Roman" w:hAnsi="Times New Roman" w:cs="Times New Roman" w:eastAsia="Times New Roman" w:hint="default"/>
                <w:sz w:val="20"/>
                <w:szCs w:val="20"/>
              </w:rPr>
              <w:t>PPLive</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Corporation</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68.08%  </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股</w:t>
            </w:r>
          </w:p>
          <w:p>
            <w:pPr>
              <w:pStyle w:val="TableParagraph"/>
              <w:spacing w:line="239" w:lineRule="exact"/>
              <w:ind w:left="24" w:right="0"/>
              <w:jc w:val="left"/>
              <w:rPr>
                <w:rFonts w:ascii="宋体" w:hAnsi="宋体" w:cs="宋体" w:eastAsia="宋体" w:hint="default"/>
                <w:sz w:val="20"/>
                <w:szCs w:val="20"/>
              </w:rPr>
            </w:pPr>
            <w:r>
              <w:rPr>
                <w:rFonts w:ascii="宋体" w:hAnsi="宋体" w:cs="宋体" w:eastAsia="宋体" w:hint="default"/>
                <w:w w:val="100"/>
                <w:sz w:val="20"/>
                <w:szCs w:val="20"/>
              </w:rPr>
              <w:t>权</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tabs>
                <w:tab w:pos="644" w:val="left" w:leader="none"/>
              </w:tabs>
              <w:spacing w:line="271"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tab/>
            </w:r>
            <w:r>
              <w:rPr>
                <w:rFonts w:ascii="宋体" w:hAnsi="宋体" w:cs="宋体" w:eastAsia="宋体" w:hint="default"/>
                <w:sz w:val="20"/>
                <w:szCs w:val="20"/>
              </w:rPr>
              <w:t>年</w:t>
            </w:r>
          </w:p>
          <w:p>
            <w:pPr>
              <w:pStyle w:val="TableParagraph"/>
              <w:spacing w:line="240" w:lineRule="auto" w:before="35"/>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18"/>
                <w:sz w:val="20"/>
                <w:szCs w:val="20"/>
              </w:rPr>
              <w:t> </w:t>
            </w:r>
            <w:r>
              <w:rPr>
                <w:rFonts w:ascii="Times New Roman" w:hAnsi="Times New Roman" w:cs="Times New Roman" w:eastAsia="Times New Roman" w:hint="default"/>
                <w:sz w:val="20"/>
                <w:szCs w:val="20"/>
              </w:rPr>
              <w:t>30</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72" w:right="0"/>
              <w:jc w:val="left"/>
              <w:rPr>
                <w:rFonts w:ascii="Times New Roman" w:hAnsi="Times New Roman" w:cs="Times New Roman" w:eastAsia="Times New Roman" w:hint="default"/>
                <w:sz w:val="20"/>
                <w:szCs w:val="20"/>
              </w:rPr>
            </w:pPr>
            <w:r>
              <w:rPr>
                <w:rFonts w:ascii="Times New Roman"/>
                <w:sz w:val="20"/>
              </w:rPr>
              <w:t>25.9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1" w:right="0"/>
              <w:jc w:val="left"/>
              <w:rPr>
                <w:rFonts w:ascii="Times New Roman" w:hAnsi="Times New Roman" w:cs="Times New Roman" w:eastAsia="Times New Roman" w:hint="default"/>
                <w:sz w:val="20"/>
                <w:szCs w:val="20"/>
              </w:rPr>
            </w:pPr>
            <w:r>
              <w:rPr>
                <w:rFonts w:ascii="Times New Roman"/>
                <w:sz w:val="20"/>
              </w:rPr>
              <w:t>-7.90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pacing w:val="-8"/>
                <w:sz w:val="20"/>
                <w:szCs w:val="20"/>
              </w:rPr>
              <w:t>日，公</w:t>
            </w:r>
          </w:p>
          <w:p>
            <w:pPr>
              <w:pStyle w:val="TableParagraph"/>
              <w:spacing w:line="278" w:lineRule="auto" w:before="35"/>
              <w:ind w:left="22" w:right="19"/>
              <w:jc w:val="both"/>
              <w:rPr>
                <w:rFonts w:ascii="Times New Roman" w:hAnsi="Times New Roman" w:cs="Times New Roman" w:eastAsia="Times New Roman" w:hint="default"/>
                <w:sz w:val="20"/>
                <w:szCs w:val="20"/>
              </w:rPr>
            </w:pPr>
            <w:r>
              <w:rPr>
                <w:rFonts w:ascii="宋体" w:hAnsi="宋体" w:cs="宋体" w:eastAsia="宋体" w:hint="default"/>
                <w:sz w:val="20"/>
                <w:szCs w:val="20"/>
              </w:rPr>
              <w:t>司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年第三次临时</w:t>
            </w:r>
            <w:r>
              <w:rPr>
                <w:rFonts w:ascii="宋体" w:hAnsi="宋体" w:cs="宋体" w:eastAsia="宋体" w:hint="default"/>
                <w:w w:val="100"/>
                <w:sz w:val="20"/>
                <w:szCs w:val="20"/>
              </w:rPr>
              <w:t> </w:t>
            </w:r>
            <w:r>
              <w:rPr>
                <w:rFonts w:ascii="宋体" w:hAnsi="宋体" w:cs="宋体" w:eastAsia="宋体" w:hint="default"/>
                <w:spacing w:val="-8"/>
                <w:sz w:val="20"/>
                <w:szCs w:val="20"/>
              </w:rPr>
              <w:t>股东大会审议通过，公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0"/>
                <w:sz w:val="20"/>
                <w:szCs w:val="20"/>
              </w:rPr>
              <w:t>司向 </w:t>
            </w:r>
            <w:r>
              <w:rPr>
                <w:rFonts w:ascii="Times New Roman" w:hAnsi="Times New Roman" w:cs="Times New Roman" w:eastAsia="Times New Roman" w:hint="default"/>
                <w:sz w:val="20"/>
                <w:szCs w:val="20"/>
              </w:rPr>
              <w:t>Alibaba  </w:t>
            </w:r>
            <w:r>
              <w:rPr>
                <w:rFonts w:ascii="Times New Roman" w:hAnsi="Times New Roman" w:cs="Times New Roman" w:eastAsia="Times New Roman" w:hint="default"/>
                <w:spacing w:val="40"/>
                <w:sz w:val="20"/>
                <w:szCs w:val="20"/>
              </w:rPr>
              <w:t> </w:t>
            </w:r>
            <w:r>
              <w:rPr>
                <w:rFonts w:ascii="Times New Roman" w:hAnsi="Times New Roman" w:cs="Times New Roman" w:eastAsia="Times New Roman" w:hint="default"/>
                <w:sz w:val="20"/>
                <w:szCs w:val="20"/>
              </w:rPr>
              <w:t>Group</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6" w:right="0"/>
              <w:jc w:val="left"/>
              <w:rPr>
                <w:rFonts w:ascii="Times New Roman" w:hAnsi="Times New Roman" w:cs="Times New Roman" w:eastAsia="Times New Roman" w:hint="default"/>
                <w:sz w:val="20"/>
                <w:szCs w:val="20"/>
              </w:rPr>
            </w:pPr>
            <w:r>
              <w:rPr>
                <w:rFonts w:ascii="Times New Roman"/>
                <w:sz w:val="20"/>
              </w:rPr>
              <w:t>178.78%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both"/>
              <w:rPr>
                <w:rFonts w:ascii="宋体" w:hAnsi="宋体" w:cs="宋体" w:eastAsia="宋体" w:hint="default"/>
                <w:sz w:val="20"/>
                <w:szCs w:val="20"/>
              </w:rPr>
            </w:pPr>
            <w:r>
              <w:rPr>
                <w:rFonts w:ascii="宋体" w:hAnsi="宋体" w:cs="宋体" w:eastAsia="宋体" w:hint="default"/>
                <w:spacing w:val="47"/>
                <w:w w:val="100"/>
                <w:sz w:val="20"/>
                <w:szCs w:val="20"/>
              </w:rPr>
              <w:t>根据</w:t>
            </w:r>
            <w:r>
              <w:rPr>
                <w:rFonts w:ascii="宋体" w:hAnsi="宋体" w:cs="宋体" w:eastAsia="宋体" w:hint="default"/>
                <w:spacing w:val="-3"/>
                <w:w w:val="100"/>
                <w:sz w:val="20"/>
                <w:szCs w:val="20"/>
              </w:rPr>
              <w:t> </w:t>
            </w:r>
            <w:r>
              <w:rPr>
                <w:rFonts w:ascii="宋体" w:hAnsi="宋体" w:cs="宋体" w:eastAsia="宋体" w:hint="default"/>
                <w:w w:val="100"/>
                <w:sz w:val="20"/>
                <w:szCs w:val="20"/>
              </w:rPr>
              <w:t>资</w:t>
            </w:r>
            <w:r>
              <w:rPr>
                <w:rFonts w:ascii="宋体" w:hAnsi="宋体" w:cs="宋体" w:eastAsia="宋体" w:hint="default"/>
                <w:w w:val="100"/>
                <w:sz w:val="20"/>
                <w:szCs w:val="20"/>
              </w:rPr>
              <w:t> </w:t>
            </w:r>
            <w:r>
              <w:rPr>
                <w:rFonts w:ascii="宋体" w:hAnsi="宋体" w:cs="宋体" w:eastAsia="宋体" w:hint="default"/>
                <w:spacing w:val="47"/>
                <w:w w:val="100"/>
                <w:sz w:val="20"/>
                <w:szCs w:val="20"/>
              </w:rPr>
              <w:t>产评</w:t>
            </w:r>
            <w:r>
              <w:rPr>
                <w:rFonts w:ascii="宋体" w:hAnsi="宋体" w:cs="宋体" w:eastAsia="宋体" w:hint="default"/>
                <w:spacing w:val="-3"/>
                <w:w w:val="100"/>
                <w:sz w:val="20"/>
                <w:szCs w:val="20"/>
              </w:rPr>
              <w:t> </w:t>
            </w:r>
            <w:r>
              <w:rPr>
                <w:rFonts w:ascii="宋体" w:hAnsi="宋体" w:cs="宋体" w:eastAsia="宋体" w:hint="default"/>
                <w:w w:val="100"/>
                <w:sz w:val="20"/>
                <w:szCs w:val="20"/>
              </w:rPr>
              <w:t>估</w:t>
            </w:r>
            <w:r>
              <w:rPr>
                <w:rFonts w:ascii="宋体" w:hAnsi="宋体" w:cs="宋体" w:eastAsia="宋体" w:hint="default"/>
                <w:w w:val="100"/>
                <w:sz w:val="20"/>
                <w:szCs w:val="20"/>
              </w:rPr>
              <w:t> </w:t>
            </w:r>
            <w:r>
              <w:rPr>
                <w:rFonts w:ascii="宋体" w:hAnsi="宋体" w:cs="宋体" w:eastAsia="宋体" w:hint="default"/>
                <w:sz w:val="20"/>
                <w:szCs w:val="20"/>
              </w:rPr>
              <w:t>值确定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
              <w:jc w:val="both"/>
              <w:rPr>
                <w:rFonts w:ascii="宋体" w:hAnsi="宋体" w:cs="宋体" w:eastAsia="宋体" w:hint="default"/>
                <w:sz w:val="20"/>
                <w:szCs w:val="20"/>
              </w:rPr>
            </w:pPr>
            <w:r>
              <w:rPr>
                <w:rFonts w:ascii="宋体" w:hAnsi="宋体" w:cs="宋体" w:eastAsia="宋体" w:hint="default"/>
                <w:spacing w:val="14"/>
                <w:sz w:val="20"/>
                <w:szCs w:val="20"/>
              </w:rPr>
              <w:t>苏宁文化系</w:t>
            </w:r>
            <w:r>
              <w:rPr>
                <w:rFonts w:ascii="宋体" w:hAnsi="宋体" w:cs="宋体" w:eastAsia="宋体" w:hint="default"/>
                <w:spacing w:val="-93"/>
                <w:sz w:val="20"/>
                <w:szCs w:val="20"/>
              </w:rPr>
              <w:t> </w:t>
            </w:r>
            <w:r>
              <w:rPr>
                <w:rFonts w:ascii="宋体" w:hAnsi="宋体" w:cs="宋体" w:eastAsia="宋体" w:hint="default"/>
                <w:spacing w:val="14"/>
                <w:sz w:val="20"/>
                <w:szCs w:val="20"/>
              </w:rPr>
              <w:t>公司实际控</w:t>
            </w:r>
            <w:r>
              <w:rPr>
                <w:rFonts w:ascii="宋体" w:hAnsi="宋体" w:cs="宋体" w:eastAsia="宋体" w:hint="default"/>
                <w:spacing w:val="-93"/>
                <w:sz w:val="20"/>
                <w:szCs w:val="20"/>
              </w:rPr>
              <w:t> </w:t>
            </w:r>
            <w:r>
              <w:rPr>
                <w:rFonts w:ascii="宋体" w:hAnsi="宋体" w:cs="宋体" w:eastAsia="宋体" w:hint="default"/>
                <w:spacing w:val="14"/>
                <w:sz w:val="20"/>
                <w:szCs w:val="20"/>
              </w:rPr>
              <w:t>制人张近东</w:t>
            </w:r>
            <w:r>
              <w:rPr>
                <w:rFonts w:ascii="宋体" w:hAnsi="宋体" w:cs="宋体" w:eastAsia="宋体" w:hint="default"/>
                <w:spacing w:val="-93"/>
                <w:sz w:val="20"/>
                <w:szCs w:val="20"/>
              </w:rPr>
              <w:t> </w:t>
            </w:r>
            <w:r>
              <w:rPr>
                <w:rFonts w:ascii="宋体" w:hAnsi="宋体" w:cs="宋体" w:eastAsia="宋体" w:hint="default"/>
                <w:spacing w:val="14"/>
                <w:sz w:val="20"/>
                <w:szCs w:val="20"/>
              </w:rPr>
              <w:t>先生控制的</w:t>
            </w:r>
            <w:r>
              <w:rPr>
                <w:rFonts w:ascii="宋体" w:hAnsi="宋体" w:cs="宋体" w:eastAsia="宋体" w:hint="default"/>
                <w:spacing w:val="-81"/>
                <w:sz w:val="20"/>
                <w:szCs w:val="20"/>
              </w:rPr>
              <w:t> </w:t>
            </w:r>
            <w:r>
              <w:rPr>
                <w:rFonts w:ascii="宋体" w:hAnsi="宋体" w:cs="宋体" w:eastAsia="宋体" w:hint="default"/>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10</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  </w:t>
            </w:r>
            <w:r>
              <w:rPr>
                <w:rFonts w:ascii="Times New Roman" w:hAnsi="Times New Roman" w:cs="Times New Roman" w:eastAsia="Times New Roman" w:hint="default"/>
                <w:sz w:val="20"/>
                <w:szCs w:val="20"/>
              </w:rPr>
              <w:t>31 </w:t>
            </w:r>
            <w:r>
              <w:rPr>
                <w:rFonts w:ascii="Times New Roman" w:hAnsi="Times New Roman" w:cs="Times New Roman" w:eastAsia="Times New Roman" w:hint="default"/>
                <w:spacing w:val="36"/>
                <w:sz w:val="20"/>
                <w:szCs w:val="20"/>
              </w:rPr>
              <w:t> </w:t>
            </w:r>
            <w:r>
              <w:rPr>
                <w:rFonts w:ascii="宋体" w:hAnsi="宋体" w:cs="宋体" w:eastAsia="宋体" w:hint="default"/>
                <w:sz w:val="20"/>
                <w:szCs w:val="20"/>
              </w:rPr>
              <w:t>日</w:t>
            </w:r>
          </w:p>
          <w:p>
            <w:pPr>
              <w:pStyle w:val="TableParagraph"/>
              <w:spacing w:line="240" w:lineRule="auto" w:before="35"/>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z w:val="20"/>
                <w:szCs w:val="20"/>
              </w:rPr>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  </w:t>
            </w:r>
            <w:r>
              <w:rPr>
                <w:rFonts w:ascii="Times New Roman" w:hAnsi="Times New Roman" w:cs="Times New Roman" w:eastAsia="Times New Roman" w:hint="default"/>
                <w:sz w:val="20"/>
                <w:szCs w:val="20"/>
              </w:rPr>
              <w:t>18 </w:t>
            </w:r>
            <w:r>
              <w:rPr>
                <w:rFonts w:ascii="Times New Roman" w:hAnsi="Times New Roman" w:cs="Times New Roman" w:eastAsia="Times New Roman" w:hint="default"/>
                <w:spacing w:val="36"/>
                <w:sz w:val="20"/>
                <w:szCs w:val="20"/>
              </w:rPr>
              <w:t> </w:t>
            </w:r>
            <w:r>
              <w:rPr>
                <w:rFonts w:ascii="宋体" w:hAnsi="宋体" w:cs="宋体" w:eastAsia="宋体" w:hint="default"/>
                <w:sz w:val="20"/>
                <w:szCs w:val="20"/>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52"/>
              <w:jc w:val="both"/>
              <w:rPr>
                <w:rFonts w:ascii="宋体" w:hAnsi="宋体" w:cs="宋体" w:eastAsia="宋体" w:hint="default"/>
                <w:sz w:val="20"/>
                <w:szCs w:val="20"/>
              </w:rPr>
            </w:pPr>
            <w:r>
              <w:rPr>
                <w:rFonts w:ascii="宋体" w:hAnsi="宋体" w:cs="宋体" w:eastAsia="宋体" w:hint="default"/>
                <w:spacing w:val="48"/>
                <w:sz w:val="20"/>
                <w:szCs w:val="20"/>
              </w:rPr>
              <w:t>详见巨</w:t>
            </w:r>
            <w:r>
              <w:rPr>
                <w:rFonts w:ascii="宋体" w:hAnsi="宋体" w:cs="宋体" w:eastAsia="宋体" w:hint="default"/>
                <w:spacing w:val="-97"/>
                <w:sz w:val="20"/>
                <w:szCs w:val="20"/>
              </w:rPr>
              <w:t> </w:t>
            </w:r>
            <w:r>
              <w:rPr>
                <w:rFonts w:ascii="宋体" w:hAnsi="宋体" w:cs="宋体" w:eastAsia="宋体" w:hint="default"/>
                <w:spacing w:val="48"/>
                <w:sz w:val="20"/>
                <w:szCs w:val="20"/>
              </w:rPr>
              <w:t>潮资讯</w:t>
            </w:r>
            <w:r>
              <w:rPr>
                <w:rFonts w:ascii="宋体" w:hAnsi="宋体" w:cs="宋体" w:eastAsia="宋体" w:hint="default"/>
                <w:spacing w:val="-97"/>
                <w:sz w:val="20"/>
                <w:szCs w:val="20"/>
              </w:rPr>
              <w:t> </w:t>
            </w:r>
            <w:r>
              <w:rPr>
                <w:rFonts w:ascii="宋体" w:hAnsi="宋体" w:cs="宋体" w:eastAsia="宋体" w:hint="default"/>
                <w:sz w:val="20"/>
                <w:szCs w:val="20"/>
              </w:rPr>
              <w:t>网</w:t>
            </w:r>
          </w:p>
          <w:p>
            <w:pPr>
              <w:pStyle w:val="TableParagraph"/>
              <w:spacing w:line="240" w:lineRule="auto" w:before="58"/>
              <w:ind w:left="22" w:right="0"/>
              <w:jc w:val="both"/>
              <w:rPr>
                <w:rFonts w:ascii="Times New Roman" w:hAnsi="Times New Roman" w:cs="Times New Roman" w:eastAsia="Times New Roman" w:hint="default"/>
                <w:sz w:val="20"/>
                <w:szCs w:val="20"/>
              </w:rPr>
            </w:pPr>
            <w:r>
              <w:rPr>
                <w:rFonts w:ascii="Times New Roman"/>
                <w:sz w:val="20"/>
              </w:rPr>
              <w:t>2015-06</w:t>
            </w:r>
          </w:p>
        </w:tc>
      </w:tr>
    </w:tbl>
    <w:p>
      <w:pPr>
        <w:spacing w:after="0" w:line="240" w:lineRule="auto"/>
        <w:jc w:val="both"/>
        <w:rPr>
          <w:rFonts w:ascii="Times New Roman" w:hAnsi="Times New Roman" w:cs="Times New Roman" w:eastAsia="Times New Roman" w:hint="default"/>
          <w:sz w:val="20"/>
          <w:szCs w:val="20"/>
        </w:rPr>
        <w:sectPr>
          <w:pgSz w:w="16840" w:h="11910" w:orient="landscape"/>
          <w:pgMar w:header="867" w:footer="979" w:top="1060" w:bottom="1160" w:left="1300" w:right="0"/>
        </w:sectPr>
      </w:pPr>
    </w:p>
    <w:p>
      <w:pPr>
        <w:spacing w:line="240" w:lineRule="auto" w:before="12"/>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877"/>
        <w:gridCol w:w="1024"/>
        <w:gridCol w:w="877"/>
        <w:gridCol w:w="955"/>
        <w:gridCol w:w="830"/>
        <w:gridCol w:w="1984"/>
        <w:gridCol w:w="1136"/>
        <w:gridCol w:w="850"/>
        <w:gridCol w:w="709"/>
        <w:gridCol w:w="1134"/>
        <w:gridCol w:w="709"/>
        <w:gridCol w:w="1135"/>
        <w:gridCol w:w="993"/>
        <w:gridCol w:w="802"/>
      </w:tblGrid>
      <w:tr>
        <w:trPr>
          <w:trHeight w:val="6578" w:hRule="exact"/>
        </w:trPr>
        <w:tc>
          <w:tcPr>
            <w:tcW w:w="877" w:type="dxa"/>
            <w:tcBorders>
              <w:top w:val="single" w:sz="15"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024" w:type="dxa"/>
            <w:tcBorders>
              <w:top w:val="single" w:sz="15" w:space="0" w:color="000000"/>
              <w:left w:val="single" w:sz="4" w:space="0" w:color="000000"/>
              <w:bottom w:val="single" w:sz="4" w:space="0" w:color="000000"/>
              <w:right w:val="single" w:sz="4" w:space="0" w:color="000000"/>
            </w:tcBorders>
          </w:tcPr>
          <w:p>
            <w:pPr/>
          </w:p>
        </w:tc>
        <w:tc>
          <w:tcPr>
            <w:tcW w:w="877" w:type="dxa"/>
            <w:tcBorders>
              <w:top w:val="single" w:sz="15" w:space="0" w:color="000000"/>
              <w:left w:val="single" w:sz="4" w:space="0" w:color="000000"/>
              <w:bottom w:val="single" w:sz="4" w:space="0" w:color="000000"/>
              <w:right w:val="single" w:sz="4" w:space="0" w:color="000000"/>
            </w:tcBorders>
          </w:tcPr>
          <w:p>
            <w:pPr/>
          </w:p>
        </w:tc>
        <w:tc>
          <w:tcPr>
            <w:tcW w:w="955" w:type="dxa"/>
            <w:tcBorders>
              <w:top w:val="single" w:sz="15" w:space="0" w:color="000000"/>
              <w:left w:val="single" w:sz="4" w:space="0" w:color="000000"/>
              <w:bottom w:val="single" w:sz="4" w:space="0" w:color="000000"/>
              <w:right w:val="single" w:sz="4" w:space="0" w:color="000000"/>
            </w:tcBorders>
          </w:tcPr>
          <w:p>
            <w:pPr/>
          </w:p>
        </w:tc>
        <w:tc>
          <w:tcPr>
            <w:tcW w:w="830" w:type="dxa"/>
            <w:tcBorders>
              <w:top w:val="single" w:sz="15" w:space="0" w:color="000000"/>
              <w:left w:val="single" w:sz="4" w:space="0" w:color="000000"/>
              <w:bottom w:val="single" w:sz="4" w:space="0" w:color="000000"/>
              <w:right w:val="single" w:sz="4" w:space="0" w:color="000000"/>
            </w:tcBorders>
          </w:tcPr>
          <w:p>
            <w:pPr/>
          </w:p>
        </w:tc>
        <w:tc>
          <w:tcPr>
            <w:tcW w:w="1984" w:type="dxa"/>
            <w:tcBorders>
              <w:top w:val="single" w:sz="15" w:space="0" w:color="000000"/>
              <w:left w:val="single" w:sz="4" w:space="0" w:color="000000"/>
              <w:bottom w:val="single" w:sz="4" w:space="0" w:color="000000"/>
              <w:right w:val="single" w:sz="4" w:space="0" w:color="000000"/>
            </w:tcBorders>
          </w:tcPr>
          <w:p>
            <w:pPr>
              <w:pStyle w:val="TableParagraph"/>
              <w:spacing w:line="271" w:lineRule="auto"/>
              <w:ind w:left="22" w:right="-27"/>
              <w:jc w:val="both"/>
              <w:rPr>
                <w:rFonts w:ascii="宋体" w:hAnsi="宋体" w:cs="宋体" w:eastAsia="宋体" w:hint="default"/>
                <w:sz w:val="20"/>
                <w:szCs w:val="20"/>
              </w:rPr>
            </w:pPr>
            <w:r>
              <w:rPr>
                <w:rFonts w:ascii="Times New Roman" w:hAnsi="Times New Roman" w:cs="Times New Roman" w:eastAsia="Times New Roman" w:hint="default"/>
                <w:sz w:val="20"/>
                <w:szCs w:val="20"/>
              </w:rPr>
              <w:t>Holding</w:t>
            </w:r>
            <w:r>
              <w:rPr>
                <w:rFonts w:ascii="Times New Roman" w:hAnsi="Times New Roman" w:cs="Times New Roman" w:eastAsia="Times New Roman" w:hint="default"/>
                <w:spacing w:val="-6"/>
                <w:sz w:val="20"/>
                <w:szCs w:val="20"/>
              </w:rPr>
              <w:t> </w:t>
            </w:r>
            <w:r>
              <w:rPr>
                <w:rFonts w:ascii="Times New Roman" w:hAnsi="Times New Roman" w:cs="Times New Roman" w:eastAsia="Times New Roman" w:hint="default"/>
                <w:sz w:val="20"/>
                <w:szCs w:val="20"/>
              </w:rPr>
              <w:t>Limited</w:t>
            </w:r>
            <w:r>
              <w:rPr>
                <w:rFonts w:ascii="宋体" w:hAnsi="宋体" w:cs="宋体" w:eastAsia="宋体" w:hint="default"/>
                <w:sz w:val="20"/>
                <w:szCs w:val="20"/>
              </w:rPr>
              <w:t>（以下</w:t>
            </w:r>
            <w:r>
              <w:rPr>
                <w:rFonts w:ascii="宋体" w:hAnsi="宋体" w:cs="宋体" w:eastAsia="宋体" w:hint="default"/>
                <w:w w:val="100"/>
                <w:sz w:val="20"/>
                <w:szCs w:val="20"/>
              </w:rPr>
              <w:t> </w:t>
            </w:r>
            <w:r>
              <w:rPr>
                <w:rFonts w:ascii="宋体" w:hAnsi="宋体" w:cs="宋体" w:eastAsia="宋体" w:hint="default"/>
                <w:sz w:val="20"/>
                <w:szCs w:val="20"/>
              </w:rPr>
              <w:t>简称</w:t>
            </w:r>
            <w:r>
              <w:rPr>
                <w:rFonts w:ascii="Times New Roman" w:hAnsi="Times New Roman" w:cs="Times New Roman" w:eastAsia="Times New Roman" w:hint="default"/>
                <w:sz w:val="20"/>
                <w:szCs w:val="20"/>
              </w:rPr>
              <w:t>“</w:t>
            </w:r>
            <w:r>
              <w:rPr>
                <w:rFonts w:ascii="宋体" w:hAnsi="宋体" w:cs="宋体" w:eastAsia="宋体" w:hint="default"/>
                <w:sz w:val="20"/>
                <w:szCs w:val="20"/>
              </w:rPr>
              <w:t>阿里巴巴集团</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14"/>
                <w:sz w:val="20"/>
                <w:szCs w:val="20"/>
              </w:rPr>
              <w:t>境内全资子公司淘宝</w:t>
            </w:r>
            <w:r>
              <w:rPr>
                <w:rFonts w:ascii="宋体" w:hAnsi="宋体" w:cs="宋体" w:eastAsia="宋体" w:hint="default"/>
                <w:sz w:val="20"/>
                <w:szCs w:val="20"/>
              </w:rPr>
            </w:r>
          </w:p>
          <w:p>
            <w:pPr>
              <w:pStyle w:val="TableParagraph"/>
              <w:spacing w:line="285" w:lineRule="auto" w:before="24"/>
              <w:ind w:left="22" w:right="5"/>
              <w:jc w:val="both"/>
              <w:rPr>
                <w:rFonts w:ascii="宋体" w:hAnsi="宋体" w:cs="宋体" w:eastAsia="宋体" w:hint="default"/>
                <w:sz w:val="20"/>
                <w:szCs w:val="20"/>
              </w:rPr>
            </w:pPr>
            <w:r>
              <w:rPr>
                <w:rFonts w:ascii="宋体" w:hAnsi="宋体" w:cs="宋体" w:eastAsia="宋体" w:hint="default"/>
                <w:spacing w:val="-8"/>
                <w:sz w:val="20"/>
                <w:szCs w:val="20"/>
              </w:rPr>
              <w:t>（中国）软件有限公司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8"/>
                <w:sz w:val="20"/>
                <w:szCs w:val="20"/>
              </w:rPr>
              <w:t>非公开发行股份，拟引</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4"/>
                <w:sz w:val="20"/>
                <w:szCs w:val="20"/>
              </w:rPr>
              <w:t>进阿里巴巴集团作为</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8"/>
                <w:sz w:val="20"/>
                <w:szCs w:val="20"/>
              </w:rPr>
              <w:t>公司的战略投资者，该</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4"/>
                <w:sz w:val="20"/>
                <w:szCs w:val="20"/>
              </w:rPr>
              <w:t>事项尚需取得中国证</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8"/>
                <w:sz w:val="20"/>
                <w:szCs w:val="20"/>
              </w:rPr>
              <w:t>监会的核准。若交易完</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8"/>
                <w:sz w:val="20"/>
                <w:szCs w:val="20"/>
              </w:rPr>
              <w:t>成，公司股份中将出现</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8"/>
                <w:sz w:val="20"/>
                <w:szCs w:val="20"/>
              </w:rPr>
              <w:t>间接的外资持股。为避</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4"/>
                <w:sz w:val="20"/>
                <w:szCs w:val="20"/>
              </w:rPr>
              <w:t>免外商投资产业政策</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对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18"/>
                <w:sz w:val="20"/>
                <w:szCs w:val="20"/>
              </w:rPr>
              <w:t> </w:t>
            </w:r>
            <w:r>
              <w:rPr>
                <w:rFonts w:ascii="宋体" w:hAnsi="宋体" w:cs="宋体" w:eastAsia="宋体" w:hint="default"/>
                <w:spacing w:val="3"/>
                <w:sz w:val="20"/>
                <w:szCs w:val="20"/>
              </w:rPr>
              <w:t>后续业务发</w:t>
            </w:r>
            <w:r>
              <w:rPr>
                <w:rFonts w:ascii="宋体" w:hAnsi="宋体" w:cs="宋体" w:eastAsia="宋体" w:hint="default"/>
                <w:w w:val="100"/>
                <w:sz w:val="20"/>
                <w:szCs w:val="20"/>
              </w:rPr>
              <w:t> </w:t>
            </w:r>
            <w:r>
              <w:rPr>
                <w:rFonts w:ascii="宋体" w:hAnsi="宋体" w:cs="宋体" w:eastAsia="宋体" w:hint="default"/>
                <w:spacing w:val="14"/>
                <w:sz w:val="20"/>
                <w:szCs w:val="20"/>
              </w:rPr>
              <w:t>展可能造成的影响和</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限</w:t>
            </w:r>
            <w:r>
              <w:rPr>
                <w:rFonts w:ascii="宋体" w:hAnsi="宋体" w:cs="宋体" w:eastAsia="宋体" w:hint="default"/>
                <w:spacing w:val="-54"/>
                <w:sz w:val="20"/>
                <w:szCs w:val="20"/>
              </w:rPr>
              <w:t> </w:t>
            </w:r>
            <w:r>
              <w:rPr>
                <w:rFonts w:ascii="宋体" w:hAnsi="宋体" w:cs="宋体" w:eastAsia="宋体" w:hint="default"/>
                <w:sz w:val="20"/>
                <w:szCs w:val="20"/>
              </w:rPr>
              <w:t>制</w:t>
            </w:r>
            <w:r>
              <w:rPr>
                <w:rFonts w:ascii="宋体" w:hAnsi="宋体" w:cs="宋体" w:eastAsia="宋体" w:hint="default"/>
                <w:spacing w:val="-54"/>
                <w:sz w:val="20"/>
                <w:szCs w:val="20"/>
              </w:rPr>
              <w:t> </w:t>
            </w:r>
            <w:r>
              <w:rPr>
                <w:rFonts w:ascii="宋体" w:hAnsi="宋体" w:cs="宋体" w:eastAsia="宋体" w:hint="default"/>
                <w:sz w:val="20"/>
                <w:szCs w:val="20"/>
              </w:rPr>
              <w:t>，</w:t>
            </w:r>
            <w:r>
              <w:rPr>
                <w:rFonts w:ascii="宋体" w:hAnsi="宋体" w:cs="宋体" w:eastAsia="宋体" w:hint="default"/>
                <w:spacing w:val="-54"/>
                <w:sz w:val="20"/>
                <w:szCs w:val="20"/>
              </w:rPr>
              <w:t> </w:t>
            </w:r>
            <w:r>
              <w:rPr>
                <w:rFonts w:ascii="宋体" w:hAnsi="宋体" w:cs="宋体" w:eastAsia="宋体" w:hint="default"/>
                <w:sz w:val="20"/>
                <w:szCs w:val="20"/>
              </w:rPr>
              <w:t>公</w:t>
            </w:r>
            <w:r>
              <w:rPr>
                <w:rFonts w:ascii="宋体" w:hAnsi="宋体" w:cs="宋体" w:eastAsia="宋体" w:hint="default"/>
                <w:spacing w:val="-55"/>
                <w:sz w:val="20"/>
                <w:szCs w:val="20"/>
              </w:rPr>
              <w:t> </w:t>
            </w:r>
            <w:r>
              <w:rPr>
                <w:rFonts w:ascii="宋体" w:hAnsi="宋体" w:cs="宋体" w:eastAsia="宋体" w:hint="default"/>
                <w:sz w:val="20"/>
                <w:szCs w:val="20"/>
              </w:rPr>
              <w:t>司</w:t>
            </w:r>
            <w:r>
              <w:rPr>
                <w:rFonts w:ascii="宋体" w:hAnsi="宋体" w:cs="宋体" w:eastAsia="宋体" w:hint="default"/>
                <w:spacing w:val="-54"/>
                <w:sz w:val="20"/>
                <w:szCs w:val="20"/>
              </w:rPr>
              <w:t> </w:t>
            </w:r>
            <w:r>
              <w:rPr>
                <w:rFonts w:ascii="宋体" w:hAnsi="宋体" w:cs="宋体" w:eastAsia="宋体" w:hint="default"/>
                <w:sz w:val="20"/>
                <w:szCs w:val="20"/>
              </w:rPr>
              <w:t>拟</w:t>
            </w:r>
            <w:r>
              <w:rPr>
                <w:rFonts w:ascii="宋体" w:hAnsi="宋体" w:cs="宋体" w:eastAsia="宋体" w:hint="default"/>
                <w:spacing w:val="-54"/>
                <w:sz w:val="20"/>
                <w:szCs w:val="20"/>
              </w:rPr>
              <w:t> </w:t>
            </w:r>
            <w:r>
              <w:rPr>
                <w:rFonts w:ascii="宋体" w:hAnsi="宋体" w:cs="宋体" w:eastAsia="宋体" w:hint="default"/>
                <w:sz w:val="20"/>
                <w:szCs w:val="20"/>
              </w:rPr>
              <w:t>出</w:t>
            </w:r>
            <w:r>
              <w:rPr>
                <w:rFonts w:ascii="宋体" w:hAnsi="宋体" w:cs="宋体" w:eastAsia="宋体" w:hint="default"/>
                <w:spacing w:val="-54"/>
                <w:sz w:val="20"/>
                <w:szCs w:val="20"/>
              </w:rPr>
              <w:t> </w:t>
            </w:r>
            <w:r>
              <w:rPr>
                <w:rFonts w:ascii="宋体" w:hAnsi="宋体" w:cs="宋体" w:eastAsia="宋体" w:hint="default"/>
                <w:sz w:val="20"/>
                <w:szCs w:val="20"/>
              </w:rPr>
              <w:t>售</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股权。</w:t>
            </w:r>
          </w:p>
          <w:p>
            <w:pPr>
              <w:pStyle w:val="TableParagraph"/>
              <w:spacing w:line="283" w:lineRule="auto"/>
              <w:ind w:left="22" w:right="19"/>
              <w:jc w:val="both"/>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54"/>
                <w:sz w:val="20"/>
                <w:szCs w:val="20"/>
              </w:rPr>
              <w:t> </w:t>
            </w:r>
            <w:r>
              <w:rPr>
                <w:rFonts w:ascii="宋体" w:hAnsi="宋体" w:cs="宋体" w:eastAsia="宋体" w:hint="default"/>
                <w:sz w:val="20"/>
                <w:szCs w:val="20"/>
              </w:rPr>
              <w:t>次</w:t>
            </w:r>
            <w:r>
              <w:rPr>
                <w:rFonts w:ascii="宋体" w:hAnsi="宋体" w:cs="宋体" w:eastAsia="宋体" w:hint="default"/>
                <w:spacing w:val="-54"/>
                <w:sz w:val="20"/>
                <w:szCs w:val="20"/>
              </w:rPr>
              <w:t> </w:t>
            </w:r>
            <w:r>
              <w:rPr>
                <w:rFonts w:ascii="宋体" w:hAnsi="宋体" w:cs="宋体" w:eastAsia="宋体" w:hint="default"/>
                <w:sz w:val="20"/>
                <w:szCs w:val="20"/>
              </w:rPr>
              <w:t>交</w:t>
            </w:r>
            <w:r>
              <w:rPr>
                <w:rFonts w:ascii="宋体" w:hAnsi="宋体" w:cs="宋体" w:eastAsia="宋体" w:hint="default"/>
                <w:spacing w:val="-54"/>
                <w:sz w:val="20"/>
                <w:szCs w:val="20"/>
              </w:rPr>
              <w:t> </w:t>
            </w:r>
            <w:r>
              <w:rPr>
                <w:rFonts w:ascii="宋体" w:hAnsi="宋体" w:cs="宋体" w:eastAsia="宋体" w:hint="default"/>
                <w:sz w:val="20"/>
                <w:szCs w:val="20"/>
              </w:rPr>
              <w:t>易</w:t>
            </w:r>
            <w:r>
              <w:rPr>
                <w:rFonts w:ascii="宋体" w:hAnsi="宋体" w:cs="宋体" w:eastAsia="宋体" w:hint="default"/>
                <w:spacing w:val="-55"/>
                <w:sz w:val="20"/>
                <w:szCs w:val="20"/>
              </w:rPr>
              <w:t> </w:t>
            </w:r>
            <w:r>
              <w:rPr>
                <w:rFonts w:ascii="宋体" w:hAnsi="宋体" w:cs="宋体" w:eastAsia="宋体" w:hint="default"/>
                <w:sz w:val="20"/>
                <w:szCs w:val="20"/>
              </w:rPr>
              <w:t>完</w:t>
            </w:r>
            <w:r>
              <w:rPr>
                <w:rFonts w:ascii="宋体" w:hAnsi="宋体" w:cs="宋体" w:eastAsia="宋体" w:hint="default"/>
                <w:spacing w:val="-54"/>
                <w:sz w:val="20"/>
                <w:szCs w:val="20"/>
              </w:rPr>
              <w:t> </w:t>
            </w:r>
            <w:r>
              <w:rPr>
                <w:rFonts w:ascii="宋体" w:hAnsi="宋体" w:cs="宋体" w:eastAsia="宋体" w:hint="default"/>
                <w:sz w:val="20"/>
                <w:szCs w:val="20"/>
              </w:rPr>
              <w:t>成</w:t>
            </w:r>
            <w:r>
              <w:rPr>
                <w:rFonts w:ascii="宋体" w:hAnsi="宋体" w:cs="宋体" w:eastAsia="宋体" w:hint="default"/>
                <w:spacing w:val="-54"/>
                <w:sz w:val="20"/>
                <w:szCs w:val="20"/>
              </w:rPr>
              <w:t> </w:t>
            </w:r>
            <w:r>
              <w:rPr>
                <w:rFonts w:ascii="宋体" w:hAnsi="宋体" w:cs="宋体" w:eastAsia="宋体" w:hint="default"/>
                <w:sz w:val="20"/>
                <w:szCs w:val="20"/>
              </w:rPr>
              <w:t>后</w:t>
            </w:r>
            <w:r>
              <w:rPr>
                <w:rFonts w:ascii="宋体" w:hAnsi="宋体" w:cs="宋体" w:eastAsia="宋体" w:hint="default"/>
                <w:spacing w:val="-54"/>
                <w:sz w:val="20"/>
                <w:szCs w:val="20"/>
              </w:rPr>
              <w:t> </w:t>
            </w:r>
            <w:r>
              <w:rPr>
                <w:rFonts w:ascii="宋体" w:hAnsi="宋体" w:cs="宋体" w:eastAsia="宋体" w:hint="default"/>
                <w:sz w:val="20"/>
                <w:szCs w:val="20"/>
              </w:rPr>
              <w:t>，</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专注于其主营业</w:t>
            </w:r>
            <w:r>
              <w:rPr>
                <w:rFonts w:ascii="宋体" w:hAnsi="宋体" w:cs="宋体" w:eastAsia="宋体" w:hint="default"/>
                <w:w w:val="100"/>
                <w:sz w:val="20"/>
                <w:szCs w:val="20"/>
              </w:rPr>
              <w:t> </w:t>
            </w:r>
            <w:r>
              <w:rPr>
                <w:rFonts w:ascii="宋体" w:hAnsi="宋体" w:cs="宋体" w:eastAsia="宋体" w:hint="default"/>
                <w:spacing w:val="-8"/>
                <w:sz w:val="20"/>
                <w:szCs w:val="20"/>
              </w:rPr>
              <w:t>务独立运营，发挥其专</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8"/>
                <w:sz w:val="20"/>
                <w:szCs w:val="20"/>
              </w:rPr>
              <w:t>业优势，与苏宁协同发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展。</w:t>
            </w:r>
          </w:p>
        </w:tc>
        <w:tc>
          <w:tcPr>
            <w:tcW w:w="1136"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企业</w:t>
            </w:r>
          </w:p>
        </w:tc>
        <w:tc>
          <w:tcPr>
            <w:tcW w:w="709"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993" w:type="dxa"/>
            <w:tcBorders>
              <w:top w:val="single" w:sz="15"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1</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Times New Roman" w:hAnsi="Times New Roman" w:cs="Times New Roman" w:eastAsia="Times New Roman" w:hint="default"/>
                <w:sz w:val="20"/>
                <w:szCs w:val="20"/>
              </w:rPr>
            </w:pPr>
            <w:r>
              <w:rPr>
                <w:rFonts w:ascii="Times New Roman"/>
                <w:sz w:val="20"/>
              </w:rPr>
              <w:t>8/2015-0</w:t>
            </w:r>
          </w:p>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sz w:val="20"/>
              </w:rPr>
              <w:t>71/2016-</w:t>
            </w:r>
          </w:p>
          <w:p>
            <w:pPr>
              <w:pStyle w:val="TableParagraph"/>
              <w:spacing w:line="271" w:lineRule="auto" w:before="36"/>
              <w:ind w:left="22" w:right="19"/>
              <w:jc w:val="left"/>
              <w:rPr>
                <w:rFonts w:ascii="宋体" w:hAnsi="宋体" w:cs="宋体" w:eastAsia="宋体" w:hint="default"/>
                <w:sz w:val="20"/>
                <w:szCs w:val="20"/>
              </w:rPr>
            </w:pPr>
            <w:r>
              <w:rPr>
                <w:rFonts w:ascii="Times New Roman" w:hAnsi="Times New Roman" w:cs="Times New Roman" w:eastAsia="Times New Roman" w:hint="default"/>
                <w:sz w:val="20"/>
                <w:szCs w:val="20"/>
              </w:rPr>
              <w:t>001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号公</w:t>
            </w:r>
            <w:r>
              <w:rPr>
                <w:rFonts w:ascii="宋体" w:hAnsi="宋体" w:cs="宋体" w:eastAsia="宋体" w:hint="default"/>
                <w:w w:val="100"/>
                <w:sz w:val="20"/>
                <w:szCs w:val="20"/>
              </w:rPr>
              <w:t> </w:t>
            </w:r>
            <w:r>
              <w:rPr>
                <w:rFonts w:ascii="宋体" w:hAnsi="宋体" w:cs="宋体" w:eastAsia="宋体" w:hint="default"/>
                <w:sz w:val="20"/>
                <w:szCs w:val="20"/>
              </w:rPr>
              <w:t>告</w:t>
            </w:r>
          </w:p>
        </w:tc>
      </w:tr>
    </w:tbl>
    <w:p>
      <w:pPr>
        <w:spacing w:line="405" w:lineRule="auto" w:before="72"/>
        <w:ind w:left="140" w:right="1276" w:firstLine="0"/>
        <w:jc w:val="left"/>
        <w:rPr>
          <w:rFonts w:ascii="宋体" w:hAnsi="宋体" w:cs="宋体" w:eastAsia="宋体" w:hint="default"/>
          <w:sz w:val="20"/>
          <w:szCs w:val="20"/>
        </w:rPr>
      </w:pPr>
      <w:r>
        <w:rPr>
          <w:rFonts w:ascii="宋体" w:hAnsi="宋体" w:cs="宋体" w:eastAsia="宋体" w:hint="default"/>
          <w:spacing w:val="-4"/>
          <w:sz w:val="20"/>
          <w:szCs w:val="20"/>
        </w:rPr>
        <w:t>注：</w:t>
      </w: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pacing w:val="-4"/>
          <w:sz w:val="20"/>
          <w:szCs w:val="20"/>
        </w:rPr>
        <w:t>月，公司将持有的</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6"/>
          <w:sz w:val="20"/>
          <w:szCs w:val="20"/>
        </w:rPr>
        <w:t> </w:t>
      </w:r>
      <w:r>
        <w:rPr>
          <w:rFonts w:ascii="Times New Roman" w:hAnsi="Times New Roman" w:cs="Times New Roman" w:eastAsia="Times New Roman" w:hint="default"/>
          <w:sz w:val="20"/>
          <w:szCs w:val="20"/>
        </w:rPr>
        <w:t>68.08%</w:t>
      </w:r>
      <w:r>
        <w:rPr>
          <w:rFonts w:ascii="宋体" w:hAnsi="宋体" w:cs="宋体" w:eastAsia="宋体" w:hint="default"/>
          <w:sz w:val="20"/>
          <w:szCs w:val="20"/>
        </w:rPr>
        <w:t>的股权全部转让于苏宁文化投资管理有限公司的境外子公司，并收到全部转让价款</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39,841.02</w:t>
      </w:r>
      <w:r>
        <w:rPr>
          <w:rFonts w:ascii="Times New Roman" w:hAnsi="Times New Roman" w:cs="Times New Roman" w:eastAsia="Times New Roman" w:hint="default"/>
          <w:spacing w:val="-2"/>
          <w:sz w:val="20"/>
          <w:szCs w:val="20"/>
        </w:rPr>
        <w:t> </w:t>
      </w:r>
      <w:r>
        <w:rPr>
          <w:rFonts w:ascii="宋体" w:hAnsi="宋体" w:cs="宋体" w:eastAsia="宋体" w:hint="default"/>
          <w:spacing w:val="-4"/>
          <w:sz w:val="20"/>
          <w:szCs w:val="20"/>
        </w:rPr>
        <w:t>万美金，以实际交割</w:t>
      </w:r>
      <w:r>
        <w:rPr>
          <w:rFonts w:ascii="宋体" w:hAnsi="宋体" w:cs="宋体" w:eastAsia="宋体" w:hint="default"/>
          <w:w w:val="100"/>
          <w:sz w:val="20"/>
          <w:szCs w:val="20"/>
        </w:rPr>
        <w:t> </w:t>
      </w:r>
      <w:r>
        <w:rPr>
          <w:rFonts w:ascii="宋体" w:hAnsi="宋体" w:cs="宋体" w:eastAsia="宋体" w:hint="default"/>
          <w:sz w:val="20"/>
          <w:szCs w:val="20"/>
        </w:rPr>
        <w:t>日</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日测算，该交易增加公司净利润</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13.55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亿元。</w:t>
      </w:r>
    </w:p>
    <w:p>
      <w:pPr>
        <w:spacing w:after="0" w:line="405" w:lineRule="auto"/>
        <w:jc w:val="left"/>
        <w:rPr>
          <w:rFonts w:ascii="宋体" w:hAnsi="宋体" w:cs="宋体" w:eastAsia="宋体" w:hint="default"/>
          <w:sz w:val="20"/>
          <w:szCs w:val="20"/>
        </w:rPr>
        <w:sectPr>
          <w:pgSz w:w="16840" w:h="11910" w:orient="landscape"/>
          <w:pgMar w:header="867" w:footer="979" w:top="1060" w:bottom="1160" w:left="13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left="213" w:right="1019"/>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11"/>
        <w:rPr>
          <w:rFonts w:ascii="宋体" w:hAnsi="宋体" w:cs="宋体" w:eastAsia="宋体" w:hint="default"/>
          <w:b/>
          <w:bCs/>
          <w:sz w:val="22"/>
          <w:szCs w:val="22"/>
        </w:rPr>
      </w:pPr>
    </w:p>
    <w:p>
      <w:pPr>
        <w:spacing w:before="41"/>
        <w:ind w:left="0" w:right="1131" w:firstLine="0"/>
        <w:jc w:val="right"/>
        <w:rPr>
          <w:rFonts w:ascii="宋体" w:hAnsi="宋体" w:cs="宋体" w:eastAsia="宋体" w:hint="default"/>
          <w:sz w:val="19"/>
          <w:szCs w:val="19"/>
        </w:rPr>
      </w:pPr>
      <w:r>
        <w:rPr>
          <w:rFonts w:ascii="宋体" w:hAnsi="宋体" w:cs="宋体" w:eastAsia="宋体" w:hint="default"/>
          <w:w w:val="95"/>
          <w:sz w:val="19"/>
          <w:szCs w:val="19"/>
        </w:rPr>
        <w:t>单位：人民币，千元</w:t>
      </w:r>
      <w:r>
        <w:rPr>
          <w:rFonts w:ascii="宋体" w:hAnsi="宋体" w:cs="宋体" w:eastAsia="宋体" w:hint="default"/>
          <w:sz w:val="19"/>
          <w:szCs w:val="19"/>
        </w:rPr>
      </w:r>
    </w:p>
    <w:p>
      <w:pPr>
        <w:spacing w:line="240" w:lineRule="auto" w:before="8"/>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527"/>
        <w:gridCol w:w="991"/>
        <w:gridCol w:w="992"/>
        <w:gridCol w:w="1058"/>
        <w:gridCol w:w="1057"/>
        <w:gridCol w:w="1058"/>
        <w:gridCol w:w="1058"/>
        <w:gridCol w:w="1056"/>
        <w:gridCol w:w="1058"/>
      </w:tblGrid>
      <w:tr>
        <w:trPr>
          <w:trHeight w:val="58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9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28"/>
              <w:jc w:val="right"/>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5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5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61"/>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Laox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株式</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会社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626,769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3,449,792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2,770,573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4,877,558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471,984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440,345</w:t>
            </w:r>
          </w:p>
        </w:tc>
      </w:tr>
      <w:tr>
        <w:trPr>
          <w:trHeight w:val="42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316"/>
              <w:jc w:val="left"/>
              <w:rPr>
                <w:rFonts w:ascii="Times New Roman" w:hAnsi="Times New Roman" w:cs="Times New Roman" w:eastAsia="Times New Roman" w:hint="default"/>
                <w:sz w:val="18"/>
                <w:szCs w:val="18"/>
              </w:rPr>
            </w:pPr>
            <w:r>
              <w:rPr>
                <w:rFonts w:ascii="Times New Roman"/>
                <w:sz w:val="18"/>
              </w:rPr>
              <w:t>Great</w:t>
            </w:r>
            <w:r>
              <w:rPr>
                <w:rFonts w:ascii="Times New Roman"/>
                <w:spacing w:val="-1"/>
                <w:sz w:val="18"/>
              </w:rPr>
              <w:t> </w:t>
            </w:r>
            <w:r>
              <w:rPr>
                <w:rFonts w:ascii="Times New Roman"/>
                <w:sz w:val="18"/>
              </w:rPr>
              <w:t>Universe</w:t>
            </w:r>
            <w:r>
              <w:rPr>
                <w:rFonts w:ascii="Times New Roman"/>
                <w:w w:val="99"/>
                <w:sz w:val="18"/>
              </w:rPr>
              <w:t> </w:t>
            </w:r>
            <w:r>
              <w:rPr>
                <w:rFonts w:ascii="Times New Roman"/>
                <w:sz w:val="18"/>
              </w:rPr>
              <w:t>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投资业务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777,613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2,587,136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992,852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385,255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342,720</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上海长宁苏宁云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商销售有限公司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558,186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1,567,782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1,086,272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1,183,160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5,615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313,262</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上海奉贤苏宁电</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器有限公司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562,775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208,755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1,167,704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301,838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223,817</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武汉苏宁云商销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416,919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1,610,297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876,981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2,380,127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29,892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173,782</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山东苏宁云商商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24,685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567,950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251,377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1,324,579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7,940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128,696</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北京苏宁云商销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530,629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4,179,724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1,894,129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34" w:right="0"/>
              <w:jc w:val="left"/>
              <w:rPr>
                <w:rFonts w:ascii="Times New Roman" w:hAnsi="Times New Roman" w:cs="Times New Roman" w:eastAsia="Times New Roman" w:hint="default"/>
                <w:sz w:val="18"/>
                <w:szCs w:val="18"/>
              </w:rPr>
            </w:pPr>
            <w:r>
              <w:rPr>
                <w:rFonts w:ascii="Times New Roman"/>
                <w:sz w:val="18"/>
              </w:rPr>
              <w:t>13,074,233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80,907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94,972</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天津苏宁云商有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104,269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823,637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407,887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3,143,827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-10,753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93,049</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南京苏宁软件技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信息技术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303,874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-9,557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711,308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107,346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80,757</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上海苏宁云商销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533,350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6,174,219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1,394,961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9,070,196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82,306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77,170</w:t>
            </w:r>
          </w:p>
        </w:tc>
      </w:tr>
      <w:tr>
        <w:trPr>
          <w:trHeight w:val="47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重庆苏宁云商销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518,176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2,743,779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1,935,078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4,693,461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65,121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54,596</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江苏苏宁商业投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317,658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1,611,892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429,814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44,786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45,035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43,691</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郴州苏宁云商销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73,211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64,478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126,239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-2,417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42,160</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广东苏宁云商销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345,660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2,198,190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673,874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4,425,033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39,017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41,906</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马鞍山苏宁云商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4,350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122,901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103,071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315,952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1,613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35,469</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大连苏宁云商销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63,750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257,548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218,159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1,318,908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-17,695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35,270</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河南苏宁云商销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48,790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210,477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91,012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1,134,491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-16,187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31,181</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汕头市龙湖苏宁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电器有限公司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区域采购</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1,036,555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38,655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388,814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34,012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25,496</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青岛苏宁云商商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51,670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365,563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160,355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1,851,347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34,818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25,226</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深圳市苏宁云商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136,495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1,409,352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533,623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3,323,766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53,430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19,756</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泰州苏宁云商商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328,223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64,105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365,637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-13,075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19,317</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浙江苏宁云商商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355,713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846,638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625,689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1,757,902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24,475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17,648</w:t>
            </w:r>
          </w:p>
        </w:tc>
      </w:tr>
      <w:tr>
        <w:trPr>
          <w:trHeight w:val="47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四川苏宁云商销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278,024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2,252,305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1,212,261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3,415,764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22,787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17,598</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南京苏宁易购物</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流有限公司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1,638,648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-307,392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905,326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19,881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14,847</w:t>
            </w:r>
          </w:p>
        </w:tc>
      </w:tr>
      <w:tr>
        <w:trPr>
          <w:trHeight w:val="51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left="103" w:right="153"/>
              <w:jc w:val="left"/>
              <w:rPr>
                <w:rFonts w:ascii="宋体" w:hAnsi="宋体" w:cs="宋体" w:eastAsia="宋体" w:hint="default"/>
                <w:sz w:val="18"/>
                <w:szCs w:val="18"/>
              </w:rPr>
            </w:pPr>
            <w:r>
              <w:rPr>
                <w:rFonts w:ascii="宋体" w:hAnsi="宋体" w:cs="宋体" w:eastAsia="宋体" w:hint="default"/>
                <w:sz w:val="18"/>
                <w:szCs w:val="18"/>
              </w:rPr>
              <w:t>大同苏宁云商销 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50,000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68,097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53,986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160,849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-9,903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14,149</w:t>
            </w:r>
          </w:p>
        </w:tc>
      </w:tr>
    </w:tbl>
    <w:p>
      <w:pPr>
        <w:spacing w:after="0" w:line="240" w:lineRule="auto"/>
        <w:jc w:val="right"/>
        <w:rPr>
          <w:rFonts w:ascii="Times New Roman" w:hAnsi="Times New Roman" w:cs="Times New Roman" w:eastAsia="Times New Roman" w:hint="default"/>
          <w:sz w:val="18"/>
          <w:szCs w:val="18"/>
        </w:rPr>
        <w:sectPr>
          <w:headerReference w:type="default" r:id="rId14"/>
          <w:footerReference w:type="default" r:id="rId15"/>
          <w:pgSz w:w="11910" w:h="16840"/>
          <w:pgMar w:header="877" w:footer="979" w:top="1100" w:bottom="1160" w:left="920" w:right="0"/>
          <w:pgNumType w:start="46"/>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527"/>
        <w:gridCol w:w="991"/>
        <w:gridCol w:w="992"/>
        <w:gridCol w:w="1058"/>
        <w:gridCol w:w="1057"/>
        <w:gridCol w:w="1058"/>
        <w:gridCol w:w="1058"/>
        <w:gridCol w:w="1056"/>
        <w:gridCol w:w="1058"/>
      </w:tblGrid>
      <w:tr>
        <w:trPr>
          <w:trHeight w:val="586"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9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28"/>
              <w:jc w:val="right"/>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5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5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61"/>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湖南苏宁先锋电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自主产品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1,400,710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182,542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874,393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18,834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14,089</w:t>
            </w:r>
          </w:p>
        </w:tc>
      </w:tr>
      <w:tr>
        <w:trPr>
          <w:trHeight w:val="47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苏宁商业保理有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商业保理</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200,000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1,202,759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213,921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58,851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17,333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12,836</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厦门苏宁云商销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376,759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845,348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445,747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921,340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-16,305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11,219</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内江百大商贸有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家电零售</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111,430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110,355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111,800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-2,395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10,974</w:t>
            </w:r>
          </w:p>
        </w:tc>
      </w:tr>
      <w:tr>
        <w:trPr>
          <w:trHeight w:val="63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17"/>
              <w:jc w:val="left"/>
              <w:rPr>
                <w:rFonts w:ascii="Times New Roman" w:hAnsi="Times New Roman" w:cs="Times New Roman" w:eastAsia="Times New Roman" w:hint="default"/>
                <w:sz w:val="18"/>
                <w:szCs w:val="18"/>
              </w:rPr>
            </w:pPr>
            <w:r>
              <w:rPr>
                <w:rFonts w:ascii="Times New Roman"/>
                <w:sz w:val="18"/>
              </w:rPr>
              <w:t>Hong Kong</w:t>
            </w:r>
            <w:r>
              <w:rPr>
                <w:rFonts w:ascii="Times New Roman"/>
                <w:w w:val="99"/>
                <w:sz w:val="18"/>
              </w:rPr>
              <w:t> </w:t>
            </w:r>
            <w:r>
              <w:rPr>
                <w:rFonts w:ascii="Times New Roman"/>
                <w:sz w:val="18"/>
              </w:rPr>
              <w:t>Suning</w:t>
            </w:r>
            <w:r>
              <w:rPr>
                <w:rFonts w:ascii="Times New Roman"/>
                <w:spacing w:val="-3"/>
                <w:sz w:val="18"/>
              </w:rPr>
              <w:t> </w:t>
            </w:r>
            <w:r>
              <w:rPr>
                <w:rFonts w:ascii="Times New Roman"/>
                <w:sz w:val="18"/>
              </w:rPr>
              <w:t>Appliance</w:t>
            </w:r>
            <w:r>
              <w:rPr>
                <w:rFonts w:ascii="Times New Roman"/>
                <w:w w:val="99"/>
                <w:sz w:val="18"/>
              </w:rPr>
              <w:t> </w:t>
            </w:r>
            <w:r>
              <w:rPr>
                <w:rFonts w:ascii="Times New Roman"/>
                <w:sz w:val="18"/>
              </w:rPr>
              <w:t>Resourcing</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区域采购</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159,461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1,423,674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251,831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7,319,952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12,277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10,626</w:t>
            </w:r>
          </w:p>
        </w:tc>
      </w:tr>
      <w:tr>
        <w:trPr>
          <w:trHeight w:val="45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11" w:lineRule="auto" w:before="15"/>
              <w:ind w:left="103" w:right="24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PPLive Corporation(</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视频媒体</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1,533,769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2,855,297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-769,267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921,836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w w:val="95"/>
                <w:sz w:val="18"/>
              </w:rPr>
              <w:t>-1,193,609</w:t>
            </w:r>
            <w:r>
              <w:rPr>
                <w:rFonts w:ascii="Times New Roman"/>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w w:val="95"/>
                <w:sz w:val="18"/>
              </w:rPr>
              <w:t>-1,161,161</w:t>
            </w:r>
            <w:r>
              <w:rPr>
                <w:rFonts w:ascii="Times New Roman"/>
                <w:sz w:val="18"/>
              </w:rPr>
            </w:r>
          </w:p>
        </w:tc>
      </w:tr>
    </w:tbl>
    <w:p>
      <w:pPr>
        <w:spacing w:line="240" w:lineRule="auto" w:before="1"/>
        <w:rPr>
          <w:rFonts w:ascii="宋体" w:hAnsi="宋体" w:cs="宋体" w:eastAsia="宋体" w:hint="default"/>
          <w:sz w:val="11"/>
          <w:szCs w:val="11"/>
        </w:rPr>
      </w:pPr>
    </w:p>
    <w:p>
      <w:pPr>
        <w:spacing w:line="345" w:lineRule="auto" w:before="44"/>
        <w:ind w:left="213" w:right="1126" w:firstLine="360"/>
        <w:jc w:val="left"/>
        <w:rPr>
          <w:rFonts w:ascii="宋体" w:hAnsi="宋体" w:cs="宋体" w:eastAsia="宋体" w:hint="default"/>
          <w:sz w:val="18"/>
          <w:szCs w:val="18"/>
        </w:rPr>
      </w:pPr>
      <w:r>
        <w:rPr>
          <w:rFonts w:ascii="宋体" w:hAnsi="宋体" w:cs="宋体" w:eastAsia="宋体" w:hint="default"/>
          <w:spacing w:val="-5"/>
          <w:sz w:val="18"/>
          <w:szCs w:val="18"/>
        </w:rPr>
        <w:t>注：</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Great </w:t>
      </w:r>
      <w:r>
        <w:rPr>
          <w:rFonts w:ascii="Times New Roman" w:hAnsi="Times New Roman" w:cs="Times New Roman" w:eastAsia="Times New Roman" w:hint="default"/>
          <w:sz w:val="18"/>
          <w:szCs w:val="18"/>
        </w:rPr>
        <w:t>Universe Limited </w:t>
      </w:r>
      <w:r>
        <w:rPr>
          <w:rFonts w:ascii="宋体" w:hAnsi="宋体" w:cs="宋体" w:eastAsia="宋体" w:hint="default"/>
          <w:sz w:val="18"/>
          <w:szCs w:val="18"/>
        </w:rPr>
        <w:t>报告期内实现净利润 </w:t>
      </w:r>
      <w:r>
        <w:rPr>
          <w:rFonts w:ascii="Times New Roman" w:hAnsi="Times New Roman" w:cs="Times New Roman" w:eastAsia="Times New Roman" w:hint="default"/>
          <w:sz w:val="18"/>
          <w:szCs w:val="18"/>
        </w:rPr>
        <w:t>3.43 </w:t>
      </w:r>
      <w:r>
        <w:rPr>
          <w:rFonts w:ascii="宋体" w:hAnsi="宋体" w:cs="宋体" w:eastAsia="宋体" w:hint="default"/>
          <w:sz w:val="18"/>
          <w:szCs w:val="18"/>
        </w:rPr>
        <w:t>亿元，主要由于将其持有的 </w:t>
      </w:r>
      <w:r>
        <w:rPr>
          <w:rFonts w:ascii="Times New Roman" w:hAnsi="Times New Roman" w:cs="Times New Roman" w:eastAsia="Times New Roman" w:hint="default"/>
          <w:sz w:val="18"/>
          <w:szCs w:val="18"/>
        </w:rPr>
        <w:t>PPLive Corporation</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68.08%</w:t>
      </w:r>
      <w:r>
        <w:rPr>
          <w:rFonts w:ascii="宋体" w:hAnsi="宋体" w:cs="宋体" w:eastAsia="宋体" w:hint="default"/>
          <w:sz w:val="18"/>
          <w:szCs w:val="18"/>
        </w:rPr>
        <w:t>的股权 转让给关联方苏宁文化或其指定的子公司。</w:t>
      </w:r>
    </w:p>
    <w:p>
      <w:pPr>
        <w:spacing w:line="345" w:lineRule="auto" w:before="44"/>
        <w:ind w:left="213" w:right="111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、内江百大商贸有限公司报告期内实现净利润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1,097.39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万元，主要由于其持有的物业与其他</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家门店物业用于开展创 新资产运作，将门店物业相关权益进行转让。</w:t>
      </w:r>
    </w:p>
    <w:p>
      <w:pPr>
        <w:spacing w:line="345" w:lineRule="auto" w:before="44"/>
        <w:ind w:left="214" w:right="136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月，公司将持有的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PPTV</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68.08%</w:t>
      </w:r>
      <w:r>
        <w:rPr>
          <w:rFonts w:ascii="宋体" w:hAnsi="宋体" w:cs="宋体" w:eastAsia="宋体" w:hint="default"/>
          <w:sz w:val="18"/>
          <w:szCs w:val="18"/>
        </w:rPr>
        <w:t>的股权全部转让于苏宁文化投资管理有限公司的境外子公司，</w:t>
      </w:r>
      <w:r>
        <w:rPr>
          <w:rFonts w:ascii="Times New Roman" w:hAnsi="Times New Roman" w:cs="Times New Roman" w:eastAsia="Times New Roman" w:hint="default"/>
          <w:sz w:val="18"/>
          <w:szCs w:val="18"/>
        </w:rPr>
        <w:t>PPLive Corporation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将不再纳入公司合并报表。</w:t>
      </w:r>
    </w:p>
    <w:p>
      <w:pPr>
        <w:pStyle w:val="BodyText"/>
        <w:spacing w:line="405" w:lineRule="auto" w:before="145"/>
        <w:ind w:left="654" w:right="1757"/>
        <w:jc w:val="left"/>
      </w:pPr>
      <w:r>
        <w:rPr/>
        <w:t>报告期内不存在单个参股公司的投资收益对公司净利润影响</w:t>
      </w:r>
      <w:r>
        <w:rPr>
          <w:spacing w:val="-54"/>
        </w:rPr>
        <w:t> </w:t>
      </w:r>
      <w:r>
        <w:rPr>
          <w:rFonts w:ascii="Times New Roman" w:hAnsi="Times New Roman" w:cs="Times New Roman" w:eastAsia="Times New Roman" w:hint="default"/>
        </w:rPr>
        <w:t>10%</w:t>
      </w:r>
      <w:r>
        <w:rPr/>
        <w:t>以上（含）情况。</w:t>
      </w:r>
      <w:r>
        <w:rPr>
          <w:w w:val="99"/>
        </w:rPr>
        <w:t> </w:t>
      </w:r>
      <w:r>
        <w:rPr/>
        <w:t>报告期期内取得和处置子公司的情况：详见第十节财务报表附注</w:t>
      </w:r>
      <w:r>
        <w:rPr>
          <w:rFonts w:ascii="Times New Roman" w:hAnsi="Times New Roman" w:cs="Times New Roman" w:eastAsia="Times New Roman" w:hint="default"/>
        </w:rPr>
        <w:t>“</w:t>
      </w:r>
      <w:r>
        <w:rPr/>
        <w:t>五、合并范围的变更</w:t>
      </w:r>
      <w:r>
        <w:rPr>
          <w:rFonts w:ascii="Times New Roman" w:hAnsi="Times New Roman" w:cs="Times New Roman" w:eastAsia="Times New Roman" w:hint="default"/>
        </w:rPr>
        <w:t>”</w:t>
      </w:r>
      <w:r>
        <w:rPr/>
        <w:t>。</w:t>
      </w:r>
    </w:p>
    <w:p>
      <w:pPr>
        <w:pStyle w:val="Heading2"/>
        <w:spacing w:line="240" w:lineRule="auto" w:before="148"/>
        <w:ind w:left="214"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left="654" w:right="10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5"/>
        <w:rPr>
          <w:rFonts w:ascii="宋体" w:hAnsi="宋体" w:cs="宋体" w:eastAsia="宋体" w:hint="default"/>
          <w:sz w:val="28"/>
          <w:szCs w:val="28"/>
        </w:rPr>
      </w:pPr>
    </w:p>
    <w:p>
      <w:pPr>
        <w:pStyle w:val="Heading2"/>
        <w:spacing w:line="240" w:lineRule="auto"/>
        <w:ind w:left="214"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11"/>
        <w:rPr>
          <w:rFonts w:ascii="宋体" w:hAnsi="宋体" w:cs="宋体" w:eastAsia="宋体" w:hint="default"/>
          <w:b/>
          <w:bCs/>
          <w:sz w:val="29"/>
          <w:szCs w:val="29"/>
        </w:rPr>
      </w:pPr>
    </w:p>
    <w:p>
      <w:pPr>
        <w:pStyle w:val="BodyText"/>
        <w:spacing w:line="369" w:lineRule="auto"/>
        <w:ind w:left="213" w:right="1019" w:firstLine="44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年是国家推进结构性改革的攻坚之年，也是十三五全面建成小康社会决胜阶段的开局之年，</w:t>
      </w:r>
      <w:r>
        <w:rPr>
          <w:w w:val="99"/>
        </w:rPr>
        <w:t> </w:t>
      </w:r>
      <w:r>
        <w:rPr/>
        <w:t>企业发展面临良好机遇。</w:t>
      </w:r>
    </w:p>
    <w:p>
      <w:pPr>
        <w:pStyle w:val="BodyText"/>
        <w:spacing w:line="391" w:lineRule="auto" w:before="61"/>
        <w:ind w:left="654" w:right="1019"/>
        <w:jc w:val="left"/>
      </w:pPr>
      <w:r>
        <w:rPr/>
        <w:t>首先，供给侧改革促进消费升级，居民收入增加推动品质消费，企业发展空间巨大。</w:t>
      </w:r>
      <w:r>
        <w:rPr>
          <w:w w:val="99"/>
        </w:rPr>
        <w:t> </w:t>
      </w:r>
      <w:r>
        <w:rPr>
          <w:spacing w:val="-1"/>
          <w:w w:val="95"/>
        </w:rPr>
        <w:t>国家对消费的刺激已不再是单纯依靠简单刺激需求，而是以技术创新和产品质量提升为方向。通</w:t>
      </w:r>
      <w:r>
        <w:rPr>
          <w:spacing w:val="-1"/>
        </w:rPr>
      </w:r>
    </w:p>
    <w:p>
      <w:pPr>
        <w:pStyle w:val="BodyText"/>
        <w:spacing w:line="391" w:lineRule="auto" w:before="41"/>
        <w:ind w:left="214" w:right="1131"/>
        <w:jc w:val="both"/>
      </w:pPr>
      <w:r>
        <w:rPr>
          <w:spacing w:val="-6"/>
        </w:rPr>
        <w:t>过改善质量供给，发展服务业，发挥新消费引领作用，加快培育形成新供给、新动力，转变发展方式，</w:t>
      </w:r>
      <w:r>
        <w:rPr>
          <w:w w:val="99"/>
        </w:rPr>
        <w:t> </w:t>
      </w:r>
      <w:r>
        <w:rPr>
          <w:spacing w:val="-1"/>
        </w:rPr>
        <w:t>从而促进消费升级、释放消费潜力。苏宁所处的大消费、大服务领域，在供给侧改革的推动下迎来了</w:t>
      </w:r>
      <w:r>
        <w:rPr>
          <w:w w:val="99"/>
        </w:rPr>
        <w:t> </w:t>
      </w:r>
      <w:r>
        <w:rPr>
          <w:spacing w:val="-1"/>
        </w:rPr>
        <w:t>持续向好的发展。随着小康社会的全面建成、一二线城市收入水平持续提高，三四级市场城镇化的加</w:t>
      </w:r>
      <w:r>
        <w:rPr>
          <w:w w:val="99"/>
        </w:rPr>
        <w:t> </w:t>
      </w:r>
      <w:r>
        <w:rPr>
          <w:spacing w:val="-2"/>
        </w:rPr>
        <w:t>速，必然带来品质消费、品牌消费的高增长，而苏宁拥有的覆盖全国的线下网络资源、物流资源、服</w:t>
      </w:r>
      <w:r>
        <w:rPr>
          <w:spacing w:val="-85"/>
        </w:rPr>
        <w:t> </w:t>
      </w:r>
      <w:r>
        <w:rPr>
          <w:spacing w:val="-85"/>
        </w:rPr>
      </w:r>
      <w:r>
        <w:rPr/>
        <w:t>务资源，价值将得以凸显。</w:t>
      </w:r>
    </w:p>
    <w:p>
      <w:pPr>
        <w:pStyle w:val="BodyText"/>
        <w:spacing w:line="240" w:lineRule="auto" w:before="41"/>
        <w:ind w:left="654" w:right="1019"/>
        <w:jc w:val="left"/>
      </w:pPr>
      <w:r>
        <w:rPr/>
        <w:t>其次，上游去库存压力大，渠道优势显现。</w:t>
      </w:r>
    </w:p>
    <w:p>
      <w:pPr>
        <w:spacing w:after="0" w:line="240" w:lineRule="auto"/>
        <w:jc w:val="left"/>
        <w:sectPr>
          <w:pgSz w:w="11910" w:h="16840"/>
          <w:pgMar w:header="877" w:footer="979" w:top="1100" w:bottom="1160" w:left="920" w:right="0"/>
        </w:sectPr>
      </w:pPr>
    </w:p>
    <w:p>
      <w:pPr>
        <w:spacing w:line="240" w:lineRule="auto" w:before="3"/>
        <w:rPr>
          <w:rFonts w:ascii="宋体" w:hAnsi="宋体" w:cs="宋体" w:eastAsia="宋体" w:hint="default"/>
          <w:sz w:val="26"/>
          <w:szCs w:val="26"/>
        </w:rPr>
      </w:pPr>
    </w:p>
    <w:p>
      <w:pPr>
        <w:pStyle w:val="BodyText"/>
        <w:spacing w:line="376" w:lineRule="auto" w:before="31"/>
        <w:ind w:right="1133" w:firstLine="440"/>
        <w:jc w:val="both"/>
      </w:pPr>
      <w:r>
        <w:rPr>
          <w:spacing w:val="-2"/>
        </w:rPr>
        <w:t>全社会的产能过剩以及出口压力的加大，导致上游制造企业的高库存和高积压。随着供求关系的</w:t>
      </w:r>
      <w:r>
        <w:rPr>
          <w:w w:val="99"/>
        </w:rPr>
        <w:t> </w:t>
      </w:r>
      <w:r>
        <w:rPr/>
        <w:t>变化，渠道优势开始显现。一方面苏宁 </w:t>
      </w:r>
      <w:r>
        <w:rPr>
          <w:rFonts w:ascii="Times New Roman" w:hAnsi="Times New Roman" w:cs="Times New Roman" w:eastAsia="Times New Roman" w:hint="default"/>
        </w:rPr>
        <w:t>O2O</w:t>
      </w:r>
      <w:r>
        <w:rPr>
          <w:rFonts w:ascii="Times New Roman" w:hAnsi="Times New Roman" w:cs="Times New Roman" w:eastAsia="Times New Roman" w:hint="default"/>
          <w:spacing w:val="10"/>
        </w:rPr>
        <w:t> </w:t>
      </w:r>
      <w:r>
        <w:rPr/>
        <w:t>融合的多渠道能够有效去库存，另一方面，依托大数据</w:t>
      </w:r>
      <w:r>
        <w:rPr>
          <w:w w:val="99"/>
        </w:rPr>
        <w:t> </w:t>
      </w:r>
      <w:r>
        <w:rPr/>
        <w:t>分析和云计算的 </w:t>
      </w:r>
      <w:r>
        <w:rPr>
          <w:rFonts w:ascii="Times New Roman" w:hAnsi="Times New Roman" w:cs="Times New Roman" w:eastAsia="Times New Roman" w:hint="default"/>
        </w:rPr>
        <w:t>C2B</w:t>
      </w:r>
      <w:r>
        <w:rPr>
          <w:rFonts w:ascii="Times New Roman" w:hAnsi="Times New Roman" w:cs="Times New Roman" w:eastAsia="Times New Roman" w:hint="default"/>
          <w:spacing w:val="33"/>
        </w:rPr>
        <w:t> </w:t>
      </w:r>
      <w:r>
        <w:rPr/>
        <w:t>反向驱动供应链管理能力，也能为上游产业的升级发展提供助力，从而零供关</w:t>
      </w:r>
      <w:r>
        <w:rPr>
          <w:w w:val="99"/>
        </w:rPr>
        <w:t> </w:t>
      </w:r>
      <w:r>
        <w:rPr/>
        <w:t>系更加紧密，有利于企业收入、利润增长。</w:t>
      </w:r>
    </w:p>
    <w:p>
      <w:pPr>
        <w:pStyle w:val="BodyText"/>
        <w:spacing w:line="391" w:lineRule="auto" w:before="54"/>
        <w:ind w:left="154" w:right="1135" w:firstLine="440"/>
        <w:jc w:val="both"/>
      </w:pPr>
      <w:r>
        <w:rPr>
          <w:spacing w:val="-2"/>
        </w:rPr>
        <w:t>此外，随着原材料和能源成本下降，人民币适度贬值，以及融资成本的下降，给企业的投资创造</w:t>
      </w:r>
      <w:r>
        <w:rPr>
          <w:w w:val="99"/>
        </w:rPr>
        <w:t> </w:t>
      </w:r>
      <w:r>
        <w:rPr>
          <w:spacing w:val="-1"/>
          <w:w w:val="95"/>
        </w:rPr>
        <w:t>了非常好的窗口期。公司正在发展的云店、易购服务站、社区网点、物流基地、数据中心等各项基础</w:t>
      </w:r>
      <w:r>
        <w:rPr>
          <w:spacing w:val="50"/>
          <w:w w:val="95"/>
        </w:rPr>
        <w:t> </w:t>
      </w:r>
      <w:r>
        <w:rPr>
          <w:spacing w:val="50"/>
          <w:w w:val="95"/>
        </w:rPr>
      </w:r>
      <w:r>
        <w:rPr/>
        <w:t>投入迎来难得的低成本扩张期。</w:t>
      </w:r>
    </w:p>
    <w:p>
      <w:pPr>
        <w:pStyle w:val="BodyText"/>
        <w:spacing w:line="374" w:lineRule="auto" w:before="41"/>
        <w:ind w:right="1131" w:firstLine="440"/>
        <w:jc w:val="both"/>
      </w:pPr>
      <w:r>
        <w:rPr/>
        <w:t>经过六年的探索实践，苏宁的互联网零售在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年成型、定型、并进入快速发展和开始收获的</w:t>
      </w:r>
      <w:r>
        <w:rPr>
          <w:w w:val="99"/>
        </w:rPr>
        <w:t> </w:t>
      </w:r>
      <w:r>
        <w:rPr>
          <w:spacing w:val="-28"/>
          <w:w w:val="99"/>
        </w:rPr>
        <w:t>阶段，在</w:t>
      </w:r>
      <w:r>
        <w:rPr>
          <w:spacing w:val="-57"/>
          <w:w w:val="99"/>
        </w:rPr>
        <w:t> </w:t>
      </w:r>
      <w:r>
        <w:rPr>
          <w:rFonts w:ascii="Times New Roman" w:hAnsi="Times New Roman" w:cs="Times New Roman" w:eastAsia="Times New Roman" w:hint="default"/>
          <w:w w:val="99"/>
        </w:rPr>
        <w:t>O2O</w:t>
      </w:r>
      <w:r>
        <w:rPr>
          <w:rFonts w:ascii="Times New Roman" w:hAnsi="Times New Roman" w:cs="Times New Roman" w:eastAsia="Times New Roman" w:hint="default"/>
          <w:spacing w:val="-2"/>
          <w:w w:val="99"/>
        </w:rPr>
        <w:t> </w:t>
      </w:r>
      <w:r>
        <w:rPr>
          <w:spacing w:val="-4"/>
          <w:w w:val="99"/>
        </w:rPr>
        <w:t>模式被普遍认可为行业发展趋势时，苏宁已经在线上线下形成了一定的</w:t>
      </w:r>
      <w:r>
        <w:rPr>
          <w:spacing w:val="-51"/>
          <w:w w:val="99"/>
        </w:rPr>
        <w:t> </w:t>
      </w:r>
      <w:r>
        <w:rPr>
          <w:rFonts w:ascii="Times New Roman" w:hAnsi="Times New Roman" w:cs="Times New Roman" w:eastAsia="Times New Roman" w:hint="default"/>
          <w:w w:val="99"/>
        </w:rPr>
        <w:t>O2O</w:t>
      </w:r>
      <w:r>
        <w:rPr>
          <w:rFonts w:ascii="Times New Roman" w:hAnsi="Times New Roman" w:cs="Times New Roman" w:eastAsia="Times New Roman" w:hint="default"/>
          <w:spacing w:val="-2"/>
          <w:w w:val="99"/>
        </w:rPr>
        <w:t> </w:t>
      </w:r>
      <w:r>
        <w:rPr>
          <w:w w:val="99"/>
        </w:rPr>
        <w:t>先发优势。 </w:t>
      </w:r>
      <w:r>
        <w:rPr>
          <w:rFonts w:ascii="Times New Roman" w:hAnsi="Times New Roman" w:cs="Times New Roman" w:eastAsia="Times New Roman" w:hint="default"/>
        </w:rPr>
        <w:t>2016 </w:t>
      </w:r>
      <w:r>
        <w:rPr>
          <w:spacing w:val="-3"/>
        </w:rPr>
        <w:t>年，苏宁将完成阿里巴巴集团的投资入股，资本实力将极大增强，为企业发展提供了坚实的资本</w:t>
      </w:r>
      <w:r>
        <w:rPr>
          <w:spacing w:val="-103"/>
        </w:rPr>
        <w:t> </w:t>
      </w:r>
      <w:r>
        <w:rPr>
          <w:spacing w:val="-103"/>
        </w:rPr>
      </w:r>
      <w:r>
        <w:rPr>
          <w:spacing w:val="-1"/>
        </w:rPr>
        <w:t>支持。与此同时，苏宁物流、苏宁金融在经过多年的超前储备后，资源优势、资源价值逐步凸显，业</w:t>
      </w:r>
      <w:r>
        <w:rPr>
          <w:w w:val="99"/>
        </w:rPr>
        <w:t> </w:t>
      </w:r>
      <w:r>
        <w:rPr/>
        <w:t>务进入快速成长期，公司多元化盈利结构已经形成。</w:t>
      </w:r>
    </w:p>
    <w:p>
      <w:pPr>
        <w:pStyle w:val="BodyText"/>
        <w:spacing w:line="391" w:lineRule="auto" w:before="57"/>
        <w:ind w:left="154" w:right="1136" w:firstLine="440"/>
        <w:jc w:val="both"/>
      </w:pPr>
      <w:r>
        <w:rPr>
          <w:spacing w:val="-2"/>
        </w:rPr>
        <w:t>企业长远的发展一定是建立在盈利能力基础之上的，而苏宁的盈利模式非常清晰，就是通过对门</w:t>
      </w:r>
      <w:r>
        <w:rPr>
          <w:w w:val="99"/>
        </w:rPr>
        <w:t> </w:t>
      </w:r>
      <w:r>
        <w:rPr>
          <w:spacing w:val="-6"/>
        </w:rPr>
        <w:t>店潜移默化的迭代升级，挖掘出线下门店的价值，形成企业盈利的护城河，在此基础上，开放供应链、</w:t>
      </w:r>
      <w:r>
        <w:rPr>
          <w:w w:val="99"/>
        </w:rPr>
        <w:t> </w:t>
      </w:r>
      <w:r>
        <w:rPr/>
        <w:t>物流、资金等优势资源，进行协同整合以提升效率。</w:t>
      </w:r>
    </w:p>
    <w:p>
      <w:pPr>
        <w:pStyle w:val="BodyText"/>
        <w:spacing w:line="369" w:lineRule="auto" w:before="42"/>
        <w:ind w:left="154" w:right="1134" w:firstLine="44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spacing w:val="-3"/>
        </w:rPr>
        <w:t>年，苏宁将紧抓市场机遇，在渠道、商品和服务方面加大投入，实现健康的、高质量的、可</w:t>
      </w:r>
      <w:r>
        <w:rPr>
          <w:w w:val="99"/>
        </w:rPr>
        <w:t> </w:t>
      </w:r>
      <w:r>
        <w:rPr/>
        <w:t>持续的高速增长。具体来说，</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年工作策略如下：</w:t>
      </w:r>
    </w:p>
    <w:p>
      <w:pPr>
        <w:pStyle w:val="Heading4"/>
        <w:spacing w:line="240" w:lineRule="auto" w:before="32"/>
        <w:ind w:left="595" w:right="1082"/>
        <w:jc w:val="left"/>
        <w:rPr>
          <w:b w:val="0"/>
          <w:bCs w:val="0"/>
        </w:rPr>
      </w:pPr>
      <w:r>
        <w:rPr/>
        <w:t>（一）渠道策略</w:t>
      </w:r>
      <w:r>
        <w:rPr>
          <w:b w:val="0"/>
          <w:bCs w:val="0"/>
        </w:rPr>
      </w:r>
    </w:p>
    <w:p>
      <w:pPr>
        <w:pStyle w:val="Heading4"/>
        <w:spacing w:line="240" w:lineRule="auto" w:before="180"/>
        <w:ind w:left="595" w:right="1082"/>
        <w:jc w:val="left"/>
        <w:rPr>
          <w:b w:val="0"/>
          <w:bCs w:val="0"/>
        </w:rPr>
      </w:pPr>
      <w:r>
        <w:rPr>
          <w:rFonts w:ascii="Times New Roman" w:hAnsi="Times New Roman" w:cs="Times New Roman" w:eastAsia="Times New Roman" w:hint="default"/>
        </w:rPr>
        <w:t>1</w:t>
      </w:r>
      <w:r>
        <w:rPr/>
        <w:t>、连锁发展方面</w:t>
      </w:r>
      <w:r>
        <w:rPr>
          <w:b w:val="0"/>
          <w:bCs w:val="0"/>
        </w:rPr>
      </w:r>
    </w:p>
    <w:p>
      <w:pPr>
        <w:pStyle w:val="BodyText"/>
        <w:spacing w:line="369" w:lineRule="auto" w:before="163"/>
        <w:ind w:right="1132" w:firstLine="440"/>
        <w:jc w:val="both"/>
      </w:pPr>
      <w:r>
        <w:rPr/>
        <w:t>线下实体是公司 </w:t>
      </w:r>
      <w:r>
        <w:rPr>
          <w:rFonts w:ascii="Times New Roman" w:hAnsi="Times New Roman" w:cs="Times New Roman" w:eastAsia="Times New Roman" w:hint="default"/>
        </w:rPr>
        <w:t>O2O</w:t>
      </w:r>
      <w:r>
        <w:rPr>
          <w:rFonts w:ascii="Times New Roman" w:hAnsi="Times New Roman" w:cs="Times New Roman" w:eastAsia="Times New Roman" w:hint="default"/>
          <w:spacing w:val="11"/>
        </w:rPr>
        <w:t> </w:t>
      </w:r>
      <w:r>
        <w:rPr/>
        <w:t>零售模式差异化的最大优势，公司要不遗余力地将线下平台建设成为满足</w:t>
      </w:r>
      <w:r>
        <w:rPr>
          <w:spacing w:val="-2"/>
          <w:w w:val="99"/>
        </w:rPr>
        <w:t> </w:t>
      </w:r>
      <w:r>
        <w:rPr/>
        <w:t>用户体验的综合服务平台，这是企业盈利的核心所在。</w:t>
      </w:r>
    </w:p>
    <w:p>
      <w:pPr>
        <w:pStyle w:val="BodyText"/>
        <w:spacing w:line="379" w:lineRule="auto" w:before="61"/>
        <w:ind w:right="1135" w:firstLine="44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spacing w:val="-3"/>
        </w:rPr>
        <w:t>年，线下工作的核心就是围绕提升用户的满意度，以解决用户痛点为出发点，将用户体验提</w:t>
      </w:r>
      <w:r>
        <w:rPr>
          <w:w w:val="99"/>
        </w:rPr>
        <w:t> </w:t>
      </w:r>
      <w:r>
        <w:rPr>
          <w:spacing w:val="-1"/>
          <w:w w:val="95"/>
        </w:rPr>
        <w:t>升至极致。一方面，狠抓门店基础管理；另一方面就是灵活运用互联网工具提升门店的运营效率和服</w:t>
      </w:r>
      <w:r>
        <w:rPr>
          <w:spacing w:val="49"/>
          <w:w w:val="95"/>
        </w:rPr>
        <w:t> </w:t>
      </w:r>
      <w:r>
        <w:rPr>
          <w:spacing w:val="49"/>
          <w:w w:val="95"/>
        </w:rPr>
      </w:r>
      <w:r>
        <w:rPr/>
        <w:t>务体验。</w:t>
      </w:r>
    </w:p>
    <w:p>
      <w:pPr>
        <w:pStyle w:val="BodyText"/>
        <w:spacing w:line="391" w:lineRule="auto" w:before="52"/>
        <w:ind w:right="1133" w:firstLine="440"/>
        <w:jc w:val="both"/>
      </w:pPr>
      <w:r>
        <w:rPr>
          <w:spacing w:val="-1"/>
          <w:w w:val="95"/>
        </w:rPr>
        <w:t>云店建设运营方面，围绕用户体验进一步优化云店模式，实现从卖商品到卖生活方式的转变，从</w:t>
      </w:r>
      <w:r>
        <w:rPr>
          <w:spacing w:val="-99"/>
          <w:w w:val="95"/>
        </w:rPr>
        <w:t> </w:t>
      </w:r>
      <w:r>
        <w:rPr>
          <w:spacing w:val="-99"/>
          <w:w w:val="95"/>
        </w:rPr>
      </w:r>
      <w:r>
        <w:rPr/>
        <w:t>用户需求的角度推动云店的不断升级。</w:t>
      </w:r>
    </w:p>
    <w:p>
      <w:pPr>
        <w:pStyle w:val="BodyText"/>
        <w:spacing w:line="391" w:lineRule="auto" w:before="41"/>
        <w:ind w:left="154" w:right="1134" w:firstLine="440"/>
        <w:jc w:val="both"/>
      </w:pPr>
      <w:r>
        <w:rPr>
          <w:spacing w:val="-1"/>
          <w:w w:val="95"/>
        </w:rPr>
        <w:t>苏宁易购服务站直营店建设运营方面，匹配物流路线规划加快开发，结合经营管理能力和物流辐</w:t>
      </w:r>
      <w:r>
        <w:rPr>
          <w:spacing w:val="-100"/>
          <w:w w:val="95"/>
        </w:rPr>
        <w:t> </w:t>
      </w:r>
      <w:r>
        <w:rPr>
          <w:spacing w:val="-100"/>
          <w:w w:val="95"/>
        </w:rPr>
      </w:r>
      <w:r>
        <w:rPr/>
        <w:t>射，深耕三四级市场。全年计划新开苏宁易购服务站直营店</w:t>
      </w:r>
      <w:r>
        <w:rPr>
          <w:spacing w:val="-58"/>
        </w:rPr>
        <w:t> </w:t>
      </w:r>
      <w:r>
        <w:rPr>
          <w:rFonts w:ascii="Times New Roman" w:hAnsi="Times New Roman" w:cs="Times New Roman" w:eastAsia="Times New Roman" w:hint="default"/>
        </w:rPr>
        <w:t>1500</w:t>
      </w:r>
      <w:r>
        <w:rPr>
          <w:rFonts w:ascii="Times New Roman" w:hAnsi="Times New Roman" w:cs="Times New Roman" w:eastAsia="Times New Roman" w:hint="default"/>
          <w:spacing w:val="-3"/>
        </w:rPr>
        <w:t> </w:t>
      </w:r>
      <w:r>
        <w:rPr/>
        <w:t>家。</w:t>
      </w:r>
    </w:p>
    <w:p>
      <w:pPr>
        <w:pStyle w:val="BodyText"/>
        <w:spacing w:line="391" w:lineRule="auto" w:before="10"/>
        <w:ind w:right="1130" w:firstLine="440"/>
        <w:jc w:val="both"/>
      </w:pPr>
      <w:r>
        <w:rPr>
          <w:spacing w:val="-1"/>
        </w:rPr>
        <w:t>红孩子连锁方面，重点在北上广等核心城市及江苏、安徽、山东省地级城市进行布点，进行红孩</w:t>
      </w:r>
      <w:r>
        <w:rPr>
          <w:w w:val="99"/>
        </w:rPr>
        <w:t> </w:t>
      </w:r>
      <w:r>
        <w:rPr>
          <w:spacing w:val="-1"/>
        </w:rPr>
        <w:t>子专业母婴店的快速布局，同时完成覆盖全国的线下供应链建设；苏宁超市将重点优化调整现有门店</w:t>
      </w:r>
    </w:p>
    <w:p>
      <w:pPr>
        <w:spacing w:after="0" w:line="391" w:lineRule="auto"/>
        <w:jc w:val="both"/>
        <w:sectPr>
          <w:pgSz w:w="11910" w:h="16840"/>
          <w:pgMar w:header="877" w:footer="979" w:top="1100" w:bottom="1160" w:left="980" w:right="0"/>
        </w:sectPr>
      </w:pPr>
    </w:p>
    <w:p>
      <w:pPr>
        <w:spacing w:line="240" w:lineRule="auto" w:before="3"/>
        <w:rPr>
          <w:rFonts w:ascii="宋体" w:hAnsi="宋体" w:cs="宋体" w:eastAsia="宋体" w:hint="default"/>
          <w:sz w:val="26"/>
          <w:szCs w:val="26"/>
        </w:rPr>
      </w:pPr>
    </w:p>
    <w:p>
      <w:pPr>
        <w:pStyle w:val="BodyText"/>
        <w:spacing w:line="240" w:lineRule="auto" w:before="31"/>
        <w:ind w:right="1082"/>
        <w:jc w:val="left"/>
      </w:pPr>
      <w:r>
        <w:rPr/>
        <w:t>经营模式，探索可持续发展的苏宁超市盈利模型，完善供应链及管理团队建设。</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7"/>
          <w:szCs w:val="27"/>
        </w:rPr>
      </w:pPr>
    </w:p>
    <w:p>
      <w:pPr>
        <w:pStyle w:val="Heading4"/>
        <w:spacing w:line="240" w:lineRule="auto"/>
        <w:ind w:left="595" w:right="1082"/>
        <w:jc w:val="left"/>
        <w:rPr>
          <w:b w:val="0"/>
          <w:bCs w:val="0"/>
        </w:rPr>
      </w:pPr>
      <w:r>
        <w:rPr>
          <w:rFonts w:ascii="Times New Roman" w:hAnsi="Times New Roman" w:cs="Times New Roman" w:eastAsia="Times New Roman" w:hint="default"/>
        </w:rPr>
        <w:t>2</w:t>
      </w:r>
      <w:r>
        <w:rPr/>
        <w:t>、线上运营方面</w:t>
      </w:r>
      <w:r>
        <w:rPr>
          <w:b w:val="0"/>
          <w:bCs w:val="0"/>
        </w:rPr>
      </w:r>
    </w:p>
    <w:p>
      <w:pPr>
        <w:pStyle w:val="BodyText"/>
        <w:spacing w:line="369" w:lineRule="auto" w:before="164"/>
        <w:ind w:right="1082" w:firstLine="440"/>
        <w:jc w:val="left"/>
      </w:pPr>
      <w:r>
        <w:rPr>
          <w:spacing w:val="-3"/>
        </w:rPr>
        <w:t>组织设立方面，</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0"/>
        </w:rPr>
        <w:t> </w:t>
      </w:r>
      <w:r>
        <w:rPr>
          <w:spacing w:val="-3"/>
        </w:rPr>
        <w:t>年线上运营工作更加聚焦，将线上运营的相关职能统一整合、建设职能完整</w:t>
      </w:r>
      <w:r>
        <w:rPr>
          <w:w w:val="99"/>
        </w:rPr>
        <w:t> </w:t>
      </w:r>
      <w:r>
        <w:rPr/>
        <w:t>且相对独立运作的互联网平台事业部，负责苏宁易购平台的平台运营和用户经营。</w:t>
      </w:r>
    </w:p>
    <w:p>
      <w:pPr>
        <w:pStyle w:val="BodyText"/>
        <w:spacing w:line="391" w:lineRule="auto" w:before="61"/>
        <w:ind w:right="1136" w:firstLine="440"/>
        <w:jc w:val="both"/>
      </w:pPr>
      <w:r>
        <w:rPr>
          <w:spacing w:val="-2"/>
        </w:rPr>
        <w:t>公司将加强线上平台的规则制定，不仅仅为自营和平台商户提供统一、公平、富有活力的竞争环</w:t>
      </w:r>
      <w:r>
        <w:rPr>
          <w:w w:val="99"/>
        </w:rPr>
        <w:t> </w:t>
      </w:r>
      <w:r>
        <w:rPr>
          <w:spacing w:val="-6"/>
          <w:w w:val="99"/>
        </w:rPr>
        <w:t>境，更是充分释放苏宁的互联网零售能力，开放共享数据资源，体现苏宁易购的平台价值和数据价值。</w:t>
      </w:r>
      <w:r>
        <w:rPr>
          <w:spacing w:val="-103"/>
          <w:w w:val="99"/>
        </w:rPr>
        <w:t> </w:t>
      </w:r>
      <w:r>
        <w:rPr>
          <w:spacing w:val="-103"/>
          <w:w w:val="99"/>
        </w:rPr>
      </w:r>
      <w:r>
        <w:rPr/>
        <w:t>通过规则为平台引流、活跃平台商户、指导运营和管理，实现自营和开放平台商户的良性竞争。</w:t>
      </w:r>
    </w:p>
    <w:p>
      <w:pPr>
        <w:pStyle w:val="BodyText"/>
        <w:spacing w:line="391" w:lineRule="auto" w:before="41"/>
        <w:ind w:right="1130" w:firstLine="440"/>
        <w:jc w:val="both"/>
      </w:pPr>
      <w:r>
        <w:rPr>
          <w:spacing w:val="-2"/>
        </w:rPr>
        <w:t>公司将加强平台运营管理，从会员、商品、营销产品、线上用户体验等多个维度进行优化，形成</w:t>
      </w:r>
      <w:r>
        <w:rPr>
          <w:w w:val="99"/>
        </w:rPr>
        <w:t> </w:t>
      </w:r>
      <w:r>
        <w:rPr>
          <w:spacing w:val="-1"/>
        </w:rPr>
        <w:t>常态的流量导入机制。会员管理方面，激活沉睡会员，通过品类丰富和精准营销提升会员复购率；有</w:t>
      </w:r>
      <w:r>
        <w:rPr>
          <w:w w:val="99"/>
        </w:rPr>
        <w:t> </w:t>
      </w:r>
      <w:r>
        <w:rPr>
          <w:spacing w:val="-1"/>
        </w:rPr>
        <w:t>效利用供应商和平台商户资源，实行内外部联动，保持线上运营高活跃度；进行精准投放和精细化管</w:t>
      </w:r>
      <w:r>
        <w:rPr>
          <w:w w:val="99"/>
        </w:rPr>
        <w:t> </w:t>
      </w:r>
      <w:r>
        <w:rPr>
          <w:spacing w:val="-2"/>
        </w:rPr>
        <w:t>理，提高资源投入产出比，充分利用大型促销，通过提前规划，精准选择产品，提升用户体验，以此</w:t>
      </w:r>
      <w:r>
        <w:rPr>
          <w:spacing w:val="-85"/>
        </w:rPr>
        <w:t> </w:t>
      </w:r>
      <w:r>
        <w:rPr>
          <w:spacing w:val="-85"/>
        </w:rPr>
      </w:r>
      <w:r>
        <w:rPr/>
        <w:t>成为提升品牌美誉度和用户粘性的有效营销手段。</w:t>
      </w:r>
    </w:p>
    <w:p>
      <w:pPr>
        <w:pStyle w:val="Heading4"/>
        <w:spacing w:line="240" w:lineRule="auto" w:before="41"/>
        <w:ind w:left="595" w:right="1082"/>
        <w:jc w:val="left"/>
        <w:rPr>
          <w:b w:val="0"/>
          <w:bCs w:val="0"/>
        </w:rPr>
      </w:pPr>
      <w:r>
        <w:rPr/>
        <w:t>（二）商品及供应链策略</w:t>
      </w:r>
      <w:r>
        <w:rPr>
          <w:b w:val="0"/>
          <w:bCs w:val="0"/>
        </w:rPr>
      </w:r>
    </w:p>
    <w:p>
      <w:pPr>
        <w:pStyle w:val="BodyText"/>
        <w:spacing w:line="369" w:lineRule="auto" w:before="180"/>
        <w:ind w:right="1130" w:firstLine="440"/>
        <w:jc w:val="left"/>
      </w:pPr>
      <w:r>
        <w:rPr/>
        <w:t>商品 </w:t>
      </w:r>
      <w:r>
        <w:rPr>
          <w:rFonts w:ascii="Times New Roman" w:hAnsi="Times New Roman" w:cs="Times New Roman" w:eastAsia="Times New Roman" w:hint="default"/>
        </w:rPr>
        <w:t>SKU</w:t>
      </w:r>
      <w:r>
        <w:rPr>
          <w:rFonts w:ascii="Times New Roman" w:hAnsi="Times New Roman" w:cs="Times New Roman" w:eastAsia="Times New Roman" w:hint="default"/>
          <w:spacing w:val="-2"/>
        </w:rPr>
        <w:t> </w:t>
      </w:r>
      <w:r>
        <w:rPr/>
        <w:t>增长带来的用户粘性、复购率和流量增长是可持续的，其带来的口碑和生态繁衍能力</w:t>
      </w:r>
      <w:r>
        <w:rPr>
          <w:w w:val="99"/>
        </w:rPr>
        <w:t> </w:t>
      </w:r>
      <w:r>
        <w:rPr/>
        <w:t>也会实现叠加效应。</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年，公司将持续坚定不移的推进商品的丰富和</w:t>
      </w:r>
      <w:r>
        <w:rPr>
          <w:spacing w:val="-58"/>
        </w:rPr>
        <w:t> </w:t>
      </w:r>
      <w:r>
        <w:rPr>
          <w:rFonts w:ascii="Times New Roman" w:hAnsi="Times New Roman" w:cs="Times New Roman" w:eastAsia="Times New Roman" w:hint="default"/>
        </w:rPr>
        <w:t>SKU</w:t>
      </w:r>
      <w:r>
        <w:rPr>
          <w:rFonts w:ascii="Times New Roman" w:hAnsi="Times New Roman" w:cs="Times New Roman" w:eastAsia="Times New Roman" w:hint="default"/>
          <w:spacing w:val="-5"/>
        </w:rPr>
        <w:t> </w:t>
      </w:r>
      <w:r>
        <w:rPr/>
        <w:t>的增长。</w:t>
      </w:r>
    </w:p>
    <w:p>
      <w:pPr>
        <w:pStyle w:val="BodyText"/>
        <w:spacing w:line="379" w:lineRule="auto" w:before="32"/>
        <w:ind w:right="896" w:firstLine="440"/>
        <w:jc w:val="left"/>
      </w:pPr>
      <w:r>
        <w:rPr>
          <w:spacing w:val="-1"/>
        </w:rPr>
        <w:t>以平台的理念来推动商品供应链的建设，通过完善优化开放平台的运营规则和供应商的合作规则，</w:t>
      </w:r>
      <w:r>
        <w:rPr>
          <w:w w:val="99"/>
        </w:rPr>
        <w:t> </w:t>
      </w:r>
      <w:r>
        <w:rPr/>
        <w:t>推动商户的发展，加大对商品的扶持力度。打造一批核心的</w:t>
      </w:r>
      <w:r>
        <w:rPr>
          <w:spacing w:val="-57"/>
        </w:rPr>
        <w:t> </w:t>
      </w:r>
      <w:r>
        <w:rPr>
          <w:rFonts w:ascii="Times New Roman" w:hAnsi="Times New Roman" w:cs="Times New Roman" w:eastAsia="Times New Roman" w:hint="default"/>
        </w:rPr>
        <w:t>KA</w:t>
      </w:r>
      <w:r>
        <w:rPr>
          <w:rFonts w:ascii="Times New Roman" w:hAnsi="Times New Roman" w:cs="Times New Roman" w:eastAsia="Times New Roman" w:hint="default"/>
          <w:spacing w:val="-5"/>
        </w:rPr>
        <w:t> </w:t>
      </w:r>
      <w:r>
        <w:rPr/>
        <w:t>商品，通过</w:t>
      </w:r>
      <w:r>
        <w:rPr>
          <w:spacing w:val="-58"/>
        </w:rPr>
        <w:t> </w:t>
      </w:r>
      <w:r>
        <w:rPr>
          <w:rFonts w:ascii="Times New Roman" w:hAnsi="Times New Roman" w:cs="Times New Roman" w:eastAsia="Times New Roman" w:hint="default"/>
        </w:rPr>
        <w:t>KA</w:t>
      </w:r>
      <w:r>
        <w:rPr>
          <w:rFonts w:ascii="Times New Roman" w:hAnsi="Times New Roman" w:cs="Times New Roman" w:eastAsia="Times New Roman" w:hint="default"/>
          <w:spacing w:val="-4"/>
        </w:rPr>
        <w:t> </w:t>
      </w:r>
      <w:r>
        <w:rPr/>
        <w:t>商户的成长，快速形</w:t>
      </w:r>
      <w:r>
        <w:rPr>
          <w:w w:val="99"/>
        </w:rPr>
        <w:t> </w:t>
      </w:r>
      <w:r>
        <w:rPr/>
        <w:t>成行业影响力。</w:t>
      </w:r>
    </w:p>
    <w:p>
      <w:pPr>
        <w:pStyle w:val="BodyText"/>
        <w:spacing w:line="369" w:lineRule="auto" w:before="52"/>
        <w:ind w:left="154" w:right="1082" w:firstLine="440"/>
        <w:jc w:val="left"/>
      </w:pPr>
      <w:r>
        <w:rPr/>
        <w:t>品类发展方面，继续巩固和凸显家电、</w:t>
      </w:r>
      <w:r>
        <w:rPr>
          <w:rFonts w:ascii="Times New Roman" w:hAnsi="Times New Roman" w:cs="Times New Roman" w:eastAsia="Times New Roman" w:hint="default"/>
        </w:rPr>
        <w:t>3C</w:t>
      </w:r>
      <w:r>
        <w:rPr>
          <w:rFonts w:ascii="Times New Roman" w:hAnsi="Times New Roman" w:cs="Times New Roman" w:eastAsia="Times New Roman" w:hint="default"/>
          <w:spacing w:val="21"/>
        </w:rPr>
        <w:t> </w:t>
      </w:r>
      <w:r>
        <w:rPr/>
        <w:t>的品类优势；快速做强超市、母婴的市场地位，通过</w:t>
      </w:r>
      <w:r>
        <w:rPr>
          <w:spacing w:val="1"/>
          <w:w w:val="99"/>
        </w:rPr>
        <w:t> </w:t>
      </w:r>
      <w:r>
        <w:rPr/>
        <w:t>加大招商力度，实现对热点商品、热点商户的覆盖，与此同时推出更具有竞争力的服务和价格。</w:t>
      </w:r>
    </w:p>
    <w:p>
      <w:pPr>
        <w:pStyle w:val="BodyText"/>
        <w:spacing w:line="376" w:lineRule="auto" w:before="61"/>
        <w:ind w:left="154" w:right="896" w:firstLine="440"/>
        <w:jc w:val="left"/>
      </w:pPr>
      <w:r>
        <w:rPr/>
        <w:t>运用互联网模式，提升供应链运营的水平和能力。将单品营销作为主动规划供应链的常态工作；</w:t>
      </w:r>
      <w:r>
        <w:rPr>
          <w:w w:val="99"/>
        </w:rPr>
        <w:t> </w:t>
      </w:r>
      <w:r>
        <w:rPr>
          <w:spacing w:val="-4"/>
        </w:rPr>
        <w:t>继续推进供应链的升级重塑，充分嫁接互联网技术，联合工厂，发展</w:t>
      </w:r>
      <w:r>
        <w:rPr>
          <w:spacing w:val="-54"/>
        </w:rPr>
        <w:t> </w:t>
      </w:r>
      <w:r>
        <w:rPr>
          <w:rFonts w:ascii="Times New Roman" w:hAnsi="Times New Roman" w:cs="Times New Roman" w:eastAsia="Times New Roman" w:hint="default"/>
        </w:rPr>
        <w:t>C2B</w:t>
      </w:r>
      <w:r>
        <w:rPr>
          <w:rFonts w:ascii="Times New Roman" w:hAnsi="Times New Roman" w:cs="Times New Roman" w:eastAsia="Times New Roman" w:hint="default"/>
          <w:spacing w:val="-3"/>
        </w:rPr>
        <w:t> </w:t>
      </w:r>
      <w:r>
        <w:rPr/>
        <w:t>反向定制的精准制造模式，</w:t>
      </w:r>
      <w:r>
        <w:rPr>
          <w:w w:val="99"/>
        </w:rPr>
        <w:t> </w:t>
      </w:r>
      <w:r>
        <w:rPr/>
        <w:t>打造更符合用户需求的产品。</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spacing w:val="-3"/>
        </w:rPr>
        <w:t>年公司在家电、</w:t>
      </w:r>
      <w:r>
        <w:rPr>
          <w:rFonts w:ascii="Times New Roman" w:hAnsi="Times New Roman" w:cs="Times New Roman" w:eastAsia="Times New Roman" w:hint="default"/>
          <w:spacing w:val="-3"/>
        </w:rPr>
        <w:t>3C</w:t>
      </w:r>
      <w:r>
        <w:rPr>
          <w:rFonts w:ascii="Times New Roman" w:hAnsi="Times New Roman" w:cs="Times New Roman" w:eastAsia="Times New Roman" w:hint="default"/>
          <w:spacing w:val="-5"/>
        </w:rPr>
        <w:t> </w:t>
      </w:r>
      <w:r>
        <w:rPr/>
        <w:t>等核心品类</w:t>
      </w:r>
      <w:r>
        <w:rPr>
          <w:spacing w:val="-60"/>
        </w:rPr>
        <w:t> </w:t>
      </w:r>
      <w:r>
        <w:rPr>
          <w:rFonts w:ascii="Times New Roman" w:hAnsi="Times New Roman" w:cs="Times New Roman" w:eastAsia="Times New Roman" w:hint="default"/>
        </w:rPr>
        <w:t>C2B</w:t>
      </w:r>
      <w:r>
        <w:rPr>
          <w:rFonts w:ascii="Times New Roman" w:hAnsi="Times New Roman" w:cs="Times New Roman" w:eastAsia="Times New Roman" w:hint="default"/>
          <w:spacing w:val="-5"/>
        </w:rPr>
        <w:t> </w:t>
      </w:r>
      <w:r>
        <w:rPr/>
        <w:t>反向定制和包销产品数量占比</w:t>
      </w:r>
      <w:r>
        <w:rPr>
          <w:w w:val="99"/>
        </w:rPr>
        <w:t> </w:t>
      </w:r>
      <w:r>
        <w:rPr/>
        <w:t>预计将达到</w:t>
      </w:r>
      <w:r>
        <w:rPr>
          <w:spacing w:val="-54"/>
        </w:rPr>
        <w:t> </w:t>
      </w:r>
      <w:r>
        <w:rPr>
          <w:rFonts w:ascii="Times New Roman" w:hAnsi="Times New Roman" w:cs="Times New Roman" w:eastAsia="Times New Roman" w:hint="default"/>
          <w:spacing w:val="-3"/>
        </w:rPr>
        <w:t>20%</w:t>
      </w:r>
      <w:r>
        <w:rPr>
          <w:spacing w:val="-3"/>
        </w:rPr>
        <w:t>。同时，公司将通过发挥在门店端、手机端、</w:t>
      </w:r>
      <w:r>
        <w:rPr>
          <w:rFonts w:ascii="Times New Roman" w:hAnsi="Times New Roman" w:cs="Times New Roman" w:eastAsia="Times New Roman" w:hint="default"/>
          <w:spacing w:val="-3"/>
        </w:rPr>
        <w:t>PC</w:t>
      </w:r>
      <w:r>
        <w:rPr>
          <w:rFonts w:ascii="Times New Roman" w:hAnsi="Times New Roman" w:cs="Times New Roman" w:eastAsia="Times New Roman" w:hint="default"/>
        </w:rPr>
        <w:t> </w:t>
      </w:r>
      <w:r>
        <w:rPr>
          <w:spacing w:val="-4"/>
        </w:rPr>
        <w:t>端、</w:t>
      </w:r>
      <w:r>
        <w:rPr>
          <w:rFonts w:ascii="Times New Roman" w:hAnsi="Times New Roman" w:cs="Times New Roman" w:eastAsia="Times New Roman" w:hint="default"/>
          <w:spacing w:val="-4"/>
        </w:rPr>
        <w:t>TV</w:t>
      </w:r>
      <w:r>
        <w:rPr>
          <w:rFonts w:ascii="Times New Roman" w:hAnsi="Times New Roman" w:cs="Times New Roman" w:eastAsia="Times New Roman" w:hint="default"/>
        </w:rPr>
        <w:t> </w:t>
      </w:r>
      <w:r>
        <w:rPr/>
        <w:t>端的全渠道以及苏宁易购天</w:t>
      </w:r>
      <w:r>
        <w:rPr>
          <w:w w:val="99"/>
        </w:rPr>
        <w:t> </w:t>
      </w:r>
      <w:r>
        <w:rPr/>
        <w:t>猫旗舰店新兴渠道，全面的渠道营销能力，为供应商提供最强大的新品推广平台；另一方面，发挥公</w:t>
      </w:r>
      <w:r>
        <w:rPr>
          <w:w w:val="99"/>
        </w:rPr>
        <w:t> </w:t>
      </w:r>
      <w:r>
        <w:rPr/>
        <w:t>司农村市场的物流能力，帮助供应商农村市场产品线的覆盖，提升向农村市场渗透发展的能力。</w:t>
      </w:r>
    </w:p>
    <w:p>
      <w:pPr>
        <w:pStyle w:val="Heading4"/>
        <w:spacing w:line="240" w:lineRule="auto" w:before="55"/>
        <w:ind w:left="595" w:right="1082"/>
        <w:jc w:val="left"/>
        <w:rPr>
          <w:b w:val="0"/>
          <w:bCs w:val="0"/>
        </w:rPr>
      </w:pPr>
      <w:r>
        <w:rPr/>
        <w:t>（三）服务策略</w:t>
      </w:r>
      <w:r>
        <w:rPr>
          <w:b w:val="0"/>
          <w:bCs w:val="0"/>
        </w:rPr>
      </w:r>
    </w:p>
    <w:p>
      <w:pPr>
        <w:pStyle w:val="Heading4"/>
        <w:spacing w:line="240" w:lineRule="auto" w:before="180"/>
        <w:ind w:left="595" w:right="1082"/>
        <w:jc w:val="left"/>
        <w:rPr>
          <w:b w:val="0"/>
          <w:bCs w:val="0"/>
        </w:rPr>
      </w:pPr>
      <w:r>
        <w:rPr>
          <w:rFonts w:ascii="Times New Roman" w:hAnsi="Times New Roman" w:cs="Times New Roman" w:eastAsia="Times New Roman" w:hint="default"/>
        </w:rPr>
        <w:t>1</w:t>
      </w:r>
      <w:r>
        <w:rPr/>
        <w:t>、物流方面</w:t>
      </w:r>
      <w:r>
        <w:rPr>
          <w:b w:val="0"/>
          <w:bCs w:val="0"/>
        </w:rPr>
      </w:r>
    </w:p>
    <w:p>
      <w:pPr>
        <w:pStyle w:val="BodyText"/>
        <w:spacing w:line="240" w:lineRule="auto" w:before="163"/>
        <w:ind w:left="594" w:right="1082"/>
        <w:jc w:val="left"/>
      </w:pPr>
      <w:r>
        <w:rPr>
          <w:spacing w:val="-3"/>
        </w:rPr>
        <w:t>在物流仓储方面，公司加快自建物流项目进度，持续增强仓储能力，</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8"/>
        </w:rPr>
        <w:t> </w:t>
      </w:r>
      <w:r>
        <w:rPr/>
        <w:t>年将探索尝试物流资产</w:t>
      </w:r>
    </w:p>
    <w:p>
      <w:pPr>
        <w:spacing w:after="0" w:line="240" w:lineRule="auto"/>
        <w:jc w:val="left"/>
        <w:sectPr>
          <w:pgSz w:w="11910" w:h="16840"/>
          <w:pgMar w:header="877" w:footer="979" w:top="1100" w:bottom="1160" w:left="980" w:right="0"/>
        </w:sectPr>
      </w:pPr>
    </w:p>
    <w:p>
      <w:pPr>
        <w:spacing w:line="240" w:lineRule="auto" w:before="3"/>
        <w:rPr>
          <w:rFonts w:ascii="宋体" w:hAnsi="宋体" w:cs="宋体" w:eastAsia="宋体" w:hint="default"/>
          <w:sz w:val="26"/>
          <w:szCs w:val="26"/>
        </w:rPr>
      </w:pPr>
    </w:p>
    <w:p>
      <w:pPr>
        <w:pStyle w:val="BodyText"/>
        <w:spacing w:line="391" w:lineRule="auto" w:before="31"/>
        <w:ind w:left="594" w:right="1082" w:hanging="441"/>
        <w:jc w:val="left"/>
      </w:pPr>
      <w:r>
        <w:rPr/>
        <w:t>的创新运营模式，充分运用资本手段，加快仓储资源的获取。</w:t>
      </w:r>
      <w:r>
        <w:rPr>
          <w:w w:val="99"/>
        </w:rPr>
        <w:t> </w:t>
      </w:r>
      <w:r>
        <w:rPr>
          <w:spacing w:val="-1"/>
          <w:w w:val="95"/>
        </w:rPr>
        <w:t>在物流自动化建设方面，公司将推广仓储运营系统与流程变革，全面推进自动化作业流程，随着</w:t>
      </w:r>
      <w:r>
        <w:rPr>
          <w:spacing w:val="-1"/>
        </w:rPr>
      </w:r>
    </w:p>
    <w:p>
      <w:pPr>
        <w:pStyle w:val="BodyText"/>
        <w:spacing w:line="391" w:lineRule="auto" w:before="41"/>
        <w:ind w:right="1135"/>
        <w:jc w:val="both"/>
      </w:pPr>
      <w:r>
        <w:rPr>
          <w:spacing w:val="-1"/>
          <w:w w:val="95"/>
        </w:rPr>
        <w:t>南京自动化物流基地投入运营，物流效率将大规模提升，并完成向全国自动化物流的推广复制，同时</w:t>
      </w:r>
      <w:r>
        <w:rPr>
          <w:spacing w:val="50"/>
          <w:w w:val="95"/>
        </w:rPr>
        <w:t> </w:t>
      </w:r>
      <w:r>
        <w:rPr>
          <w:spacing w:val="50"/>
          <w:w w:val="95"/>
        </w:rPr>
      </w:r>
      <w:r>
        <w:rPr/>
        <w:t>在仓储机器人、无人机配送方面，公司也在积极进行投入研发试点。</w:t>
      </w:r>
    </w:p>
    <w:p>
      <w:pPr>
        <w:pStyle w:val="BodyText"/>
        <w:spacing w:line="391" w:lineRule="auto" w:before="41"/>
        <w:ind w:left="154" w:right="1135" w:firstLine="440"/>
        <w:jc w:val="both"/>
      </w:pPr>
      <w:r>
        <w:rPr>
          <w:spacing w:val="-2"/>
        </w:rPr>
        <w:t>在农村物流方面，依托易购直营店和授权服务站加快农村市场布局，提升农村物流正向和逆向运</w:t>
      </w:r>
      <w:r>
        <w:rPr>
          <w:w w:val="99"/>
        </w:rPr>
        <w:t> </w:t>
      </w:r>
      <w:r>
        <w:rPr/>
        <w:t>营能力，促进渠道下沉战略的落地，全力支撑农村电商发展。</w:t>
      </w:r>
    </w:p>
    <w:p>
      <w:pPr>
        <w:pStyle w:val="BodyText"/>
        <w:spacing w:line="369" w:lineRule="auto" w:before="41"/>
        <w:ind w:left="154" w:right="1130" w:firstLine="440"/>
        <w:jc w:val="both"/>
      </w:pPr>
      <w:r>
        <w:rPr>
          <w:spacing w:val="-2"/>
        </w:rPr>
        <w:t>在提升物流增值能力方面，将物流、售后服务能力结合发展，结合市场需求推出标配</w:t>
      </w:r>
      <w:r>
        <w:rPr>
          <w:rFonts w:ascii="Times New Roman" w:hAnsi="Times New Roman" w:cs="Times New Roman" w:eastAsia="Times New Roman" w:hint="default"/>
          <w:spacing w:val="-2"/>
        </w:rPr>
        <w:t>+</w:t>
      </w:r>
      <w:r>
        <w:rPr>
          <w:spacing w:val="-2"/>
        </w:rPr>
        <w:t>独有</w:t>
      </w:r>
      <w:r>
        <w:rPr>
          <w:rFonts w:ascii="Times New Roman" w:hAnsi="Times New Roman" w:cs="Times New Roman" w:eastAsia="Times New Roman" w:hint="default"/>
          <w:spacing w:val="-2"/>
        </w:rPr>
        <w:t>+</w:t>
      </w:r>
      <w:r>
        <w:rPr>
          <w:spacing w:val="-2"/>
        </w:rPr>
        <w:t>特色</w:t>
      </w:r>
      <w:r>
        <w:rPr>
          <w:w w:val="99"/>
        </w:rPr>
        <w:t> </w:t>
      </w:r>
      <w:r>
        <w:rPr>
          <w:spacing w:val="-8"/>
        </w:rPr>
        <w:t>增值组合的产品系列，在送装一体、</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18"/>
        </w:rPr>
        <w:t> </w:t>
      </w:r>
      <w:r>
        <w:rPr>
          <w:spacing w:val="-3"/>
        </w:rPr>
        <w:t>小时急速达等进一步丰富服务产品体系建设，推出</w:t>
      </w:r>
      <w:r>
        <w:rPr>
          <w:rFonts w:ascii="Times New Roman" w:hAnsi="Times New Roman" w:cs="Times New Roman" w:eastAsia="Times New Roman" w:hint="default"/>
          <w:spacing w:val="-3"/>
        </w:rPr>
        <w:t>“</w:t>
      </w:r>
      <w:r>
        <w:rPr>
          <w:spacing w:val="-3"/>
        </w:rPr>
        <w:t>家电清洗</w:t>
      </w:r>
      <w:r>
        <w:rPr>
          <w:rFonts w:ascii="Times New Roman" w:hAnsi="Times New Roman" w:cs="Times New Roman" w:eastAsia="Times New Roman" w:hint="default"/>
          <w:spacing w:val="-3"/>
        </w:rPr>
        <w:t>”</w:t>
      </w:r>
      <w:r>
        <w:rPr>
          <w:spacing w:val="-3"/>
        </w:rPr>
        <w:t>、</w:t>
      </w:r>
      <w:r>
        <w:rPr>
          <w:spacing w:val="-103"/>
        </w:rPr>
        <w:t> </w:t>
      </w:r>
      <w:r>
        <w:rPr>
          <w:rFonts w:ascii="Times New Roman" w:hAnsi="Times New Roman" w:cs="Times New Roman" w:eastAsia="Times New Roman" w:hint="default"/>
        </w:rPr>
        <w:t>“</w:t>
      </w:r>
      <w:r>
        <w:rPr/>
        <w:t>全家包</w:t>
      </w:r>
      <w:r>
        <w:rPr>
          <w:rFonts w:ascii="Times New Roman" w:hAnsi="Times New Roman" w:cs="Times New Roman" w:eastAsia="Times New Roman" w:hint="default"/>
        </w:rPr>
        <w:t>”</w:t>
      </w:r>
      <w:r>
        <w:rPr/>
        <w:t>服务产品。</w:t>
      </w:r>
    </w:p>
    <w:p>
      <w:pPr>
        <w:pStyle w:val="BodyText"/>
        <w:spacing w:line="379" w:lineRule="auto" w:before="32"/>
        <w:ind w:left="154" w:right="1133" w:firstLine="440"/>
        <w:jc w:val="both"/>
      </w:pPr>
      <w:r>
        <w:rPr>
          <w:spacing w:val="-2"/>
        </w:rPr>
        <w:t>在物流社会化运作方面，积极创新物流模式，进一步加快社会化开放的速度和力度，推进供应链</w:t>
      </w:r>
      <w:r>
        <w:rPr>
          <w:w w:val="99"/>
        </w:rPr>
        <w:t> </w:t>
      </w:r>
      <w:r>
        <w:rPr/>
        <w:t>物流业务纵深发展，加快 </w:t>
      </w:r>
      <w:r>
        <w:rPr>
          <w:rFonts w:ascii="Times New Roman" w:hAnsi="Times New Roman" w:cs="Times New Roman" w:eastAsia="Times New Roman" w:hint="default"/>
        </w:rPr>
        <w:t>SWL</w:t>
      </w:r>
      <w:r>
        <w:rPr>
          <w:rFonts w:ascii="Times New Roman" w:hAnsi="Times New Roman" w:cs="Times New Roman" w:eastAsia="Times New Roman" w:hint="default"/>
          <w:spacing w:val="-25"/>
        </w:rPr>
        <w:t> </w:t>
      </w:r>
      <w:r>
        <w:rPr/>
        <w:t>商户（由苏宁提供仓储、配送全程服务）的招商进程，盘活闲置仓储</w:t>
      </w:r>
      <w:r>
        <w:rPr>
          <w:w w:val="99"/>
        </w:rPr>
        <w:t> </w:t>
      </w:r>
      <w:r>
        <w:rPr/>
        <w:t>资源，培育新的盈利点。</w:t>
      </w:r>
    </w:p>
    <w:p>
      <w:pPr>
        <w:pStyle w:val="BodyText"/>
        <w:spacing w:line="369" w:lineRule="auto" w:before="52"/>
        <w:ind w:left="594" w:right="1082" w:firstLine="1"/>
        <w:jc w:val="left"/>
      </w:pPr>
      <w:r>
        <w:rPr>
          <w:rFonts w:ascii="Times New Roman" w:hAnsi="Times New Roman" w:cs="Times New Roman" w:eastAsia="Times New Roman" w:hint="default"/>
          <w:b/>
          <w:bCs/>
        </w:rPr>
        <w:t>2</w:t>
      </w:r>
      <w:r>
        <w:rPr>
          <w:rFonts w:ascii="宋体" w:hAnsi="宋体" w:cs="宋体" w:eastAsia="宋体" w:hint="default"/>
          <w:b/>
          <w:bCs/>
        </w:rPr>
        <w:t>、金融方面</w:t>
      </w:r>
      <w:r>
        <w:rPr>
          <w:rFonts w:ascii="宋体" w:hAnsi="宋体" w:cs="宋体" w:eastAsia="宋体" w:hint="default"/>
          <w:b/>
          <w:bCs/>
          <w:spacing w:val="1"/>
          <w:w w:val="99"/>
        </w:rPr>
        <w:t> </w:t>
      </w:r>
      <w:r>
        <w:rPr>
          <w:spacing w:val="-2"/>
        </w:rPr>
        <w:t>打造全生态的综合金融服务能力。夯实金融运营与管理，进一步完善组织架构和队伍建设，紧抓</w:t>
      </w:r>
    </w:p>
    <w:p>
      <w:pPr>
        <w:pStyle w:val="BodyText"/>
        <w:spacing w:line="391" w:lineRule="auto" w:before="61"/>
        <w:ind w:left="594" w:right="1082" w:hanging="441"/>
        <w:jc w:val="left"/>
      </w:pPr>
      <w:r>
        <w:rPr/>
        <w:t>风险管控和技术研发，完善绩效考核体系，推进苏宁金融的精细化管理。</w:t>
      </w:r>
      <w:r>
        <w:rPr>
          <w:w w:val="99"/>
        </w:rPr>
        <w:t> </w:t>
      </w:r>
      <w:r>
        <w:rPr>
          <w:spacing w:val="-1"/>
          <w:w w:val="95"/>
        </w:rPr>
        <w:t>支付业务，易付宝通过大力发展企业业务，寻求差异化突破，搭建易付宝跨境金融交易平台，围</w:t>
      </w:r>
      <w:r>
        <w:rPr>
          <w:spacing w:val="-1"/>
        </w:rPr>
      </w:r>
    </w:p>
    <w:p>
      <w:pPr>
        <w:pStyle w:val="BodyText"/>
        <w:spacing w:line="381" w:lineRule="auto" w:before="41"/>
        <w:ind w:right="1130"/>
        <w:jc w:val="both"/>
      </w:pPr>
      <w:r>
        <w:rPr/>
        <w:t>绕</w:t>
      </w:r>
      <w:r>
        <w:rPr>
          <w:rFonts w:ascii="Times New Roman" w:hAnsi="Times New Roman" w:cs="Times New Roman" w:eastAsia="Times New Roman" w:hint="default"/>
        </w:rPr>
        <w:t>“</w:t>
      </w:r>
      <w:r>
        <w:rPr/>
        <w:t>易付宝</w:t>
      </w:r>
      <w:r>
        <w:rPr>
          <w:rFonts w:ascii="Times New Roman" w:hAnsi="Times New Roman" w:cs="Times New Roman" w:eastAsia="Times New Roman" w:hint="default"/>
        </w:rPr>
        <w:t>+</w:t>
      </w:r>
      <w:r>
        <w:rPr/>
        <w:t>本地生活</w:t>
      </w:r>
      <w:r>
        <w:rPr>
          <w:rFonts w:ascii="Times New Roman" w:hAnsi="Times New Roman" w:cs="Times New Roman" w:eastAsia="Times New Roman" w:hint="default"/>
        </w:rPr>
        <w:t>”</w:t>
      </w:r>
      <w:r>
        <w:rPr/>
        <w:t>模式，进一步拓展商户；理财业务，进一步丰富对公理财、活期理财、定期理</w:t>
      </w:r>
      <w:r>
        <w:rPr>
          <w:spacing w:val="-53"/>
        </w:rPr>
        <w:t> </w:t>
      </w:r>
      <w:r>
        <w:rPr>
          <w:spacing w:val="-53"/>
        </w:rPr>
      </w:r>
      <w:r>
        <w:rPr>
          <w:spacing w:val="-1"/>
        </w:rPr>
        <w:t>财、基金理财等产品线；供应链融资，加强产品创新，加速向苏宁零售生态圈渗透，为苏宁平台上的</w:t>
      </w:r>
      <w:r>
        <w:rPr>
          <w:w w:val="99"/>
        </w:rPr>
        <w:t> </w:t>
      </w:r>
      <w:r>
        <w:rPr>
          <w:spacing w:val="-6"/>
        </w:rPr>
        <w:t>绝大多数中小型企业提供供应链金融服务，满足市场小额、分散、快捷、便利的融资需求；众筹业务，</w:t>
      </w:r>
      <w:r>
        <w:rPr>
          <w:w w:val="99"/>
        </w:rPr>
        <w:t> </w:t>
      </w:r>
      <w:r>
        <w:rPr/>
        <w:t>产品众筹结合 </w:t>
      </w:r>
      <w:r>
        <w:rPr>
          <w:rFonts w:ascii="Times New Roman" w:hAnsi="Times New Roman" w:cs="Times New Roman" w:eastAsia="Times New Roman" w:hint="default"/>
        </w:rPr>
        <w:t>C2B</w:t>
      </w:r>
      <w:r>
        <w:rPr>
          <w:rFonts w:ascii="Times New Roman" w:hAnsi="Times New Roman" w:cs="Times New Roman" w:eastAsia="Times New Roman" w:hint="default"/>
          <w:spacing w:val="39"/>
        </w:rPr>
        <w:t> </w:t>
      </w:r>
      <w:r>
        <w:rPr/>
        <w:t>聚焦智能硬件、智能家居项目，结合苏宁生态体系建设的特点，对于有创新能力</w:t>
      </w:r>
      <w:r>
        <w:rPr>
          <w:w w:val="99"/>
        </w:rPr>
        <w:t> </w:t>
      </w:r>
      <w:r>
        <w:rPr>
          <w:spacing w:val="-1"/>
        </w:rPr>
        <w:t>合作伙伴，在风险可控前提下，通过股权众筹方式支持业务拓展，同时公司也能获得更好的产品和服</w:t>
      </w:r>
      <w:r>
        <w:rPr>
          <w:w w:val="99"/>
        </w:rPr>
        <w:t> </w:t>
      </w:r>
      <w:r>
        <w:rPr/>
        <w:t>务，推广向用户。</w:t>
      </w:r>
    </w:p>
    <w:p>
      <w:pPr>
        <w:pStyle w:val="BodyText"/>
        <w:spacing w:line="384" w:lineRule="auto" w:before="50"/>
        <w:ind w:right="1131" w:firstLine="440"/>
        <w:jc w:val="both"/>
      </w:pPr>
      <w:r>
        <w:rPr>
          <w:spacing w:val="-6"/>
          <w:w w:val="99"/>
        </w:rPr>
        <w:t>个人消费信贷，重点发展“任性付”，充分发挥苏宁</w:t>
      </w:r>
      <w:r>
        <w:rPr>
          <w:spacing w:val="-46"/>
          <w:w w:val="99"/>
        </w:rPr>
        <w:t> </w:t>
      </w:r>
      <w:r>
        <w:rPr>
          <w:rFonts w:ascii="Times New Roman" w:hAnsi="Times New Roman" w:cs="Times New Roman" w:eastAsia="Times New Roman" w:hint="default"/>
          <w:w w:val="99"/>
        </w:rPr>
        <w:t>O2O</w:t>
      </w:r>
      <w:r>
        <w:rPr>
          <w:rFonts w:ascii="Times New Roman" w:hAnsi="Times New Roman" w:cs="Times New Roman" w:eastAsia="Times New Roman" w:hint="default"/>
          <w:spacing w:val="7"/>
          <w:w w:val="99"/>
        </w:rPr>
        <w:t> </w:t>
      </w:r>
      <w:r>
        <w:rPr>
          <w:spacing w:val="-1"/>
          <w:w w:val="99"/>
        </w:rPr>
        <w:t>融合优势，实现线上线下发展并重，苏</w:t>
      </w:r>
      <w:r>
        <w:rPr>
          <w:w w:val="99"/>
        </w:rPr>
        <w:t> </w:t>
      </w:r>
      <w:r>
        <w:rPr>
          <w:spacing w:val="-1"/>
        </w:rPr>
        <w:t>宁生态与外部消费场景并举的业务发展布局，使其成为日常消费全场景的必备产品。充分利用消费金</w:t>
      </w:r>
      <w:r>
        <w:rPr>
          <w:w w:val="99"/>
        </w:rPr>
        <w:t> </w:t>
      </w:r>
      <w:r>
        <w:rPr>
          <w:spacing w:val="-1"/>
        </w:rPr>
        <w:t>融公司获取低成本资金的优势，打造灵活低息的现金借贷产品，提高市场竞争力，全面提升用户满意</w:t>
      </w:r>
      <w:r>
        <w:rPr>
          <w:w w:val="99"/>
        </w:rPr>
        <w:t> </w:t>
      </w:r>
      <w:r>
        <w:rPr>
          <w:spacing w:val="-1"/>
        </w:rPr>
        <w:t>度；实现信贷产品在垂直细分领域的拓展，如校园、家装、旅游、租房、教育等，进一步增强用户粘</w:t>
      </w:r>
      <w:r>
        <w:rPr>
          <w:w w:val="99"/>
        </w:rPr>
        <w:t> </w:t>
      </w:r>
      <w:r>
        <w:rPr/>
        <w:t>性，满足用户多元化消费需求。</w:t>
      </w:r>
    </w:p>
    <w:p>
      <w:pPr>
        <w:pStyle w:val="BodyText"/>
        <w:spacing w:line="379" w:lineRule="auto" w:before="48"/>
        <w:ind w:right="1132" w:firstLine="44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年，苏宁金融充分发挥</w:t>
      </w:r>
      <w:r>
        <w:rPr>
          <w:spacing w:val="-51"/>
        </w:rPr>
        <w:t> </w:t>
      </w:r>
      <w:r>
        <w:rPr>
          <w:rFonts w:ascii="Times New Roman" w:hAnsi="Times New Roman" w:cs="Times New Roman" w:eastAsia="Times New Roman" w:hint="default"/>
        </w:rPr>
        <w:t>O2O</w:t>
      </w:r>
      <w:r>
        <w:rPr>
          <w:rFonts w:ascii="Times New Roman" w:hAnsi="Times New Roman" w:cs="Times New Roman" w:eastAsia="Times New Roman" w:hint="default"/>
          <w:spacing w:val="3"/>
        </w:rPr>
        <w:t> </w:t>
      </w:r>
      <w:r>
        <w:rPr/>
        <w:t>模式优势，基于科技支撑、风控保障和人才活力，全力推动各</w:t>
      </w:r>
      <w:r>
        <w:rPr>
          <w:w w:val="99"/>
        </w:rPr>
        <w:t> </w:t>
      </w:r>
      <w:r>
        <w:rPr>
          <w:spacing w:val="-1"/>
        </w:rPr>
        <w:t>项业务，实现跨越式的发展，苏宁金融板块的价值将凸显。公司将充分整合市场资源，快速做大做强</w:t>
      </w:r>
      <w:r>
        <w:rPr>
          <w:w w:val="99"/>
        </w:rPr>
        <w:t> </w:t>
      </w:r>
      <w:r>
        <w:rPr/>
        <w:t>苏宁金融，为此，公司将积极寻求战略合作伙伴，进一步夯实资本实力。</w:t>
      </w:r>
    </w:p>
    <w:p>
      <w:pPr>
        <w:spacing w:after="0" w:line="379" w:lineRule="auto"/>
        <w:jc w:val="both"/>
        <w:sectPr>
          <w:pgSz w:w="11910" w:h="16840"/>
          <w:pgMar w:header="877" w:footer="979" w:top="1100" w:bottom="1160" w:left="980" w:right="0"/>
        </w:sectPr>
      </w:pPr>
    </w:p>
    <w:p>
      <w:pPr>
        <w:spacing w:line="240" w:lineRule="auto" w:before="3"/>
        <w:rPr>
          <w:rFonts w:ascii="宋体" w:hAnsi="宋体" w:cs="宋体" w:eastAsia="宋体" w:hint="default"/>
          <w:sz w:val="26"/>
          <w:szCs w:val="26"/>
        </w:rPr>
      </w:pPr>
    </w:p>
    <w:p>
      <w:pPr>
        <w:pStyle w:val="BodyText"/>
        <w:spacing w:line="369" w:lineRule="auto" w:before="31"/>
        <w:ind w:left="594" w:right="1082" w:firstLine="1"/>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b/>
          <w:bCs/>
        </w:rPr>
        <w:t>IT </w:t>
      </w:r>
      <w:r>
        <w:rPr>
          <w:rFonts w:ascii="宋体" w:hAnsi="宋体" w:cs="宋体" w:eastAsia="宋体" w:hint="default"/>
          <w:b/>
          <w:bCs/>
        </w:rPr>
        <w:t>方面</w:t>
      </w:r>
      <w:r>
        <w:rPr>
          <w:rFonts w:ascii="宋体" w:hAnsi="宋体" w:cs="宋体" w:eastAsia="宋体" w:hint="default"/>
          <w:b/>
          <w:bCs/>
          <w:spacing w:val="1"/>
          <w:w w:val="99"/>
        </w:rPr>
        <w:t> </w:t>
      </w:r>
      <w:r>
        <w:rPr>
          <w:spacing w:val="-2"/>
        </w:rPr>
        <w:t>系统架构设计方面予以超前规划，充分考虑各类复杂环境下的数据灾备及网络布局，规划超大流</w:t>
      </w:r>
    </w:p>
    <w:p>
      <w:pPr>
        <w:pStyle w:val="BodyText"/>
        <w:spacing w:line="391" w:lineRule="auto" w:before="61"/>
        <w:ind w:left="594" w:right="1082" w:hanging="441"/>
        <w:jc w:val="left"/>
      </w:pPr>
      <w:r>
        <w:rPr/>
        <w:t>量、高并发的系统响应指标。</w:t>
      </w:r>
      <w:r>
        <w:rPr>
          <w:w w:val="99"/>
        </w:rPr>
        <w:t> </w:t>
      </w:r>
      <w:r>
        <w:rPr>
          <w:spacing w:val="-2"/>
        </w:rPr>
        <w:t>大数据方面，始终以商品数据、会员数据为核心，完善基础数据结构，分级共享公共数据，优化</w:t>
      </w:r>
    </w:p>
    <w:p>
      <w:pPr>
        <w:pStyle w:val="BodyText"/>
        <w:spacing w:line="391" w:lineRule="auto" w:before="41"/>
        <w:ind w:left="594" w:right="1082" w:hanging="441"/>
        <w:jc w:val="left"/>
      </w:pPr>
      <w:r>
        <w:rPr/>
        <w:t>分享专营数据。不仅保障数据安全，还实现对业务体系运营管理的有效支撑，让数据活起来。</w:t>
      </w:r>
      <w:r>
        <w:rPr>
          <w:w w:val="99"/>
        </w:rPr>
        <w:t> </w:t>
      </w:r>
      <w:r>
        <w:rPr>
          <w:spacing w:val="-2"/>
        </w:rPr>
        <w:t>服务应用方面，以用户的需求结构为核心，设计符合用户行为习惯的浏览、促销、购物和服务流</w:t>
      </w:r>
    </w:p>
    <w:p>
      <w:pPr>
        <w:pStyle w:val="BodyText"/>
        <w:spacing w:line="369" w:lineRule="auto" w:before="41"/>
        <w:ind w:right="1129"/>
        <w:jc w:val="left"/>
      </w:pPr>
      <w:r>
        <w:rPr/>
        <w:t>程。建立满足用户极致体验的 </w:t>
      </w:r>
      <w:r>
        <w:rPr>
          <w:rFonts w:ascii="Times New Roman" w:hAnsi="Times New Roman" w:cs="Times New Roman" w:eastAsia="Times New Roman" w:hint="default"/>
        </w:rPr>
        <w:t>O2O</w:t>
      </w:r>
      <w:r>
        <w:rPr>
          <w:rFonts w:ascii="Times New Roman" w:hAnsi="Times New Roman" w:cs="Times New Roman" w:eastAsia="Times New Roman" w:hint="default"/>
          <w:spacing w:val="11"/>
        </w:rPr>
        <w:t> </w:t>
      </w:r>
      <w:r>
        <w:rPr/>
        <w:t>服务能力，在云店服务、金融服务、物流服务等方面形成全流程</w:t>
      </w:r>
      <w:r>
        <w:rPr>
          <w:w w:val="99"/>
        </w:rPr>
        <w:t> </w:t>
      </w:r>
      <w:r>
        <w:rPr/>
        <w:t>的专业化服务。</w:t>
      </w:r>
    </w:p>
    <w:p>
      <w:pPr>
        <w:pStyle w:val="BodyText"/>
        <w:spacing w:line="391" w:lineRule="auto" w:before="61"/>
        <w:ind w:left="594" w:right="1082" w:firstLine="1"/>
        <w:jc w:val="left"/>
      </w:pPr>
      <w:r>
        <w:rPr>
          <w:rFonts w:ascii="宋体" w:hAnsi="宋体" w:cs="宋体" w:eastAsia="宋体" w:hint="default"/>
          <w:b/>
          <w:bCs/>
        </w:rPr>
        <w:t>（四）内部管理方面</w:t>
      </w:r>
      <w:r>
        <w:rPr>
          <w:rFonts w:ascii="宋体" w:hAnsi="宋体" w:cs="宋体" w:eastAsia="宋体" w:hint="default"/>
          <w:b/>
          <w:bCs/>
          <w:spacing w:val="1"/>
          <w:w w:val="99"/>
        </w:rPr>
        <w:t> </w:t>
      </w:r>
      <w:r>
        <w:rPr>
          <w:spacing w:val="-2"/>
        </w:rPr>
        <w:t>随着组织架构和管理方式的不断调整优化，产业专业化、事业部公司化、项目制小团队、部门微</w:t>
      </w:r>
    </w:p>
    <w:p>
      <w:pPr>
        <w:pStyle w:val="BodyText"/>
        <w:spacing w:line="369" w:lineRule="auto" w:before="41"/>
        <w:ind w:left="594" w:right="1082" w:hanging="441"/>
        <w:jc w:val="left"/>
      </w:pPr>
      <w:r>
        <w:rPr/>
        <w:t>创新等管理方式逐步成熟。</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年将更加强调执行，更加注重细节。</w:t>
      </w:r>
      <w:r>
        <w:rPr>
          <w:w w:val="99"/>
        </w:rPr>
        <w:t> </w:t>
      </w:r>
      <w:r>
        <w:rPr>
          <w:spacing w:val="-2"/>
        </w:rPr>
        <w:t>首先，加强目标考核管理，建立目标导向的的授权管理、结果为导向的激励约束，实现动态的人</w:t>
      </w:r>
    </w:p>
    <w:p>
      <w:pPr>
        <w:pStyle w:val="BodyText"/>
        <w:spacing w:line="240" w:lineRule="auto" w:before="61"/>
        <w:ind w:left="154" w:right="1082"/>
        <w:jc w:val="left"/>
      </w:pPr>
      <w:r>
        <w:rPr/>
        <w:t>员考核。</w:t>
      </w:r>
    </w:p>
    <w:p>
      <w:pPr>
        <w:pStyle w:val="BodyText"/>
        <w:spacing w:line="391" w:lineRule="auto" w:before="180"/>
        <w:ind w:left="154" w:right="0" w:firstLine="440"/>
        <w:jc w:val="left"/>
      </w:pPr>
      <w:r>
        <w:rPr/>
        <w:t>其次，强化团队的专业性，一方面加强培训，提升团队知识结构和专业水平，形成比岗位技能、</w:t>
      </w:r>
      <w:r>
        <w:rPr>
          <w:w w:val="99"/>
        </w:rPr>
        <w:t> </w:t>
      </w:r>
      <w:r>
        <w:rPr/>
        <w:t>比工作效率的学习氛围。同时还加大引进新业务专业人才，带动专业技能的提升。</w:t>
      </w:r>
    </w:p>
    <w:p>
      <w:pPr>
        <w:pStyle w:val="BodyText"/>
        <w:spacing w:line="240" w:lineRule="auto" w:before="42"/>
        <w:ind w:left="594" w:right="1082"/>
        <w:jc w:val="left"/>
      </w:pPr>
      <w:r>
        <w:rPr/>
        <w:t>三是，以企业文化，来强化、内化、固化企业的管理，以文化激活企业的创新能力。</w:t>
      </w:r>
    </w:p>
    <w:p>
      <w:pPr>
        <w:spacing w:line="240" w:lineRule="auto" w:before="9"/>
        <w:rPr>
          <w:rFonts w:ascii="宋体" w:hAnsi="宋体" w:cs="宋体" w:eastAsia="宋体" w:hint="default"/>
          <w:sz w:val="29"/>
          <w:szCs w:val="29"/>
        </w:rPr>
      </w:pPr>
    </w:p>
    <w:p>
      <w:pPr>
        <w:pStyle w:val="Heading2"/>
        <w:spacing w:line="240" w:lineRule="auto"/>
        <w:ind w:left="154" w:right="1082"/>
        <w:jc w:val="left"/>
        <w:rPr>
          <w:b w:val="0"/>
          <w:bCs w:val="0"/>
        </w:rPr>
      </w:pPr>
      <w:bookmarkStart w:name="十、接待调研、沟通、采访等活动" w:id="61"/>
      <w:bookmarkEnd w:id="61"/>
      <w:r>
        <w:rPr>
          <w:b w:val="0"/>
          <w:bCs w:val="0"/>
        </w:rPr>
      </w:r>
      <w:r>
        <w:rPr/>
        <w:t>十、接待调研、沟通、采访等活动</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154" w:right="1082"/>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28"/>
        <w:gridCol w:w="1274"/>
        <w:gridCol w:w="1702"/>
        <w:gridCol w:w="4466"/>
      </w:tblGrid>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接待时间</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91" w:right="0"/>
              <w:jc w:val="left"/>
              <w:rPr>
                <w:rFonts w:ascii="宋体" w:hAnsi="宋体" w:cs="宋体" w:eastAsia="宋体" w:hint="default"/>
                <w:sz w:val="22"/>
                <w:szCs w:val="22"/>
              </w:rPr>
            </w:pPr>
            <w:r>
              <w:rPr>
                <w:rFonts w:ascii="宋体" w:hAnsi="宋体" w:cs="宋体" w:eastAsia="宋体" w:hint="default"/>
                <w:sz w:val="22"/>
                <w:szCs w:val="22"/>
              </w:rPr>
              <w:t>接待方式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接待对象类型</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37" w:right="0"/>
              <w:jc w:val="left"/>
              <w:rPr>
                <w:rFonts w:ascii="宋体" w:hAnsi="宋体" w:cs="宋体" w:eastAsia="宋体" w:hint="default"/>
                <w:sz w:val="22"/>
                <w:szCs w:val="22"/>
              </w:rPr>
            </w:pPr>
            <w:r>
              <w:rPr>
                <w:rFonts w:ascii="宋体" w:hAnsi="宋体" w:cs="宋体" w:eastAsia="宋体" w:hint="default"/>
                <w:sz w:val="22"/>
                <w:szCs w:val="22"/>
              </w:rPr>
              <w:t>调研的基本情况索引</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巨潮资讯网：</w:t>
            </w:r>
            <w:r>
              <w:rPr>
                <w:rFonts w:ascii="Times New Roman" w:hAnsi="Times New Roman" w:cs="Times New Roman" w:eastAsia="Times New Roman" w:hint="default"/>
                <w:spacing w:val="-5"/>
                <w:sz w:val="22"/>
                <w:szCs w:val="22"/>
              </w:rPr>
              <w:t>2015-01-15 </w:t>
            </w:r>
            <w:r>
              <w:rPr>
                <w:rFonts w:ascii="宋体" w:hAnsi="宋体" w:cs="宋体" w:eastAsia="宋体" w:hint="default"/>
                <w:sz w:val="22"/>
                <w:szCs w:val="22"/>
              </w:rPr>
              <w:t>编号</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20150113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2015-01-23</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20150121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2015-02-04</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20150128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2015-02-17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20150212-1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2015-02-17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20150212-2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巨潮资讯网：</w:t>
            </w:r>
            <w:r>
              <w:rPr>
                <w:rFonts w:ascii="Times New Roman" w:hAnsi="Times New Roman" w:cs="Times New Roman" w:eastAsia="Times New Roman" w:hint="default"/>
                <w:spacing w:val="-5"/>
                <w:sz w:val="22"/>
                <w:szCs w:val="22"/>
              </w:rPr>
              <w:t>2015-03-13 </w:t>
            </w:r>
            <w:r>
              <w:rPr>
                <w:rFonts w:ascii="宋体" w:hAnsi="宋体" w:cs="宋体" w:eastAsia="宋体" w:hint="default"/>
                <w:sz w:val="22"/>
                <w:szCs w:val="22"/>
              </w:rPr>
              <w:t>编号</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20150311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2015-04-15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20150409-1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bl>
    <w:p>
      <w:pPr>
        <w:spacing w:after="0" w:line="240" w:lineRule="auto"/>
        <w:jc w:val="left"/>
        <w:rPr>
          <w:rFonts w:ascii="宋体" w:hAnsi="宋体" w:cs="宋体" w:eastAsia="宋体" w:hint="default"/>
          <w:sz w:val="22"/>
          <w:szCs w:val="22"/>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28"/>
        <w:gridCol w:w="1274"/>
        <w:gridCol w:w="1702"/>
        <w:gridCol w:w="4466"/>
      </w:tblGrid>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接待时间</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91" w:right="0"/>
              <w:jc w:val="left"/>
              <w:rPr>
                <w:rFonts w:ascii="宋体" w:hAnsi="宋体" w:cs="宋体" w:eastAsia="宋体" w:hint="default"/>
                <w:sz w:val="22"/>
                <w:szCs w:val="22"/>
              </w:rPr>
            </w:pPr>
            <w:r>
              <w:rPr>
                <w:rFonts w:ascii="宋体" w:hAnsi="宋体" w:cs="宋体" w:eastAsia="宋体" w:hint="default"/>
                <w:sz w:val="22"/>
                <w:szCs w:val="22"/>
              </w:rPr>
              <w:t>接待方式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接待对象类型</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37" w:right="0"/>
              <w:jc w:val="left"/>
              <w:rPr>
                <w:rFonts w:ascii="宋体" w:hAnsi="宋体" w:cs="宋体" w:eastAsia="宋体" w:hint="default"/>
                <w:sz w:val="22"/>
                <w:szCs w:val="22"/>
              </w:rPr>
            </w:pPr>
            <w:r>
              <w:rPr>
                <w:rFonts w:ascii="宋体" w:hAnsi="宋体" w:cs="宋体" w:eastAsia="宋体" w:hint="default"/>
                <w:sz w:val="22"/>
                <w:szCs w:val="22"/>
              </w:rPr>
              <w:t>调研的基本情况索引</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2015-04-15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20150409-2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2015-04-23</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20150421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8"/>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2015-05-08</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20150506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2015-05-14</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20150512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2015-05-14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20150513-1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2015-05-18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20150513-2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2015-05-18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20150515-1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2015-05-18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20150515-2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2015-05-21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20150515-3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2015-05-20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20150519-1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2015-05-20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20150519-2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8"/>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2015-05-25</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20150522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2015-06-10</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20150602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2015-06-10</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20150605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2015-06-19</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20150618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2015-06-24</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20150622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2015-06-23</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20150623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2015-07-13</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20150710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2015-07-21</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20150717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2015-07-28</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20150721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2015-08-18</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20150818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bl>
    <w:p>
      <w:pPr>
        <w:spacing w:after="0" w:line="240" w:lineRule="auto"/>
        <w:jc w:val="left"/>
        <w:rPr>
          <w:rFonts w:ascii="宋体" w:hAnsi="宋体" w:cs="宋体" w:eastAsia="宋体" w:hint="default"/>
          <w:sz w:val="22"/>
          <w:szCs w:val="22"/>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28"/>
        <w:gridCol w:w="1274"/>
        <w:gridCol w:w="1702"/>
        <w:gridCol w:w="4466"/>
      </w:tblGrid>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接待时间</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接待方式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接待对象类型</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37" w:right="0"/>
              <w:jc w:val="left"/>
              <w:rPr>
                <w:rFonts w:ascii="宋体" w:hAnsi="宋体" w:cs="宋体" w:eastAsia="宋体" w:hint="default"/>
                <w:sz w:val="22"/>
                <w:szCs w:val="22"/>
              </w:rPr>
            </w:pPr>
            <w:r>
              <w:rPr>
                <w:rFonts w:ascii="宋体" w:hAnsi="宋体" w:cs="宋体" w:eastAsia="宋体" w:hint="default"/>
                <w:sz w:val="22"/>
                <w:szCs w:val="22"/>
              </w:rPr>
              <w:t>调研的基本情况索引</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2015-08-27</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20150820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2015-08-25</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20150825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8"/>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2015-09-07</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20150904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2015-09-21</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20150918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2015-10-14</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20151014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2015-10-22</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20151020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2015-10-21</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20151021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2015-10-23</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20151023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2015-11-09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20151106-1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2015-11-09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编号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20151106-2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2015-11-18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编号</w:t>
            </w:r>
            <w:r>
              <w:rPr>
                <w:rFonts w:ascii="宋体" w:hAnsi="宋体" w:cs="宋体" w:eastAsia="宋体" w:hint="default"/>
                <w:spacing w:val="-63"/>
                <w:sz w:val="22"/>
                <w:szCs w:val="22"/>
              </w:rPr>
              <w:t> </w:t>
            </w:r>
            <w:r>
              <w:rPr>
                <w:rFonts w:ascii="Times New Roman" w:hAnsi="Times New Roman" w:cs="Times New Roman" w:eastAsia="Times New Roman" w:hint="default"/>
                <w:spacing w:val="-3"/>
                <w:sz w:val="22"/>
                <w:szCs w:val="22"/>
              </w:rPr>
              <w:t>20151111-1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苏宁</w:t>
            </w:r>
          </w:p>
          <w:p>
            <w:pPr>
              <w:pStyle w:val="TableParagraph"/>
              <w:spacing w:line="240" w:lineRule="auto" w:before="8"/>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2015-11-18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编号</w:t>
            </w:r>
            <w:r>
              <w:rPr>
                <w:rFonts w:ascii="宋体" w:hAnsi="宋体" w:cs="宋体" w:eastAsia="宋体" w:hint="default"/>
                <w:spacing w:val="-63"/>
                <w:sz w:val="22"/>
                <w:szCs w:val="22"/>
              </w:rPr>
              <w:t> </w:t>
            </w:r>
            <w:r>
              <w:rPr>
                <w:rFonts w:ascii="Times New Roman" w:hAnsi="Times New Roman" w:cs="Times New Roman" w:eastAsia="Times New Roman" w:hint="default"/>
                <w:spacing w:val="-3"/>
                <w:sz w:val="22"/>
                <w:szCs w:val="22"/>
              </w:rPr>
              <w:t>20151111-2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苏宁</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云商集团股份有限公司投资者关系活动记录表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巨潮资讯网：</w:t>
            </w:r>
            <w:r>
              <w:rPr>
                <w:rFonts w:ascii="Times New Roman" w:hAnsi="Times New Roman" w:cs="Times New Roman" w:eastAsia="Times New Roman" w:hint="default"/>
                <w:spacing w:val="-5"/>
                <w:sz w:val="22"/>
                <w:szCs w:val="22"/>
              </w:rPr>
              <w:t>2015-11-20 </w:t>
            </w:r>
            <w:r>
              <w:rPr>
                <w:rFonts w:ascii="宋体" w:hAnsi="宋体" w:cs="宋体" w:eastAsia="宋体" w:hint="default"/>
                <w:sz w:val="22"/>
                <w:szCs w:val="22"/>
              </w:rPr>
              <w:t>编号</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20151120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巨潮资讯网：</w:t>
            </w:r>
            <w:r>
              <w:rPr>
                <w:rFonts w:ascii="Times New Roman" w:hAnsi="Times New Roman" w:cs="Times New Roman" w:eastAsia="Times New Roman" w:hint="default"/>
                <w:spacing w:val="-5"/>
                <w:sz w:val="22"/>
                <w:szCs w:val="22"/>
              </w:rPr>
              <w:t>2015-11-25 </w:t>
            </w:r>
            <w:r>
              <w:rPr>
                <w:rFonts w:ascii="宋体" w:hAnsi="宋体" w:cs="宋体" w:eastAsia="宋体" w:hint="default"/>
                <w:sz w:val="22"/>
                <w:szCs w:val="22"/>
              </w:rPr>
              <w:t>编号</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20151123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2015-12-11</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20151204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2015-12-08</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20151208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巨潮资讯网：</w:t>
            </w:r>
            <w:r>
              <w:rPr>
                <w:rFonts w:ascii="Times New Roman" w:hAnsi="Times New Roman" w:cs="Times New Roman" w:eastAsia="Times New Roman" w:hint="default"/>
                <w:spacing w:val="-5"/>
                <w:sz w:val="22"/>
                <w:szCs w:val="22"/>
              </w:rPr>
              <w:t>2015-12-11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编号</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20151211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巨潮资讯网：</w:t>
            </w:r>
            <w:r>
              <w:rPr>
                <w:rFonts w:ascii="Times New Roman" w:hAnsi="Times New Roman" w:cs="Times New Roman" w:eastAsia="Times New Roman" w:hint="default"/>
                <w:spacing w:val="-6"/>
                <w:sz w:val="22"/>
                <w:szCs w:val="22"/>
              </w:rPr>
              <w:t>2015-12-18</w:t>
            </w:r>
            <w:r>
              <w:rPr>
                <w:rFonts w:ascii="Times New Roman" w:hAnsi="Times New Roman" w:cs="Times New Roman" w:eastAsia="Times New Roman" w:hint="default"/>
                <w:sz w:val="22"/>
                <w:szCs w:val="22"/>
              </w:rPr>
              <w:t> </w:t>
            </w:r>
            <w:r>
              <w:rPr>
                <w:rFonts w:ascii="宋体" w:hAnsi="宋体" w:cs="宋体" w:eastAsia="宋体" w:hint="default"/>
                <w:sz w:val="22"/>
                <w:szCs w:val="22"/>
              </w:rPr>
              <w:t>编号</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20151217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苏宁云</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商集团股份有限公司投资者关系活动记录表</w:t>
            </w:r>
          </w:p>
        </w:tc>
      </w:tr>
    </w:tbl>
    <w:p>
      <w:pPr>
        <w:spacing w:after="0" w:line="240" w:lineRule="auto"/>
        <w:jc w:val="left"/>
        <w:rPr>
          <w:rFonts w:ascii="宋体" w:hAnsi="宋体" w:cs="宋体" w:eastAsia="宋体" w:hint="default"/>
          <w:sz w:val="22"/>
          <w:szCs w:val="22"/>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978"/>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left="594" w:right="1082"/>
        <w:jc w:val="left"/>
      </w:pPr>
      <w:r>
        <w:rPr/>
        <w:t>报告期内普通股利润分配政策，特别是现金分红政策的制定、执行或调整情况</w:t>
      </w:r>
    </w:p>
    <w:p>
      <w:pPr>
        <w:pStyle w:val="BodyText"/>
        <w:spacing w:line="369" w:lineRule="auto" w:before="180"/>
        <w:ind w:left="59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spacing w:val="-1"/>
        </w:rPr>
        <w:t>报告期内，公司第五届董事会第二十三次会议审议、</w:t>
      </w:r>
      <w:r>
        <w:rPr>
          <w:rFonts w:ascii="Times New Roman" w:hAnsi="Times New Roman" w:cs="Times New Roman" w:eastAsia="Times New Roman" w:hint="default"/>
          <w:spacing w:val="-1"/>
        </w:rPr>
        <w:t>2015</w:t>
      </w:r>
      <w:r>
        <w:rPr>
          <w:spacing w:val="-1"/>
        </w:rPr>
        <w:t>年度第三次临时股东大会决议通过《苏</w:t>
      </w:r>
    </w:p>
    <w:p>
      <w:pPr>
        <w:pStyle w:val="BodyText"/>
        <w:spacing w:line="369" w:lineRule="auto" w:before="32"/>
        <w:ind w:left="154" w:right="1130"/>
        <w:jc w:val="both"/>
      </w:pPr>
      <w:r>
        <w:rPr>
          <w:spacing w:val="-1"/>
        </w:rPr>
        <w:t>宁云商集团股份有限公司未来三年（</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2017</w:t>
      </w:r>
      <w:r>
        <w:rPr>
          <w:spacing w:val="-1"/>
        </w:rPr>
        <w:t>年）股东回报规划》，根据中国证监会《上市公司监</w:t>
      </w:r>
      <w:r>
        <w:rPr>
          <w:w w:val="99"/>
        </w:rPr>
        <w:t> </w:t>
      </w:r>
      <w:r>
        <w:rPr/>
        <w:t>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上市公司现金分红》等相关规定的要求，为明确公司对新老股东合理投资回报，增</w:t>
      </w:r>
      <w:r>
        <w:rPr>
          <w:w w:val="99"/>
        </w:rPr>
        <w:t> </w:t>
      </w:r>
      <w:r>
        <w:rPr>
          <w:spacing w:val="-1"/>
        </w:rPr>
        <w:t>加利润分配决策透明度和可操作性，便于股东对公司经营和利润分配进行监督，公司制订了未来三年</w:t>
      </w:r>
    </w:p>
    <w:p>
      <w:pPr>
        <w:pStyle w:val="BodyText"/>
        <w:spacing w:line="240" w:lineRule="auto" w:before="61"/>
        <w:ind w:left="154" w:right="0"/>
        <w:jc w:val="both"/>
      </w:pPr>
      <w:r>
        <w:rPr/>
        <w:t>（</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2017</w:t>
      </w:r>
      <w:r>
        <w:rPr/>
        <w:t>年）股东回报规划。</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4476"/>
      </w:tblGrid>
      <w:tr>
        <w:trPr>
          <w:trHeight w:val="31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 w:right="11"/>
              <w:jc w:val="center"/>
              <w:rPr>
                <w:rFonts w:ascii="宋体" w:hAnsi="宋体" w:cs="宋体" w:eastAsia="宋体" w:hint="default"/>
                <w:sz w:val="22"/>
                <w:szCs w:val="22"/>
              </w:rPr>
            </w:pPr>
            <w:r>
              <w:rPr>
                <w:rFonts w:ascii="宋体" w:hAnsi="宋体" w:cs="宋体" w:eastAsia="宋体" w:hint="default"/>
                <w:sz w:val="22"/>
                <w:szCs w:val="22"/>
              </w:rPr>
              <w:t>现金分红政策的专项说明</w:t>
            </w:r>
          </w:p>
        </w:tc>
      </w:tr>
      <w:tr>
        <w:trPr>
          <w:trHeight w:val="326"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2"/>
                <w:szCs w:val="22"/>
              </w:rPr>
            </w:pPr>
            <w:r>
              <w:rPr>
                <w:rFonts w:ascii="宋体" w:hAnsi="宋体" w:cs="宋体" w:eastAsia="宋体" w:hint="default"/>
                <w:sz w:val="22"/>
                <w:szCs w:val="22"/>
              </w:rPr>
              <w:t>是否符合公司章程的规定或股东大会决议的要求：</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70"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分红标准和比例是否明确和清晰：</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相关的决策程序和机制是否完备：</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独立董事是否履职尽责并发挥了应有的作用：</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5"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w w:val="95"/>
                <w:sz w:val="22"/>
                <w:szCs w:val="22"/>
              </w:rPr>
              <w:t>中小股东是否有充分表达意见和诉求的机会，其合法</w:t>
            </w:r>
            <w:r>
              <w:rPr>
                <w:rFonts w:ascii="宋体" w:hAnsi="宋体" w:cs="宋体" w:eastAsia="宋体" w:hint="default"/>
                <w:sz w:val="22"/>
                <w:szCs w:val="22"/>
              </w:rPr>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权益是否得到了充分保护：</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w w:val="95"/>
                <w:sz w:val="22"/>
                <w:szCs w:val="22"/>
              </w:rPr>
              <w:t>现金分红政策进行调整或变更的，条件及程序是否合</w:t>
            </w:r>
            <w:r>
              <w:rPr>
                <w:rFonts w:ascii="宋体" w:hAnsi="宋体" w:cs="宋体" w:eastAsia="宋体" w:hint="default"/>
                <w:sz w:val="22"/>
                <w:szCs w:val="22"/>
              </w:rPr>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规、透明：</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bl>
    <w:p>
      <w:pPr>
        <w:spacing w:line="240" w:lineRule="auto" w:before="8"/>
        <w:rPr>
          <w:rFonts w:ascii="宋体" w:hAnsi="宋体" w:cs="宋体" w:eastAsia="宋体" w:hint="default"/>
          <w:sz w:val="25"/>
          <w:szCs w:val="25"/>
        </w:rPr>
      </w:pPr>
    </w:p>
    <w:p>
      <w:pPr>
        <w:pStyle w:val="BodyText"/>
        <w:spacing w:line="240" w:lineRule="auto" w:before="31"/>
        <w:ind w:left="594" w:right="1082"/>
        <w:jc w:val="left"/>
      </w:pPr>
      <w:r>
        <w:rPr>
          <w:w w:val="99"/>
        </w:rPr>
        <w:t>公司近</w:t>
      </w:r>
      <w:r>
        <w:rPr>
          <w:spacing w:val="-55"/>
        </w:rPr>
        <w:t> </w:t>
      </w:r>
      <w:r>
        <w:rPr>
          <w:rFonts w:ascii="Times New Roman" w:hAnsi="Times New Roman" w:cs="Times New Roman" w:eastAsia="Times New Roman" w:hint="default"/>
          <w:w w:val="99"/>
        </w:rPr>
        <w:t>3</w:t>
      </w:r>
      <w:r>
        <w:rPr>
          <w:rFonts w:ascii="Times New Roman" w:hAnsi="Times New Roman" w:cs="Times New Roman" w:eastAsia="Times New Roman" w:hint="default"/>
        </w:rPr>
        <w:t> </w:t>
      </w:r>
      <w:r>
        <w:rPr>
          <w:spacing w:val="-29"/>
          <w:w w:val="99"/>
        </w:rPr>
        <w:t>年</w:t>
      </w:r>
      <w:r>
        <w:rPr>
          <w:w w:val="99"/>
        </w:rPr>
        <w:t>（包括本报告期</w:t>
      </w:r>
      <w:r>
        <w:rPr>
          <w:spacing w:val="-31"/>
          <w:w w:val="99"/>
        </w:rPr>
        <w:t>）</w:t>
      </w:r>
      <w:r>
        <w:rPr>
          <w:w w:val="99"/>
        </w:rPr>
        <w:t>的普通股股利分配方</w:t>
      </w:r>
      <w:r>
        <w:rPr>
          <w:spacing w:val="-31"/>
          <w:w w:val="99"/>
        </w:rPr>
        <w:t>案</w:t>
      </w:r>
      <w:r>
        <w:rPr>
          <w:w w:val="99"/>
        </w:rPr>
        <w:t>（预案</w:t>
      </w:r>
      <w:r>
        <w:rPr>
          <w:spacing w:val="-111"/>
          <w:w w:val="99"/>
        </w:rPr>
        <w:t>）</w:t>
      </w:r>
      <w:r>
        <w:rPr>
          <w:spacing w:val="-31"/>
          <w:w w:val="99"/>
        </w:rPr>
        <w:t>、</w:t>
      </w:r>
      <w:r>
        <w:rPr>
          <w:w w:val="99"/>
        </w:rPr>
        <w:t>资本公积金转增股本方</w:t>
      </w:r>
      <w:r>
        <w:rPr>
          <w:spacing w:val="-31"/>
          <w:w w:val="99"/>
        </w:rPr>
        <w:t>案</w:t>
      </w:r>
      <w:r>
        <w:rPr>
          <w:w w:val="99"/>
        </w:rPr>
        <w:t>（预案）</w:t>
      </w:r>
      <w:r>
        <w:rPr/>
      </w:r>
    </w:p>
    <w:p>
      <w:pPr>
        <w:spacing w:line="240" w:lineRule="auto" w:before="1"/>
        <w:rPr>
          <w:rFonts w:ascii="宋体" w:hAnsi="宋体" w:cs="宋体" w:eastAsia="宋体" w:hint="default"/>
          <w:sz w:val="10"/>
          <w:szCs w:val="10"/>
        </w:rPr>
      </w:pPr>
    </w:p>
    <w:p>
      <w:pPr>
        <w:pStyle w:val="BodyText"/>
        <w:spacing w:line="240" w:lineRule="auto" w:before="31"/>
        <w:ind w:left="154" w:right="1082"/>
        <w:jc w:val="left"/>
      </w:pPr>
      <w:r>
        <w:rPr/>
        <w:t>情况</w:t>
      </w:r>
    </w:p>
    <w:p>
      <w:pPr>
        <w:spacing w:line="240" w:lineRule="auto" w:before="4"/>
        <w:rPr>
          <w:rFonts w:ascii="宋体" w:hAnsi="宋体" w:cs="宋体" w:eastAsia="宋体" w:hint="default"/>
          <w:sz w:val="11"/>
          <w:szCs w:val="11"/>
        </w:rPr>
      </w:pPr>
    </w:p>
    <w:p>
      <w:pPr>
        <w:pStyle w:val="BodyText"/>
        <w:spacing w:line="369" w:lineRule="auto" w:before="31"/>
        <w:ind w:right="1130" w:firstLine="44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年度：公司</w:t>
      </w:r>
      <w:r>
        <w:rPr>
          <w:rFonts w:ascii="Times New Roman" w:hAnsi="Times New Roman" w:cs="Times New Roman" w:eastAsia="Times New Roman" w:hint="default"/>
          <w:spacing w:val="-2"/>
        </w:rPr>
        <w:t>2015</w:t>
      </w:r>
      <w:r>
        <w:rPr>
          <w:spacing w:val="-2"/>
        </w:rPr>
        <w:t>年年度权益分派方案为以公司</w:t>
      </w:r>
      <w:r>
        <w:rPr>
          <w:rFonts w:ascii="Times New Roman" w:hAnsi="Times New Roman" w:cs="Times New Roman" w:eastAsia="Times New Roman" w:hint="default"/>
          <w:spacing w:val="-2"/>
        </w:rPr>
        <w:t>2015</w:t>
      </w:r>
      <w:r>
        <w:rPr>
          <w:spacing w:val="-2"/>
        </w:rPr>
        <w:t>年末总股本</w:t>
      </w:r>
      <w:r>
        <w:rPr>
          <w:rFonts w:ascii="Times New Roman" w:hAnsi="Times New Roman" w:cs="Times New Roman" w:eastAsia="Times New Roman" w:hint="default"/>
          <w:spacing w:val="-2"/>
        </w:rPr>
        <w:t>7,383,043,150</w:t>
      </w:r>
      <w:r>
        <w:rPr>
          <w:spacing w:val="-2"/>
        </w:rPr>
        <w:t>股为基数，向</w:t>
      </w:r>
      <w:r>
        <w:rPr>
          <w:w w:val="99"/>
        </w:rPr>
        <w:t> </w:t>
      </w:r>
      <w:r>
        <w:rPr/>
        <w:t>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0.60</w:t>
      </w:r>
      <w:r>
        <w:rPr/>
        <w:t>元人民币现金（含税）。</w:t>
      </w:r>
    </w:p>
    <w:p>
      <w:pPr>
        <w:pStyle w:val="BodyText"/>
        <w:spacing w:line="369" w:lineRule="auto" w:before="32"/>
        <w:ind w:right="1130" w:firstLine="44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年度：公司</w:t>
      </w:r>
      <w:r>
        <w:rPr>
          <w:rFonts w:ascii="Times New Roman" w:hAnsi="Times New Roman" w:cs="Times New Roman" w:eastAsia="Times New Roman" w:hint="default"/>
          <w:spacing w:val="-2"/>
        </w:rPr>
        <w:t>2014</w:t>
      </w:r>
      <w:r>
        <w:rPr>
          <w:spacing w:val="-2"/>
        </w:rPr>
        <w:t>年年度权益分派方案为以公司</w:t>
      </w:r>
      <w:r>
        <w:rPr>
          <w:rFonts w:ascii="Times New Roman" w:hAnsi="Times New Roman" w:cs="Times New Roman" w:eastAsia="Times New Roman" w:hint="default"/>
          <w:spacing w:val="-2"/>
        </w:rPr>
        <w:t>2014</w:t>
      </w:r>
      <w:r>
        <w:rPr>
          <w:spacing w:val="-2"/>
        </w:rPr>
        <w:t>年末总股本</w:t>
      </w:r>
      <w:r>
        <w:rPr>
          <w:rFonts w:ascii="Times New Roman" w:hAnsi="Times New Roman" w:cs="Times New Roman" w:eastAsia="Times New Roman" w:hint="default"/>
          <w:spacing w:val="-2"/>
        </w:rPr>
        <w:t>7,383,043,150</w:t>
      </w:r>
      <w:r>
        <w:rPr>
          <w:spacing w:val="-2"/>
        </w:rPr>
        <w:t>股为基数，向</w:t>
      </w:r>
      <w:r>
        <w:rPr>
          <w:w w:val="99"/>
        </w:rPr>
        <w:t> </w:t>
      </w:r>
      <w:r>
        <w:rPr/>
        <w:t>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0.50</w:t>
      </w:r>
      <w:r>
        <w:rPr/>
        <w:t>元人民币现金（含税）。</w:t>
      </w:r>
    </w:p>
    <w:p>
      <w:pPr>
        <w:pStyle w:val="BodyText"/>
        <w:spacing w:line="240" w:lineRule="auto" w:before="32"/>
        <w:ind w:left="594" w:right="108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年度：公司</w:t>
      </w:r>
      <w:r>
        <w:rPr>
          <w:rFonts w:ascii="Times New Roman" w:hAnsi="Times New Roman" w:cs="Times New Roman" w:eastAsia="Times New Roman" w:hint="default"/>
        </w:rPr>
        <w:t>2013</w:t>
      </w:r>
      <w:r>
        <w:rPr/>
        <w:t>年度不派发现金红利，不送红股，不以公积金转增股本。</w:t>
      </w:r>
    </w:p>
    <w:p>
      <w:pPr>
        <w:spacing w:after="0" w:line="240" w:lineRule="auto"/>
        <w:jc w:val="left"/>
        <w:sectPr>
          <w:pgSz w:w="11910" w:h="16840"/>
          <w:pgMar w:header="877" w:footer="979" w:top="1100" w:bottom="1160" w:left="980" w:right="0"/>
        </w:sectPr>
      </w:pPr>
    </w:p>
    <w:p>
      <w:pPr>
        <w:spacing w:line="240" w:lineRule="auto" w:before="3"/>
        <w:rPr>
          <w:rFonts w:ascii="宋体" w:hAnsi="宋体" w:cs="宋体" w:eastAsia="宋体" w:hint="default"/>
          <w:sz w:val="26"/>
          <w:szCs w:val="26"/>
        </w:rPr>
      </w:pPr>
    </w:p>
    <w:p>
      <w:pPr>
        <w:pStyle w:val="BodyText"/>
        <w:spacing w:line="240" w:lineRule="auto" w:before="31"/>
        <w:ind w:left="594" w:right="1082"/>
        <w:jc w:val="left"/>
      </w:pPr>
      <w:r>
        <w:rPr/>
        <w:t>公司近三年（包括本报告期）普通股现金分红情况表</w:t>
      </w:r>
    </w:p>
    <w:p>
      <w:pPr>
        <w:pStyle w:val="BodyText"/>
        <w:spacing w:line="240" w:lineRule="auto" w:before="126"/>
        <w:ind w:left="0" w:right="1130"/>
        <w:jc w:val="right"/>
      </w:pPr>
      <w:r>
        <w:rPr/>
        <w:t>单位：千元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83"/>
        <w:gridCol w:w="1605"/>
        <w:gridCol w:w="1595"/>
      </w:tblGrid>
      <w:tr>
        <w:trPr>
          <w:trHeight w:val="47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分红年度合并</w:t>
            </w:r>
          </w:p>
          <w:p>
            <w:pPr>
              <w:pStyle w:val="TableParagraph"/>
              <w:spacing w:line="259" w:lineRule="auto" w:before="24"/>
              <w:ind w:left="132" w:right="130"/>
              <w:jc w:val="center"/>
              <w:rPr>
                <w:rFonts w:ascii="宋体" w:hAnsi="宋体" w:cs="宋体" w:eastAsia="宋体" w:hint="default"/>
                <w:sz w:val="22"/>
                <w:szCs w:val="22"/>
              </w:rPr>
            </w:pPr>
            <w:r>
              <w:rPr>
                <w:rFonts w:ascii="宋体" w:hAnsi="宋体" w:cs="宋体" w:eastAsia="宋体" w:hint="default"/>
                <w:sz w:val="22"/>
                <w:szCs w:val="22"/>
              </w:rPr>
              <w:t>报表中归属于</w:t>
            </w:r>
            <w:r>
              <w:rPr>
                <w:rFonts w:ascii="宋体" w:hAnsi="宋体" w:cs="宋体" w:eastAsia="宋体" w:hint="default"/>
                <w:w w:val="99"/>
                <w:sz w:val="22"/>
                <w:szCs w:val="22"/>
              </w:rPr>
              <w:t> </w:t>
            </w:r>
            <w:r>
              <w:rPr>
                <w:rFonts w:ascii="宋体" w:hAnsi="宋体" w:cs="宋体" w:eastAsia="宋体" w:hint="default"/>
                <w:sz w:val="22"/>
                <w:szCs w:val="22"/>
              </w:rPr>
              <w:t>上市公司普通</w:t>
            </w:r>
            <w:r>
              <w:rPr>
                <w:rFonts w:ascii="宋体" w:hAnsi="宋体" w:cs="宋体" w:eastAsia="宋体" w:hint="default"/>
                <w:w w:val="99"/>
                <w:sz w:val="22"/>
                <w:szCs w:val="22"/>
              </w:rPr>
              <w:t> </w:t>
            </w:r>
            <w:r>
              <w:rPr>
                <w:rFonts w:ascii="宋体" w:hAnsi="宋体" w:cs="宋体" w:eastAsia="宋体" w:hint="default"/>
                <w:sz w:val="22"/>
                <w:szCs w:val="22"/>
              </w:rPr>
              <w:t>股股东的净利</w:t>
            </w:r>
            <w:r>
              <w:rPr>
                <w:rFonts w:ascii="宋体" w:hAnsi="宋体" w:cs="宋体" w:eastAsia="宋体" w:hint="default"/>
                <w:w w:val="99"/>
                <w:sz w:val="22"/>
                <w:szCs w:val="22"/>
              </w:rPr>
              <w:t> </w:t>
            </w:r>
            <w:r>
              <w:rPr>
                <w:rFonts w:ascii="宋体" w:hAnsi="宋体" w:cs="宋体" w:eastAsia="宋体" w:hint="default"/>
                <w:sz w:val="22"/>
                <w:szCs w:val="22"/>
              </w:rPr>
              <w:t>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占合并报表中</w:t>
            </w:r>
          </w:p>
          <w:p>
            <w:pPr>
              <w:pStyle w:val="TableParagraph"/>
              <w:spacing w:line="259" w:lineRule="auto" w:before="24"/>
              <w:ind w:left="132" w:right="119"/>
              <w:jc w:val="center"/>
              <w:rPr>
                <w:rFonts w:ascii="宋体" w:hAnsi="宋体" w:cs="宋体" w:eastAsia="宋体" w:hint="default"/>
                <w:sz w:val="22"/>
                <w:szCs w:val="22"/>
              </w:rPr>
            </w:pPr>
            <w:r>
              <w:rPr>
                <w:rFonts w:ascii="宋体" w:hAnsi="宋体" w:cs="宋体" w:eastAsia="宋体" w:hint="default"/>
                <w:sz w:val="22"/>
                <w:szCs w:val="22"/>
              </w:rPr>
              <w:t>归属于上市公</w:t>
            </w:r>
            <w:r>
              <w:rPr>
                <w:rFonts w:ascii="宋体" w:hAnsi="宋体" w:cs="宋体" w:eastAsia="宋体" w:hint="default"/>
                <w:w w:val="99"/>
                <w:sz w:val="22"/>
                <w:szCs w:val="22"/>
              </w:rPr>
              <w:t> </w:t>
            </w:r>
            <w:r>
              <w:rPr>
                <w:rFonts w:ascii="宋体" w:hAnsi="宋体" w:cs="宋体" w:eastAsia="宋体" w:hint="default"/>
                <w:sz w:val="22"/>
                <w:szCs w:val="22"/>
              </w:rPr>
              <w:t>司普通股股东</w:t>
            </w:r>
            <w:r>
              <w:rPr>
                <w:rFonts w:ascii="宋体" w:hAnsi="宋体" w:cs="宋体" w:eastAsia="宋体" w:hint="default"/>
                <w:w w:val="99"/>
                <w:sz w:val="22"/>
                <w:szCs w:val="22"/>
              </w:rPr>
              <w:t> </w:t>
            </w:r>
            <w:r>
              <w:rPr>
                <w:rFonts w:ascii="宋体" w:hAnsi="宋体" w:cs="宋体" w:eastAsia="宋体" w:hint="default"/>
                <w:sz w:val="22"/>
                <w:szCs w:val="22"/>
              </w:rPr>
              <w:t>的净利润的比</w:t>
            </w:r>
            <w:r>
              <w:rPr>
                <w:rFonts w:ascii="宋体" w:hAnsi="宋体" w:cs="宋体" w:eastAsia="宋体" w:hint="default"/>
                <w:w w:val="99"/>
                <w:sz w:val="22"/>
                <w:szCs w:val="22"/>
              </w:rPr>
              <w:t> </w:t>
            </w:r>
            <w:r>
              <w:rPr>
                <w:rFonts w:ascii="宋体" w:hAnsi="宋体" w:cs="宋体" w:eastAsia="宋体" w:hint="default"/>
                <w:sz w:val="22"/>
                <w:szCs w:val="22"/>
              </w:rPr>
              <w:t>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现金分红金额</w:t>
            </w:r>
          </w:p>
          <w:p>
            <w:pPr>
              <w:pStyle w:val="TableParagraph"/>
              <w:spacing w:line="240" w:lineRule="auto" w:before="24"/>
              <w:ind w:right="2"/>
              <w:jc w:val="center"/>
              <w:rPr>
                <w:rFonts w:ascii="宋体" w:hAnsi="宋体" w:cs="宋体" w:eastAsia="宋体" w:hint="default"/>
                <w:sz w:val="22"/>
                <w:szCs w:val="22"/>
              </w:rPr>
            </w:pPr>
            <w:r>
              <w:rPr>
                <w:rFonts w:ascii="宋体" w:hAnsi="宋体" w:cs="宋体" w:eastAsia="宋体" w:hint="default"/>
                <w:sz w:val="22"/>
                <w:szCs w:val="22"/>
              </w:rPr>
              <w:t>（含税）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143" w:right="0"/>
              <w:jc w:val="left"/>
              <w:rPr>
                <w:rFonts w:ascii="宋体" w:hAnsi="宋体" w:cs="宋体" w:eastAsia="宋体" w:hint="default"/>
                <w:sz w:val="22"/>
                <w:szCs w:val="22"/>
              </w:rPr>
            </w:pPr>
            <w:r>
              <w:rPr>
                <w:rFonts w:ascii="宋体" w:hAnsi="宋体" w:cs="宋体" w:eastAsia="宋体" w:hint="default"/>
                <w:sz w:val="22"/>
                <w:szCs w:val="22"/>
              </w:rPr>
              <w:t>以其他方式现</w:t>
            </w:r>
          </w:p>
          <w:p>
            <w:pPr>
              <w:pStyle w:val="TableParagraph"/>
              <w:spacing w:line="240" w:lineRule="auto" w:before="24"/>
              <w:ind w:left="143" w:right="0"/>
              <w:jc w:val="left"/>
              <w:rPr>
                <w:rFonts w:ascii="宋体" w:hAnsi="宋体" w:cs="宋体" w:eastAsia="宋体" w:hint="default"/>
                <w:sz w:val="22"/>
                <w:szCs w:val="22"/>
              </w:rPr>
            </w:pPr>
            <w:r>
              <w:rPr>
                <w:rFonts w:ascii="宋体" w:hAnsi="宋体" w:cs="宋体" w:eastAsia="宋体" w:hint="default"/>
                <w:sz w:val="22"/>
                <w:szCs w:val="22"/>
              </w:rPr>
              <w:t>金分红的金额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133" w:right="0"/>
              <w:jc w:val="left"/>
              <w:rPr>
                <w:rFonts w:ascii="宋体" w:hAnsi="宋体" w:cs="宋体" w:eastAsia="宋体" w:hint="default"/>
                <w:sz w:val="22"/>
                <w:szCs w:val="22"/>
              </w:rPr>
            </w:pPr>
            <w:r>
              <w:rPr>
                <w:rFonts w:ascii="宋体" w:hAnsi="宋体" w:cs="宋体" w:eastAsia="宋体" w:hint="default"/>
                <w:sz w:val="22"/>
                <w:szCs w:val="22"/>
              </w:rPr>
              <w:t>以其他方式现</w:t>
            </w:r>
          </w:p>
          <w:p>
            <w:pPr>
              <w:pStyle w:val="TableParagraph"/>
              <w:spacing w:line="240" w:lineRule="auto" w:before="24"/>
              <w:ind w:left="133" w:right="0"/>
              <w:jc w:val="left"/>
              <w:rPr>
                <w:rFonts w:ascii="宋体" w:hAnsi="宋体" w:cs="宋体" w:eastAsia="宋体" w:hint="default"/>
                <w:sz w:val="22"/>
                <w:szCs w:val="22"/>
              </w:rPr>
            </w:pPr>
            <w:r>
              <w:rPr>
                <w:rFonts w:ascii="宋体" w:hAnsi="宋体" w:cs="宋体" w:eastAsia="宋体" w:hint="default"/>
                <w:sz w:val="22"/>
                <w:szCs w:val="22"/>
              </w:rPr>
              <w:t>金分红的比例</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352" w:right="0"/>
              <w:jc w:val="left"/>
              <w:rPr>
                <w:rFonts w:ascii="宋体" w:hAnsi="宋体" w:cs="宋体" w:eastAsia="宋体" w:hint="default"/>
                <w:sz w:val="22"/>
                <w:szCs w:val="22"/>
              </w:rPr>
            </w:pPr>
            <w:r>
              <w:rPr>
                <w:rFonts w:ascii="宋体" w:hAnsi="宋体" w:cs="宋体" w:eastAsia="宋体" w:hint="default"/>
                <w:sz w:val="22"/>
                <w:szCs w:val="22"/>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47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442,983</w:t>
            </w:r>
            <w:r>
              <w:rPr>
                <w:rFonts w:ascii="Times New Roman"/>
                <w:sz w:val="2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872,504</w:t>
            </w:r>
            <w:r>
              <w:rPr>
                <w:rFonts w:ascii="Times New Roman"/>
                <w:sz w:val="22"/>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
              <w:jc w:val="right"/>
              <w:rPr>
                <w:rFonts w:ascii="Times New Roman" w:hAnsi="Times New Roman" w:cs="Times New Roman" w:eastAsia="Times New Roman" w:hint="default"/>
                <w:sz w:val="22"/>
                <w:szCs w:val="22"/>
              </w:rPr>
            </w:pPr>
            <w:r>
              <w:rPr>
                <w:rFonts w:ascii="Times New Roman"/>
                <w:w w:val="95"/>
                <w:sz w:val="22"/>
              </w:rPr>
              <w:t>50.77%</w:t>
            </w:r>
            <w:r>
              <w:rPr>
                <w:rFonts w:ascii="Times New Roman"/>
                <w:sz w:val="22"/>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369,152</w:t>
            </w:r>
            <w:r>
              <w:rPr>
                <w:rFonts w:ascii="Times New Roman"/>
                <w:sz w:val="2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866,915</w:t>
            </w:r>
            <w:r>
              <w:rPr>
                <w:rFonts w:ascii="Times New Roman"/>
                <w:sz w:val="22"/>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22"/>
                <w:szCs w:val="22"/>
              </w:rPr>
            </w:pPr>
            <w:r>
              <w:rPr>
                <w:rFonts w:ascii="Times New Roman"/>
                <w:w w:val="95"/>
                <w:sz w:val="22"/>
              </w:rPr>
              <w:t>42.58%</w:t>
            </w:r>
            <w:r>
              <w:rPr>
                <w:rFonts w:ascii="Times New Roman"/>
                <w:sz w:val="22"/>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371,770</w:t>
            </w:r>
            <w:r>
              <w:rPr>
                <w:rFonts w:ascii="Times New Roman"/>
                <w:sz w:val="22"/>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bl>
    <w:p>
      <w:pPr>
        <w:spacing w:line="240" w:lineRule="auto" w:before="6"/>
        <w:rPr>
          <w:rFonts w:ascii="宋体" w:hAnsi="宋体" w:cs="宋体" w:eastAsia="宋体" w:hint="default"/>
          <w:sz w:val="21"/>
          <w:szCs w:val="21"/>
        </w:rPr>
      </w:pPr>
    </w:p>
    <w:p>
      <w:pPr>
        <w:pStyle w:val="BodyText"/>
        <w:spacing w:line="240" w:lineRule="auto" w:before="31"/>
        <w:ind w:left="154" w:right="1082"/>
        <w:jc w:val="left"/>
      </w:pPr>
      <w:r>
        <w:rPr/>
        <w:t>公司报告期内盈利且母公司可供普通股股东分配利润为正但未提出普通股现金红利分配预案</w:t>
      </w:r>
    </w:p>
    <w:p>
      <w:pPr>
        <w:pStyle w:val="BodyText"/>
        <w:spacing w:line="240" w:lineRule="auto" w:before="71"/>
        <w:ind w:right="1082"/>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2"/>
        <w:rPr>
          <w:rFonts w:ascii="宋体" w:hAnsi="宋体" w:cs="宋体" w:eastAsia="宋体" w:hint="default"/>
          <w:sz w:val="24"/>
          <w:szCs w:val="24"/>
        </w:rPr>
      </w:pPr>
    </w:p>
    <w:p>
      <w:pPr>
        <w:pStyle w:val="Heading2"/>
        <w:spacing w:line="240" w:lineRule="auto"/>
        <w:ind w:left="154" w:right="1082"/>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295"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22" w:right="0"/>
              <w:jc w:val="left"/>
              <w:rPr>
                <w:rFonts w:ascii="宋体" w:hAnsi="宋体" w:cs="宋体" w:eastAsia="宋体" w:hint="default"/>
                <w:sz w:val="22"/>
                <w:szCs w:val="22"/>
              </w:rPr>
            </w:pPr>
            <w:r>
              <w:rPr>
                <w:rFonts w:ascii="宋体" w:hAnsi="宋体" w:cs="宋体" w:eastAsia="宋体" w:hint="default"/>
                <w:sz w:val="22"/>
                <w:szCs w:val="22"/>
              </w:rPr>
              <w:t>每</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296"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22" w:right="0"/>
              <w:jc w:val="left"/>
              <w:rPr>
                <w:rFonts w:ascii="宋体" w:hAnsi="宋体" w:cs="宋体" w:eastAsia="宋体" w:hint="default"/>
                <w:sz w:val="22"/>
                <w:szCs w:val="22"/>
              </w:rPr>
            </w:pPr>
            <w:r>
              <w:rPr>
                <w:rFonts w:ascii="宋体" w:hAnsi="宋体" w:cs="宋体" w:eastAsia="宋体" w:hint="default"/>
                <w:sz w:val="22"/>
                <w:szCs w:val="22"/>
              </w:rPr>
              <w:t>每</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股派息数（元，含税）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0.60</w:t>
            </w:r>
            <w:r>
              <w:rPr>
                <w:rFonts w:ascii="Times New Roman"/>
                <w:sz w:val="22"/>
              </w:rPr>
            </w:r>
          </w:p>
        </w:tc>
      </w:tr>
      <w:tr>
        <w:trPr>
          <w:trHeight w:val="295"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22" w:right="0"/>
              <w:jc w:val="left"/>
              <w:rPr>
                <w:rFonts w:ascii="宋体" w:hAnsi="宋体" w:cs="宋体" w:eastAsia="宋体" w:hint="default"/>
                <w:sz w:val="22"/>
                <w:szCs w:val="22"/>
              </w:rPr>
            </w:pPr>
            <w:r>
              <w:rPr>
                <w:rFonts w:ascii="宋体" w:hAnsi="宋体" w:cs="宋体" w:eastAsia="宋体" w:hint="default"/>
                <w:sz w:val="22"/>
                <w:szCs w:val="22"/>
              </w:rPr>
              <w:t>每</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295"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分配预案的股本基数（千股）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7,383,043</w:t>
            </w:r>
            <w:r>
              <w:rPr>
                <w:rFonts w:ascii="Times New Roman"/>
                <w:sz w:val="22"/>
              </w:rPr>
            </w:r>
          </w:p>
        </w:tc>
      </w:tr>
      <w:tr>
        <w:trPr>
          <w:trHeight w:val="296"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现金分红总额（千元，含税）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442,983</w:t>
            </w:r>
            <w:r>
              <w:rPr>
                <w:rFonts w:ascii="Times New Roman"/>
                <w:sz w:val="22"/>
              </w:rPr>
            </w:r>
          </w:p>
        </w:tc>
      </w:tr>
      <w:tr>
        <w:trPr>
          <w:trHeight w:val="295"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可分配利润（千元）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22"/>
                <w:szCs w:val="22"/>
              </w:rPr>
            </w:pPr>
            <w:r>
              <w:rPr>
                <w:rFonts w:ascii="Times New Roman"/>
                <w:w w:val="95"/>
                <w:sz w:val="22"/>
              </w:rPr>
              <w:t>5,929,407</w:t>
            </w:r>
            <w:r>
              <w:rPr>
                <w:rFonts w:ascii="Times New Roman"/>
                <w:sz w:val="22"/>
              </w:rPr>
            </w:r>
          </w:p>
        </w:tc>
      </w:tr>
      <w:tr>
        <w:trPr>
          <w:trHeight w:val="295"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r>
      <w:tr>
        <w:trPr>
          <w:trHeight w:val="295"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本次现金分红情况</w:t>
            </w:r>
          </w:p>
        </w:tc>
      </w:tr>
      <w:tr>
        <w:trPr>
          <w:trHeight w:val="29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468" w:right="0"/>
              <w:jc w:val="left"/>
              <w:rPr>
                <w:rFonts w:ascii="宋体" w:hAnsi="宋体" w:cs="宋体" w:eastAsia="宋体" w:hint="default"/>
                <w:sz w:val="22"/>
                <w:szCs w:val="22"/>
              </w:rPr>
            </w:pPr>
            <w:r>
              <w:rPr>
                <w:rFonts w:ascii="宋体" w:hAnsi="宋体" w:cs="宋体" w:eastAsia="宋体" w:hint="default"/>
                <w:sz w:val="22"/>
                <w:szCs w:val="22"/>
              </w:rPr>
              <w:t>利润分配或资本公积金转增预案的详细情况说明</w:t>
            </w:r>
          </w:p>
        </w:tc>
      </w:tr>
      <w:tr>
        <w:trPr>
          <w:trHeight w:val="143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 w:right="0"/>
              <w:jc w:val="left"/>
              <w:rPr>
                <w:rFonts w:ascii="宋体" w:hAnsi="宋体" w:cs="宋体" w:eastAsia="宋体" w:hint="default"/>
                <w:sz w:val="22"/>
                <w:szCs w:val="22"/>
              </w:rPr>
            </w:pPr>
            <w:r>
              <w:rPr>
                <w:rFonts w:ascii="宋体" w:hAnsi="宋体" w:cs="宋体" w:eastAsia="宋体" w:hint="default"/>
                <w:sz w:val="22"/>
                <w:szCs w:val="22"/>
              </w:rPr>
              <w:t>经普华永道中天会计师事务所（特殊普通合伙）出具的普华永道中天审字（</w:t>
            </w:r>
            <w:r>
              <w:rPr>
                <w:rFonts w:ascii="Times New Roman" w:hAnsi="Times New Roman" w:cs="Times New Roman" w:eastAsia="Times New Roman" w:hint="default"/>
                <w:sz w:val="22"/>
                <w:szCs w:val="22"/>
              </w:rPr>
              <w:t>2016</w:t>
            </w:r>
            <w:r>
              <w:rPr>
                <w:rFonts w:ascii="宋体" w:hAnsi="宋体" w:cs="宋体" w:eastAsia="宋体" w:hint="default"/>
                <w:sz w:val="22"/>
                <w:szCs w:val="22"/>
              </w:rPr>
              <w:t>）第</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10110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号《审</w:t>
            </w:r>
          </w:p>
          <w:p>
            <w:pPr>
              <w:pStyle w:val="TableParagraph"/>
              <w:spacing w:line="286" w:lineRule="exact"/>
              <w:ind w:left="22" w:right="0"/>
              <w:jc w:val="left"/>
              <w:rPr>
                <w:rFonts w:ascii="宋体" w:hAnsi="宋体" w:cs="宋体" w:eastAsia="宋体" w:hint="default"/>
                <w:sz w:val="22"/>
                <w:szCs w:val="22"/>
              </w:rPr>
            </w:pPr>
            <w:r>
              <w:rPr>
                <w:rFonts w:ascii="宋体" w:hAnsi="宋体" w:cs="宋体" w:eastAsia="宋体" w:hint="default"/>
                <w:sz w:val="22"/>
                <w:szCs w:val="22"/>
              </w:rPr>
              <w:t>计报告》确认，</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年公司母公司实现净利润</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329,667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千元，支付普通股股利</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369,152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千元，加年</w:t>
            </w:r>
          </w:p>
          <w:p>
            <w:pPr>
              <w:pStyle w:val="TableParagraph"/>
              <w:spacing w:line="286" w:lineRule="exact"/>
              <w:ind w:left="22" w:right="0"/>
              <w:jc w:val="left"/>
              <w:rPr>
                <w:rFonts w:ascii="宋体" w:hAnsi="宋体" w:cs="宋体" w:eastAsia="宋体" w:hint="default"/>
                <w:sz w:val="22"/>
                <w:szCs w:val="22"/>
              </w:rPr>
            </w:pPr>
            <w:r>
              <w:rPr>
                <w:rFonts w:ascii="宋体" w:hAnsi="宋体" w:cs="宋体" w:eastAsia="宋体" w:hint="default"/>
                <w:sz w:val="22"/>
                <w:szCs w:val="22"/>
              </w:rPr>
              <w:t>初未分配利润</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5,968,892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千元，报告期末公司未分配利润为</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5,929,407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千元。</w:t>
            </w:r>
          </w:p>
          <w:p>
            <w:pPr>
              <w:pStyle w:val="TableParagraph"/>
              <w:spacing w:line="285"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w w:val="99"/>
                <w:sz w:val="22"/>
                <w:szCs w:val="22"/>
              </w:rPr>
              <w:t>公司以</w:t>
            </w:r>
            <w:r>
              <w:rPr>
                <w:rFonts w:ascii="宋体" w:hAnsi="宋体" w:cs="宋体" w:eastAsia="宋体" w:hint="default"/>
                <w:spacing w:val="-72"/>
                <w:sz w:val="22"/>
                <w:szCs w:val="22"/>
              </w:rPr>
              <w:t> </w:t>
            </w:r>
            <w:r>
              <w:rPr>
                <w:rFonts w:ascii="Times New Roman" w:hAnsi="Times New Roman" w:cs="Times New Roman" w:eastAsia="Times New Roman" w:hint="default"/>
                <w:w w:val="99"/>
                <w:sz w:val="22"/>
                <w:szCs w:val="22"/>
              </w:rPr>
              <w:t>2015</w:t>
            </w:r>
            <w:r>
              <w:rPr>
                <w:rFonts w:ascii="Times New Roman" w:hAnsi="Times New Roman" w:cs="Times New Roman" w:eastAsia="Times New Roman" w:hint="default"/>
                <w:spacing w:val="-16"/>
                <w:sz w:val="22"/>
                <w:szCs w:val="22"/>
              </w:rPr>
              <w:t> </w:t>
            </w:r>
            <w:r>
              <w:rPr>
                <w:rFonts w:ascii="宋体" w:hAnsi="宋体" w:cs="宋体" w:eastAsia="宋体" w:hint="default"/>
                <w:w w:val="99"/>
                <w:sz w:val="22"/>
                <w:szCs w:val="22"/>
              </w:rPr>
              <w:t>年</w:t>
            </w:r>
            <w:r>
              <w:rPr>
                <w:rFonts w:ascii="宋体" w:hAnsi="宋体" w:cs="宋体" w:eastAsia="宋体" w:hint="default"/>
                <w:spacing w:val="-72"/>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16"/>
                <w:sz w:val="22"/>
                <w:szCs w:val="22"/>
              </w:rPr>
              <w:t> </w:t>
            </w:r>
            <w:r>
              <w:rPr>
                <w:rFonts w:ascii="宋体" w:hAnsi="宋体" w:cs="宋体" w:eastAsia="宋体" w:hint="default"/>
                <w:w w:val="99"/>
                <w:sz w:val="22"/>
                <w:szCs w:val="22"/>
              </w:rPr>
              <w:t>月</w:t>
            </w:r>
            <w:r>
              <w:rPr>
                <w:rFonts w:ascii="宋体" w:hAnsi="宋体" w:cs="宋体" w:eastAsia="宋体" w:hint="default"/>
                <w:spacing w:val="-72"/>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5"/>
                <w:sz w:val="22"/>
                <w:szCs w:val="22"/>
              </w:rPr>
              <w:t> </w:t>
            </w:r>
            <w:r>
              <w:rPr>
                <w:rFonts w:ascii="宋体" w:hAnsi="宋体" w:cs="宋体" w:eastAsia="宋体" w:hint="default"/>
                <w:w w:val="99"/>
                <w:sz w:val="22"/>
                <w:szCs w:val="22"/>
              </w:rPr>
              <w:t>日的总股本</w:t>
            </w:r>
            <w:r>
              <w:rPr>
                <w:rFonts w:ascii="宋体" w:hAnsi="宋体" w:cs="宋体" w:eastAsia="宋体" w:hint="default"/>
                <w:spacing w:val="-71"/>
                <w:sz w:val="22"/>
                <w:szCs w:val="22"/>
              </w:rPr>
              <w:t> </w:t>
            </w:r>
            <w:r>
              <w:rPr>
                <w:rFonts w:ascii="Times New Roman" w:hAnsi="Times New Roman" w:cs="Times New Roman" w:eastAsia="Times New Roman" w:hint="default"/>
                <w:w w:val="99"/>
                <w:sz w:val="22"/>
                <w:szCs w:val="22"/>
              </w:rPr>
              <w:t>7,383,043,1</w:t>
            </w:r>
            <w:r>
              <w:rPr>
                <w:rFonts w:ascii="Times New Roman" w:hAnsi="Times New Roman" w:cs="Times New Roman" w:eastAsia="Times New Roman" w:hint="default"/>
                <w:spacing w:val="-2"/>
                <w:w w:val="99"/>
                <w:sz w:val="22"/>
                <w:szCs w:val="22"/>
              </w:rPr>
              <w:t>5</w:t>
            </w:r>
            <w:r>
              <w:rPr>
                <w:rFonts w:ascii="Times New Roman" w:hAnsi="Times New Roman" w:cs="Times New Roman" w:eastAsia="Times New Roman" w:hint="default"/>
                <w:w w:val="99"/>
                <w:sz w:val="22"/>
                <w:szCs w:val="22"/>
              </w:rPr>
              <w:t>0</w:t>
            </w:r>
            <w:r>
              <w:rPr>
                <w:rFonts w:ascii="Times New Roman" w:hAnsi="Times New Roman" w:cs="Times New Roman" w:eastAsia="Times New Roman" w:hint="default"/>
                <w:sz w:val="22"/>
                <w:szCs w:val="22"/>
              </w:rPr>
              <w:t> </w:t>
            </w:r>
            <w:r>
              <w:rPr>
                <w:rFonts w:ascii="Times New Roman" w:hAnsi="Times New Roman" w:cs="Times New Roman" w:eastAsia="Times New Roman" w:hint="default"/>
                <w:spacing w:val="2"/>
                <w:sz w:val="22"/>
                <w:szCs w:val="22"/>
              </w:rPr>
              <w:t> </w:t>
            </w:r>
            <w:r>
              <w:rPr>
                <w:rFonts w:ascii="宋体" w:hAnsi="宋体" w:cs="宋体" w:eastAsia="宋体" w:hint="default"/>
                <w:w w:val="99"/>
                <w:sz w:val="22"/>
                <w:szCs w:val="22"/>
              </w:rPr>
              <w:t>股为基数</w:t>
            </w:r>
            <w:r>
              <w:rPr>
                <w:rFonts w:ascii="宋体" w:hAnsi="宋体" w:cs="宋体" w:eastAsia="宋体" w:hint="default"/>
                <w:spacing w:val="-110"/>
                <w:w w:val="99"/>
                <w:sz w:val="22"/>
                <w:szCs w:val="22"/>
              </w:rPr>
              <w:t>，</w:t>
            </w:r>
            <w:r>
              <w:rPr>
                <w:rFonts w:ascii="宋体" w:hAnsi="宋体" w:cs="宋体" w:eastAsia="宋体" w:hint="default"/>
                <w:w w:val="99"/>
                <w:sz w:val="22"/>
                <w:szCs w:val="22"/>
              </w:rPr>
              <w:t>向全体股东每</w:t>
            </w:r>
            <w:r>
              <w:rPr>
                <w:rFonts w:ascii="宋体" w:hAnsi="宋体" w:cs="宋体" w:eastAsia="宋体" w:hint="default"/>
                <w:spacing w:val="1"/>
                <w:sz w:val="22"/>
                <w:szCs w:val="22"/>
              </w:rPr>
              <w:t> </w:t>
            </w:r>
            <w:r>
              <w:rPr>
                <w:rFonts w:ascii="Times New Roman" w:hAnsi="Times New Roman" w:cs="Times New Roman" w:eastAsia="Times New Roman" w:hint="default"/>
                <w:w w:val="99"/>
                <w:sz w:val="22"/>
                <w:szCs w:val="22"/>
              </w:rPr>
              <w:t>10</w:t>
            </w:r>
            <w:r>
              <w:rPr>
                <w:rFonts w:ascii="Times New Roman" w:hAnsi="Times New Roman" w:cs="Times New Roman" w:eastAsia="Times New Roman" w:hint="default"/>
                <w:sz w:val="22"/>
                <w:szCs w:val="22"/>
              </w:rPr>
              <w:t> </w:t>
            </w:r>
            <w:r>
              <w:rPr>
                <w:rFonts w:ascii="Times New Roman" w:hAnsi="Times New Roman" w:cs="Times New Roman" w:eastAsia="Times New Roman" w:hint="default"/>
                <w:spacing w:val="1"/>
                <w:sz w:val="22"/>
                <w:szCs w:val="22"/>
              </w:rPr>
              <w:t> </w:t>
            </w:r>
            <w:r>
              <w:rPr>
                <w:rFonts w:ascii="宋体" w:hAnsi="宋体" w:cs="宋体" w:eastAsia="宋体" w:hint="default"/>
                <w:w w:val="99"/>
                <w:sz w:val="22"/>
                <w:szCs w:val="22"/>
              </w:rPr>
              <w:t>股派发现金红利</w:t>
            </w:r>
            <w:r>
              <w:rPr>
                <w:rFonts w:ascii="宋体" w:hAnsi="宋体" w:cs="宋体" w:eastAsia="宋体" w:hint="default"/>
                <w:sz w:val="22"/>
                <w:szCs w:val="22"/>
              </w:rPr>
              <w:t> </w:t>
            </w:r>
            <w:r>
              <w:rPr>
                <w:rFonts w:ascii="Times New Roman" w:hAnsi="Times New Roman" w:cs="Times New Roman" w:eastAsia="Times New Roman" w:hint="default"/>
                <w:w w:val="99"/>
                <w:sz w:val="22"/>
                <w:szCs w:val="22"/>
              </w:rPr>
              <w:t>0.60</w:t>
            </w:r>
            <w:r>
              <w:rPr>
                <w:rFonts w:ascii="Times New Roman" w:hAnsi="Times New Roman" w:cs="Times New Roman" w:eastAsia="Times New Roman" w:hint="default"/>
                <w:sz w:val="22"/>
                <w:szCs w:val="22"/>
              </w:rPr>
            </w:r>
          </w:p>
          <w:p>
            <w:pPr>
              <w:pStyle w:val="TableParagraph"/>
              <w:spacing w:line="278"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元（含税</w:t>
            </w:r>
            <w:r>
              <w:rPr>
                <w:rFonts w:ascii="宋体" w:hAnsi="宋体" w:cs="宋体" w:eastAsia="宋体" w:hint="default"/>
                <w:spacing w:val="-111"/>
                <w:w w:val="99"/>
                <w:sz w:val="22"/>
                <w:szCs w:val="22"/>
              </w:rPr>
              <w:t>）</w:t>
            </w:r>
            <w:r>
              <w:rPr>
                <w:rFonts w:ascii="宋体" w:hAnsi="宋体" w:cs="宋体" w:eastAsia="宋体" w:hint="default"/>
                <w:w w:val="99"/>
                <w:sz w:val="22"/>
                <w:szCs w:val="22"/>
              </w:rPr>
              <w:t>，不送红股，不以公积金转增股本。</w:t>
            </w:r>
            <w:r>
              <w:rPr>
                <w:rFonts w:ascii="宋体" w:hAnsi="宋体" w:cs="宋体" w:eastAsia="宋体" w:hint="default"/>
                <w:sz w:val="22"/>
                <w:szCs w:val="22"/>
              </w:rPr>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82"/>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53" w:right="1082" w:firstLine="0"/>
        <w:jc w:val="left"/>
        <w:rPr>
          <w:rFonts w:ascii="宋体" w:hAnsi="宋体" w:cs="宋体" w:eastAsia="宋体" w:hint="default"/>
          <w:sz w:val="21"/>
          <w:szCs w:val="21"/>
        </w:rPr>
      </w:pPr>
      <w:bookmarkStart w:name="1、公司、股东、实际控制人、收购人、董事、监事、高级管理人员或其他关联方在报告期" w:id="68"/>
      <w:bookmarkEnd w:id="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、公司、股东、实际控制人、收购人、董事、监事、高级管理人员或其他关联方在报告期内履行完毕及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992"/>
        <w:gridCol w:w="2126"/>
        <w:gridCol w:w="993"/>
        <w:gridCol w:w="1088"/>
        <w:gridCol w:w="1108"/>
      </w:tblGrid>
      <w:tr>
        <w:trPr>
          <w:trHeight w:val="269"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45" w:right="0"/>
              <w:jc w:val="left"/>
              <w:rPr>
                <w:rFonts w:ascii="宋体" w:hAnsi="宋体" w:cs="宋体" w:eastAsia="宋体" w:hint="default"/>
                <w:sz w:val="20"/>
                <w:szCs w:val="20"/>
              </w:rPr>
            </w:pPr>
            <w:r>
              <w:rPr>
                <w:rFonts w:ascii="宋体" w:hAnsi="宋体" w:cs="宋体" w:eastAsia="宋体" w:hint="default"/>
                <w:sz w:val="20"/>
                <w:szCs w:val="20"/>
              </w:rPr>
              <w:t>承诺事由</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74" w:right="0"/>
              <w:jc w:val="left"/>
              <w:rPr>
                <w:rFonts w:ascii="宋体" w:hAnsi="宋体" w:cs="宋体" w:eastAsia="宋体" w:hint="default"/>
                <w:sz w:val="20"/>
                <w:szCs w:val="20"/>
              </w:rPr>
            </w:pPr>
            <w:r>
              <w:rPr>
                <w:rFonts w:ascii="宋体" w:hAnsi="宋体" w:cs="宋体" w:eastAsia="宋体" w:hint="default"/>
                <w:sz w:val="20"/>
                <w:szCs w:val="20"/>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89" w:right="0"/>
              <w:jc w:val="left"/>
              <w:rPr>
                <w:rFonts w:ascii="宋体" w:hAnsi="宋体" w:cs="宋体" w:eastAsia="宋体" w:hint="default"/>
                <w:sz w:val="20"/>
                <w:szCs w:val="20"/>
              </w:rPr>
            </w:pPr>
            <w:r>
              <w:rPr>
                <w:rFonts w:ascii="宋体" w:hAnsi="宋体" w:cs="宋体" w:eastAsia="宋体" w:hint="default"/>
                <w:sz w:val="20"/>
                <w:szCs w:val="20"/>
              </w:rPr>
              <w:t>承诺类型</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57" w:right="0"/>
              <w:jc w:val="left"/>
              <w:rPr>
                <w:rFonts w:ascii="宋体" w:hAnsi="宋体" w:cs="宋体" w:eastAsia="宋体" w:hint="default"/>
                <w:sz w:val="20"/>
                <w:szCs w:val="20"/>
              </w:rPr>
            </w:pPr>
            <w:r>
              <w:rPr>
                <w:rFonts w:ascii="宋体" w:hAnsi="宋体" w:cs="宋体" w:eastAsia="宋体" w:hint="default"/>
                <w:sz w:val="20"/>
                <w:szCs w:val="20"/>
              </w:rPr>
              <w:t>承诺内容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90" w:right="0"/>
              <w:jc w:val="left"/>
              <w:rPr>
                <w:rFonts w:ascii="宋体" w:hAnsi="宋体" w:cs="宋体" w:eastAsia="宋体" w:hint="default"/>
                <w:sz w:val="20"/>
                <w:szCs w:val="20"/>
              </w:rPr>
            </w:pPr>
            <w:r>
              <w:rPr>
                <w:rFonts w:ascii="宋体" w:hAnsi="宋体" w:cs="宋体" w:eastAsia="宋体" w:hint="default"/>
                <w:sz w:val="20"/>
                <w:szCs w:val="20"/>
              </w:rPr>
              <w:t>承诺时间</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39" w:right="0"/>
              <w:jc w:val="left"/>
              <w:rPr>
                <w:rFonts w:ascii="宋体" w:hAnsi="宋体" w:cs="宋体" w:eastAsia="宋体" w:hint="default"/>
                <w:sz w:val="20"/>
                <w:szCs w:val="20"/>
              </w:rPr>
            </w:pPr>
            <w:r>
              <w:rPr>
                <w:rFonts w:ascii="宋体" w:hAnsi="宋体" w:cs="宋体" w:eastAsia="宋体" w:hint="default"/>
                <w:sz w:val="20"/>
                <w:szCs w:val="20"/>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47" w:right="0"/>
              <w:jc w:val="left"/>
              <w:rPr>
                <w:rFonts w:ascii="宋体" w:hAnsi="宋体" w:cs="宋体" w:eastAsia="宋体" w:hint="default"/>
                <w:sz w:val="20"/>
                <w:szCs w:val="20"/>
              </w:rPr>
            </w:pPr>
            <w:r>
              <w:rPr>
                <w:rFonts w:ascii="宋体" w:hAnsi="宋体" w:cs="宋体" w:eastAsia="宋体" w:hint="default"/>
                <w:sz w:val="20"/>
                <w:szCs w:val="20"/>
              </w:rPr>
              <w:t>履行情况</w:t>
            </w:r>
          </w:p>
        </w:tc>
      </w:tr>
      <w:tr>
        <w:trPr>
          <w:trHeight w:val="265" w:hRule="exact"/>
        </w:trPr>
        <w:tc>
          <w:tcPr>
            <w:tcW w:w="170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股改承诺</w:t>
            </w:r>
          </w:p>
        </w:tc>
        <w:tc>
          <w:tcPr>
            <w:tcW w:w="1561" w:type="dxa"/>
            <w:vMerge w:val="restart"/>
            <w:tcBorders>
              <w:top w:val="single" w:sz="4" w:space="0" w:color="000000"/>
              <w:left w:val="single" w:sz="9" w:space="0" w:color="D2D2D2"/>
              <w:right w:val="single" w:sz="4" w:space="0" w:color="000000"/>
            </w:tcBorders>
          </w:tcPr>
          <w:p>
            <w:pPr>
              <w:pStyle w:val="TableParagraph"/>
              <w:spacing w:line="229" w:lineRule="exact"/>
              <w:ind w:left="16" w:right="0"/>
              <w:jc w:val="left"/>
              <w:rPr>
                <w:rFonts w:ascii="宋体" w:hAnsi="宋体" w:cs="宋体" w:eastAsia="宋体" w:hint="default"/>
                <w:sz w:val="20"/>
                <w:szCs w:val="20"/>
              </w:rPr>
            </w:pPr>
            <w:r>
              <w:rPr>
                <w:rFonts w:ascii="宋体" w:hAnsi="宋体" w:cs="宋体" w:eastAsia="宋体" w:hint="default"/>
                <w:spacing w:val="13"/>
                <w:sz w:val="20"/>
                <w:szCs w:val="20"/>
              </w:rPr>
              <w:t>公司原非流通股</w:t>
            </w:r>
          </w:p>
          <w:p>
            <w:pPr>
              <w:pStyle w:val="TableParagraph"/>
              <w:spacing w:line="261" w:lineRule="exact"/>
              <w:ind w:left="16" w:right="0"/>
              <w:jc w:val="left"/>
              <w:rPr>
                <w:rFonts w:ascii="宋体" w:hAnsi="宋体" w:cs="宋体" w:eastAsia="宋体" w:hint="default"/>
                <w:sz w:val="20"/>
                <w:szCs w:val="20"/>
              </w:rPr>
            </w:pPr>
            <w:r>
              <w:rPr>
                <w:rFonts w:ascii="宋体" w:hAnsi="宋体" w:cs="宋体" w:eastAsia="宋体" w:hint="default"/>
                <w:w w:val="100"/>
                <w:sz w:val="20"/>
                <w:szCs w:val="20"/>
              </w:rPr>
              <w:t>东</w:t>
            </w:r>
          </w:p>
        </w:tc>
        <w:tc>
          <w:tcPr>
            <w:tcW w:w="992" w:type="dxa"/>
            <w:vMerge w:val="restart"/>
            <w:tcBorders>
              <w:top w:val="single" w:sz="4" w:space="0" w:color="000000"/>
              <w:left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股改承诺</w:t>
            </w:r>
          </w:p>
        </w:tc>
        <w:tc>
          <w:tcPr>
            <w:tcW w:w="2126" w:type="dxa"/>
            <w:vMerge w:val="restart"/>
            <w:tcBorders>
              <w:top w:val="single" w:sz="4" w:space="0" w:color="000000"/>
              <w:left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pacing w:val="5"/>
                <w:sz w:val="20"/>
                <w:szCs w:val="20"/>
              </w:rPr>
              <w:t>股权分置改革中公司原</w:t>
            </w:r>
          </w:p>
          <w:p>
            <w:pPr>
              <w:pStyle w:val="TableParagraph"/>
              <w:spacing w:line="260" w:lineRule="exact" w:before="25"/>
              <w:ind w:left="22" w:right="21"/>
              <w:jc w:val="both"/>
              <w:rPr>
                <w:rFonts w:ascii="宋体" w:hAnsi="宋体" w:cs="宋体" w:eastAsia="宋体" w:hint="default"/>
                <w:sz w:val="20"/>
                <w:szCs w:val="20"/>
              </w:rPr>
            </w:pPr>
            <w:r>
              <w:rPr>
                <w:rFonts w:ascii="宋体" w:hAnsi="宋体" w:cs="宋体" w:eastAsia="宋体" w:hint="default"/>
                <w:spacing w:val="5"/>
                <w:sz w:val="20"/>
                <w:szCs w:val="20"/>
              </w:rPr>
              <w:t>非流通股股东持续到报</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告期内的承诺为：通过</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证券交易所挂牌交易出</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售的股份数量，达到公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司</w:t>
            </w:r>
            <w:r>
              <w:rPr>
                <w:rFonts w:ascii="宋体" w:hAnsi="宋体" w:cs="宋体" w:eastAsia="宋体" w:hint="default"/>
                <w:spacing w:val="-67"/>
                <w:sz w:val="20"/>
                <w:szCs w:val="20"/>
              </w:rPr>
              <w:t> </w:t>
            </w:r>
            <w:r>
              <w:rPr>
                <w:rFonts w:ascii="宋体" w:hAnsi="宋体" w:cs="宋体" w:eastAsia="宋体" w:hint="default"/>
                <w:sz w:val="20"/>
                <w:szCs w:val="20"/>
              </w:rPr>
              <w:t>股</w:t>
            </w:r>
            <w:r>
              <w:rPr>
                <w:rFonts w:ascii="宋体" w:hAnsi="宋体" w:cs="宋体" w:eastAsia="宋体" w:hint="default"/>
                <w:spacing w:val="-67"/>
                <w:sz w:val="20"/>
                <w:szCs w:val="20"/>
              </w:rPr>
              <w:t> </w:t>
            </w:r>
            <w:r>
              <w:rPr>
                <w:rFonts w:ascii="宋体" w:hAnsi="宋体" w:cs="宋体" w:eastAsia="宋体" w:hint="default"/>
                <w:sz w:val="20"/>
                <w:szCs w:val="20"/>
              </w:rPr>
              <w:t>份</w:t>
            </w:r>
            <w:r>
              <w:rPr>
                <w:rFonts w:ascii="宋体" w:hAnsi="宋体" w:cs="宋体" w:eastAsia="宋体" w:hint="default"/>
                <w:spacing w:val="-67"/>
                <w:sz w:val="20"/>
                <w:szCs w:val="20"/>
              </w:rPr>
              <w:t> </w:t>
            </w:r>
            <w:r>
              <w:rPr>
                <w:rFonts w:ascii="宋体" w:hAnsi="宋体" w:cs="宋体" w:eastAsia="宋体" w:hint="default"/>
                <w:sz w:val="20"/>
                <w:szCs w:val="20"/>
              </w:rPr>
              <w:t>总</w:t>
            </w:r>
            <w:r>
              <w:rPr>
                <w:rFonts w:ascii="宋体" w:hAnsi="宋体" w:cs="宋体" w:eastAsia="宋体" w:hint="default"/>
                <w:spacing w:val="-67"/>
                <w:sz w:val="20"/>
                <w:szCs w:val="20"/>
              </w:rPr>
              <w:t> </w:t>
            </w:r>
            <w:r>
              <w:rPr>
                <w:rFonts w:ascii="宋体" w:hAnsi="宋体" w:cs="宋体" w:eastAsia="宋体" w:hint="default"/>
                <w:sz w:val="20"/>
                <w:szCs w:val="20"/>
              </w:rPr>
              <w:t>数</w:t>
            </w:r>
            <w:r>
              <w:rPr>
                <w:rFonts w:ascii="宋体" w:hAnsi="宋体" w:cs="宋体" w:eastAsia="宋体" w:hint="default"/>
                <w:spacing w:val="-68"/>
                <w:sz w:val="20"/>
                <w:szCs w:val="20"/>
              </w:rPr>
              <w:t> </w:t>
            </w:r>
            <w:r>
              <w:rPr>
                <w:rFonts w:ascii="宋体" w:hAnsi="宋体" w:cs="宋体" w:eastAsia="宋体" w:hint="default"/>
                <w:sz w:val="20"/>
                <w:szCs w:val="20"/>
              </w:rPr>
              <w:t>百</w:t>
            </w:r>
            <w:r>
              <w:rPr>
                <w:rFonts w:ascii="宋体" w:hAnsi="宋体" w:cs="宋体" w:eastAsia="宋体" w:hint="default"/>
                <w:spacing w:val="-67"/>
                <w:sz w:val="20"/>
                <w:szCs w:val="20"/>
              </w:rPr>
              <w:t> </w:t>
            </w:r>
            <w:r>
              <w:rPr>
                <w:rFonts w:ascii="宋体" w:hAnsi="宋体" w:cs="宋体" w:eastAsia="宋体" w:hint="default"/>
                <w:sz w:val="20"/>
                <w:szCs w:val="20"/>
              </w:rPr>
              <w:t>分</w:t>
            </w:r>
            <w:r>
              <w:rPr>
                <w:rFonts w:ascii="宋体" w:hAnsi="宋体" w:cs="宋体" w:eastAsia="宋体" w:hint="default"/>
                <w:spacing w:val="-67"/>
                <w:sz w:val="20"/>
                <w:szCs w:val="20"/>
              </w:rPr>
              <w:t> </w:t>
            </w:r>
            <w:r>
              <w:rPr>
                <w:rFonts w:ascii="宋体" w:hAnsi="宋体" w:cs="宋体" w:eastAsia="宋体" w:hint="default"/>
                <w:sz w:val="20"/>
                <w:szCs w:val="20"/>
              </w:rPr>
              <w:t>之</w:t>
            </w:r>
            <w:r>
              <w:rPr>
                <w:rFonts w:ascii="宋体" w:hAnsi="宋体" w:cs="宋体" w:eastAsia="宋体" w:hint="default"/>
                <w:spacing w:val="-67"/>
                <w:sz w:val="20"/>
                <w:szCs w:val="20"/>
              </w:rPr>
              <w:t> </w:t>
            </w:r>
            <w:r>
              <w:rPr>
                <w:rFonts w:ascii="宋体" w:hAnsi="宋体" w:cs="宋体" w:eastAsia="宋体" w:hint="default"/>
                <w:sz w:val="20"/>
                <w:szCs w:val="20"/>
              </w:rPr>
              <w:t>一</w:t>
            </w:r>
          </w:p>
        </w:tc>
        <w:tc>
          <w:tcPr>
            <w:tcW w:w="993" w:type="dxa"/>
            <w:vMerge w:val="restart"/>
            <w:tcBorders>
              <w:top w:val="single" w:sz="4" w:space="0" w:color="000000"/>
              <w:left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1088" w:type="dxa"/>
            <w:vMerge w:val="restart"/>
            <w:tcBorders>
              <w:top w:val="single" w:sz="4" w:space="0" w:color="000000"/>
              <w:left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无限期</w:t>
            </w:r>
          </w:p>
        </w:tc>
        <w:tc>
          <w:tcPr>
            <w:tcW w:w="1108" w:type="dxa"/>
            <w:vMerge w:val="restart"/>
            <w:tcBorders>
              <w:top w:val="single" w:sz="4" w:space="0" w:color="000000"/>
              <w:left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pacing w:val="8"/>
                <w:sz w:val="20"/>
                <w:szCs w:val="20"/>
              </w:rPr>
              <w:t>报告期内，</w:t>
            </w:r>
          </w:p>
          <w:p>
            <w:pPr>
              <w:pStyle w:val="TableParagraph"/>
              <w:spacing w:line="260" w:lineRule="exact" w:before="25"/>
              <w:ind w:left="22" w:right="21"/>
              <w:jc w:val="both"/>
              <w:rPr>
                <w:rFonts w:ascii="宋体" w:hAnsi="宋体" w:cs="宋体" w:eastAsia="宋体" w:hint="default"/>
                <w:sz w:val="20"/>
                <w:szCs w:val="20"/>
              </w:rPr>
            </w:pPr>
            <w:r>
              <w:rPr>
                <w:rFonts w:ascii="宋体" w:hAnsi="宋体" w:cs="宋体" w:eastAsia="宋体" w:hint="default"/>
                <w:spacing w:val="8"/>
                <w:sz w:val="20"/>
                <w:szCs w:val="20"/>
              </w:rPr>
              <w:t>公司原非流</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通股股东均</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履行了所做</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的承诺。</w:t>
            </w:r>
          </w:p>
        </w:tc>
      </w:tr>
      <w:tr>
        <w:trPr>
          <w:trHeight w:val="1302" w:hRule="exact"/>
        </w:trPr>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126"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69.281616pt;margin-top:137.819977pt;width:55.8pt;height:233.8pt;mso-position-horizontal-relative:page;mso-position-vertical-relative:page;z-index:-183210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4"/>
                    <w:ind w:left="0" w:right="0" w:firstLine="0"/>
                    <w:jc w:val="left"/>
                    <w:rPr>
                      <w:rFonts w:ascii="宋体" w:hAnsi="宋体" w:cs="宋体" w:eastAsia="宋体" w:hint="default"/>
                      <w:sz w:val="20"/>
                      <w:szCs w:val="20"/>
                    </w:rPr>
                  </w:pPr>
                  <w:r>
                    <w:rPr>
                      <w:rFonts w:ascii="宋体" w:hAnsi="宋体" w:cs="宋体" w:eastAsia="宋体" w:hint="default"/>
                      <w:w w:val="100"/>
                      <w:sz w:val="20"/>
                      <w:szCs w:val="20"/>
                    </w:rPr>
                    <w:t>，</w:t>
                  </w:r>
                </w:p>
              </w:txbxContent>
            </v:textbox>
            <w10:wrap type="none"/>
          </v:shape>
        </w:pict>
      </w:r>
      <w:r>
        <w:rPr/>
        <w:pict>
          <v:shape style="position:absolute;margin-left:369.279755pt;margin-top:424.47998pt;width:55.8pt;height:142.65pt;mso-position-horizontal-relative:page;mso-position-vertical-relative:page;z-index:-183208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3"/>
                    <w:ind w:left="0" w:right="0" w:firstLine="0"/>
                    <w:jc w:val="left"/>
                    <w:rPr>
                      <w:rFonts w:ascii="宋体" w:hAnsi="宋体" w:cs="宋体" w:eastAsia="宋体" w:hint="default"/>
                      <w:sz w:val="20"/>
                      <w:szCs w:val="20"/>
                    </w:rPr>
                  </w:pPr>
                  <w:r>
                    <w:rPr>
                      <w:rFonts w:ascii="宋体" w:hAnsi="宋体" w:cs="宋体" w:eastAsia="宋体" w:hint="default"/>
                      <w:w w:val="100"/>
                      <w:sz w:val="20"/>
                      <w:szCs w:val="20"/>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701"/>
        <w:gridCol w:w="1561"/>
        <w:gridCol w:w="992"/>
        <w:gridCol w:w="2126"/>
        <w:gridCol w:w="993"/>
        <w:gridCol w:w="1088"/>
        <w:gridCol w:w="1108"/>
      </w:tblGrid>
      <w:tr>
        <w:trPr>
          <w:trHeight w:val="788"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的，自该事实发生之日</w:t>
            </w:r>
          </w:p>
          <w:p>
            <w:pPr>
              <w:pStyle w:val="TableParagraph"/>
              <w:spacing w:line="240" w:lineRule="auto"/>
              <w:ind w:left="22" w:right="23"/>
              <w:jc w:val="left"/>
              <w:rPr>
                <w:rFonts w:ascii="宋体" w:hAnsi="宋体" w:cs="宋体" w:eastAsia="宋体" w:hint="default"/>
                <w:sz w:val="20"/>
                <w:szCs w:val="20"/>
              </w:rPr>
            </w:pPr>
            <w:r>
              <w:rPr>
                <w:rFonts w:ascii="宋体" w:hAnsi="宋体" w:cs="宋体" w:eastAsia="宋体" w:hint="default"/>
                <w:spacing w:val="5"/>
                <w:sz w:val="20"/>
                <w:szCs w:val="20"/>
              </w:rPr>
              <w:t>起两个工作日内做出公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告。</w:t>
            </w:r>
          </w:p>
        </w:tc>
        <w:tc>
          <w:tcPr>
            <w:tcW w:w="99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20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pacing w:val="6"/>
                <w:sz w:val="20"/>
                <w:szCs w:val="20"/>
              </w:rPr>
              <w:t>收购报告书或权益</w:t>
            </w:r>
            <w:r>
              <w:rPr>
                <w:rFonts w:ascii="宋体" w:hAnsi="宋体" w:cs="宋体" w:eastAsia="宋体" w:hint="default"/>
                <w:sz w:val="20"/>
                <w:szCs w:val="20"/>
              </w:rPr>
            </w:r>
          </w:p>
          <w:p>
            <w:pPr>
              <w:pStyle w:val="TableParagraph"/>
              <w:spacing w:line="260" w:lineRule="exact" w:before="24"/>
              <w:ind w:left="22" w:right="15"/>
              <w:jc w:val="left"/>
              <w:rPr>
                <w:rFonts w:ascii="宋体" w:hAnsi="宋体" w:cs="宋体" w:eastAsia="宋体" w:hint="default"/>
                <w:sz w:val="20"/>
                <w:szCs w:val="20"/>
              </w:rPr>
            </w:pPr>
            <w:r>
              <w:rPr>
                <w:rFonts w:ascii="宋体" w:hAnsi="宋体" w:cs="宋体" w:eastAsia="宋体" w:hint="default"/>
                <w:spacing w:val="6"/>
                <w:sz w:val="20"/>
                <w:szCs w:val="20"/>
              </w:rPr>
              <w:t>变动报告书中所作</w:t>
            </w:r>
            <w:r>
              <w:rPr>
                <w:rFonts w:ascii="宋体" w:hAnsi="宋体" w:cs="宋体" w:eastAsia="宋体" w:hint="default"/>
                <w:spacing w:val="-97"/>
                <w:sz w:val="20"/>
                <w:szCs w:val="20"/>
              </w:rPr>
              <w:t> </w:t>
            </w:r>
            <w:r>
              <w:rPr>
                <w:rFonts w:ascii="宋体" w:hAnsi="宋体" w:cs="宋体" w:eastAsia="宋体" w:hint="default"/>
                <w:sz w:val="20"/>
                <w:szCs w:val="20"/>
              </w:rPr>
              <w:t>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both"/>
              <w:rPr>
                <w:rFonts w:ascii="宋体" w:hAnsi="宋体" w:cs="宋体" w:eastAsia="宋体" w:hint="default"/>
                <w:sz w:val="20"/>
                <w:szCs w:val="20"/>
              </w:rPr>
            </w:pPr>
            <w:r>
              <w:rPr>
                <w:rFonts w:ascii="宋体" w:hAnsi="宋体" w:cs="宋体" w:eastAsia="宋体" w:hint="default"/>
                <w:spacing w:val="13"/>
                <w:sz w:val="20"/>
                <w:szCs w:val="20"/>
              </w:rPr>
              <w:t>张近东先生及其</w:t>
            </w:r>
          </w:p>
          <w:p>
            <w:pPr>
              <w:pStyle w:val="TableParagraph"/>
              <w:spacing w:line="230" w:lineRule="auto" w:before="8"/>
              <w:ind w:left="23" w:right="20"/>
              <w:jc w:val="both"/>
              <w:rPr>
                <w:rFonts w:ascii="宋体" w:hAnsi="宋体" w:cs="宋体" w:eastAsia="宋体" w:hint="default"/>
                <w:sz w:val="20"/>
                <w:szCs w:val="20"/>
              </w:rPr>
            </w:pPr>
            <w:r>
              <w:rPr>
                <w:rFonts w:ascii="宋体" w:hAnsi="宋体" w:cs="宋体" w:eastAsia="宋体" w:hint="default"/>
                <w:spacing w:val="13"/>
                <w:sz w:val="20"/>
                <w:szCs w:val="20"/>
              </w:rPr>
              <w:t>全资子公司苏宁</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3"/>
                <w:sz w:val="20"/>
                <w:szCs w:val="20"/>
              </w:rPr>
              <w:t>控股集团有限公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
                <w:sz w:val="20"/>
                <w:szCs w:val="20"/>
              </w:rPr>
              <w:t>司（原</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南京润东</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2"/>
                <w:sz w:val="20"/>
                <w:szCs w:val="20"/>
              </w:rPr>
              <w:t>投资有限公司</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w:t>
            </w:r>
            <w:r>
              <w:rPr>
                <w:rFonts w:ascii="宋体" w:hAnsi="宋体" w:cs="宋体" w:eastAsia="宋体" w:hint="default"/>
                <w:spacing w:val="-96"/>
                <w:sz w:val="20"/>
                <w:szCs w:val="20"/>
              </w:rPr>
              <w:t> </w:t>
            </w:r>
            <w:r>
              <w:rPr>
                <w:rFonts w:ascii="宋体" w:hAnsi="宋体" w:cs="宋体" w:eastAsia="宋体" w:hint="default"/>
                <w:spacing w:val="2"/>
                <w:sz w:val="20"/>
                <w:szCs w:val="20"/>
              </w:rPr>
              <w:t>以下简称</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苏宁控</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股</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both"/>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spacing w:val="-55"/>
                <w:sz w:val="20"/>
                <w:szCs w:val="20"/>
              </w:rPr>
              <w:t> </w:t>
            </w:r>
            <w:r>
              <w:rPr>
                <w:rFonts w:ascii="宋体" w:hAnsi="宋体" w:cs="宋体" w:eastAsia="宋体" w:hint="default"/>
                <w:sz w:val="20"/>
                <w:szCs w:val="20"/>
              </w:rPr>
              <w:t>购</w:t>
            </w:r>
            <w:r>
              <w:rPr>
                <w:rFonts w:ascii="宋体" w:hAnsi="宋体" w:cs="宋体" w:eastAsia="宋体" w:hint="default"/>
                <w:spacing w:val="-56"/>
                <w:sz w:val="20"/>
                <w:szCs w:val="20"/>
              </w:rPr>
              <w:t> </w:t>
            </w:r>
            <w:r>
              <w:rPr>
                <w:rFonts w:ascii="宋体" w:hAnsi="宋体" w:cs="宋体" w:eastAsia="宋体" w:hint="default"/>
                <w:sz w:val="20"/>
                <w:szCs w:val="20"/>
              </w:rPr>
              <w:t>报</w:t>
            </w:r>
            <w:r>
              <w:rPr>
                <w:rFonts w:ascii="宋体" w:hAnsi="宋体" w:cs="宋体" w:eastAsia="宋体" w:hint="default"/>
                <w:spacing w:val="-55"/>
                <w:sz w:val="20"/>
                <w:szCs w:val="20"/>
              </w:rPr>
              <w:t> </w:t>
            </w:r>
            <w:r>
              <w:rPr>
                <w:rFonts w:ascii="宋体" w:hAnsi="宋体" w:cs="宋体" w:eastAsia="宋体" w:hint="default"/>
                <w:sz w:val="20"/>
                <w:szCs w:val="20"/>
              </w:rPr>
              <w:t>告</w:t>
            </w:r>
          </w:p>
          <w:p>
            <w:pPr>
              <w:pStyle w:val="TableParagraph"/>
              <w:spacing w:line="237" w:lineRule="auto" w:before="1"/>
              <w:ind w:left="22" w:right="20"/>
              <w:jc w:val="both"/>
              <w:rPr>
                <w:rFonts w:ascii="宋体" w:hAnsi="宋体" w:cs="宋体" w:eastAsia="宋体" w:hint="default"/>
                <w:sz w:val="20"/>
                <w:szCs w:val="20"/>
              </w:rPr>
            </w:pPr>
            <w:r>
              <w:rPr>
                <w:rFonts w:ascii="宋体" w:hAnsi="宋体" w:cs="宋体" w:eastAsia="宋体" w:hint="default"/>
                <w:sz w:val="20"/>
                <w:szCs w:val="20"/>
              </w:rPr>
              <w:t>书</w:t>
            </w:r>
            <w:r>
              <w:rPr>
                <w:rFonts w:ascii="宋体" w:hAnsi="宋体" w:cs="宋体" w:eastAsia="宋体" w:hint="default"/>
                <w:spacing w:val="-55"/>
                <w:sz w:val="20"/>
                <w:szCs w:val="20"/>
              </w:rPr>
              <w:t> </w:t>
            </w:r>
            <w:r>
              <w:rPr>
                <w:rFonts w:ascii="宋体" w:hAnsi="宋体" w:cs="宋体" w:eastAsia="宋体" w:hint="default"/>
                <w:sz w:val="20"/>
                <w:szCs w:val="20"/>
              </w:rPr>
              <w:t>或</w:t>
            </w:r>
            <w:r>
              <w:rPr>
                <w:rFonts w:ascii="宋体" w:hAnsi="宋体" w:cs="宋体" w:eastAsia="宋体" w:hint="default"/>
                <w:spacing w:val="-56"/>
                <w:sz w:val="20"/>
                <w:szCs w:val="20"/>
              </w:rPr>
              <w:t> </w:t>
            </w:r>
            <w:r>
              <w:rPr>
                <w:rFonts w:ascii="宋体" w:hAnsi="宋体" w:cs="宋体" w:eastAsia="宋体" w:hint="default"/>
                <w:sz w:val="20"/>
                <w:szCs w:val="20"/>
              </w:rPr>
              <w:t>权</w:t>
            </w:r>
            <w:r>
              <w:rPr>
                <w:rFonts w:ascii="宋体" w:hAnsi="宋体" w:cs="宋体" w:eastAsia="宋体" w:hint="default"/>
                <w:spacing w:val="-55"/>
                <w:sz w:val="20"/>
                <w:szCs w:val="20"/>
              </w:rPr>
              <w:t> </w:t>
            </w:r>
            <w:r>
              <w:rPr>
                <w:rFonts w:ascii="宋体" w:hAnsi="宋体" w:cs="宋体" w:eastAsia="宋体" w:hint="default"/>
                <w:sz w:val="20"/>
                <w:szCs w:val="20"/>
              </w:rPr>
              <w:t>益</w:t>
            </w:r>
            <w:r>
              <w:rPr>
                <w:rFonts w:ascii="宋体" w:hAnsi="宋体" w:cs="宋体" w:eastAsia="宋体" w:hint="default"/>
                <w:w w:val="100"/>
                <w:sz w:val="20"/>
                <w:szCs w:val="20"/>
              </w:rPr>
              <w:t> </w:t>
            </w:r>
            <w:r>
              <w:rPr>
                <w:rFonts w:ascii="宋体" w:hAnsi="宋体" w:cs="宋体" w:eastAsia="宋体" w:hint="default"/>
                <w:sz w:val="20"/>
                <w:szCs w:val="20"/>
              </w:rPr>
              <w:t>变</w:t>
            </w:r>
            <w:r>
              <w:rPr>
                <w:rFonts w:ascii="宋体" w:hAnsi="宋体" w:cs="宋体" w:eastAsia="宋体" w:hint="default"/>
                <w:spacing w:val="-55"/>
                <w:sz w:val="20"/>
                <w:szCs w:val="20"/>
              </w:rPr>
              <w:t> </w:t>
            </w:r>
            <w:r>
              <w:rPr>
                <w:rFonts w:ascii="宋体" w:hAnsi="宋体" w:cs="宋体" w:eastAsia="宋体" w:hint="default"/>
                <w:sz w:val="20"/>
                <w:szCs w:val="20"/>
              </w:rPr>
              <w:t>动</w:t>
            </w:r>
            <w:r>
              <w:rPr>
                <w:rFonts w:ascii="宋体" w:hAnsi="宋体" w:cs="宋体" w:eastAsia="宋体" w:hint="default"/>
                <w:spacing w:val="-56"/>
                <w:sz w:val="20"/>
                <w:szCs w:val="20"/>
              </w:rPr>
              <w:t> </w:t>
            </w:r>
            <w:r>
              <w:rPr>
                <w:rFonts w:ascii="宋体" w:hAnsi="宋体" w:cs="宋体" w:eastAsia="宋体" w:hint="default"/>
                <w:sz w:val="20"/>
                <w:szCs w:val="20"/>
              </w:rPr>
              <w:t>报</w:t>
            </w:r>
            <w:r>
              <w:rPr>
                <w:rFonts w:ascii="宋体" w:hAnsi="宋体" w:cs="宋体" w:eastAsia="宋体" w:hint="default"/>
                <w:spacing w:val="-55"/>
                <w:sz w:val="20"/>
                <w:szCs w:val="20"/>
              </w:rPr>
              <w:t> </w:t>
            </w:r>
            <w:r>
              <w:rPr>
                <w:rFonts w:ascii="宋体" w:hAnsi="宋体" w:cs="宋体" w:eastAsia="宋体" w:hint="default"/>
                <w:sz w:val="20"/>
                <w:szCs w:val="20"/>
              </w:rPr>
              <w:t>告</w:t>
            </w:r>
            <w:r>
              <w:rPr>
                <w:rFonts w:ascii="宋体" w:hAnsi="宋体" w:cs="宋体" w:eastAsia="宋体" w:hint="default"/>
                <w:w w:val="100"/>
                <w:sz w:val="20"/>
                <w:szCs w:val="20"/>
              </w:rPr>
              <w:t> </w:t>
            </w:r>
            <w:r>
              <w:rPr>
                <w:rFonts w:ascii="宋体" w:hAnsi="宋体" w:cs="宋体" w:eastAsia="宋体" w:hint="default"/>
                <w:sz w:val="20"/>
                <w:szCs w:val="20"/>
              </w:rPr>
              <w:t>书</w:t>
            </w:r>
            <w:r>
              <w:rPr>
                <w:rFonts w:ascii="宋体" w:hAnsi="宋体" w:cs="宋体" w:eastAsia="宋体" w:hint="default"/>
                <w:spacing w:val="-55"/>
                <w:sz w:val="20"/>
                <w:szCs w:val="20"/>
              </w:rPr>
              <w:t> </w:t>
            </w:r>
            <w:r>
              <w:rPr>
                <w:rFonts w:ascii="宋体" w:hAnsi="宋体" w:cs="宋体" w:eastAsia="宋体" w:hint="default"/>
                <w:sz w:val="20"/>
                <w:szCs w:val="20"/>
              </w:rPr>
              <w:t>中</w:t>
            </w:r>
            <w:r>
              <w:rPr>
                <w:rFonts w:ascii="宋体" w:hAnsi="宋体" w:cs="宋体" w:eastAsia="宋体" w:hint="default"/>
                <w:spacing w:val="-56"/>
                <w:sz w:val="20"/>
                <w:szCs w:val="20"/>
              </w:rPr>
              <w:t> </w:t>
            </w:r>
            <w:r>
              <w:rPr>
                <w:rFonts w:ascii="宋体" w:hAnsi="宋体" w:cs="宋体" w:eastAsia="宋体" w:hint="default"/>
                <w:sz w:val="20"/>
                <w:szCs w:val="20"/>
              </w:rPr>
              <w:t>所</w:t>
            </w:r>
            <w:r>
              <w:rPr>
                <w:rFonts w:ascii="宋体" w:hAnsi="宋体" w:cs="宋体" w:eastAsia="宋体" w:hint="default"/>
                <w:spacing w:val="-55"/>
                <w:sz w:val="20"/>
                <w:szCs w:val="20"/>
              </w:rPr>
              <w:t> </w:t>
            </w:r>
            <w:r>
              <w:rPr>
                <w:rFonts w:ascii="宋体" w:hAnsi="宋体" w:cs="宋体" w:eastAsia="宋体" w:hint="default"/>
                <w:sz w:val="20"/>
                <w:szCs w:val="20"/>
              </w:rPr>
              <w:t>做</w:t>
            </w:r>
            <w:r>
              <w:rPr>
                <w:rFonts w:ascii="宋体" w:hAnsi="宋体" w:cs="宋体" w:eastAsia="宋体" w:hint="default"/>
                <w:w w:val="100"/>
                <w:sz w:val="20"/>
                <w:szCs w:val="20"/>
              </w:rPr>
              <w:t> </w:t>
            </w:r>
            <w:r>
              <w:rPr>
                <w:rFonts w:ascii="宋体" w:hAnsi="宋体" w:cs="宋体" w:eastAsia="宋体" w:hint="default"/>
                <w:sz w:val="20"/>
                <w:szCs w:val="20"/>
              </w:rPr>
              <w:t>承诺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张近东先生全资子公司</w:t>
            </w:r>
          </w:p>
          <w:p>
            <w:pPr>
              <w:pStyle w:val="TableParagraph"/>
              <w:spacing w:line="235" w:lineRule="auto" w:before="3"/>
              <w:ind w:left="22" w:right="20"/>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w:t>
            </w:r>
            <w:r>
              <w:rPr>
                <w:rFonts w:ascii="宋体" w:hAnsi="宋体" w:cs="宋体" w:eastAsia="宋体" w:hint="default"/>
                <w:spacing w:val="5"/>
                <w:sz w:val="20"/>
                <w:szCs w:val="20"/>
              </w:rPr>
              <w:t>苏宁控股参与认购公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司</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年非公开发行股</w:t>
            </w:r>
            <w:r>
              <w:rPr>
                <w:rFonts w:ascii="宋体" w:hAnsi="宋体" w:cs="宋体" w:eastAsia="宋体" w:hint="default"/>
                <w:w w:val="100"/>
                <w:sz w:val="20"/>
                <w:szCs w:val="20"/>
              </w:rPr>
              <w:t> </w:t>
            </w:r>
            <w:r>
              <w:rPr>
                <w:rFonts w:ascii="宋体" w:hAnsi="宋体" w:cs="宋体" w:eastAsia="宋体" w:hint="default"/>
                <w:spacing w:val="5"/>
                <w:sz w:val="20"/>
                <w:szCs w:val="20"/>
              </w:rPr>
              <w:t>票，参与认购后，张近</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东先生直接及间接持有</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公司股份占发行后总股</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本比例增加超过</w:t>
            </w:r>
            <w:r>
              <w:rPr>
                <w:rFonts w:ascii="宋体" w:hAnsi="宋体" w:cs="宋体" w:eastAsia="宋体" w:hint="default"/>
                <w:spacing w:val="2"/>
                <w:sz w:val="20"/>
                <w:szCs w:val="20"/>
              </w:rPr>
              <w:t> </w:t>
            </w:r>
            <w:r>
              <w:rPr>
                <w:rFonts w:ascii="Times New Roman" w:hAnsi="Times New Roman" w:cs="Times New Roman" w:eastAsia="Times New Roman" w:hint="default"/>
                <w:sz w:val="20"/>
                <w:szCs w:val="20"/>
              </w:rPr>
              <w:t>30%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5"/>
                <w:sz w:val="20"/>
                <w:szCs w:val="20"/>
              </w:rPr>
              <w:t>根据《上市公司收购管</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2"/>
                <w:w w:val="100"/>
                <w:sz w:val="20"/>
                <w:szCs w:val="20"/>
              </w:rPr>
              <w:t>理办法》（</w:t>
            </w:r>
            <w:r>
              <w:rPr>
                <w:rFonts w:ascii="Times New Roman" w:hAnsi="Times New Roman" w:cs="Times New Roman" w:eastAsia="Times New Roman" w:hint="default"/>
                <w:spacing w:val="-12"/>
                <w:w w:val="100"/>
                <w:sz w:val="20"/>
                <w:szCs w:val="20"/>
              </w:rPr>
              <w:t>2008</w:t>
            </w:r>
            <w:r>
              <w:rPr>
                <w:rFonts w:ascii="Times New Roman" w:hAnsi="Times New Roman" w:cs="Times New Roman" w:eastAsia="Times New Roman" w:hint="default"/>
                <w:w w:val="100"/>
                <w:sz w:val="20"/>
                <w:szCs w:val="20"/>
              </w:rPr>
              <w:t> </w:t>
            </w:r>
            <w:r>
              <w:rPr>
                <w:rFonts w:ascii="宋体" w:hAnsi="宋体" w:cs="宋体" w:eastAsia="宋体" w:hint="default"/>
                <w:w w:val="100"/>
                <w:sz w:val="20"/>
                <w:szCs w:val="20"/>
              </w:rPr>
              <w:t>年 </w:t>
            </w:r>
            <w:r>
              <w:rPr>
                <w:rFonts w:ascii="Times New Roman" w:hAnsi="Times New Roman" w:cs="Times New Roman" w:eastAsia="Times New Roman" w:hint="default"/>
                <w:w w:val="100"/>
                <w:sz w:val="20"/>
                <w:szCs w:val="20"/>
              </w:rPr>
              <w:t>8</w:t>
            </w:r>
            <w:r>
              <w:rPr>
                <w:rFonts w:ascii="Times New Roman" w:hAnsi="Times New Roman" w:cs="Times New Roman" w:eastAsia="Times New Roman" w:hint="default"/>
                <w:spacing w:val="21"/>
                <w:w w:val="100"/>
                <w:sz w:val="20"/>
                <w:szCs w:val="20"/>
              </w:rPr>
              <w:t> </w:t>
            </w:r>
            <w:r>
              <w:rPr>
                <w:rFonts w:ascii="宋体" w:hAnsi="宋体" w:cs="宋体" w:eastAsia="宋体" w:hint="default"/>
                <w:w w:val="100"/>
                <w:sz w:val="20"/>
                <w:szCs w:val="20"/>
              </w:rPr>
              <w:t>月 </w:t>
            </w:r>
            <w:r>
              <w:rPr>
                <w:rFonts w:ascii="Times New Roman" w:hAnsi="Times New Roman" w:cs="Times New Roman" w:eastAsia="Times New Roman" w:hint="default"/>
                <w:spacing w:val="-1"/>
                <w:w w:val="100"/>
                <w:sz w:val="20"/>
                <w:szCs w:val="20"/>
              </w:rPr>
              <w:t>27</w:t>
            </w:r>
            <w:r>
              <w:rPr>
                <w:rFonts w:ascii="Times New Roman" w:hAnsi="Times New Roman" w:cs="Times New Roman" w:eastAsia="Times New Roman" w:hint="default"/>
                <w:w w:val="100"/>
                <w:sz w:val="20"/>
                <w:szCs w:val="20"/>
              </w:rPr>
              <w:t> </w:t>
            </w:r>
            <w:r>
              <w:rPr>
                <w:rFonts w:ascii="宋体" w:hAnsi="宋体" w:cs="宋体" w:eastAsia="宋体" w:hint="default"/>
                <w:spacing w:val="-10"/>
                <w:w w:val="100"/>
                <w:sz w:val="20"/>
                <w:szCs w:val="20"/>
              </w:rPr>
              <w:t>日修订）的相关规定</w:t>
            </w:r>
            <w:r>
              <w:rPr>
                <w:rFonts w:ascii="宋体" w:hAnsi="宋体" w:cs="宋体" w:eastAsia="宋体" w:hint="default"/>
                <w:spacing w:val="-94"/>
                <w:w w:val="100"/>
                <w:sz w:val="20"/>
                <w:szCs w:val="20"/>
              </w:rPr>
              <w:t> </w:t>
            </w:r>
            <w:r>
              <w:rPr>
                <w:rFonts w:ascii="宋体" w:hAnsi="宋体" w:cs="宋体" w:eastAsia="宋体" w:hint="default"/>
                <w:spacing w:val="-94"/>
                <w:w w:val="100"/>
                <w:sz w:val="20"/>
                <w:szCs w:val="20"/>
              </w:rPr>
            </w:r>
            <w:r>
              <w:rPr>
                <w:rFonts w:ascii="宋体" w:hAnsi="宋体" w:cs="宋体" w:eastAsia="宋体" w:hint="default"/>
                <w:spacing w:val="5"/>
                <w:sz w:val="20"/>
                <w:szCs w:val="20"/>
              </w:rPr>
              <w:t>张近东先生及苏宁控股</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出具了《关于苏宁电器</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股份有限公司向特定对</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象发行股份及豁免要约</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收</w:t>
            </w:r>
            <w:r>
              <w:rPr>
                <w:rFonts w:ascii="宋体" w:hAnsi="宋体" w:cs="宋体" w:eastAsia="宋体" w:hint="default"/>
                <w:spacing w:val="-67"/>
                <w:sz w:val="20"/>
                <w:szCs w:val="20"/>
              </w:rPr>
              <w:t> </w:t>
            </w:r>
            <w:r>
              <w:rPr>
                <w:rFonts w:ascii="宋体" w:hAnsi="宋体" w:cs="宋体" w:eastAsia="宋体" w:hint="default"/>
                <w:sz w:val="20"/>
                <w:szCs w:val="20"/>
              </w:rPr>
              <w:t>购</w:t>
            </w:r>
            <w:r>
              <w:rPr>
                <w:rFonts w:ascii="宋体" w:hAnsi="宋体" w:cs="宋体" w:eastAsia="宋体" w:hint="default"/>
                <w:spacing w:val="-67"/>
                <w:sz w:val="20"/>
                <w:szCs w:val="20"/>
              </w:rPr>
              <w:t> </w:t>
            </w:r>
            <w:r>
              <w:rPr>
                <w:rFonts w:ascii="宋体" w:hAnsi="宋体" w:cs="宋体" w:eastAsia="宋体" w:hint="default"/>
                <w:sz w:val="20"/>
                <w:szCs w:val="20"/>
              </w:rPr>
              <w:t>相</w:t>
            </w:r>
            <w:r>
              <w:rPr>
                <w:rFonts w:ascii="宋体" w:hAnsi="宋体" w:cs="宋体" w:eastAsia="宋体" w:hint="default"/>
                <w:spacing w:val="-67"/>
                <w:sz w:val="20"/>
                <w:szCs w:val="20"/>
              </w:rPr>
              <w:t> </w:t>
            </w:r>
            <w:r>
              <w:rPr>
                <w:rFonts w:ascii="宋体" w:hAnsi="宋体" w:cs="宋体" w:eastAsia="宋体" w:hint="default"/>
                <w:sz w:val="20"/>
                <w:szCs w:val="20"/>
              </w:rPr>
              <w:t>关</w:t>
            </w:r>
            <w:r>
              <w:rPr>
                <w:rFonts w:ascii="宋体" w:hAnsi="宋体" w:cs="宋体" w:eastAsia="宋体" w:hint="default"/>
                <w:spacing w:val="-67"/>
                <w:sz w:val="20"/>
                <w:szCs w:val="20"/>
              </w:rPr>
              <w:t> </w:t>
            </w:r>
            <w:r>
              <w:rPr>
                <w:rFonts w:ascii="宋体" w:hAnsi="宋体" w:cs="宋体" w:eastAsia="宋体" w:hint="default"/>
                <w:sz w:val="20"/>
                <w:szCs w:val="20"/>
              </w:rPr>
              <w:t>事</w:t>
            </w:r>
            <w:r>
              <w:rPr>
                <w:rFonts w:ascii="宋体" w:hAnsi="宋体" w:cs="宋体" w:eastAsia="宋体" w:hint="default"/>
                <w:spacing w:val="-68"/>
                <w:sz w:val="20"/>
                <w:szCs w:val="20"/>
              </w:rPr>
              <w:t> </w:t>
            </w:r>
            <w:r>
              <w:rPr>
                <w:rFonts w:ascii="宋体" w:hAnsi="宋体" w:cs="宋体" w:eastAsia="宋体" w:hint="default"/>
                <w:sz w:val="20"/>
                <w:szCs w:val="20"/>
              </w:rPr>
              <w:t>宜</w:t>
            </w:r>
            <w:r>
              <w:rPr>
                <w:rFonts w:ascii="宋体" w:hAnsi="宋体" w:cs="宋体" w:eastAsia="宋体" w:hint="default"/>
                <w:spacing w:val="-67"/>
                <w:sz w:val="20"/>
                <w:szCs w:val="20"/>
              </w:rPr>
              <w:t> </w:t>
            </w:r>
            <w:r>
              <w:rPr>
                <w:rFonts w:ascii="宋体" w:hAnsi="宋体" w:cs="宋体" w:eastAsia="宋体" w:hint="default"/>
                <w:sz w:val="20"/>
                <w:szCs w:val="20"/>
              </w:rPr>
              <w:t>之</w:t>
            </w:r>
            <w:r>
              <w:rPr>
                <w:rFonts w:ascii="宋体" w:hAnsi="宋体" w:cs="宋体" w:eastAsia="宋体" w:hint="default"/>
                <w:spacing w:val="-67"/>
                <w:sz w:val="20"/>
                <w:szCs w:val="20"/>
              </w:rPr>
              <w:t> </w:t>
            </w:r>
            <w:r>
              <w:rPr>
                <w:rFonts w:ascii="宋体" w:hAnsi="宋体" w:cs="宋体" w:eastAsia="宋体" w:hint="default"/>
                <w:sz w:val="20"/>
                <w:szCs w:val="20"/>
              </w:rPr>
              <w:t>承</w:t>
            </w:r>
            <w:r>
              <w:rPr>
                <w:rFonts w:ascii="宋体" w:hAnsi="宋体" w:cs="宋体" w:eastAsia="宋体" w:hint="default"/>
                <w:spacing w:val="-67"/>
                <w:sz w:val="20"/>
                <w:szCs w:val="20"/>
              </w:rPr>
              <w:t> </w:t>
            </w:r>
            <w:r>
              <w:rPr>
                <w:rFonts w:ascii="宋体" w:hAnsi="宋体" w:cs="宋体" w:eastAsia="宋体" w:hint="default"/>
                <w:sz w:val="20"/>
                <w:szCs w:val="20"/>
              </w:rPr>
              <w:t>诺</w:t>
            </w:r>
            <w:r>
              <w:rPr>
                <w:rFonts w:ascii="宋体" w:hAnsi="宋体" w:cs="宋体" w:eastAsia="宋体" w:hint="default"/>
                <w:w w:val="100"/>
                <w:sz w:val="20"/>
                <w:szCs w:val="20"/>
              </w:rPr>
              <w:t> </w:t>
            </w:r>
            <w:r>
              <w:rPr>
                <w:rFonts w:ascii="宋体" w:hAnsi="宋体" w:cs="宋体" w:eastAsia="宋体" w:hint="default"/>
                <w:spacing w:val="-13"/>
                <w:w w:val="100"/>
                <w:sz w:val="20"/>
                <w:szCs w:val="20"/>
              </w:rPr>
              <w:t>函》，承诺其拥有的全部</w:t>
            </w:r>
            <w:r>
              <w:rPr>
                <w:rFonts w:ascii="宋体" w:hAnsi="宋体" w:cs="宋体" w:eastAsia="宋体" w:hint="default"/>
                <w:spacing w:val="-94"/>
                <w:w w:val="100"/>
                <w:sz w:val="20"/>
                <w:szCs w:val="20"/>
              </w:rPr>
              <w:t> </w:t>
            </w:r>
            <w:r>
              <w:rPr>
                <w:rFonts w:ascii="宋体" w:hAnsi="宋体" w:cs="宋体" w:eastAsia="宋体" w:hint="default"/>
                <w:spacing w:val="-94"/>
                <w:w w:val="100"/>
                <w:sz w:val="20"/>
                <w:szCs w:val="20"/>
              </w:rPr>
            </w:r>
            <w:r>
              <w:rPr>
                <w:rFonts w:ascii="宋体" w:hAnsi="宋体" w:cs="宋体" w:eastAsia="宋体" w:hint="default"/>
                <w:spacing w:val="5"/>
                <w:sz w:val="20"/>
                <w:szCs w:val="20"/>
              </w:rPr>
              <w:t>苏宁云商股份自发行结</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束之日（即新增股份上</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市之日）起三十六个月</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内不进行转让。</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2011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7</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4675"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49.1pt;height:233.8pt;mso-position-horizontal-relative:char;mso-position-vertical-relative:line" coordorigin="0,0" coordsize="982,4676">
                  <v:group style="position:absolute;left:0;top:0;width:982;height:4676" coordorigin="0,0" coordsize="982,4676">
                    <v:shape style="position:absolute;left:0;top:0;width:982;height:4676" coordorigin="0,0" coordsize="982,4676" path="m0,4676l982,4676,982,0,0,0,0,4676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p>
          <w:p>
            <w:pPr>
              <w:pStyle w:val="TableParagraph"/>
              <w:tabs>
                <w:tab w:pos="489" w:val="left" w:leader="none"/>
              </w:tabs>
              <w:spacing w:line="25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w:t>
              <w:tab/>
            </w:r>
            <w:r>
              <w:rPr>
                <w:rFonts w:ascii="宋体" w:hAnsi="宋体" w:cs="宋体" w:eastAsia="宋体" w:hint="default"/>
                <w:sz w:val="20"/>
                <w:szCs w:val="20"/>
              </w:rPr>
              <w:t>日</w:t>
            </w:r>
            <w:r>
              <w:rPr>
                <w:rFonts w:ascii="宋体" w:hAnsi="宋体" w:cs="宋体" w:eastAsia="宋体" w:hint="default"/>
                <w:spacing w:val="66"/>
                <w:sz w:val="20"/>
                <w:szCs w:val="20"/>
              </w:rPr>
              <w:t> </w:t>
            </w:r>
            <w:r>
              <w:rPr>
                <w:rFonts w:ascii="宋体" w:hAnsi="宋体" w:cs="宋体" w:eastAsia="宋体" w:hint="default"/>
                <w:sz w:val="20"/>
                <w:szCs w:val="20"/>
              </w:rPr>
              <w:t>至</w:t>
            </w:r>
          </w:p>
          <w:p>
            <w:pPr>
              <w:pStyle w:val="TableParagraph"/>
              <w:spacing w:line="260"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both"/>
              <w:rPr>
                <w:rFonts w:ascii="宋体" w:hAnsi="宋体" w:cs="宋体" w:eastAsia="宋体" w:hint="default"/>
                <w:sz w:val="20"/>
                <w:szCs w:val="20"/>
              </w:rPr>
            </w:pPr>
            <w:r>
              <w:rPr>
                <w:rFonts w:ascii="宋体" w:hAnsi="宋体" w:cs="宋体" w:eastAsia="宋体" w:hint="default"/>
                <w:spacing w:val="8"/>
                <w:sz w:val="20"/>
                <w:szCs w:val="20"/>
              </w:rPr>
              <w:t>报告期内，</w:t>
            </w:r>
          </w:p>
          <w:p>
            <w:pPr>
              <w:pStyle w:val="TableParagraph"/>
              <w:spacing w:line="237" w:lineRule="auto" w:before="1"/>
              <w:ind w:left="22" w:right="20"/>
              <w:jc w:val="both"/>
              <w:rPr>
                <w:rFonts w:ascii="宋体" w:hAnsi="宋体" w:cs="宋体" w:eastAsia="宋体" w:hint="default"/>
                <w:sz w:val="20"/>
                <w:szCs w:val="20"/>
              </w:rPr>
            </w:pPr>
            <w:r>
              <w:rPr>
                <w:rFonts w:ascii="宋体" w:hAnsi="宋体" w:cs="宋体" w:eastAsia="宋体" w:hint="default"/>
                <w:spacing w:val="8"/>
                <w:sz w:val="20"/>
                <w:szCs w:val="20"/>
              </w:rPr>
              <w:t>张近东先生</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以及苏宁控</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股均履行了</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所 做 的</w:t>
            </w:r>
            <w:r>
              <w:rPr>
                <w:rFonts w:ascii="宋体" w:hAnsi="宋体" w:cs="宋体" w:eastAsia="宋体" w:hint="default"/>
                <w:spacing w:val="-51"/>
                <w:sz w:val="20"/>
                <w:szCs w:val="20"/>
              </w:rPr>
              <w:t> </w:t>
            </w:r>
            <w:r>
              <w:rPr>
                <w:rFonts w:ascii="宋体" w:hAnsi="宋体" w:cs="宋体" w:eastAsia="宋体" w:hint="default"/>
                <w:sz w:val="20"/>
                <w:szCs w:val="20"/>
              </w:rPr>
              <w:t>承</w:t>
            </w:r>
            <w:r>
              <w:rPr>
                <w:rFonts w:ascii="宋体" w:hAnsi="宋体" w:cs="宋体" w:eastAsia="宋体" w:hint="default"/>
                <w:w w:val="100"/>
                <w:sz w:val="20"/>
                <w:szCs w:val="20"/>
              </w:rPr>
              <w:t> </w:t>
            </w:r>
            <w:r>
              <w:rPr>
                <w:rFonts w:ascii="宋体" w:hAnsi="宋体" w:cs="宋体" w:eastAsia="宋体" w:hint="default"/>
                <w:sz w:val="20"/>
                <w:szCs w:val="20"/>
              </w:rPr>
              <w:t>诺 。 截</w:t>
            </w:r>
            <w:r>
              <w:rPr>
                <w:rFonts w:ascii="宋体" w:hAnsi="宋体" w:cs="宋体" w:eastAsia="宋体" w:hint="default"/>
                <w:spacing w:val="-51"/>
                <w:sz w:val="20"/>
                <w:szCs w:val="20"/>
              </w:rPr>
              <w:t> </w:t>
            </w:r>
            <w:r>
              <w:rPr>
                <w:rFonts w:ascii="宋体" w:hAnsi="宋体" w:cs="宋体" w:eastAsia="宋体" w:hint="default"/>
                <w:sz w:val="20"/>
                <w:szCs w:val="20"/>
              </w:rPr>
              <w:t>止</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p>
          <w:p>
            <w:pPr>
              <w:pStyle w:val="TableParagraph"/>
              <w:spacing w:line="260" w:lineRule="exact" w:before="8"/>
              <w:ind w:left="22" w:right="21"/>
              <w:jc w:val="both"/>
              <w:rPr>
                <w:rFonts w:ascii="宋体" w:hAnsi="宋体" w:cs="宋体" w:eastAsia="宋体" w:hint="default"/>
                <w:sz w:val="20"/>
                <w:szCs w:val="20"/>
              </w:rPr>
            </w:pP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7"/>
                <w:sz w:val="20"/>
                <w:szCs w:val="20"/>
              </w:rPr>
              <w:t> </w:t>
            </w:r>
            <w:r>
              <w:rPr>
                <w:rFonts w:ascii="宋体" w:hAnsi="宋体" w:cs="宋体" w:eastAsia="宋体" w:hint="default"/>
                <w:spacing w:val="8"/>
                <w:sz w:val="20"/>
                <w:szCs w:val="20"/>
              </w:rPr>
              <w:t>日已履行</w:t>
            </w:r>
            <w:r>
              <w:rPr>
                <w:rFonts w:ascii="宋体" w:hAnsi="宋体" w:cs="宋体" w:eastAsia="宋体" w:hint="default"/>
                <w:w w:val="100"/>
                <w:sz w:val="20"/>
                <w:szCs w:val="20"/>
              </w:rPr>
              <w:t> </w:t>
            </w:r>
            <w:r>
              <w:rPr>
                <w:rFonts w:ascii="宋体" w:hAnsi="宋体" w:cs="宋体" w:eastAsia="宋体" w:hint="default"/>
                <w:sz w:val="20"/>
                <w:szCs w:val="20"/>
              </w:rPr>
              <w:t>结束。</w:t>
            </w:r>
          </w:p>
        </w:tc>
      </w:tr>
      <w:tr>
        <w:trPr>
          <w:trHeight w:val="528"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pacing w:val="6"/>
                <w:sz w:val="20"/>
                <w:szCs w:val="20"/>
              </w:rPr>
              <w:t>资产重组时所作承</w:t>
            </w:r>
            <w:r>
              <w:rPr>
                <w:rFonts w:ascii="宋体" w:hAnsi="宋体" w:cs="宋体" w:eastAsia="宋体" w:hint="default"/>
                <w:sz w:val="20"/>
                <w:szCs w:val="20"/>
              </w:rPr>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3" w:right="0"/>
              <w:jc w:val="left"/>
              <w:rPr>
                <w:rFonts w:ascii="Times New Roman" w:hAnsi="Times New Roman" w:cs="Times New Roman" w:eastAsia="Times New Roman" w:hint="default"/>
                <w:sz w:val="20"/>
                <w:szCs w:val="20"/>
              </w:rPr>
            </w:pPr>
            <w:r>
              <w:rPr>
                <w:rFonts w:ascii="Times New Roman"/>
                <w:w w:val="100"/>
                <w:sz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38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pacing w:val="6"/>
                <w:sz w:val="20"/>
                <w:szCs w:val="20"/>
              </w:rPr>
              <w:t>首次公开发行或再</w:t>
            </w:r>
            <w:r>
              <w:rPr>
                <w:rFonts w:ascii="宋体" w:hAnsi="宋体" w:cs="宋体" w:eastAsia="宋体" w:hint="default"/>
                <w:sz w:val="20"/>
                <w:szCs w:val="20"/>
              </w:rPr>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融资时所作承诺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both"/>
              <w:rPr>
                <w:rFonts w:ascii="宋体" w:hAnsi="宋体" w:cs="宋体" w:eastAsia="宋体" w:hint="default"/>
                <w:sz w:val="20"/>
                <w:szCs w:val="20"/>
              </w:rPr>
            </w:pPr>
            <w:r>
              <w:rPr>
                <w:rFonts w:ascii="宋体" w:hAnsi="宋体" w:cs="宋体" w:eastAsia="宋体" w:hint="default"/>
                <w:spacing w:val="13"/>
                <w:sz w:val="20"/>
                <w:szCs w:val="20"/>
              </w:rPr>
              <w:t>公司股东张近东</w:t>
            </w:r>
          </w:p>
          <w:p>
            <w:pPr>
              <w:pStyle w:val="TableParagraph"/>
              <w:spacing w:line="260" w:lineRule="exact" w:before="24"/>
              <w:ind w:left="23" w:right="20"/>
              <w:jc w:val="both"/>
              <w:rPr>
                <w:rFonts w:ascii="宋体" w:hAnsi="宋体" w:cs="宋体" w:eastAsia="宋体" w:hint="default"/>
                <w:sz w:val="20"/>
                <w:szCs w:val="20"/>
              </w:rPr>
            </w:pPr>
            <w:r>
              <w:rPr>
                <w:rFonts w:ascii="宋体" w:hAnsi="宋体" w:cs="宋体" w:eastAsia="宋体" w:hint="default"/>
                <w:w w:val="100"/>
                <w:sz w:val="20"/>
                <w:szCs w:val="20"/>
              </w:rPr>
              <w:t>先生</w:t>
            </w:r>
            <w:r>
              <w:rPr>
                <w:rFonts w:ascii="宋体" w:hAnsi="宋体" w:cs="宋体" w:eastAsia="宋体" w:hint="default"/>
                <w:spacing w:val="-96"/>
                <w:w w:val="100"/>
                <w:sz w:val="20"/>
                <w:szCs w:val="20"/>
              </w:rPr>
              <w:t>、</w:t>
            </w:r>
            <w:r>
              <w:rPr>
                <w:rFonts w:ascii="宋体" w:hAnsi="宋体" w:cs="宋体" w:eastAsia="宋体" w:hint="default"/>
                <w:spacing w:val="-2"/>
                <w:w w:val="100"/>
                <w:sz w:val="20"/>
                <w:szCs w:val="20"/>
              </w:rPr>
              <w:t>苏</w:t>
            </w:r>
            <w:r>
              <w:rPr>
                <w:rFonts w:ascii="宋体" w:hAnsi="宋体" w:cs="宋体" w:eastAsia="宋体" w:hint="default"/>
                <w:w w:val="100"/>
                <w:sz w:val="20"/>
                <w:szCs w:val="20"/>
              </w:rPr>
              <w:t>宁</w:t>
            </w:r>
            <w:r>
              <w:rPr>
                <w:rFonts w:ascii="宋体" w:hAnsi="宋体" w:cs="宋体" w:eastAsia="宋体" w:hint="default"/>
                <w:spacing w:val="-2"/>
                <w:w w:val="100"/>
                <w:sz w:val="20"/>
                <w:szCs w:val="20"/>
              </w:rPr>
              <w:t>电</w:t>
            </w:r>
            <w:r>
              <w:rPr>
                <w:rFonts w:ascii="宋体" w:hAnsi="宋体" w:cs="宋体" w:eastAsia="宋体" w:hint="default"/>
                <w:w w:val="100"/>
                <w:sz w:val="20"/>
                <w:szCs w:val="20"/>
              </w:rPr>
              <w:t>器集</w:t>
            </w:r>
            <w:r>
              <w:rPr>
                <w:rFonts w:ascii="宋体" w:hAnsi="宋体" w:cs="宋体" w:eastAsia="宋体" w:hint="default"/>
                <w:w w:val="100"/>
                <w:sz w:val="20"/>
                <w:szCs w:val="20"/>
              </w:rPr>
              <w:t> 团有限</w:t>
            </w:r>
            <w:r>
              <w:rPr>
                <w:rFonts w:ascii="宋体" w:hAnsi="宋体" w:cs="宋体" w:eastAsia="宋体" w:hint="default"/>
                <w:spacing w:val="-2"/>
                <w:w w:val="100"/>
                <w:sz w:val="20"/>
                <w:szCs w:val="20"/>
              </w:rPr>
              <w:t>公</w:t>
            </w:r>
            <w:r>
              <w:rPr>
                <w:rFonts w:ascii="宋体" w:hAnsi="宋体" w:cs="宋体" w:eastAsia="宋体" w:hint="default"/>
                <w:w w:val="100"/>
                <w:sz w:val="20"/>
                <w:szCs w:val="20"/>
              </w:rPr>
              <w:t>司</w:t>
            </w:r>
            <w:r>
              <w:rPr>
                <w:rFonts w:ascii="宋体" w:hAnsi="宋体" w:cs="宋体" w:eastAsia="宋体" w:hint="default"/>
                <w:spacing w:val="-98"/>
                <w:w w:val="100"/>
                <w:sz w:val="20"/>
                <w:szCs w:val="20"/>
              </w:rPr>
              <w:t>、</w:t>
            </w:r>
            <w:r>
              <w:rPr>
                <w:rFonts w:ascii="宋体" w:hAnsi="宋体" w:cs="宋体" w:eastAsia="宋体" w:hint="default"/>
                <w:w w:val="100"/>
                <w:sz w:val="20"/>
                <w:szCs w:val="20"/>
              </w:rPr>
              <w:t>陈金</w:t>
            </w:r>
            <w:r>
              <w:rPr>
                <w:rFonts w:ascii="宋体" w:hAnsi="宋体" w:cs="宋体" w:eastAsia="宋体" w:hint="default"/>
                <w:w w:val="100"/>
                <w:sz w:val="20"/>
                <w:szCs w:val="20"/>
              </w:rPr>
              <w:t> 凤女士</w:t>
            </w:r>
            <w:r>
              <w:rPr>
                <w:rFonts w:ascii="宋体" w:hAnsi="宋体" w:cs="宋体" w:eastAsia="宋体" w:hint="default"/>
                <w:spacing w:val="-98"/>
                <w:w w:val="100"/>
                <w:sz w:val="20"/>
                <w:szCs w:val="20"/>
              </w:rPr>
              <w:t>、</w:t>
            </w:r>
            <w:r>
              <w:rPr>
                <w:rFonts w:ascii="宋体" w:hAnsi="宋体" w:cs="宋体" w:eastAsia="宋体" w:hint="default"/>
                <w:w w:val="100"/>
                <w:sz w:val="20"/>
                <w:szCs w:val="20"/>
              </w:rPr>
              <w:t>赵</w:t>
            </w:r>
            <w:r>
              <w:rPr>
                <w:rFonts w:ascii="宋体" w:hAnsi="宋体" w:cs="宋体" w:eastAsia="宋体" w:hint="default"/>
                <w:spacing w:val="-2"/>
                <w:w w:val="100"/>
                <w:sz w:val="20"/>
                <w:szCs w:val="20"/>
              </w:rPr>
              <w:t>蓓</w:t>
            </w:r>
            <w:r>
              <w:rPr>
                <w:rFonts w:ascii="宋体" w:hAnsi="宋体" w:cs="宋体" w:eastAsia="宋体" w:hint="default"/>
                <w:w w:val="100"/>
                <w:sz w:val="20"/>
                <w:szCs w:val="20"/>
              </w:rPr>
              <w:t>女士</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both"/>
              <w:rPr>
                <w:rFonts w:ascii="宋体" w:hAnsi="宋体" w:cs="宋体" w:eastAsia="宋体" w:hint="default"/>
                <w:sz w:val="20"/>
                <w:szCs w:val="20"/>
              </w:rPr>
            </w:pPr>
            <w:r>
              <w:rPr>
                <w:rFonts w:ascii="宋体" w:hAnsi="宋体" w:cs="宋体" w:eastAsia="宋体" w:hint="default"/>
                <w:sz w:val="20"/>
                <w:szCs w:val="20"/>
              </w:rPr>
              <w:t>首</w:t>
            </w:r>
            <w:r>
              <w:rPr>
                <w:rFonts w:ascii="宋体" w:hAnsi="宋体" w:cs="宋体" w:eastAsia="宋体" w:hint="default"/>
                <w:spacing w:val="-55"/>
                <w:sz w:val="20"/>
                <w:szCs w:val="20"/>
              </w:rPr>
              <w:t> </w:t>
            </w:r>
            <w:r>
              <w:rPr>
                <w:rFonts w:ascii="宋体" w:hAnsi="宋体" w:cs="宋体" w:eastAsia="宋体" w:hint="default"/>
                <w:sz w:val="20"/>
                <w:szCs w:val="20"/>
              </w:rPr>
              <w:t>次</w:t>
            </w:r>
            <w:r>
              <w:rPr>
                <w:rFonts w:ascii="宋体" w:hAnsi="宋体" w:cs="宋体" w:eastAsia="宋体" w:hint="default"/>
                <w:spacing w:val="-56"/>
                <w:sz w:val="20"/>
                <w:szCs w:val="20"/>
              </w:rPr>
              <w:t> </w:t>
            </w:r>
            <w:r>
              <w:rPr>
                <w:rFonts w:ascii="宋体" w:hAnsi="宋体" w:cs="宋体" w:eastAsia="宋体" w:hint="default"/>
                <w:sz w:val="20"/>
                <w:szCs w:val="20"/>
              </w:rPr>
              <w:t>公</w:t>
            </w:r>
            <w:r>
              <w:rPr>
                <w:rFonts w:ascii="宋体" w:hAnsi="宋体" w:cs="宋体" w:eastAsia="宋体" w:hint="default"/>
                <w:spacing w:val="-55"/>
                <w:sz w:val="20"/>
                <w:szCs w:val="20"/>
              </w:rPr>
              <w:t> </w:t>
            </w:r>
            <w:r>
              <w:rPr>
                <w:rFonts w:ascii="宋体" w:hAnsi="宋体" w:cs="宋体" w:eastAsia="宋体" w:hint="default"/>
                <w:sz w:val="20"/>
                <w:szCs w:val="20"/>
              </w:rPr>
              <w:t>开</w:t>
            </w:r>
          </w:p>
          <w:p>
            <w:pPr>
              <w:pStyle w:val="TableParagraph"/>
              <w:spacing w:line="260" w:lineRule="exact" w:before="24"/>
              <w:ind w:left="22" w:right="20"/>
              <w:jc w:val="both"/>
              <w:rPr>
                <w:rFonts w:ascii="宋体" w:hAnsi="宋体" w:cs="宋体" w:eastAsia="宋体" w:hint="default"/>
                <w:sz w:val="20"/>
                <w:szCs w:val="20"/>
              </w:rPr>
            </w:pPr>
            <w:r>
              <w:rPr>
                <w:rFonts w:ascii="宋体" w:hAnsi="宋体" w:cs="宋体" w:eastAsia="宋体" w:hint="default"/>
                <w:sz w:val="20"/>
                <w:szCs w:val="20"/>
              </w:rPr>
              <w:t>发</w:t>
            </w:r>
            <w:r>
              <w:rPr>
                <w:rFonts w:ascii="宋体" w:hAnsi="宋体" w:cs="宋体" w:eastAsia="宋体" w:hint="default"/>
                <w:spacing w:val="-55"/>
                <w:sz w:val="20"/>
                <w:szCs w:val="20"/>
              </w:rPr>
              <w:t> </w:t>
            </w:r>
            <w:r>
              <w:rPr>
                <w:rFonts w:ascii="宋体" w:hAnsi="宋体" w:cs="宋体" w:eastAsia="宋体" w:hint="default"/>
                <w:sz w:val="20"/>
                <w:szCs w:val="20"/>
              </w:rPr>
              <w:t>行</w:t>
            </w:r>
            <w:r>
              <w:rPr>
                <w:rFonts w:ascii="宋体" w:hAnsi="宋体" w:cs="宋体" w:eastAsia="宋体" w:hint="default"/>
                <w:spacing w:val="-56"/>
                <w:sz w:val="20"/>
                <w:szCs w:val="20"/>
              </w:rPr>
              <w:t> </w:t>
            </w:r>
            <w:r>
              <w:rPr>
                <w:rFonts w:ascii="宋体" w:hAnsi="宋体" w:cs="宋体" w:eastAsia="宋体" w:hint="default"/>
                <w:sz w:val="20"/>
                <w:szCs w:val="20"/>
              </w:rPr>
              <w:t>或</w:t>
            </w:r>
            <w:r>
              <w:rPr>
                <w:rFonts w:ascii="宋体" w:hAnsi="宋体" w:cs="宋体" w:eastAsia="宋体" w:hint="default"/>
                <w:spacing w:val="-55"/>
                <w:sz w:val="20"/>
                <w:szCs w:val="20"/>
              </w:rPr>
              <w:t> </w:t>
            </w:r>
            <w:r>
              <w:rPr>
                <w:rFonts w:ascii="宋体" w:hAnsi="宋体" w:cs="宋体" w:eastAsia="宋体" w:hint="default"/>
                <w:sz w:val="20"/>
                <w:szCs w:val="20"/>
              </w:rPr>
              <w:t>再</w:t>
            </w:r>
            <w:r>
              <w:rPr>
                <w:rFonts w:ascii="宋体" w:hAnsi="宋体" w:cs="宋体" w:eastAsia="宋体" w:hint="default"/>
                <w:w w:val="100"/>
                <w:sz w:val="20"/>
                <w:szCs w:val="20"/>
              </w:rPr>
              <w:t> </w:t>
            </w:r>
            <w:r>
              <w:rPr>
                <w:rFonts w:ascii="宋体" w:hAnsi="宋体" w:cs="宋体" w:eastAsia="宋体" w:hint="default"/>
                <w:sz w:val="20"/>
                <w:szCs w:val="20"/>
              </w:rPr>
              <w:t>融</w:t>
            </w:r>
            <w:r>
              <w:rPr>
                <w:rFonts w:ascii="宋体" w:hAnsi="宋体" w:cs="宋体" w:eastAsia="宋体" w:hint="default"/>
                <w:spacing w:val="-55"/>
                <w:sz w:val="20"/>
                <w:szCs w:val="20"/>
              </w:rPr>
              <w:t> </w:t>
            </w:r>
            <w:r>
              <w:rPr>
                <w:rFonts w:ascii="宋体" w:hAnsi="宋体" w:cs="宋体" w:eastAsia="宋体" w:hint="default"/>
                <w:sz w:val="20"/>
                <w:szCs w:val="20"/>
              </w:rPr>
              <w:t>资</w:t>
            </w:r>
            <w:r>
              <w:rPr>
                <w:rFonts w:ascii="宋体" w:hAnsi="宋体" w:cs="宋体" w:eastAsia="宋体" w:hint="default"/>
                <w:spacing w:val="-56"/>
                <w:sz w:val="20"/>
                <w:szCs w:val="20"/>
              </w:rPr>
              <w:t> </w:t>
            </w:r>
            <w:r>
              <w:rPr>
                <w:rFonts w:ascii="宋体" w:hAnsi="宋体" w:cs="宋体" w:eastAsia="宋体" w:hint="default"/>
                <w:sz w:val="20"/>
                <w:szCs w:val="20"/>
              </w:rPr>
              <w:t>时</w:t>
            </w:r>
            <w:r>
              <w:rPr>
                <w:rFonts w:ascii="宋体" w:hAnsi="宋体" w:cs="宋体" w:eastAsia="宋体" w:hint="default"/>
                <w:spacing w:val="-55"/>
                <w:sz w:val="20"/>
                <w:szCs w:val="20"/>
              </w:rPr>
              <w:t> </w:t>
            </w:r>
            <w:r>
              <w:rPr>
                <w:rFonts w:ascii="宋体" w:hAnsi="宋体" w:cs="宋体" w:eastAsia="宋体" w:hint="default"/>
                <w:sz w:val="20"/>
                <w:szCs w:val="20"/>
              </w:rPr>
              <w:t>所</w:t>
            </w:r>
            <w:r>
              <w:rPr>
                <w:rFonts w:ascii="宋体" w:hAnsi="宋体" w:cs="宋体" w:eastAsia="宋体" w:hint="default"/>
                <w:w w:val="100"/>
                <w:sz w:val="20"/>
                <w:szCs w:val="20"/>
              </w:rPr>
              <w:t> </w:t>
            </w:r>
            <w:r>
              <w:rPr>
                <w:rFonts w:ascii="宋体" w:hAnsi="宋体" w:cs="宋体" w:eastAsia="宋体" w:hint="default"/>
                <w:sz w:val="20"/>
                <w:szCs w:val="20"/>
              </w:rPr>
              <w:t>做承诺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为避免同业竞争损害本</w:t>
            </w:r>
          </w:p>
          <w:p>
            <w:pPr>
              <w:pStyle w:val="TableParagraph"/>
              <w:spacing w:line="260" w:lineRule="exact" w:before="24"/>
              <w:ind w:left="22" w:right="21"/>
              <w:jc w:val="both"/>
              <w:rPr>
                <w:rFonts w:ascii="Times New Roman" w:hAnsi="Times New Roman" w:cs="Times New Roman" w:eastAsia="Times New Roman" w:hint="default"/>
                <w:sz w:val="20"/>
                <w:szCs w:val="20"/>
              </w:rPr>
            </w:pPr>
            <w:r>
              <w:rPr>
                <w:rFonts w:ascii="宋体" w:hAnsi="宋体" w:cs="宋体" w:eastAsia="宋体" w:hint="default"/>
                <w:sz w:val="20"/>
                <w:szCs w:val="20"/>
              </w:rPr>
              <w:t>公</w:t>
            </w:r>
            <w:r>
              <w:rPr>
                <w:rFonts w:ascii="宋体" w:hAnsi="宋体" w:cs="宋体" w:eastAsia="宋体" w:hint="default"/>
                <w:spacing w:val="-67"/>
                <w:sz w:val="20"/>
                <w:szCs w:val="20"/>
              </w:rPr>
              <w:t> </w:t>
            </w:r>
            <w:r>
              <w:rPr>
                <w:rFonts w:ascii="宋体" w:hAnsi="宋体" w:cs="宋体" w:eastAsia="宋体" w:hint="default"/>
                <w:sz w:val="20"/>
                <w:szCs w:val="20"/>
              </w:rPr>
              <w:t>司</w:t>
            </w:r>
            <w:r>
              <w:rPr>
                <w:rFonts w:ascii="宋体" w:hAnsi="宋体" w:cs="宋体" w:eastAsia="宋体" w:hint="default"/>
                <w:spacing w:val="-67"/>
                <w:sz w:val="20"/>
                <w:szCs w:val="20"/>
              </w:rPr>
              <w:t> </w:t>
            </w:r>
            <w:r>
              <w:rPr>
                <w:rFonts w:ascii="宋体" w:hAnsi="宋体" w:cs="宋体" w:eastAsia="宋体" w:hint="default"/>
                <w:sz w:val="20"/>
                <w:szCs w:val="20"/>
              </w:rPr>
              <w:t>及</w:t>
            </w:r>
            <w:r>
              <w:rPr>
                <w:rFonts w:ascii="宋体" w:hAnsi="宋体" w:cs="宋体" w:eastAsia="宋体" w:hint="default"/>
                <w:spacing w:val="-67"/>
                <w:sz w:val="20"/>
                <w:szCs w:val="20"/>
              </w:rPr>
              <w:t> </w:t>
            </w:r>
            <w:r>
              <w:rPr>
                <w:rFonts w:ascii="宋体" w:hAnsi="宋体" w:cs="宋体" w:eastAsia="宋体" w:hint="default"/>
                <w:sz w:val="20"/>
                <w:szCs w:val="20"/>
              </w:rPr>
              <w:t>其</w:t>
            </w:r>
            <w:r>
              <w:rPr>
                <w:rFonts w:ascii="宋体" w:hAnsi="宋体" w:cs="宋体" w:eastAsia="宋体" w:hint="default"/>
                <w:spacing w:val="-67"/>
                <w:sz w:val="20"/>
                <w:szCs w:val="20"/>
              </w:rPr>
              <w:t> </w:t>
            </w:r>
            <w:r>
              <w:rPr>
                <w:rFonts w:ascii="宋体" w:hAnsi="宋体" w:cs="宋体" w:eastAsia="宋体" w:hint="default"/>
                <w:sz w:val="20"/>
                <w:szCs w:val="20"/>
              </w:rPr>
              <w:t>他</w:t>
            </w:r>
            <w:r>
              <w:rPr>
                <w:rFonts w:ascii="宋体" w:hAnsi="宋体" w:cs="宋体" w:eastAsia="宋体" w:hint="default"/>
                <w:spacing w:val="-68"/>
                <w:sz w:val="20"/>
                <w:szCs w:val="20"/>
              </w:rPr>
              <w:t> </w:t>
            </w:r>
            <w:r>
              <w:rPr>
                <w:rFonts w:ascii="宋体" w:hAnsi="宋体" w:cs="宋体" w:eastAsia="宋体" w:hint="default"/>
                <w:sz w:val="20"/>
                <w:szCs w:val="20"/>
              </w:rPr>
              <w:t>股</w:t>
            </w:r>
            <w:r>
              <w:rPr>
                <w:rFonts w:ascii="宋体" w:hAnsi="宋体" w:cs="宋体" w:eastAsia="宋体" w:hint="default"/>
                <w:spacing w:val="-67"/>
                <w:sz w:val="20"/>
                <w:szCs w:val="20"/>
              </w:rPr>
              <w:t> </w:t>
            </w:r>
            <w:r>
              <w:rPr>
                <w:rFonts w:ascii="宋体" w:hAnsi="宋体" w:cs="宋体" w:eastAsia="宋体" w:hint="default"/>
                <w:sz w:val="20"/>
                <w:szCs w:val="20"/>
              </w:rPr>
              <w:t>东</w:t>
            </w:r>
            <w:r>
              <w:rPr>
                <w:rFonts w:ascii="宋体" w:hAnsi="宋体" w:cs="宋体" w:eastAsia="宋体" w:hint="default"/>
                <w:spacing w:val="-67"/>
                <w:sz w:val="20"/>
                <w:szCs w:val="20"/>
              </w:rPr>
              <w:t> </w:t>
            </w:r>
            <w:r>
              <w:rPr>
                <w:rFonts w:ascii="宋体" w:hAnsi="宋体" w:cs="宋体" w:eastAsia="宋体" w:hint="default"/>
                <w:sz w:val="20"/>
                <w:szCs w:val="20"/>
              </w:rPr>
              <w:t>的</w:t>
            </w:r>
            <w:r>
              <w:rPr>
                <w:rFonts w:ascii="宋体" w:hAnsi="宋体" w:cs="宋体" w:eastAsia="宋体" w:hint="default"/>
                <w:spacing w:val="-67"/>
                <w:sz w:val="20"/>
                <w:szCs w:val="20"/>
              </w:rPr>
              <w:t> </w:t>
            </w:r>
            <w:r>
              <w:rPr>
                <w:rFonts w:ascii="宋体" w:hAnsi="宋体" w:cs="宋体" w:eastAsia="宋体" w:hint="default"/>
                <w:sz w:val="20"/>
                <w:szCs w:val="20"/>
              </w:rPr>
              <w:t>利</w:t>
            </w:r>
            <w:r>
              <w:rPr>
                <w:rFonts w:ascii="宋体" w:hAnsi="宋体" w:cs="宋体" w:eastAsia="宋体" w:hint="default"/>
                <w:w w:val="100"/>
                <w:sz w:val="20"/>
                <w:szCs w:val="20"/>
              </w:rPr>
              <w:t> </w:t>
            </w:r>
            <w:r>
              <w:rPr>
                <w:rFonts w:ascii="宋体" w:hAnsi="宋体" w:cs="宋体" w:eastAsia="宋体" w:hint="default"/>
                <w:spacing w:val="5"/>
                <w:sz w:val="20"/>
                <w:szCs w:val="20"/>
              </w:rPr>
              <w:t>益，公司股东张近东先</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生、苏宁电器集团有限</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公司、陈金凤女士、赵</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蓓女士已于 </w:t>
            </w:r>
            <w:r>
              <w:rPr>
                <w:rFonts w:ascii="Times New Roman" w:hAnsi="Times New Roman" w:cs="Times New Roman" w:eastAsia="Times New Roman" w:hint="default"/>
                <w:sz w:val="20"/>
                <w:szCs w:val="20"/>
              </w:rPr>
              <w:t>2002  </w:t>
            </w:r>
            <w:r>
              <w:rPr>
                <w:rFonts w:ascii="宋体" w:hAnsi="宋体" w:cs="宋体" w:eastAsia="宋体" w:hint="default"/>
                <w:sz w:val="20"/>
                <w:szCs w:val="20"/>
              </w:rPr>
              <w:t>年</w:t>
            </w:r>
            <w:r>
              <w:rPr>
                <w:rFonts w:ascii="宋体" w:hAnsi="宋体" w:cs="宋体" w:eastAsia="宋体" w:hint="default"/>
                <w:spacing w:val="-24"/>
                <w:sz w:val="20"/>
                <w:szCs w:val="20"/>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z w:val="20"/>
                <w:szCs w:val="20"/>
              </w:rPr>
            </w:r>
          </w:p>
          <w:p>
            <w:pPr>
              <w:pStyle w:val="TableParagraph"/>
              <w:spacing w:line="242"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日分别向公司出具</w:t>
            </w:r>
          </w:p>
          <w:p>
            <w:pPr>
              <w:pStyle w:val="TableParagraph"/>
              <w:spacing w:line="260" w:lineRule="exact" w:before="17"/>
              <w:ind w:left="22" w:right="20"/>
              <w:jc w:val="left"/>
              <w:rPr>
                <w:rFonts w:ascii="Times New Roman" w:hAnsi="Times New Roman" w:cs="Times New Roman" w:eastAsia="Times New Roman" w:hint="default"/>
                <w:sz w:val="20"/>
                <w:szCs w:val="20"/>
              </w:rPr>
            </w:pPr>
            <w:r>
              <w:rPr>
                <w:rFonts w:ascii="宋体" w:hAnsi="宋体" w:cs="宋体" w:eastAsia="宋体" w:hint="default"/>
                <w:spacing w:val="-13"/>
                <w:w w:val="100"/>
                <w:sz w:val="20"/>
                <w:szCs w:val="20"/>
              </w:rPr>
              <w:t>《不竞争承诺函》；苏宁</w:t>
            </w:r>
            <w:r>
              <w:rPr>
                <w:rFonts w:ascii="宋体" w:hAnsi="宋体" w:cs="宋体" w:eastAsia="宋体" w:hint="default"/>
                <w:spacing w:val="-94"/>
                <w:w w:val="100"/>
                <w:sz w:val="20"/>
                <w:szCs w:val="20"/>
              </w:rPr>
              <w:t> </w:t>
            </w:r>
            <w:r>
              <w:rPr>
                <w:rFonts w:ascii="宋体" w:hAnsi="宋体" w:cs="宋体" w:eastAsia="宋体" w:hint="default"/>
                <w:spacing w:val="-94"/>
                <w:w w:val="100"/>
                <w:sz w:val="20"/>
                <w:szCs w:val="20"/>
              </w:rPr>
            </w:r>
            <w:r>
              <w:rPr>
                <w:rFonts w:ascii="宋体" w:hAnsi="宋体" w:cs="宋体" w:eastAsia="宋体" w:hint="default"/>
                <w:sz w:val="20"/>
                <w:szCs w:val="20"/>
              </w:rPr>
              <w:t>电器集团有限公司</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2003</w:t>
            </w:r>
          </w:p>
          <w:p>
            <w:pPr>
              <w:pStyle w:val="TableParagraph"/>
              <w:spacing w:line="260" w:lineRule="exact"/>
              <w:ind w:left="22" w:right="23"/>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日出具承诺函</w:t>
            </w:r>
            <w:r>
              <w:rPr>
                <w:rFonts w:ascii="宋体" w:hAnsi="宋体" w:cs="宋体" w:eastAsia="宋体" w:hint="default"/>
                <w:w w:val="100"/>
                <w:sz w:val="20"/>
                <w:szCs w:val="20"/>
              </w:rPr>
              <w:t> </w:t>
            </w:r>
            <w:r>
              <w:rPr>
                <w:rFonts w:ascii="宋体" w:hAnsi="宋体" w:cs="宋体" w:eastAsia="宋体" w:hint="default"/>
                <w:spacing w:val="5"/>
                <w:sz w:val="20"/>
                <w:szCs w:val="20"/>
              </w:rPr>
              <w:t>保证今后避免发生除正</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常业务外的一切资金往</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2002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z w:val="20"/>
                <w:szCs w:val="20"/>
              </w:rPr>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852"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49.1pt;height:142.65pt;mso-position-horizontal-relative:char;mso-position-vertical-relative:line" coordorigin="0,0" coordsize="982,2853">
                  <v:group style="position:absolute;left:0;top:0;width:982;height:2853" coordorigin="0,0" coordsize="982,2853">
                    <v:shape style="position:absolute;left:0;top:0;width:982;height:2853" coordorigin="0,0" coordsize="982,2853" path="m0,2852l982,2852,982,0,0,0,0,2852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无限期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both"/>
              <w:rPr>
                <w:rFonts w:ascii="宋体" w:hAnsi="宋体" w:cs="宋体" w:eastAsia="宋体" w:hint="default"/>
                <w:sz w:val="20"/>
                <w:szCs w:val="20"/>
              </w:rPr>
            </w:pPr>
            <w:r>
              <w:rPr>
                <w:rFonts w:ascii="宋体" w:hAnsi="宋体" w:cs="宋体" w:eastAsia="宋体" w:hint="default"/>
                <w:spacing w:val="8"/>
                <w:sz w:val="20"/>
                <w:szCs w:val="20"/>
              </w:rPr>
              <w:t>报告期内，</w:t>
            </w:r>
          </w:p>
          <w:p>
            <w:pPr>
              <w:pStyle w:val="TableParagraph"/>
              <w:spacing w:line="237" w:lineRule="auto" w:before="1"/>
              <w:ind w:left="22" w:right="21"/>
              <w:jc w:val="both"/>
              <w:rPr>
                <w:rFonts w:ascii="宋体" w:hAnsi="宋体" w:cs="宋体" w:eastAsia="宋体" w:hint="default"/>
                <w:sz w:val="20"/>
                <w:szCs w:val="20"/>
              </w:rPr>
            </w:pPr>
            <w:r>
              <w:rPr>
                <w:rFonts w:ascii="宋体" w:hAnsi="宋体" w:cs="宋体" w:eastAsia="宋体" w:hint="default"/>
                <w:sz w:val="20"/>
                <w:szCs w:val="20"/>
              </w:rPr>
              <w:t>张 近 东</w:t>
            </w:r>
            <w:r>
              <w:rPr>
                <w:rFonts w:ascii="宋体" w:hAnsi="宋体" w:cs="宋体" w:eastAsia="宋体" w:hint="default"/>
                <w:spacing w:val="-51"/>
                <w:sz w:val="20"/>
                <w:szCs w:val="20"/>
              </w:rPr>
              <w:t> </w:t>
            </w:r>
            <w:r>
              <w:rPr>
                <w:rFonts w:ascii="宋体" w:hAnsi="宋体" w:cs="宋体" w:eastAsia="宋体" w:hint="default"/>
                <w:sz w:val="20"/>
                <w:szCs w:val="20"/>
              </w:rPr>
              <w:t>先</w:t>
            </w:r>
            <w:r>
              <w:rPr>
                <w:rFonts w:ascii="宋体" w:hAnsi="宋体" w:cs="宋体" w:eastAsia="宋体" w:hint="default"/>
                <w:w w:val="100"/>
                <w:sz w:val="20"/>
                <w:szCs w:val="20"/>
              </w:rPr>
              <w:t> </w:t>
            </w:r>
            <w:r>
              <w:rPr>
                <w:rFonts w:ascii="宋体" w:hAnsi="宋体" w:cs="宋体" w:eastAsia="宋体" w:hint="default"/>
                <w:spacing w:val="8"/>
                <w:sz w:val="20"/>
                <w:szCs w:val="20"/>
              </w:rPr>
              <w:t>生、苏宁电</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器集团有限</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公司、陈金</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凤女士、赵</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蓓女士均履</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行其承诺。</w:t>
            </w:r>
          </w:p>
        </w:tc>
      </w:tr>
      <w:tr>
        <w:trPr>
          <w:trHeight w:val="27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股权激励承诺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Times New Roman" w:hAnsi="Times New Roman" w:cs="Times New Roman" w:eastAsia="Times New Roman" w:hint="default"/>
                <w:sz w:val="20"/>
                <w:szCs w:val="20"/>
              </w:rPr>
            </w:pPr>
            <w:r>
              <w:rPr>
                <w:rFonts w:ascii="Times New Roman"/>
                <w:w w:val="100"/>
                <w:sz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755"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pacing w:val="6"/>
                <w:sz w:val="20"/>
                <w:szCs w:val="20"/>
              </w:rPr>
              <w:t>其他对公司中小股</w:t>
            </w:r>
            <w:r>
              <w:rPr>
                <w:rFonts w:ascii="宋体" w:hAnsi="宋体" w:cs="宋体" w:eastAsia="宋体" w:hint="default"/>
                <w:sz w:val="20"/>
                <w:szCs w:val="20"/>
              </w:rPr>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东所作承诺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23" w:right="20"/>
              <w:jc w:val="both"/>
              <w:rPr>
                <w:rFonts w:ascii="宋体" w:hAnsi="宋体" w:cs="宋体" w:eastAsia="宋体" w:hint="default"/>
                <w:sz w:val="20"/>
                <w:szCs w:val="20"/>
              </w:rPr>
            </w:pPr>
            <w:r>
              <w:rPr>
                <w:rFonts w:ascii="宋体" w:hAnsi="宋体" w:cs="宋体" w:eastAsia="宋体" w:hint="default"/>
                <w:spacing w:val="13"/>
                <w:sz w:val="20"/>
                <w:szCs w:val="20"/>
              </w:rPr>
              <w:t>张近东先生及其</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3"/>
                <w:sz w:val="20"/>
                <w:szCs w:val="20"/>
              </w:rPr>
              <w:t>全资子公司苏宁</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3"/>
                <w:sz w:val="20"/>
                <w:szCs w:val="20"/>
              </w:rPr>
              <w:t>控股集团有限公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司（以下简称</w:t>
            </w:r>
            <w:r>
              <w:rPr>
                <w:rFonts w:ascii="Times New Roman" w:hAnsi="Times New Roman" w:cs="Times New Roman" w:eastAsia="Times New Roman" w:hint="default"/>
                <w:sz w:val="20"/>
                <w:szCs w:val="20"/>
              </w:rPr>
              <w:t>“</w:t>
            </w:r>
            <w:r>
              <w:rPr>
                <w:rFonts w:ascii="宋体" w:hAnsi="宋体" w:cs="宋体" w:eastAsia="宋体" w:hint="default"/>
                <w:sz w:val="20"/>
                <w:szCs w:val="20"/>
              </w:rPr>
              <w:t>苏</w:t>
            </w:r>
            <w:r>
              <w:rPr>
                <w:rFonts w:ascii="宋体" w:hAnsi="宋体" w:cs="宋体" w:eastAsia="宋体" w:hint="default"/>
                <w:spacing w:val="-86"/>
                <w:sz w:val="20"/>
                <w:szCs w:val="20"/>
              </w:rPr>
              <w:t> </w:t>
            </w:r>
            <w:r>
              <w:rPr>
                <w:rFonts w:ascii="宋体" w:hAnsi="宋体" w:cs="宋体" w:eastAsia="宋体" w:hint="default"/>
                <w:sz w:val="20"/>
                <w:szCs w:val="20"/>
              </w:rPr>
              <w:t>宁控股</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股</w:t>
            </w:r>
            <w:r>
              <w:rPr>
                <w:rFonts w:ascii="宋体" w:hAnsi="宋体" w:cs="宋体" w:eastAsia="宋体" w:hint="default"/>
                <w:spacing w:val="-55"/>
                <w:sz w:val="20"/>
                <w:szCs w:val="20"/>
              </w:rPr>
              <w:t> </w:t>
            </w:r>
            <w:r>
              <w:rPr>
                <w:rFonts w:ascii="宋体" w:hAnsi="宋体" w:cs="宋体" w:eastAsia="宋体" w:hint="default"/>
                <w:sz w:val="20"/>
                <w:szCs w:val="20"/>
              </w:rPr>
              <w:t>份</w:t>
            </w:r>
            <w:r>
              <w:rPr>
                <w:rFonts w:ascii="宋体" w:hAnsi="宋体" w:cs="宋体" w:eastAsia="宋体" w:hint="default"/>
                <w:spacing w:val="-56"/>
                <w:sz w:val="20"/>
                <w:szCs w:val="20"/>
              </w:rPr>
              <w:t> </w:t>
            </w:r>
            <w:r>
              <w:rPr>
                <w:rFonts w:ascii="宋体" w:hAnsi="宋体" w:cs="宋体" w:eastAsia="宋体" w:hint="default"/>
                <w:sz w:val="20"/>
                <w:szCs w:val="20"/>
              </w:rPr>
              <w:t>限</w:t>
            </w:r>
            <w:r>
              <w:rPr>
                <w:rFonts w:ascii="宋体" w:hAnsi="宋体" w:cs="宋体" w:eastAsia="宋体" w:hint="default"/>
                <w:spacing w:val="-55"/>
                <w:sz w:val="20"/>
                <w:szCs w:val="20"/>
              </w:rPr>
              <w:t> </w:t>
            </w:r>
            <w:r>
              <w:rPr>
                <w:rFonts w:ascii="宋体" w:hAnsi="宋体" w:cs="宋体" w:eastAsia="宋体" w:hint="default"/>
                <w:sz w:val="20"/>
                <w:szCs w:val="20"/>
              </w:rPr>
              <w:t>售</w:t>
            </w:r>
            <w:r>
              <w:rPr>
                <w:rFonts w:ascii="宋体" w:hAnsi="宋体" w:cs="宋体" w:eastAsia="宋体" w:hint="default"/>
                <w:w w:val="100"/>
                <w:sz w:val="20"/>
                <w:szCs w:val="20"/>
              </w:rPr>
              <w:t> </w:t>
            </w:r>
            <w:r>
              <w:rPr>
                <w:rFonts w:ascii="宋体" w:hAnsi="宋体" w:cs="宋体" w:eastAsia="宋体" w:hint="default"/>
                <w:sz w:val="20"/>
                <w:szCs w:val="20"/>
              </w:rPr>
              <w:t>承诺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22" w:right="20"/>
              <w:jc w:val="both"/>
              <w:rPr>
                <w:rFonts w:ascii="宋体" w:hAnsi="宋体" w:cs="宋体" w:eastAsia="宋体" w:hint="default"/>
                <w:sz w:val="20"/>
                <w:szCs w:val="20"/>
              </w:rPr>
            </w:pPr>
            <w:r>
              <w:rPr>
                <w:rFonts w:ascii="宋体" w:hAnsi="宋体" w:cs="宋体" w:eastAsia="宋体" w:hint="default"/>
                <w:spacing w:val="5"/>
                <w:sz w:val="20"/>
                <w:szCs w:val="20"/>
              </w:rPr>
              <w:t>公司控股股东、实际控</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制人张近东先生积极参</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与</w:t>
            </w:r>
            <w:r>
              <w:rPr>
                <w:rFonts w:ascii="Times New Roman" w:hAnsi="Times New Roman" w:cs="Times New Roman" w:eastAsia="Times New Roman" w:hint="default"/>
                <w:sz w:val="20"/>
                <w:szCs w:val="20"/>
              </w:rPr>
              <w:t>“</w:t>
            </w:r>
            <w:r>
              <w:rPr>
                <w:rFonts w:ascii="宋体" w:hAnsi="宋体" w:cs="宋体" w:eastAsia="宋体" w:hint="default"/>
                <w:sz w:val="20"/>
                <w:szCs w:val="20"/>
              </w:rPr>
              <w:t>中小企业板首 </w:t>
            </w:r>
            <w:r>
              <w:rPr>
                <w:rFonts w:ascii="Times New Roman" w:hAnsi="Times New Roman" w:cs="Times New Roman" w:eastAsia="Times New Roman" w:hint="default"/>
                <w:sz w:val="20"/>
                <w:szCs w:val="20"/>
              </w:rPr>
              <w:t>50</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家</w:t>
            </w:r>
            <w:r>
              <w:rPr>
                <w:rFonts w:ascii="宋体" w:hAnsi="宋体" w:cs="宋体" w:eastAsia="宋体" w:hint="default"/>
                <w:w w:val="100"/>
                <w:sz w:val="20"/>
                <w:szCs w:val="20"/>
              </w:rPr>
              <w:t> </w:t>
            </w:r>
            <w:r>
              <w:rPr>
                <w:rFonts w:ascii="宋体" w:hAnsi="宋体" w:cs="宋体" w:eastAsia="宋体" w:hint="default"/>
                <w:sz w:val="20"/>
                <w:szCs w:val="20"/>
              </w:rPr>
              <w:t>公</w:t>
            </w:r>
            <w:r>
              <w:rPr>
                <w:rFonts w:ascii="宋体" w:hAnsi="宋体" w:cs="宋体" w:eastAsia="宋体" w:hint="default"/>
                <w:spacing w:val="-67"/>
                <w:sz w:val="20"/>
                <w:szCs w:val="20"/>
              </w:rPr>
              <w:t> </w:t>
            </w:r>
            <w:r>
              <w:rPr>
                <w:rFonts w:ascii="宋体" w:hAnsi="宋体" w:cs="宋体" w:eastAsia="宋体" w:hint="default"/>
                <w:sz w:val="20"/>
                <w:szCs w:val="20"/>
              </w:rPr>
              <w:t>司</w:t>
            </w:r>
            <w:r>
              <w:rPr>
                <w:rFonts w:ascii="宋体" w:hAnsi="宋体" w:cs="宋体" w:eastAsia="宋体" w:hint="default"/>
                <w:spacing w:val="-67"/>
                <w:sz w:val="20"/>
                <w:szCs w:val="20"/>
              </w:rPr>
              <w:t> </w:t>
            </w:r>
            <w:r>
              <w:rPr>
                <w:rFonts w:ascii="宋体" w:hAnsi="宋体" w:cs="宋体" w:eastAsia="宋体" w:hint="default"/>
                <w:sz w:val="20"/>
                <w:szCs w:val="20"/>
              </w:rPr>
              <w:t>关</w:t>
            </w:r>
            <w:r>
              <w:rPr>
                <w:rFonts w:ascii="宋体" w:hAnsi="宋体" w:cs="宋体" w:eastAsia="宋体" w:hint="default"/>
                <w:spacing w:val="-67"/>
                <w:sz w:val="20"/>
                <w:szCs w:val="20"/>
              </w:rPr>
              <w:t> </w:t>
            </w:r>
            <w:r>
              <w:rPr>
                <w:rFonts w:ascii="宋体" w:hAnsi="宋体" w:cs="宋体" w:eastAsia="宋体" w:hint="default"/>
                <w:sz w:val="20"/>
                <w:szCs w:val="20"/>
              </w:rPr>
              <w:t>于</w:t>
            </w:r>
            <w:r>
              <w:rPr>
                <w:rFonts w:ascii="宋体" w:hAnsi="宋体" w:cs="宋体" w:eastAsia="宋体" w:hint="default"/>
                <w:spacing w:val="-67"/>
                <w:sz w:val="20"/>
                <w:szCs w:val="20"/>
              </w:rPr>
              <w:t> </w:t>
            </w:r>
            <w:r>
              <w:rPr>
                <w:rFonts w:ascii="宋体" w:hAnsi="宋体" w:cs="宋体" w:eastAsia="宋体" w:hint="default"/>
                <w:sz w:val="20"/>
                <w:szCs w:val="20"/>
              </w:rPr>
              <w:t>坚</w:t>
            </w:r>
            <w:r>
              <w:rPr>
                <w:rFonts w:ascii="宋体" w:hAnsi="宋体" w:cs="宋体" w:eastAsia="宋体" w:hint="default"/>
                <w:spacing w:val="-68"/>
                <w:sz w:val="20"/>
                <w:szCs w:val="20"/>
              </w:rPr>
              <w:t> </w:t>
            </w:r>
            <w:r>
              <w:rPr>
                <w:rFonts w:ascii="宋体" w:hAnsi="宋体" w:cs="宋体" w:eastAsia="宋体" w:hint="default"/>
                <w:sz w:val="20"/>
                <w:szCs w:val="20"/>
              </w:rPr>
              <w:t>定</w:t>
            </w:r>
            <w:r>
              <w:rPr>
                <w:rFonts w:ascii="宋体" w:hAnsi="宋体" w:cs="宋体" w:eastAsia="宋体" w:hint="default"/>
                <w:spacing w:val="-67"/>
                <w:sz w:val="20"/>
                <w:szCs w:val="20"/>
              </w:rPr>
              <w:t> </w:t>
            </w:r>
            <w:r>
              <w:rPr>
                <w:rFonts w:ascii="宋体" w:hAnsi="宋体" w:cs="宋体" w:eastAsia="宋体" w:hint="default"/>
                <w:sz w:val="20"/>
                <w:szCs w:val="20"/>
              </w:rPr>
              <w:t>发</w:t>
            </w:r>
            <w:r>
              <w:rPr>
                <w:rFonts w:ascii="宋体" w:hAnsi="宋体" w:cs="宋体" w:eastAsia="宋体" w:hint="default"/>
                <w:spacing w:val="-67"/>
                <w:sz w:val="20"/>
                <w:szCs w:val="20"/>
              </w:rPr>
              <w:t> </w:t>
            </w:r>
            <w:r>
              <w:rPr>
                <w:rFonts w:ascii="宋体" w:hAnsi="宋体" w:cs="宋体" w:eastAsia="宋体" w:hint="default"/>
                <w:sz w:val="20"/>
                <w:szCs w:val="20"/>
              </w:rPr>
              <w:t>展</w:t>
            </w:r>
            <w:r>
              <w:rPr>
                <w:rFonts w:ascii="宋体" w:hAnsi="宋体" w:cs="宋体" w:eastAsia="宋体" w:hint="default"/>
                <w:spacing w:val="-67"/>
                <w:sz w:val="20"/>
                <w:szCs w:val="20"/>
              </w:rPr>
              <w:t> </w:t>
            </w:r>
            <w:r>
              <w:rPr>
                <w:rFonts w:ascii="宋体" w:hAnsi="宋体" w:cs="宋体" w:eastAsia="宋体" w:hint="default"/>
                <w:sz w:val="20"/>
                <w:szCs w:val="20"/>
              </w:rPr>
              <w:t>信</w:t>
            </w:r>
            <w:r>
              <w:rPr>
                <w:rFonts w:ascii="宋体" w:hAnsi="宋体" w:cs="宋体" w:eastAsia="宋体" w:hint="default"/>
                <w:w w:val="100"/>
                <w:sz w:val="20"/>
                <w:szCs w:val="20"/>
              </w:rPr>
              <w:t> </w:t>
            </w:r>
            <w:r>
              <w:rPr>
                <w:rFonts w:ascii="宋体" w:hAnsi="宋体" w:cs="宋体" w:eastAsia="宋体" w:hint="default"/>
                <w:spacing w:val="5"/>
                <w:sz w:val="20"/>
                <w:szCs w:val="20"/>
              </w:rPr>
              <w:t>心、维护市场稳定的倡</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议书</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，以实际行动表明</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5"/>
                <w:sz w:val="20"/>
                <w:szCs w:val="20"/>
              </w:rPr>
              <w:t>其对于资本市场、中小</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板以及企业长期发展的</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强烈信心，并向公司递</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5"/>
                <w:sz w:val="20"/>
                <w:szCs w:val="20"/>
              </w:rPr>
              <w:t>交了《关于追加股份限</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3"/>
                <w:w w:val="100"/>
                <w:sz w:val="20"/>
                <w:szCs w:val="20"/>
              </w:rPr>
              <w:t>售承诺的函》。张近东先</w:t>
            </w:r>
            <w:r>
              <w:rPr>
                <w:rFonts w:ascii="宋体" w:hAnsi="宋体" w:cs="宋体" w:eastAsia="宋体" w:hint="default"/>
                <w:spacing w:val="-94"/>
                <w:w w:val="100"/>
                <w:sz w:val="20"/>
                <w:szCs w:val="20"/>
              </w:rPr>
              <w:t> </w:t>
            </w:r>
            <w:r>
              <w:rPr>
                <w:rFonts w:ascii="宋体" w:hAnsi="宋体" w:cs="宋体" w:eastAsia="宋体" w:hint="default"/>
                <w:spacing w:val="-94"/>
                <w:w w:val="100"/>
                <w:sz w:val="20"/>
                <w:szCs w:val="20"/>
              </w:rPr>
            </w:r>
            <w:r>
              <w:rPr>
                <w:rFonts w:ascii="宋体" w:hAnsi="宋体" w:cs="宋体" w:eastAsia="宋体" w:hint="default"/>
                <w:spacing w:val="5"/>
                <w:sz w:val="20"/>
                <w:szCs w:val="20"/>
              </w:rPr>
              <w:t>生承诺其及其全资子公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7</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p>
          <w:p>
            <w:pPr>
              <w:pStyle w:val="TableParagraph"/>
              <w:tabs>
                <w:tab w:pos="489" w:val="left" w:leader="none"/>
              </w:tabs>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w:t>
              <w:tab/>
            </w:r>
            <w:r>
              <w:rPr>
                <w:rFonts w:ascii="宋体" w:hAnsi="宋体" w:cs="宋体" w:eastAsia="宋体" w:hint="default"/>
                <w:sz w:val="20"/>
                <w:szCs w:val="20"/>
              </w:rPr>
              <w:t>日</w:t>
            </w:r>
            <w:r>
              <w:rPr>
                <w:rFonts w:ascii="宋体" w:hAnsi="宋体" w:cs="宋体" w:eastAsia="宋体" w:hint="default"/>
                <w:spacing w:val="66"/>
                <w:sz w:val="20"/>
                <w:szCs w:val="20"/>
              </w:rPr>
              <w:t> </w:t>
            </w:r>
            <w:r>
              <w:rPr>
                <w:rFonts w:ascii="宋体" w:hAnsi="宋体" w:cs="宋体" w:eastAsia="宋体" w:hint="default"/>
                <w:sz w:val="20"/>
                <w:szCs w:val="20"/>
              </w:rPr>
              <w:t>至</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1"/>
              <w:jc w:val="both"/>
              <w:rPr>
                <w:rFonts w:ascii="宋体" w:hAnsi="宋体" w:cs="宋体" w:eastAsia="宋体" w:hint="default"/>
                <w:sz w:val="20"/>
                <w:szCs w:val="20"/>
              </w:rPr>
            </w:pPr>
            <w:r>
              <w:rPr>
                <w:rFonts w:ascii="宋体" w:hAnsi="宋体" w:cs="宋体" w:eastAsia="宋体" w:hint="default"/>
                <w:spacing w:val="8"/>
                <w:sz w:val="20"/>
                <w:szCs w:val="20"/>
              </w:rPr>
              <w:t>报告期内，</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张近东先生</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以及苏宁控</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8"/>
                <w:sz w:val="20"/>
                <w:szCs w:val="20"/>
              </w:rPr>
              <w:t>股均履行了</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所 做 的</w:t>
            </w:r>
            <w:r>
              <w:rPr>
                <w:rFonts w:ascii="宋体" w:hAnsi="宋体" w:cs="宋体" w:eastAsia="宋体" w:hint="default"/>
                <w:spacing w:val="-51"/>
                <w:sz w:val="20"/>
                <w:szCs w:val="20"/>
              </w:rPr>
              <w:t> </w:t>
            </w:r>
            <w:r>
              <w:rPr>
                <w:rFonts w:ascii="宋体" w:hAnsi="宋体" w:cs="宋体" w:eastAsia="宋体" w:hint="default"/>
                <w:sz w:val="20"/>
                <w:szCs w:val="20"/>
              </w:rPr>
              <w:t>承</w:t>
            </w:r>
            <w:r>
              <w:rPr>
                <w:rFonts w:ascii="宋体" w:hAnsi="宋体" w:cs="宋体" w:eastAsia="宋体" w:hint="default"/>
                <w:w w:val="100"/>
                <w:sz w:val="20"/>
                <w:szCs w:val="20"/>
              </w:rPr>
              <w:t> </w:t>
            </w:r>
            <w:r>
              <w:rPr>
                <w:rFonts w:ascii="宋体" w:hAnsi="宋体" w:cs="宋体" w:eastAsia="宋体" w:hint="default"/>
                <w:sz w:val="20"/>
                <w:szCs w:val="20"/>
              </w:rPr>
              <w:t>诺。</w:t>
            </w:r>
          </w:p>
        </w:tc>
      </w:tr>
    </w:tbl>
    <w:p>
      <w:pPr>
        <w:spacing w:after="0" w:line="285" w:lineRule="auto"/>
        <w:jc w:val="both"/>
        <w:rPr>
          <w:rFonts w:ascii="宋体" w:hAnsi="宋体" w:cs="宋体" w:eastAsia="宋体" w:hint="default"/>
          <w:sz w:val="20"/>
          <w:szCs w:val="20"/>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992"/>
        <w:gridCol w:w="2126"/>
        <w:gridCol w:w="993"/>
        <w:gridCol w:w="1088"/>
        <w:gridCol w:w="1108"/>
      </w:tblGrid>
      <w:tr>
        <w:trPr>
          <w:trHeight w:val="157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7"/>
              <w:jc w:val="both"/>
              <w:rPr>
                <w:rFonts w:ascii="宋体" w:hAnsi="宋体" w:cs="宋体" w:eastAsia="宋体" w:hint="default"/>
                <w:sz w:val="20"/>
                <w:szCs w:val="20"/>
              </w:rPr>
            </w:pPr>
            <w:r>
              <w:rPr>
                <w:rFonts w:ascii="宋体" w:hAnsi="宋体" w:cs="宋体" w:eastAsia="宋体" w:hint="default"/>
                <w:spacing w:val="5"/>
                <w:sz w:val="20"/>
                <w:szCs w:val="20"/>
              </w:rPr>
              <w:t>司苏宁控股集团有限公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司</w:t>
            </w:r>
            <w:r>
              <w:rPr>
                <w:rFonts w:ascii="宋体" w:hAnsi="宋体" w:cs="宋体" w:eastAsia="宋体" w:hint="default"/>
                <w:spacing w:val="-34"/>
                <w:sz w:val="20"/>
                <w:szCs w:val="20"/>
              </w:rPr>
              <w:t> </w:t>
            </w:r>
            <w:r>
              <w:rPr>
                <w:rFonts w:ascii="宋体" w:hAnsi="宋体" w:cs="宋体" w:eastAsia="宋体" w:hint="default"/>
                <w:sz w:val="20"/>
                <w:szCs w:val="20"/>
              </w:rPr>
              <w:t>合</w:t>
            </w:r>
            <w:r>
              <w:rPr>
                <w:rFonts w:ascii="宋体" w:hAnsi="宋体" w:cs="宋体" w:eastAsia="宋体" w:hint="default"/>
                <w:spacing w:val="-34"/>
                <w:sz w:val="20"/>
                <w:szCs w:val="20"/>
              </w:rPr>
              <w:t> </w:t>
            </w:r>
            <w:r>
              <w:rPr>
                <w:rFonts w:ascii="宋体" w:hAnsi="宋体" w:cs="宋体" w:eastAsia="宋体" w:hint="default"/>
                <w:sz w:val="20"/>
                <w:szCs w:val="20"/>
              </w:rPr>
              <w:t>计</w:t>
            </w:r>
            <w:r>
              <w:rPr>
                <w:rFonts w:ascii="宋体" w:hAnsi="宋体" w:cs="宋体" w:eastAsia="宋体" w:hint="default"/>
                <w:spacing w:val="-35"/>
                <w:sz w:val="20"/>
                <w:szCs w:val="20"/>
              </w:rPr>
              <w:t> </w:t>
            </w:r>
            <w:r>
              <w:rPr>
                <w:rFonts w:ascii="宋体" w:hAnsi="宋体" w:cs="宋体" w:eastAsia="宋体" w:hint="default"/>
                <w:sz w:val="20"/>
                <w:szCs w:val="20"/>
              </w:rPr>
              <w:t>持</w:t>
            </w:r>
            <w:r>
              <w:rPr>
                <w:rFonts w:ascii="宋体" w:hAnsi="宋体" w:cs="宋体" w:eastAsia="宋体" w:hint="default"/>
                <w:spacing w:val="-35"/>
                <w:sz w:val="20"/>
                <w:szCs w:val="20"/>
              </w:rPr>
              <w:t> </w:t>
            </w:r>
            <w:r>
              <w:rPr>
                <w:rFonts w:ascii="宋体" w:hAnsi="宋体" w:cs="宋体" w:eastAsia="宋体" w:hint="default"/>
                <w:sz w:val="20"/>
                <w:szCs w:val="20"/>
              </w:rPr>
              <w:t>有</w:t>
            </w:r>
            <w:r>
              <w:rPr>
                <w:rFonts w:ascii="宋体" w:hAnsi="宋体" w:cs="宋体" w:eastAsia="宋体" w:hint="default"/>
                <w:spacing w:val="-34"/>
                <w:sz w:val="20"/>
                <w:szCs w:val="20"/>
              </w:rPr>
              <w:t> </w:t>
            </w:r>
            <w:r>
              <w:rPr>
                <w:rFonts w:ascii="宋体" w:hAnsi="宋体" w:cs="宋体" w:eastAsia="宋体" w:hint="default"/>
                <w:sz w:val="20"/>
                <w:szCs w:val="20"/>
              </w:rPr>
              <w:t>的</w:t>
            </w:r>
            <w:r>
              <w:rPr>
                <w:rFonts w:ascii="宋体" w:hAnsi="宋体" w:cs="宋体" w:eastAsia="宋体" w:hint="default"/>
                <w:spacing w:val="-34"/>
                <w:sz w:val="20"/>
                <w:szCs w:val="20"/>
              </w:rPr>
              <w:t> </w:t>
            </w:r>
            <w:r>
              <w:rPr>
                <w:rFonts w:ascii="宋体" w:hAnsi="宋体" w:cs="宋体" w:eastAsia="宋体" w:hint="default"/>
                <w:sz w:val="20"/>
                <w:szCs w:val="20"/>
              </w:rPr>
              <w:t>公</w:t>
            </w:r>
            <w:r>
              <w:rPr>
                <w:rFonts w:ascii="宋体" w:hAnsi="宋体" w:cs="宋体" w:eastAsia="宋体" w:hint="default"/>
                <w:spacing w:val="-35"/>
                <w:sz w:val="20"/>
                <w:szCs w:val="20"/>
              </w:rPr>
              <w:t> </w:t>
            </w:r>
            <w:r>
              <w:rPr>
                <w:rFonts w:ascii="宋体" w:hAnsi="宋体" w:cs="宋体" w:eastAsia="宋体" w:hint="default"/>
                <w:sz w:val="20"/>
                <w:szCs w:val="20"/>
              </w:rPr>
              <w:t>司</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2,261,541,981 </w:t>
            </w:r>
            <w:r>
              <w:rPr>
                <w:rFonts w:ascii="Times New Roman" w:hAnsi="Times New Roman" w:cs="Times New Roman" w:eastAsia="Times New Roman" w:hint="default"/>
                <w:spacing w:val="8"/>
                <w:sz w:val="20"/>
                <w:szCs w:val="20"/>
              </w:rPr>
              <w:t> </w:t>
            </w:r>
            <w:r>
              <w:rPr>
                <w:rFonts w:ascii="宋体" w:hAnsi="宋体" w:cs="宋体" w:eastAsia="宋体" w:hint="default"/>
                <w:spacing w:val="3"/>
                <w:sz w:val="20"/>
                <w:szCs w:val="20"/>
              </w:rPr>
              <w:t>股股份自</w:t>
            </w:r>
            <w:r>
              <w:rPr>
                <w:rFonts w:ascii="宋体" w:hAnsi="宋体" w:cs="宋体" w:eastAsia="宋体" w:hint="default"/>
                <w:sz w:val="20"/>
                <w:szCs w:val="20"/>
              </w:rPr>
            </w:r>
          </w:p>
          <w:p>
            <w:pPr>
              <w:pStyle w:val="TableParagraph"/>
              <w:spacing w:line="271" w:lineRule="auto"/>
              <w:ind w:left="22" w:right="20"/>
              <w:jc w:val="both"/>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月</w:t>
            </w:r>
            <w:r>
              <w:rPr>
                <w:rFonts w:ascii="宋体" w:hAnsi="宋体" w:cs="宋体" w:eastAsia="宋体" w:hint="default"/>
                <w:spacing w:val="-67"/>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日起三十</w:t>
            </w:r>
            <w:r>
              <w:rPr>
                <w:rFonts w:ascii="宋体" w:hAnsi="宋体" w:cs="宋体" w:eastAsia="宋体" w:hint="default"/>
                <w:w w:val="100"/>
                <w:sz w:val="20"/>
                <w:szCs w:val="20"/>
              </w:rPr>
              <w:t> </w:t>
            </w:r>
            <w:r>
              <w:rPr>
                <w:rFonts w:ascii="宋体" w:hAnsi="宋体" w:cs="宋体" w:eastAsia="宋体" w:hint="default"/>
                <w:sz w:val="20"/>
                <w:szCs w:val="20"/>
              </w:rPr>
              <w:t>六个月内不进行转让。</w:t>
            </w:r>
          </w:p>
        </w:tc>
        <w:tc>
          <w:tcPr>
            <w:tcW w:w="99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承诺是否按时履行</w:t>
            </w:r>
          </w:p>
        </w:tc>
        <w:tc>
          <w:tcPr>
            <w:tcW w:w="7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130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22" w:right="0"/>
              <w:jc w:val="both"/>
              <w:rPr>
                <w:rFonts w:ascii="宋体" w:hAnsi="宋体" w:cs="宋体" w:eastAsia="宋体" w:hint="default"/>
                <w:sz w:val="20"/>
                <w:szCs w:val="20"/>
              </w:rPr>
            </w:pPr>
            <w:r>
              <w:rPr>
                <w:rFonts w:ascii="宋体" w:hAnsi="宋体" w:cs="宋体" w:eastAsia="宋体" w:hint="default"/>
                <w:spacing w:val="6"/>
                <w:sz w:val="20"/>
                <w:szCs w:val="20"/>
              </w:rPr>
              <w:t>如承诺超期未履行</w:t>
            </w:r>
            <w:r>
              <w:rPr>
                <w:rFonts w:ascii="宋体" w:hAnsi="宋体" w:cs="宋体" w:eastAsia="宋体" w:hint="default"/>
                <w:sz w:val="20"/>
                <w:szCs w:val="20"/>
              </w:rPr>
            </w:r>
          </w:p>
          <w:p>
            <w:pPr>
              <w:pStyle w:val="TableParagraph"/>
              <w:spacing w:line="237" w:lineRule="auto" w:before="1"/>
              <w:ind w:left="22" w:right="15"/>
              <w:jc w:val="both"/>
              <w:rPr>
                <w:rFonts w:ascii="宋体" w:hAnsi="宋体" w:cs="宋体" w:eastAsia="宋体" w:hint="default"/>
                <w:sz w:val="20"/>
                <w:szCs w:val="20"/>
              </w:rPr>
            </w:pPr>
            <w:r>
              <w:rPr>
                <w:rFonts w:ascii="宋体" w:hAnsi="宋体" w:cs="宋体" w:eastAsia="宋体" w:hint="default"/>
                <w:spacing w:val="6"/>
                <w:sz w:val="20"/>
                <w:szCs w:val="20"/>
              </w:rPr>
              <w:t>完毕的，应当详细</w:t>
            </w:r>
            <w:r>
              <w:rPr>
                <w:rFonts w:ascii="宋体" w:hAnsi="宋体" w:cs="宋体" w:eastAsia="宋体" w:hint="default"/>
                <w:spacing w:val="-97"/>
                <w:sz w:val="20"/>
                <w:szCs w:val="20"/>
              </w:rPr>
              <w:t> </w:t>
            </w:r>
            <w:r>
              <w:rPr>
                <w:rFonts w:ascii="宋体" w:hAnsi="宋体" w:cs="宋体" w:eastAsia="宋体" w:hint="default"/>
                <w:spacing w:val="6"/>
                <w:sz w:val="20"/>
                <w:szCs w:val="20"/>
              </w:rPr>
              <w:t>说明未完成履行的</w:t>
            </w:r>
            <w:r>
              <w:rPr>
                <w:rFonts w:ascii="宋体" w:hAnsi="宋体" w:cs="宋体" w:eastAsia="宋体" w:hint="default"/>
                <w:spacing w:val="-97"/>
                <w:sz w:val="20"/>
                <w:szCs w:val="20"/>
              </w:rPr>
              <w:t> </w:t>
            </w:r>
            <w:r>
              <w:rPr>
                <w:rFonts w:ascii="宋体" w:hAnsi="宋体" w:cs="宋体" w:eastAsia="宋体" w:hint="default"/>
                <w:spacing w:val="6"/>
                <w:sz w:val="20"/>
                <w:szCs w:val="20"/>
              </w:rPr>
              <w:t>具体原因及下一步</w:t>
            </w:r>
            <w:r>
              <w:rPr>
                <w:rFonts w:ascii="宋体" w:hAnsi="宋体" w:cs="宋体" w:eastAsia="宋体" w:hint="default"/>
                <w:spacing w:val="-97"/>
                <w:sz w:val="20"/>
                <w:szCs w:val="20"/>
              </w:rPr>
              <w:t> </w:t>
            </w:r>
            <w:r>
              <w:rPr>
                <w:rFonts w:ascii="宋体" w:hAnsi="宋体" w:cs="宋体" w:eastAsia="宋体" w:hint="default"/>
                <w:sz w:val="20"/>
                <w:szCs w:val="20"/>
              </w:rPr>
              <w:t>的工作计划</w:t>
            </w:r>
          </w:p>
        </w:tc>
        <w:tc>
          <w:tcPr>
            <w:tcW w:w="7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无</w:t>
            </w: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1082" w:firstLine="0"/>
        <w:jc w:val="left"/>
        <w:rPr>
          <w:rFonts w:ascii="宋体" w:hAnsi="宋体" w:cs="宋体" w:eastAsia="宋体" w:hint="default"/>
          <w:sz w:val="21"/>
          <w:szCs w:val="21"/>
        </w:rPr>
      </w:pPr>
      <w:bookmarkStart w:name="2、公司资产或项目存在盈利预测，且报告期仍处在盈利预测期间，公司就资产或项目达到" w:id="69"/>
      <w:bookmarkEnd w:id="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pStyle w:val="BodyText"/>
        <w:spacing w:line="240" w:lineRule="auto"/>
        <w:ind w:left="15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2"/>
        <w:rPr>
          <w:rFonts w:ascii="宋体" w:hAnsi="宋体" w:cs="宋体" w:eastAsia="宋体" w:hint="default"/>
          <w:sz w:val="24"/>
          <w:szCs w:val="24"/>
        </w:rPr>
      </w:pPr>
    </w:p>
    <w:p>
      <w:pPr>
        <w:pStyle w:val="Heading2"/>
        <w:spacing w:line="240" w:lineRule="auto"/>
        <w:ind w:right="1082"/>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10"/>
        <w:rPr>
          <w:rFonts w:ascii="宋体" w:hAnsi="宋体" w:cs="宋体" w:eastAsia="宋体" w:hint="default"/>
          <w:b/>
          <w:bCs/>
          <w:sz w:val="25"/>
          <w:szCs w:val="25"/>
        </w:rPr>
      </w:pPr>
    </w:p>
    <w:p>
      <w:pPr>
        <w:pStyle w:val="BodyText"/>
        <w:spacing w:line="283" w:lineRule="auto"/>
        <w:ind w:right="3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公司报告期不存在控股股东及其关联方对上市公司的非经营性占用资金情况。</w:t>
      </w:r>
    </w:p>
    <w:p>
      <w:pPr>
        <w:spacing w:line="240" w:lineRule="auto" w:before="6"/>
        <w:rPr>
          <w:rFonts w:ascii="宋体" w:hAnsi="宋体" w:cs="宋体" w:eastAsia="宋体" w:hint="default"/>
          <w:sz w:val="22"/>
          <w:szCs w:val="22"/>
        </w:rPr>
      </w:pPr>
    </w:p>
    <w:p>
      <w:pPr>
        <w:pStyle w:val="Heading2"/>
        <w:spacing w:line="240" w:lineRule="auto"/>
        <w:ind w:right="1082"/>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82"/>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11"/>
        <w:rPr>
          <w:rFonts w:ascii="宋体" w:hAnsi="宋体" w:cs="宋体" w:eastAsia="宋体" w:hint="default"/>
          <w:b/>
          <w:bCs/>
          <w:sz w:val="25"/>
          <w:szCs w:val="25"/>
        </w:rPr>
      </w:pPr>
    </w:p>
    <w:p>
      <w:pPr>
        <w:pStyle w:val="BodyText"/>
        <w:spacing w:line="283" w:lineRule="auto"/>
        <w:ind w:right="3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公司报告期无会计政策、会计估计和核算方法发生变化的情况。</w:t>
      </w:r>
    </w:p>
    <w:p>
      <w:pPr>
        <w:spacing w:line="240" w:lineRule="auto" w:before="6"/>
        <w:rPr>
          <w:rFonts w:ascii="宋体" w:hAnsi="宋体" w:cs="宋体" w:eastAsia="宋体" w:hint="default"/>
          <w:sz w:val="22"/>
          <w:szCs w:val="22"/>
        </w:rPr>
      </w:pPr>
    </w:p>
    <w:p>
      <w:pPr>
        <w:pStyle w:val="Heading2"/>
        <w:spacing w:line="240" w:lineRule="auto"/>
        <w:ind w:right="1082"/>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10"/>
        <w:rPr>
          <w:rFonts w:ascii="宋体" w:hAnsi="宋体" w:cs="宋体" w:eastAsia="宋体" w:hint="default"/>
          <w:b/>
          <w:bCs/>
          <w:sz w:val="25"/>
          <w:szCs w:val="25"/>
        </w:rPr>
      </w:pPr>
    </w:p>
    <w:p>
      <w:pPr>
        <w:pStyle w:val="BodyText"/>
        <w:spacing w:line="283" w:lineRule="auto"/>
        <w:ind w:right="5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公司报告期无重大会计差错更正需追溯重述的情况。</w:t>
      </w:r>
    </w:p>
    <w:p>
      <w:pPr>
        <w:spacing w:line="240" w:lineRule="auto" w:before="6"/>
        <w:rPr>
          <w:rFonts w:ascii="宋体" w:hAnsi="宋体" w:cs="宋体" w:eastAsia="宋体" w:hint="default"/>
          <w:sz w:val="22"/>
          <w:szCs w:val="22"/>
        </w:rPr>
      </w:pPr>
    </w:p>
    <w:p>
      <w:pPr>
        <w:pStyle w:val="Heading2"/>
        <w:spacing w:line="240" w:lineRule="auto"/>
        <w:ind w:right="1082"/>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10"/>
        <w:rPr>
          <w:rFonts w:ascii="宋体" w:hAnsi="宋体" w:cs="宋体" w:eastAsia="宋体" w:hint="default"/>
          <w:b/>
          <w:bCs/>
          <w:sz w:val="25"/>
          <w:szCs w:val="25"/>
        </w:rPr>
      </w:pPr>
    </w:p>
    <w:p>
      <w:pPr>
        <w:pStyle w:val="BodyText"/>
        <w:spacing w:line="283" w:lineRule="auto"/>
        <w:ind w:right="1129"/>
        <w:jc w:val="left"/>
      </w:pPr>
      <w:r>
        <w:rPr>
          <w:spacing w:val="-6"/>
          <w:w w:val="99"/>
        </w:rPr>
        <w:t>报告期内，公司新纳入合并范围为新设子公司</w:t>
      </w:r>
      <w:r>
        <w:rPr>
          <w:spacing w:val="-55"/>
          <w:w w:val="99"/>
        </w:rPr>
        <w:t> </w:t>
      </w:r>
      <w:r>
        <w:rPr>
          <w:rFonts w:ascii="Times New Roman" w:hAnsi="Times New Roman" w:cs="Times New Roman" w:eastAsia="Times New Roman" w:hint="default"/>
          <w:w w:val="99"/>
        </w:rPr>
        <w:t>26</w:t>
      </w:r>
      <w:r>
        <w:rPr>
          <w:rFonts w:ascii="Times New Roman" w:hAnsi="Times New Roman" w:cs="Times New Roman" w:eastAsia="Times New Roman" w:hint="default"/>
          <w:spacing w:val="-2"/>
          <w:w w:val="99"/>
        </w:rPr>
        <w:t> </w:t>
      </w:r>
      <w:r>
        <w:rPr>
          <w:spacing w:val="-28"/>
          <w:w w:val="99"/>
        </w:rPr>
        <w:t>家，日本</w:t>
      </w:r>
      <w:r>
        <w:rPr>
          <w:spacing w:val="-58"/>
          <w:w w:val="99"/>
        </w:rPr>
        <w:t> </w:t>
      </w:r>
      <w:r>
        <w:rPr>
          <w:rFonts w:ascii="Times New Roman" w:hAnsi="Times New Roman" w:cs="Times New Roman" w:eastAsia="Times New Roman" w:hint="default"/>
          <w:w w:val="99"/>
        </w:rPr>
        <w:t>LAOX</w:t>
      </w:r>
      <w:r>
        <w:rPr>
          <w:rFonts w:ascii="Times New Roman" w:hAnsi="Times New Roman" w:cs="Times New Roman" w:eastAsia="Times New Roman" w:hint="default"/>
          <w:spacing w:val="-4"/>
          <w:w w:val="99"/>
        </w:rPr>
        <w:t> </w:t>
      </w:r>
      <w:r>
        <w:rPr>
          <w:w w:val="99"/>
        </w:rPr>
        <w:t>投资取得子公司</w:t>
      </w:r>
      <w:r>
        <w:rPr>
          <w:spacing w:val="-57"/>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w w:val="99"/>
        </w:rPr>
        <w:t> </w:t>
      </w:r>
      <w:r>
        <w:rPr>
          <w:spacing w:val="-19"/>
          <w:w w:val="99"/>
        </w:rPr>
        <w:t>家，同时投资</w:t>
      </w:r>
      <w:r>
        <w:rPr>
          <w:spacing w:val="-57"/>
          <w:w w:val="99"/>
        </w:rPr>
        <w:t> </w:t>
      </w:r>
      <w:r>
        <w:rPr>
          <w:rFonts w:ascii="Times New Roman" w:hAnsi="Times New Roman" w:cs="Times New Roman" w:eastAsia="Times New Roman" w:hint="default"/>
          <w:w w:val="99"/>
        </w:rPr>
        <w:t>PPTV </w:t>
      </w:r>
      <w:r>
        <w:rPr/>
        <w:t>取得子公司；注销子公司</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家，以及报告期内公司处置</w:t>
      </w:r>
      <w:r>
        <w:rPr>
          <w:spacing w:val="-56"/>
        </w:rPr>
        <w:t> </w:t>
      </w:r>
      <w:r>
        <w:rPr>
          <w:rFonts w:ascii="Times New Roman" w:hAnsi="Times New Roman" w:cs="Times New Roman" w:eastAsia="Times New Roman" w:hint="default"/>
        </w:rPr>
        <w:t>PPTV</w:t>
      </w:r>
      <w:r>
        <w:rPr>
          <w:rFonts w:ascii="Times New Roman" w:hAnsi="Times New Roman" w:cs="Times New Roman" w:eastAsia="Times New Roman" w:hint="default"/>
          <w:spacing w:val="-2"/>
        </w:rPr>
        <w:t> </w:t>
      </w:r>
      <w:r>
        <w:rPr/>
        <w:t>股权，使得</w:t>
      </w:r>
      <w:r>
        <w:rPr>
          <w:spacing w:val="-57"/>
        </w:rPr>
        <w:t> </w:t>
      </w:r>
      <w:r>
        <w:rPr>
          <w:rFonts w:ascii="Times New Roman" w:hAnsi="Times New Roman" w:cs="Times New Roman" w:eastAsia="Times New Roman" w:hint="default"/>
        </w:rPr>
        <w:t>PPTV</w:t>
      </w:r>
      <w:r>
        <w:rPr>
          <w:rFonts w:ascii="Times New Roman" w:hAnsi="Times New Roman" w:cs="Times New Roman" w:eastAsia="Times New Roman" w:hint="default"/>
          <w:spacing w:val="-1"/>
        </w:rPr>
        <w:t> </w:t>
      </w:r>
      <w:r>
        <w:rPr/>
        <w:t>及其子公司不再纳</w:t>
      </w:r>
      <w:r>
        <w:rPr>
          <w:w w:val="99"/>
        </w:rPr>
        <w:t> </w:t>
      </w:r>
      <w:r>
        <w:rPr/>
        <w:t>入公司合并报表范围。</w:t>
      </w:r>
    </w:p>
    <w:p>
      <w:pPr>
        <w:spacing w:after="0" w:line="283"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082"/>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1082"/>
        <w:jc w:val="left"/>
      </w:pPr>
      <w:r>
        <w:rPr/>
        <w:t>现聘任的会计师事务所</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2"/>
                <w:szCs w:val="22"/>
              </w:rPr>
            </w:pPr>
            <w:r>
              <w:rPr>
                <w:rFonts w:ascii="宋体" w:hAnsi="宋体" w:cs="宋体" w:eastAsia="宋体" w:hint="default"/>
                <w:sz w:val="22"/>
                <w:szCs w:val="22"/>
              </w:rPr>
              <w:t>普华永道中天会计师事务所（特殊普通合伙）</w:t>
            </w:r>
          </w:p>
        </w:tc>
      </w:tr>
      <w:tr>
        <w:trPr>
          <w:trHeight w:val="32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Times New Roman" w:hAnsi="Times New Roman" w:cs="Times New Roman" w:eastAsia="Times New Roman" w:hint="default"/>
                <w:sz w:val="22"/>
                <w:szCs w:val="22"/>
              </w:rPr>
            </w:pPr>
            <w:r>
              <w:rPr>
                <w:rFonts w:ascii="Times New Roman"/>
                <w:sz w:val="22"/>
              </w:rPr>
              <w:t>1100</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2"/>
                <w:szCs w:val="22"/>
              </w:rPr>
            </w:pPr>
            <w:r>
              <w:rPr>
                <w:rFonts w:ascii="宋体" w:hAnsi="宋体" w:cs="宋体" w:eastAsia="宋体" w:hint="default"/>
                <w:sz w:val="22"/>
                <w:szCs w:val="22"/>
              </w:rPr>
              <w:t>钱进、郑怡㛃</w:t>
            </w:r>
          </w:p>
        </w:tc>
      </w:tr>
      <w:tr>
        <w:trPr>
          <w:trHeight w:val="63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宋体" w:hAnsi="宋体" w:cs="宋体" w:eastAsia="宋体" w:hint="default"/>
                <w:sz w:val="22"/>
                <w:szCs w:val="22"/>
              </w:rPr>
            </w:pPr>
            <w:r>
              <w:rPr>
                <w:rFonts w:ascii="宋体" w:hAnsi="宋体" w:cs="宋体" w:eastAsia="宋体" w:hint="default"/>
                <w:w w:val="99"/>
                <w:sz w:val="22"/>
                <w:szCs w:val="22"/>
              </w:rPr>
              <w:t>香港子公司</w:t>
            </w:r>
            <w:r>
              <w:rPr>
                <w:rFonts w:ascii="宋体" w:hAnsi="宋体" w:cs="宋体" w:eastAsia="宋体" w:hint="default"/>
                <w:spacing w:val="-93"/>
                <w:w w:val="99"/>
                <w:sz w:val="22"/>
                <w:szCs w:val="22"/>
              </w:rPr>
              <w:t>：</w:t>
            </w:r>
            <w:r>
              <w:rPr>
                <w:rFonts w:ascii="宋体" w:hAnsi="宋体" w:cs="宋体" w:eastAsia="宋体" w:hint="default"/>
                <w:w w:val="99"/>
                <w:sz w:val="22"/>
                <w:szCs w:val="22"/>
              </w:rPr>
              <w:t>普华永道全球网络成员</w:t>
            </w:r>
            <w:r>
              <w:rPr>
                <w:rFonts w:ascii="宋体" w:hAnsi="宋体" w:cs="宋体" w:eastAsia="宋体" w:hint="default"/>
                <w:spacing w:val="2"/>
                <w:w w:val="99"/>
                <w:sz w:val="22"/>
                <w:szCs w:val="22"/>
              </w:rPr>
              <w:t>所</w:t>
            </w:r>
            <w:r>
              <w:rPr>
                <w:rFonts w:ascii="Times New Roman" w:hAnsi="Times New Roman" w:cs="Times New Roman" w:eastAsia="Times New Roman" w:hint="default"/>
                <w:w w:val="99"/>
                <w:sz w:val="22"/>
                <w:szCs w:val="22"/>
              </w:rPr>
              <w:t>——</w:t>
            </w:r>
            <w:r>
              <w:rPr>
                <w:rFonts w:ascii="宋体" w:hAnsi="宋体" w:cs="宋体" w:eastAsia="宋体" w:hint="default"/>
                <w:w w:val="99"/>
                <w:sz w:val="22"/>
                <w:szCs w:val="22"/>
              </w:rPr>
              <w:t>罗兵咸永道会计</w:t>
            </w:r>
            <w:r>
              <w:rPr>
                <w:rFonts w:ascii="宋体" w:hAnsi="宋体" w:cs="宋体" w:eastAsia="宋体" w:hint="default"/>
                <w:sz w:val="22"/>
                <w:szCs w:val="22"/>
              </w:rPr>
            </w:r>
          </w:p>
          <w:p>
            <w:pPr>
              <w:pStyle w:val="TableParagraph"/>
              <w:spacing w:line="240" w:lineRule="auto" w:before="7"/>
              <w:ind w:left="24" w:right="0"/>
              <w:jc w:val="left"/>
              <w:rPr>
                <w:rFonts w:ascii="宋体" w:hAnsi="宋体" w:cs="宋体" w:eastAsia="宋体" w:hint="default"/>
                <w:sz w:val="22"/>
                <w:szCs w:val="22"/>
              </w:rPr>
            </w:pPr>
            <w:r>
              <w:rPr>
                <w:rFonts w:ascii="宋体" w:hAnsi="宋体" w:cs="宋体" w:eastAsia="宋体" w:hint="default"/>
                <w:sz w:val="22"/>
                <w:szCs w:val="22"/>
              </w:rPr>
              <w:t>师事务所；日本</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LAOX</w:t>
            </w:r>
            <w:r>
              <w:rPr>
                <w:rFonts w:ascii="宋体" w:hAnsi="宋体" w:cs="宋体" w:eastAsia="宋体" w:hint="default"/>
                <w:sz w:val="22"/>
                <w:szCs w:val="22"/>
              </w:rPr>
              <w:t>：清和审计法人</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境外会计师事务所报酬</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宋体" w:hAnsi="宋体" w:cs="宋体" w:eastAsia="宋体" w:hint="default"/>
                <w:sz w:val="22"/>
                <w:szCs w:val="22"/>
              </w:rPr>
            </w:pPr>
            <w:r>
              <w:rPr>
                <w:rFonts w:ascii="宋体" w:hAnsi="宋体" w:cs="宋体" w:eastAsia="宋体" w:hint="default"/>
                <w:sz w:val="22"/>
                <w:szCs w:val="22"/>
              </w:rPr>
              <w:t>香港</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万港币；日本</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LAOX</w:t>
            </w:r>
            <w:r>
              <w:rPr>
                <w:rFonts w:ascii="Times New Roman" w:hAnsi="Times New Roman" w:cs="Times New Roman" w:eastAsia="Times New Roman" w:hint="default"/>
                <w:spacing w:val="-2"/>
                <w:sz w:val="22"/>
                <w:szCs w:val="22"/>
              </w:rPr>
              <w:t> </w:t>
            </w:r>
            <w:r>
              <w:rPr>
                <w:rFonts w:ascii="Times New Roman" w:hAnsi="Times New Roman" w:cs="Times New Roman" w:eastAsia="Times New Roman" w:hint="default"/>
                <w:sz w:val="22"/>
                <w:szCs w:val="22"/>
              </w:rPr>
              <w:t>3000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万日元</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宋体" w:hAnsi="宋体" w:cs="宋体" w:eastAsia="宋体" w:hint="default"/>
                <w:sz w:val="22"/>
                <w:szCs w:val="22"/>
              </w:rPr>
            </w:pPr>
            <w:r>
              <w:rPr>
                <w:rFonts w:ascii="宋体" w:hAnsi="宋体" w:cs="宋体" w:eastAsia="宋体" w:hint="default"/>
                <w:sz w:val="22"/>
                <w:szCs w:val="22"/>
              </w:rPr>
              <w:t>香港：</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年；日本</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LAOX</w:t>
            </w: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香港：</w:t>
            </w:r>
            <w:r>
              <w:rPr>
                <w:rFonts w:ascii="Times New Roman" w:hAnsi="Times New Roman" w:cs="Times New Roman" w:eastAsia="Times New Roman" w:hint="default"/>
                <w:sz w:val="22"/>
                <w:szCs w:val="22"/>
              </w:rPr>
              <w:t>Carrie</w:t>
            </w:r>
            <w:r>
              <w:rPr>
                <w:rFonts w:ascii="Times New Roman" w:hAnsi="Times New Roman" w:cs="Times New Roman" w:eastAsia="Times New Roman" w:hint="default"/>
                <w:spacing w:val="-13"/>
                <w:sz w:val="22"/>
                <w:szCs w:val="22"/>
              </w:rPr>
              <w:t> </w:t>
            </w:r>
            <w:r>
              <w:rPr>
                <w:rFonts w:ascii="Times New Roman" w:hAnsi="Times New Roman" w:cs="Times New Roman" w:eastAsia="Times New Roman" w:hint="default"/>
                <w:spacing w:val="-5"/>
                <w:sz w:val="22"/>
                <w:szCs w:val="22"/>
              </w:rPr>
              <w:t>Yu</w:t>
            </w:r>
            <w:r>
              <w:rPr>
                <w:rFonts w:ascii="宋体" w:hAnsi="宋体" w:cs="宋体" w:eastAsia="宋体" w:hint="default"/>
                <w:spacing w:val="-5"/>
                <w:sz w:val="22"/>
                <w:szCs w:val="22"/>
              </w:rPr>
              <w:t>；日本</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LAOX</w:t>
            </w:r>
            <w:r>
              <w:rPr>
                <w:rFonts w:ascii="宋体" w:hAnsi="宋体" w:cs="宋体" w:eastAsia="宋体" w:hint="default"/>
                <w:sz w:val="22"/>
                <w:szCs w:val="22"/>
              </w:rPr>
              <w:t>：</w:t>
            </w:r>
            <w:r>
              <w:rPr>
                <w:rFonts w:ascii="Times New Roman" w:hAnsi="Times New Roman" w:cs="Times New Roman" w:eastAsia="Times New Roman" w:hint="default"/>
                <w:sz w:val="22"/>
                <w:szCs w:val="22"/>
              </w:rPr>
              <w:t>Ryo</w:t>
            </w:r>
            <w:r>
              <w:rPr>
                <w:rFonts w:ascii="Times New Roman" w:hAnsi="Times New Roman" w:cs="Times New Roman" w:eastAsia="Times New Roman" w:hint="default"/>
                <w:spacing w:val="-7"/>
                <w:sz w:val="22"/>
                <w:szCs w:val="22"/>
              </w:rPr>
              <w:t> </w:t>
            </w:r>
            <w:r>
              <w:rPr>
                <w:rFonts w:ascii="Times New Roman" w:hAnsi="Times New Roman" w:cs="Times New Roman" w:eastAsia="Times New Roman" w:hint="default"/>
                <w:sz w:val="22"/>
                <w:szCs w:val="22"/>
              </w:rPr>
              <w:t>Fujimoto</w:t>
            </w:r>
          </w:p>
        </w:tc>
      </w:tr>
    </w:tbl>
    <w:p>
      <w:pPr>
        <w:pStyle w:val="BodyText"/>
        <w:spacing w:line="240" w:lineRule="auto" w:before="1"/>
        <w:ind w:left="154" w:right="1082"/>
        <w:jc w:val="left"/>
      </w:pPr>
      <w:r>
        <w:rPr/>
        <w:t>当期是否改聘会计师事务所</w:t>
      </w:r>
    </w:p>
    <w:p>
      <w:pPr>
        <w:pStyle w:val="BodyText"/>
        <w:spacing w:line="240" w:lineRule="auto" w:before="71"/>
        <w:ind w:left="154" w:right="10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7"/>
        <w:rPr>
          <w:rFonts w:ascii="宋体" w:hAnsi="宋体" w:cs="宋体" w:eastAsia="宋体" w:hint="default"/>
          <w:sz w:val="31"/>
          <w:szCs w:val="31"/>
        </w:rPr>
      </w:pPr>
    </w:p>
    <w:p>
      <w:pPr>
        <w:pStyle w:val="BodyText"/>
        <w:spacing w:line="240" w:lineRule="auto"/>
        <w:ind w:left="154" w:right="1082"/>
        <w:jc w:val="left"/>
      </w:pPr>
      <w:r>
        <w:rPr/>
        <w:t>聘请内部控制审计会计师事务所、财务顾问或保荐人情况</w:t>
      </w:r>
    </w:p>
    <w:p>
      <w:pPr>
        <w:pStyle w:val="BodyText"/>
        <w:spacing w:line="283" w:lineRule="auto" w:before="71"/>
        <w:ind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spacing w:val="-1"/>
        </w:rPr>
        <w:t>本年度，公司因</w:t>
      </w:r>
      <w:r>
        <w:rPr>
          <w:rFonts w:ascii="Times New Roman" w:hAnsi="Times New Roman" w:cs="Times New Roman" w:eastAsia="Times New Roman" w:hint="default"/>
          <w:spacing w:val="-1"/>
        </w:rPr>
        <w:t>2015</w:t>
      </w:r>
      <w:r>
        <w:rPr>
          <w:spacing w:val="-1"/>
        </w:rPr>
        <w:t>年度内控审计工作事项，聘请普华永道中天会计师事务所为内部控制审计会计师</w:t>
      </w:r>
      <w:r>
        <w:rPr>
          <w:w w:val="99"/>
        </w:rPr>
        <w:t> </w:t>
      </w:r>
      <w:r>
        <w:rPr/>
        <w:t>事务所，期间共支付审计费用</w:t>
      </w:r>
      <w:r>
        <w:rPr>
          <w:rFonts w:ascii="Times New Roman" w:hAnsi="Times New Roman" w:cs="Times New Roman" w:eastAsia="Times New Roman" w:hint="default"/>
        </w:rPr>
        <w:t>250</w:t>
      </w:r>
      <w:r>
        <w:rPr/>
        <w:t>万元。</w:t>
      </w:r>
    </w:p>
    <w:p>
      <w:pPr>
        <w:spacing w:line="240" w:lineRule="auto" w:before="11"/>
        <w:rPr>
          <w:rFonts w:ascii="宋体" w:hAnsi="宋体" w:cs="宋体" w:eastAsia="宋体" w:hint="default"/>
          <w:sz w:val="20"/>
          <w:szCs w:val="20"/>
        </w:rPr>
      </w:pPr>
    </w:p>
    <w:p>
      <w:pPr>
        <w:pStyle w:val="Heading2"/>
        <w:spacing w:line="240" w:lineRule="auto"/>
        <w:ind w:right="1082"/>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2"/>
        <w:rPr>
          <w:rFonts w:ascii="宋体" w:hAnsi="宋体" w:cs="宋体" w:eastAsia="宋体" w:hint="default"/>
          <w:sz w:val="24"/>
          <w:szCs w:val="24"/>
        </w:rPr>
      </w:pPr>
    </w:p>
    <w:p>
      <w:pPr>
        <w:pStyle w:val="Heading2"/>
        <w:spacing w:line="240" w:lineRule="auto"/>
        <w:ind w:right="1082"/>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10"/>
        <w:rPr>
          <w:rFonts w:ascii="宋体" w:hAnsi="宋体" w:cs="宋体" w:eastAsia="宋体" w:hint="default"/>
          <w:b/>
          <w:bCs/>
          <w:sz w:val="25"/>
          <w:szCs w:val="25"/>
        </w:rPr>
      </w:pPr>
    </w:p>
    <w:p>
      <w:pPr>
        <w:pStyle w:val="BodyText"/>
        <w:spacing w:line="283" w:lineRule="auto"/>
        <w:ind w:right="7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公司报告期未发生破产重整相关事项。</w:t>
      </w:r>
    </w:p>
    <w:p>
      <w:pPr>
        <w:spacing w:line="240" w:lineRule="auto" w:before="6"/>
        <w:rPr>
          <w:rFonts w:ascii="宋体" w:hAnsi="宋体" w:cs="宋体" w:eastAsia="宋体" w:hint="default"/>
          <w:sz w:val="22"/>
          <w:szCs w:val="22"/>
        </w:rPr>
      </w:pPr>
    </w:p>
    <w:p>
      <w:pPr>
        <w:pStyle w:val="Heading2"/>
        <w:spacing w:line="240" w:lineRule="auto"/>
        <w:ind w:right="1082"/>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10"/>
        <w:rPr>
          <w:rFonts w:ascii="宋体" w:hAnsi="宋体" w:cs="宋体" w:eastAsia="宋体" w:hint="default"/>
          <w:b/>
          <w:bCs/>
          <w:sz w:val="25"/>
          <w:szCs w:val="25"/>
        </w:rPr>
      </w:pPr>
    </w:p>
    <w:p>
      <w:pPr>
        <w:pStyle w:val="BodyText"/>
        <w:spacing w:line="283" w:lineRule="auto"/>
        <w:ind w:right="7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本报告期公司无重大诉讼、仲裁事项。</w:t>
      </w:r>
    </w:p>
    <w:p>
      <w:pPr>
        <w:spacing w:line="240" w:lineRule="auto" w:before="6"/>
        <w:rPr>
          <w:rFonts w:ascii="宋体" w:hAnsi="宋体" w:cs="宋体" w:eastAsia="宋体" w:hint="default"/>
          <w:sz w:val="22"/>
          <w:szCs w:val="22"/>
        </w:rPr>
      </w:pPr>
    </w:p>
    <w:p>
      <w:pPr>
        <w:pStyle w:val="Heading2"/>
        <w:spacing w:line="240" w:lineRule="auto"/>
        <w:ind w:right="1082"/>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10"/>
        <w:rPr>
          <w:rFonts w:ascii="宋体" w:hAnsi="宋体" w:cs="宋体" w:eastAsia="宋体" w:hint="default"/>
          <w:b/>
          <w:bCs/>
          <w:sz w:val="25"/>
          <w:szCs w:val="25"/>
        </w:rPr>
      </w:pPr>
    </w:p>
    <w:p>
      <w:pPr>
        <w:pStyle w:val="BodyText"/>
        <w:spacing w:line="283" w:lineRule="auto"/>
        <w:ind w:right="7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公司报告期不存在处罚及整改情况。</w:t>
      </w:r>
    </w:p>
    <w:p>
      <w:pPr>
        <w:spacing w:line="240" w:lineRule="auto" w:before="6"/>
        <w:rPr>
          <w:rFonts w:ascii="宋体" w:hAnsi="宋体" w:cs="宋体" w:eastAsia="宋体" w:hint="default"/>
          <w:sz w:val="22"/>
          <w:szCs w:val="22"/>
        </w:rPr>
      </w:pPr>
    </w:p>
    <w:p>
      <w:pPr>
        <w:pStyle w:val="Heading2"/>
        <w:spacing w:line="240" w:lineRule="auto"/>
        <w:ind w:right="1082"/>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both"/>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13"/>
        <w:rPr>
          <w:rFonts w:ascii="宋体" w:hAnsi="宋体" w:cs="宋体" w:eastAsia="宋体" w:hint="default"/>
          <w:b/>
          <w:bCs/>
          <w:sz w:val="18"/>
          <w:szCs w:val="18"/>
        </w:rPr>
      </w:pPr>
    </w:p>
    <w:p>
      <w:pPr>
        <w:spacing w:line="369" w:lineRule="auto" w:before="0"/>
        <w:ind w:left="594" w:right="1182" w:firstLine="1"/>
        <w:jc w:val="left"/>
        <w:rPr>
          <w:rFonts w:ascii="宋体" w:hAnsi="宋体" w:cs="宋体" w:eastAsia="宋体" w:hint="default"/>
          <w:sz w:val="22"/>
          <w:szCs w:val="22"/>
        </w:rPr>
      </w:pPr>
      <w:r>
        <w:rPr>
          <w:rFonts w:ascii="宋体" w:hAnsi="宋体" w:cs="宋体" w:eastAsia="宋体" w:hint="default"/>
          <w:b/>
          <w:bCs/>
          <w:sz w:val="22"/>
          <w:szCs w:val="22"/>
        </w:rPr>
        <w:t>（一）</w:t>
      </w:r>
      <w:r>
        <w:rPr>
          <w:rFonts w:ascii="Times New Roman" w:hAnsi="Times New Roman" w:cs="Times New Roman" w:eastAsia="Times New Roman" w:hint="default"/>
          <w:b/>
          <w:bCs/>
          <w:sz w:val="22"/>
          <w:szCs w:val="22"/>
        </w:rPr>
        <w:t>2010</w:t>
      </w:r>
      <w:r>
        <w:rPr>
          <w:rFonts w:ascii="宋体" w:hAnsi="宋体" w:cs="宋体" w:eastAsia="宋体" w:hint="default"/>
          <w:b/>
          <w:bCs/>
          <w:sz w:val="22"/>
          <w:szCs w:val="22"/>
        </w:rPr>
        <w:t>年股票期权</w:t>
      </w:r>
      <w:r>
        <w:rPr>
          <w:rFonts w:ascii="宋体" w:hAnsi="宋体" w:cs="宋体" w:eastAsia="宋体" w:hint="default"/>
          <w:b/>
          <w:bCs/>
          <w:spacing w:val="1"/>
          <w:w w:val="99"/>
          <w:sz w:val="22"/>
          <w:szCs w:val="22"/>
        </w:rPr>
        <w:t> </w:t>
      </w:r>
      <w:r>
        <w:rPr>
          <w:rFonts w:ascii="宋体" w:hAnsi="宋体" w:cs="宋体" w:eastAsia="宋体" w:hint="default"/>
          <w:sz w:val="22"/>
          <w:szCs w:val="22"/>
        </w:rPr>
        <w:t>公司于</w:t>
      </w: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25</w:t>
      </w:r>
      <w:r>
        <w:rPr>
          <w:rFonts w:ascii="宋体" w:hAnsi="宋体" w:cs="宋体" w:eastAsia="宋体" w:hint="default"/>
          <w:sz w:val="22"/>
          <w:szCs w:val="22"/>
        </w:rPr>
        <w:t>日召开第四届董事会第二次会议审议通过了《苏宁电器股份有限公司</w:t>
      </w: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p>
    <w:p>
      <w:pPr>
        <w:pStyle w:val="BodyText"/>
        <w:spacing w:line="369" w:lineRule="auto" w:before="32"/>
        <w:ind w:right="1131"/>
        <w:jc w:val="both"/>
      </w:pPr>
      <w:r>
        <w:rPr>
          <w:w w:val="95"/>
        </w:rPr>
        <w:t>股票期权激励计划（草案）》（以下简称</w:t>
      </w:r>
      <w:r>
        <w:rPr>
          <w:rFonts w:ascii="Times New Roman" w:hAnsi="Times New Roman" w:cs="Times New Roman" w:eastAsia="Times New Roman" w:hint="default"/>
          <w:w w:val="95"/>
        </w:rPr>
        <w:t>“</w:t>
      </w:r>
      <w:r>
        <w:rPr>
          <w:w w:val="95"/>
        </w:rPr>
        <w:t>本次期权激励计划草案</w:t>
      </w:r>
      <w:r>
        <w:rPr>
          <w:rFonts w:ascii="Times New Roman" w:hAnsi="Times New Roman" w:cs="Times New Roman" w:eastAsia="Times New Roman" w:hint="default"/>
          <w:w w:val="95"/>
        </w:rPr>
        <w:t>”</w:t>
      </w:r>
      <w:r>
        <w:rPr>
          <w:w w:val="95"/>
        </w:rPr>
        <w:t>），并报中国证券监督管理委员会</w:t>
      </w:r>
      <w:r>
        <w:rPr>
          <w:spacing w:val="31"/>
          <w:w w:val="95"/>
        </w:rPr>
        <w:t> </w:t>
      </w:r>
      <w:r>
        <w:rPr>
          <w:spacing w:val="31"/>
          <w:w w:val="95"/>
        </w:rPr>
      </w:r>
      <w:r>
        <w:rPr/>
        <w:t>备案。本次期权激励计划草案获得中国证监会备案通过后，公司于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日发出召开</w:t>
      </w:r>
      <w:r>
        <w:rPr>
          <w:rFonts w:ascii="Times New Roman" w:hAnsi="Times New Roman" w:cs="Times New Roman" w:eastAsia="Times New Roman" w:hint="default"/>
        </w:rPr>
        <w:t>2010</w:t>
      </w:r>
      <w:r>
        <w:rPr/>
        <w:t>年第</w:t>
      </w:r>
      <w:r>
        <w:rPr>
          <w:w w:val="99"/>
        </w:rPr>
        <w:t> </w:t>
      </w:r>
      <w:r>
        <w:rPr>
          <w:spacing w:val="-1"/>
        </w:rPr>
        <w:t>二次临时股东大会通知，审议本次期权激励计划。</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24</w:t>
      </w:r>
      <w:r>
        <w:rPr>
          <w:spacing w:val="-1"/>
        </w:rPr>
        <w:t>日，公司</w:t>
      </w:r>
      <w:r>
        <w:rPr>
          <w:rFonts w:ascii="Times New Roman" w:hAnsi="Times New Roman" w:cs="Times New Roman" w:eastAsia="Times New Roman" w:hint="default"/>
          <w:spacing w:val="-1"/>
        </w:rPr>
        <w:t>2010</w:t>
      </w:r>
      <w:r>
        <w:rPr>
          <w:spacing w:val="-1"/>
        </w:rPr>
        <w:t>年第二次临时股东大会</w:t>
      </w:r>
      <w:r>
        <w:rPr>
          <w:w w:val="99"/>
        </w:rPr>
        <w:t> </w:t>
      </w:r>
      <w:r>
        <w:rPr/>
        <w:t>审议通过了《</w:t>
      </w:r>
      <w:r>
        <w:rPr>
          <w:rFonts w:ascii="Times New Roman" w:hAnsi="Times New Roman" w:cs="Times New Roman" w:eastAsia="Times New Roman" w:hint="default"/>
        </w:rPr>
        <w:t>2010</w:t>
      </w:r>
      <w:r>
        <w:rPr/>
        <w:t>年股票期权激励计划》，本次股票期权激励计划获得批准。</w:t>
      </w:r>
    </w:p>
    <w:p>
      <w:pPr>
        <w:pStyle w:val="BodyText"/>
        <w:spacing w:line="369" w:lineRule="auto" w:before="32"/>
        <w:ind w:right="1131" w:firstLine="440"/>
        <w:jc w:val="both"/>
      </w:pPr>
      <w:r>
        <w:rPr>
          <w:spacing w:val="-3"/>
        </w:rPr>
        <w:t>根据公司期权激励计划，公司授予激励对象</w:t>
      </w:r>
      <w:r>
        <w:rPr>
          <w:rFonts w:ascii="Times New Roman" w:hAnsi="Times New Roman" w:cs="Times New Roman" w:eastAsia="Times New Roman" w:hint="default"/>
          <w:spacing w:val="-3"/>
        </w:rPr>
        <w:t>8,469</w:t>
      </w:r>
      <w:r>
        <w:rPr>
          <w:spacing w:val="-3"/>
        </w:rPr>
        <w:t>万份期权，每份股票期权拥有在激励计划有效期</w:t>
      </w:r>
      <w:r>
        <w:rPr>
          <w:w w:val="99"/>
        </w:rPr>
        <w:t> </w:t>
      </w:r>
      <w:r>
        <w:rPr>
          <w:spacing w:val="-2"/>
          <w:w w:val="99"/>
        </w:rPr>
        <w:t>内的可行权日以行权价格和行权条件购买一股苏宁云商股票的权利。</w:t>
      </w:r>
      <w:r>
        <w:rPr>
          <w:rFonts w:ascii="Times New Roman" w:hAnsi="Times New Roman" w:cs="Times New Roman" w:eastAsia="Times New Roman" w:hint="default"/>
          <w:spacing w:val="-2"/>
          <w:w w:val="99"/>
        </w:rPr>
        <w:t>8,469</w:t>
      </w:r>
      <w:r>
        <w:rPr>
          <w:spacing w:val="-2"/>
          <w:w w:val="99"/>
        </w:rPr>
        <w:t>万份股票期权标的股票总数</w:t>
      </w:r>
      <w:r>
        <w:rPr>
          <w:spacing w:val="-108"/>
          <w:w w:val="99"/>
        </w:rPr>
        <w:t> </w:t>
      </w:r>
      <w:r>
        <w:rPr/>
        <w:t>占本激励计划批准时公司股本总额的</w:t>
      </w:r>
      <w:r>
        <w:rPr>
          <w:rFonts w:ascii="Times New Roman" w:hAnsi="Times New Roman" w:cs="Times New Roman" w:eastAsia="Times New Roman" w:hint="default"/>
        </w:rPr>
        <w:t>1.21%</w:t>
      </w:r>
      <w:r>
        <w:rPr/>
        <w:t>。</w:t>
      </w:r>
    </w:p>
    <w:p>
      <w:pPr>
        <w:pStyle w:val="BodyText"/>
        <w:spacing w:line="369" w:lineRule="auto" w:before="32"/>
        <w:ind w:left="594" w:right="1116"/>
        <w:jc w:val="left"/>
      </w:pPr>
      <w:r>
        <w:rPr/>
        <w:t>（</w:t>
      </w:r>
      <w:r>
        <w:rPr>
          <w:rFonts w:ascii="Times New Roman" w:hAnsi="Times New Roman" w:cs="Times New Roman" w:eastAsia="Times New Roman" w:hint="default"/>
        </w:rPr>
        <w:t>1</w:t>
      </w:r>
      <w:r>
        <w:rPr/>
        <w:t>）股票期权的授予及行权情况</w:t>
      </w:r>
      <w:r>
        <w:rPr>
          <w:w w:val="99"/>
        </w:rPr>
        <w:t> </w:t>
      </w:r>
      <w:r>
        <w:rPr>
          <w:spacing w:val="-1"/>
        </w:rPr>
        <w:t>经公司第四届董事会第六次会议审议，认为公司已符合《</w:t>
      </w:r>
      <w:r>
        <w:rPr>
          <w:rFonts w:ascii="Times New Roman" w:hAnsi="Times New Roman" w:cs="Times New Roman" w:eastAsia="Times New Roman" w:hint="default"/>
          <w:spacing w:val="-1"/>
        </w:rPr>
        <w:t>2010</w:t>
      </w:r>
      <w:r>
        <w:rPr>
          <w:spacing w:val="-1"/>
        </w:rPr>
        <w:t>年股票期权激励计划》规定的各项</w:t>
      </w:r>
    </w:p>
    <w:p>
      <w:pPr>
        <w:pStyle w:val="BodyText"/>
        <w:spacing w:line="374" w:lineRule="auto" w:before="32"/>
        <w:ind w:right="1134"/>
        <w:jc w:val="both"/>
      </w:pPr>
      <w:r>
        <w:rPr/>
        <w:t>授权条件，确定以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日作为本次股票期权的授权日，向</w:t>
      </w:r>
      <w:r>
        <w:rPr>
          <w:rFonts w:ascii="Times New Roman" w:hAnsi="Times New Roman" w:cs="Times New Roman" w:eastAsia="Times New Roman" w:hint="default"/>
        </w:rPr>
        <w:t>248</w:t>
      </w:r>
      <w:r>
        <w:rPr/>
        <w:t>位激励对象授予</w:t>
      </w:r>
      <w:r>
        <w:rPr>
          <w:rFonts w:ascii="Times New Roman" w:hAnsi="Times New Roman" w:cs="Times New Roman" w:eastAsia="Times New Roman" w:hint="default"/>
        </w:rPr>
        <w:t>8,469</w:t>
      </w:r>
      <w:r>
        <w:rPr/>
        <w:t>万份股票</w:t>
      </w:r>
      <w:r>
        <w:rPr>
          <w:w w:val="99"/>
        </w:rPr>
        <w:t> </w:t>
      </w:r>
      <w:r>
        <w:rPr/>
        <w:t>期权。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日，经公司第四届董事会第十二次会议审议，通过了《关于调整股权激励计划行</w:t>
      </w:r>
      <w:r>
        <w:rPr>
          <w:w w:val="99"/>
        </w:rPr>
        <w:t> </w:t>
      </w:r>
      <w:r>
        <w:rPr>
          <w:spacing w:val="-3"/>
        </w:rPr>
        <w:t>权价格的议案》，调整后授予股票期权行权价格为</w:t>
      </w:r>
      <w:r>
        <w:rPr>
          <w:rFonts w:ascii="Times New Roman" w:hAnsi="Times New Roman" w:cs="Times New Roman" w:eastAsia="Times New Roman" w:hint="default"/>
          <w:spacing w:val="-3"/>
        </w:rPr>
        <w:t>14.40</w:t>
      </w:r>
      <w:r>
        <w:rPr>
          <w:spacing w:val="-3"/>
        </w:rPr>
        <w:t>元。截止报告期末，未有激励对象提出股票期</w:t>
      </w:r>
      <w:r>
        <w:rPr>
          <w:spacing w:val="-82"/>
        </w:rPr>
        <w:t> </w:t>
      </w:r>
      <w:r>
        <w:rPr>
          <w:spacing w:val="-82"/>
        </w:rPr>
      </w:r>
      <w:r>
        <w:rPr>
          <w:spacing w:val="-2"/>
        </w:rPr>
        <w:t>权行权申请。此外，由于部分激励对象离职，根据《股票期权激励计划》的有关规定，离职人员获授</w:t>
      </w:r>
      <w:r>
        <w:rPr>
          <w:spacing w:val="-86"/>
        </w:rPr>
        <w:t> </w:t>
      </w:r>
      <w:r>
        <w:rPr>
          <w:spacing w:val="-86"/>
        </w:rPr>
      </w:r>
      <w:r>
        <w:rPr/>
        <w:t>期权由公司收回并予以注销。截止报告期末，失效的权益数量总额为</w:t>
      </w:r>
      <w:r>
        <w:rPr>
          <w:rFonts w:ascii="Times New Roman" w:hAnsi="Times New Roman" w:cs="Times New Roman" w:eastAsia="Times New Roman" w:hint="default"/>
        </w:rPr>
        <w:t>1822</w:t>
      </w:r>
      <w:r>
        <w:rPr/>
        <w:t>万股。</w:t>
      </w:r>
    </w:p>
    <w:p>
      <w:pPr>
        <w:pStyle w:val="BodyText"/>
        <w:spacing w:line="240" w:lineRule="auto" w:before="27"/>
        <w:ind w:left="594" w:right="1082"/>
        <w:jc w:val="left"/>
      </w:pPr>
      <w:r>
        <w:rPr/>
        <w:t>（</w:t>
      </w:r>
      <w:r>
        <w:rPr>
          <w:rFonts w:ascii="Times New Roman" w:hAnsi="Times New Roman" w:cs="Times New Roman" w:eastAsia="Times New Roman" w:hint="default"/>
        </w:rPr>
        <w:t>2</w:t>
      </w:r>
      <w:r>
        <w:rPr/>
        <w:t>）公司股票期权的授予对公司本报告期及以后各年度财务状况和经营成果的影响</w:t>
      </w:r>
    </w:p>
    <w:p>
      <w:pPr>
        <w:pStyle w:val="BodyText"/>
        <w:spacing w:line="240" w:lineRule="auto" w:before="163"/>
        <w:ind w:left="594" w:right="1082"/>
        <w:jc w:val="left"/>
      </w:pPr>
      <w:r>
        <w:rPr/>
        <w:t>①股票期权公允价值及预计摊销情况</w:t>
      </w:r>
    </w:p>
    <w:p>
      <w:pPr>
        <w:pStyle w:val="BodyText"/>
        <w:spacing w:line="369" w:lineRule="auto" w:before="180"/>
        <w:ind w:right="1236" w:firstLine="440"/>
        <w:jc w:val="both"/>
      </w:pPr>
      <w:r>
        <w:rPr>
          <w:w w:val="95"/>
        </w:rPr>
        <w:t>根据《企业会计准则第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金融工具确认和计量》中关于公允价值确定的相关规定，公司选择</w:t>
      </w:r>
      <w:r>
        <w:rPr>
          <w:w w:val="99"/>
        </w:rPr>
        <w:t> </w:t>
      </w:r>
      <w:r>
        <w:rPr/>
        <w:t>布莱特</w:t>
      </w:r>
      <w:r>
        <w:rPr>
          <w:rFonts w:ascii="Times New Roman" w:hAnsi="Times New Roman" w:cs="Times New Roman" w:eastAsia="Times New Roman" w:hint="default"/>
        </w:rPr>
        <w:t>-</w:t>
      </w:r>
      <w:r>
        <w:rPr/>
        <w:t>斯科尔斯期权定价模型，并以确定的授权日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日的收盘价等数据为参数对公司的</w:t>
      </w:r>
      <w:r>
        <w:rPr>
          <w:w w:val="99"/>
        </w:rPr>
        <w:t> </w:t>
      </w:r>
      <w:r>
        <w:rPr/>
        <w:t>股票期权的公允价值进行了测算。</w:t>
      </w:r>
    </w:p>
    <w:p>
      <w:pPr>
        <w:pStyle w:val="BodyText"/>
        <w:spacing w:line="379" w:lineRule="auto" w:before="61"/>
        <w:ind w:left="154" w:right="1131" w:firstLine="440"/>
        <w:jc w:val="both"/>
      </w:pPr>
      <w:r>
        <w:rPr>
          <w:spacing w:val="-1"/>
        </w:rPr>
        <w:t>公司激励计划的股票期权公允价值为</w:t>
      </w:r>
      <w:r>
        <w:rPr>
          <w:rFonts w:ascii="Times New Roman" w:hAnsi="Times New Roman" w:cs="Times New Roman" w:eastAsia="Times New Roman" w:hint="default"/>
          <w:spacing w:val="-1"/>
        </w:rPr>
        <w:t>39,464.45</w:t>
      </w:r>
      <w:r>
        <w:rPr>
          <w:spacing w:val="-1"/>
        </w:rPr>
        <w:t>万元，在授予日起的</w:t>
      </w:r>
      <w:r>
        <w:rPr>
          <w:rFonts w:ascii="Times New Roman" w:hAnsi="Times New Roman" w:cs="Times New Roman" w:eastAsia="Times New Roman" w:hint="default"/>
          <w:spacing w:val="-1"/>
        </w:rPr>
        <w:t>48</w:t>
      </w:r>
      <w:r>
        <w:rPr>
          <w:spacing w:val="-1"/>
        </w:rPr>
        <w:t>个月内摊销完毕。假设全部</w:t>
      </w:r>
      <w:r>
        <w:rPr>
          <w:w w:val="99"/>
        </w:rPr>
        <w:t> </w:t>
      </w:r>
      <w:r>
        <w:rPr>
          <w:spacing w:val="-1"/>
        </w:rPr>
        <w:t>激励对象均符合本计划规定的行权条件且在各行权期内全部行权，则每年的期权成本摊销情况以及对</w:t>
      </w:r>
      <w:r>
        <w:rPr>
          <w:w w:val="99"/>
        </w:rPr>
        <w:t> </w:t>
      </w:r>
      <w:r>
        <w:rPr/>
        <w:t>公司相关年度的财务指标影响如下：</w:t>
      </w:r>
    </w:p>
    <w:tbl>
      <w:tblPr>
        <w:tblW w:w="0" w:type="auto"/>
        <w:jc w:val="left"/>
        <w:tblInd w:w="146" w:type="dxa"/>
        <w:tblLayout w:type="fixed"/>
        <w:tblCellMar>
          <w:top w:w="0" w:type="dxa"/>
          <w:left w:w="0" w:type="dxa"/>
          <w:bottom w:w="0" w:type="dxa"/>
          <w:right w:w="0" w:type="dxa"/>
        </w:tblCellMar>
        <w:tblLook w:val="01E0"/>
      </w:tblPr>
      <w:tblGrid>
        <w:gridCol w:w="2145"/>
        <w:gridCol w:w="167"/>
        <w:gridCol w:w="1148"/>
        <w:gridCol w:w="1623"/>
        <w:gridCol w:w="1705"/>
        <w:gridCol w:w="1492"/>
        <w:gridCol w:w="1576"/>
      </w:tblGrid>
      <w:tr>
        <w:trPr>
          <w:trHeight w:val="313" w:hRule="exact"/>
        </w:trPr>
        <w:tc>
          <w:tcPr>
            <w:tcW w:w="214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1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31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p>
        </w:tc>
        <w:tc>
          <w:tcPr>
            <w:tcW w:w="16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1"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p>
        </w:tc>
        <w:tc>
          <w:tcPr>
            <w:tcW w:w="1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2012</w:t>
            </w:r>
            <w:r>
              <w:rPr>
                <w:rFonts w:ascii="宋体" w:hAnsi="宋体" w:cs="宋体" w:eastAsia="宋体" w:hint="default"/>
                <w:sz w:val="22"/>
                <w:szCs w:val="22"/>
              </w:rPr>
              <w:t>年</w:t>
            </w:r>
          </w:p>
        </w:tc>
        <w:tc>
          <w:tcPr>
            <w:tcW w:w="14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p>
        </w:tc>
        <w:tc>
          <w:tcPr>
            <w:tcW w:w="15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p>
        </w:tc>
      </w:tr>
      <w:tr>
        <w:trPr>
          <w:trHeight w:val="316" w:hRule="exact"/>
        </w:trPr>
        <w:tc>
          <w:tcPr>
            <w:tcW w:w="21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8" w:lineRule="exact"/>
              <w:ind w:left="2" w:right="0"/>
              <w:jc w:val="left"/>
              <w:rPr>
                <w:rFonts w:ascii="宋体" w:hAnsi="宋体" w:cs="宋体" w:eastAsia="宋体" w:hint="default"/>
                <w:sz w:val="22"/>
                <w:szCs w:val="22"/>
              </w:rPr>
            </w:pPr>
            <w:r>
              <w:rPr>
                <w:rFonts w:ascii="宋体" w:hAnsi="宋体" w:cs="宋体" w:eastAsia="宋体" w:hint="default"/>
                <w:sz w:val="22"/>
                <w:szCs w:val="22"/>
              </w:rPr>
              <w:t>期权成本摊销（万元</w:t>
            </w:r>
          </w:p>
        </w:tc>
        <w:tc>
          <w:tcPr>
            <w:tcW w:w="167" w:type="dxa"/>
            <w:tcBorders>
              <w:top w:val="single" w:sz="6" w:space="0" w:color="000000"/>
              <w:left w:val="single" w:sz="6" w:space="0" w:color="000000"/>
              <w:bottom w:val="single" w:sz="6" w:space="0" w:color="000000"/>
              <w:right w:val="nil" w:sz="6" w:space="0" w:color="auto"/>
            </w:tcBorders>
          </w:tcPr>
          <w:p>
            <w:pPr>
              <w:pStyle w:val="TableParagraph"/>
              <w:spacing w:line="258" w:lineRule="exact"/>
              <w:ind w:left="-165"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1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04" w:right="0"/>
              <w:jc w:val="left"/>
              <w:rPr>
                <w:rFonts w:ascii="Times New Roman" w:hAnsi="Times New Roman" w:cs="Times New Roman" w:eastAsia="Times New Roman" w:hint="default"/>
                <w:sz w:val="22"/>
                <w:szCs w:val="22"/>
              </w:rPr>
            </w:pPr>
            <w:r>
              <w:rPr>
                <w:rFonts w:ascii="Times New Roman"/>
                <w:sz w:val="22"/>
              </w:rPr>
              <w:t>1,454.25</w:t>
            </w:r>
          </w:p>
        </w:tc>
        <w:tc>
          <w:tcPr>
            <w:tcW w:w="1623" w:type="dxa"/>
            <w:tcBorders>
              <w:top w:val="single" w:sz="10" w:space="0" w:color="000000"/>
              <w:left w:val="single" w:sz="6" w:space="0" w:color="000000"/>
              <w:bottom w:val="single" w:sz="6" w:space="0" w:color="000000"/>
              <w:right w:val="single" w:sz="6" w:space="0" w:color="000000"/>
            </w:tcBorders>
          </w:tcPr>
          <w:p>
            <w:pPr>
              <w:pStyle w:val="TableParagraph"/>
              <w:spacing w:line="251" w:lineRule="exact"/>
              <w:ind w:left="1" w:right="0"/>
              <w:jc w:val="center"/>
              <w:rPr>
                <w:rFonts w:ascii="Times New Roman" w:hAnsi="Times New Roman" w:cs="Times New Roman" w:eastAsia="Times New Roman" w:hint="default"/>
                <w:sz w:val="22"/>
                <w:szCs w:val="22"/>
              </w:rPr>
            </w:pPr>
            <w:r>
              <w:rPr>
                <w:rFonts w:ascii="Times New Roman"/>
                <w:sz w:val="22"/>
              </w:rPr>
              <w:t>16,966.55</w:t>
            </w:r>
          </w:p>
        </w:tc>
        <w:tc>
          <w:tcPr>
            <w:tcW w:w="1705" w:type="dxa"/>
            <w:tcBorders>
              <w:top w:val="single" w:sz="10" w:space="0" w:color="000000"/>
              <w:left w:val="single" w:sz="6" w:space="0" w:color="000000"/>
              <w:bottom w:val="single" w:sz="6" w:space="0" w:color="000000"/>
              <w:right w:val="single" w:sz="6" w:space="0" w:color="000000"/>
            </w:tcBorders>
          </w:tcPr>
          <w:p>
            <w:pPr>
              <w:pStyle w:val="TableParagraph"/>
              <w:spacing w:line="251" w:lineRule="exact"/>
              <w:ind w:right="0"/>
              <w:jc w:val="center"/>
              <w:rPr>
                <w:rFonts w:ascii="Times New Roman" w:hAnsi="Times New Roman" w:cs="Times New Roman" w:eastAsia="Times New Roman" w:hint="default"/>
                <w:sz w:val="22"/>
                <w:szCs w:val="22"/>
              </w:rPr>
            </w:pPr>
            <w:r>
              <w:rPr>
                <w:rFonts w:ascii="Times New Roman"/>
                <w:sz w:val="22"/>
              </w:rPr>
              <w:t>11,256.52</w:t>
            </w:r>
          </w:p>
        </w:tc>
        <w:tc>
          <w:tcPr>
            <w:tcW w:w="1492" w:type="dxa"/>
            <w:tcBorders>
              <w:top w:val="single" w:sz="10" w:space="0" w:color="000000"/>
              <w:left w:val="single" w:sz="6" w:space="0" w:color="000000"/>
              <w:bottom w:val="single" w:sz="6" w:space="0" w:color="000000"/>
              <w:right w:val="single" w:sz="6" w:space="0" w:color="000000"/>
            </w:tcBorders>
          </w:tcPr>
          <w:p>
            <w:pPr>
              <w:pStyle w:val="TableParagraph"/>
              <w:spacing w:line="251" w:lineRule="exact"/>
              <w:ind w:right="1"/>
              <w:jc w:val="center"/>
              <w:rPr>
                <w:rFonts w:ascii="Times New Roman" w:hAnsi="Times New Roman" w:cs="Times New Roman" w:eastAsia="Times New Roman" w:hint="default"/>
                <w:sz w:val="22"/>
                <w:szCs w:val="22"/>
              </w:rPr>
            </w:pPr>
            <w:r>
              <w:rPr>
                <w:rFonts w:ascii="Times New Roman"/>
                <w:sz w:val="22"/>
              </w:rPr>
              <w:t>6,755.65</w:t>
            </w:r>
          </w:p>
        </w:tc>
        <w:tc>
          <w:tcPr>
            <w:tcW w:w="1576" w:type="dxa"/>
            <w:tcBorders>
              <w:top w:val="single" w:sz="10" w:space="0" w:color="000000"/>
              <w:left w:val="single" w:sz="6" w:space="0" w:color="000000"/>
              <w:bottom w:val="single" w:sz="6" w:space="0" w:color="000000"/>
              <w:right w:val="single" w:sz="6" w:space="0" w:color="000000"/>
            </w:tcBorders>
          </w:tcPr>
          <w:p>
            <w:pPr>
              <w:pStyle w:val="TableParagraph"/>
              <w:spacing w:line="251" w:lineRule="exact"/>
              <w:ind w:right="1"/>
              <w:jc w:val="center"/>
              <w:rPr>
                <w:rFonts w:ascii="Times New Roman" w:hAnsi="Times New Roman" w:cs="Times New Roman" w:eastAsia="Times New Roman" w:hint="default"/>
                <w:sz w:val="22"/>
                <w:szCs w:val="22"/>
              </w:rPr>
            </w:pPr>
            <w:r>
              <w:rPr>
                <w:rFonts w:ascii="Times New Roman"/>
                <w:sz w:val="22"/>
              </w:rPr>
              <w:t>3,031.47</w:t>
            </w:r>
          </w:p>
        </w:tc>
      </w:tr>
    </w:tbl>
    <w:p>
      <w:pPr>
        <w:pStyle w:val="BodyText"/>
        <w:spacing w:line="391" w:lineRule="auto" w:before="65"/>
        <w:ind w:left="594" w:right="1122"/>
        <w:jc w:val="left"/>
      </w:pPr>
      <w:r>
        <w:rPr/>
        <w:t>②报告期内期权成本摊销情况</w:t>
      </w:r>
      <w:r>
        <w:rPr>
          <w:w w:val="99"/>
        </w:rPr>
        <w:t> </w:t>
      </w:r>
      <w:r>
        <w:rPr>
          <w:spacing w:val="-1"/>
        </w:rPr>
        <w:t>由于公司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2013</w:t>
      </w:r>
      <w:r>
        <w:rPr>
          <w:spacing w:val="-1"/>
        </w:rPr>
        <w:t>年业绩条件未满足第三个、第四个行权期的行权条件，即</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2013</w:t>
      </w:r>
      <w:r>
        <w:rPr>
          <w:spacing w:val="-1"/>
        </w:rPr>
        <w:t>年度</w:t>
      </w:r>
      <w:r>
        <w:rPr/>
      </w:r>
    </w:p>
    <w:p>
      <w:pPr>
        <w:pStyle w:val="BodyText"/>
        <w:spacing w:line="240" w:lineRule="auto" w:before="10"/>
        <w:ind w:right="0"/>
        <w:jc w:val="left"/>
      </w:pPr>
      <w:r>
        <w:rPr/>
        <w:t>归属于上市公司股东的净利润较</w:t>
      </w:r>
      <w:r>
        <w:rPr>
          <w:rFonts w:ascii="Times New Roman" w:hAnsi="Times New Roman" w:cs="Times New Roman" w:eastAsia="Times New Roman" w:hint="default"/>
        </w:rPr>
        <w:t>2009</w:t>
      </w:r>
      <w:r>
        <w:rPr/>
        <w:t>年度复合增长率不低于</w:t>
      </w:r>
      <w:r>
        <w:rPr>
          <w:rFonts w:ascii="Times New Roman" w:hAnsi="Times New Roman" w:cs="Times New Roman" w:eastAsia="Times New Roman" w:hint="default"/>
        </w:rPr>
        <w:t>25%</w:t>
      </w:r>
      <w:r>
        <w:rPr/>
        <w:t>，公司在报告期内未有期权成本摊销。</w:t>
      </w:r>
    </w:p>
    <w:p>
      <w:pPr>
        <w:spacing w:after="0" w:line="240" w:lineRule="auto"/>
        <w:jc w:val="left"/>
        <w:sectPr>
          <w:pgSz w:w="11910" w:h="16840"/>
          <w:pgMar w:header="877" w:footer="979" w:top="1100" w:bottom="1160" w:left="980" w:right="0"/>
        </w:sectPr>
      </w:pPr>
    </w:p>
    <w:p>
      <w:pPr>
        <w:spacing w:line="240" w:lineRule="auto" w:before="3"/>
        <w:rPr>
          <w:rFonts w:ascii="宋体" w:hAnsi="宋体" w:cs="宋体" w:eastAsia="宋体" w:hint="default"/>
          <w:sz w:val="26"/>
          <w:szCs w:val="26"/>
        </w:rPr>
      </w:pPr>
    </w:p>
    <w:p>
      <w:pPr>
        <w:pStyle w:val="BodyText"/>
        <w:spacing w:line="240" w:lineRule="auto" w:before="31"/>
        <w:ind w:right="1082"/>
        <w:jc w:val="left"/>
      </w:pPr>
      <w:r>
        <w:rPr/>
        <w:t>前期公司股票期权价值累计摊销</w:t>
      </w:r>
      <w:r>
        <w:rPr>
          <w:rFonts w:ascii="Times New Roman" w:hAnsi="Times New Roman" w:cs="Times New Roman" w:eastAsia="Times New Roman" w:hint="default"/>
        </w:rPr>
        <w:t>13,976</w:t>
      </w:r>
      <w:r>
        <w:rPr/>
        <w:t>万元。</w:t>
      </w:r>
    </w:p>
    <w:p>
      <w:pPr>
        <w:pStyle w:val="BodyText"/>
        <w:spacing w:line="240" w:lineRule="auto" w:before="163"/>
        <w:ind w:left="594" w:right="1082"/>
        <w:jc w:val="left"/>
      </w:pPr>
      <w:r>
        <w:rPr/>
        <w:t>（</w:t>
      </w:r>
      <w:r>
        <w:rPr>
          <w:rFonts w:ascii="Times New Roman" w:hAnsi="Times New Roman" w:cs="Times New Roman" w:eastAsia="Times New Roman" w:hint="default"/>
        </w:rPr>
        <w:t>3</w:t>
      </w:r>
      <w:r>
        <w:rPr/>
        <w:t>）期权注销</w:t>
      </w:r>
    </w:p>
    <w:p>
      <w:pPr>
        <w:pStyle w:val="BodyText"/>
        <w:spacing w:line="369" w:lineRule="auto" w:before="163"/>
        <w:ind w:left="154" w:right="1131" w:firstLine="44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日，公司第五届董事会第二十八次会议审议通过《关于</w:t>
      </w:r>
      <w:r>
        <w:rPr>
          <w:rFonts w:ascii="Times New Roman" w:hAnsi="Times New Roman" w:cs="Times New Roman" w:eastAsia="Times New Roman" w:hint="default"/>
        </w:rPr>
        <w:t>2010</w:t>
      </w:r>
      <w:r>
        <w:rPr/>
        <w:t>年股票期权激励计划终</w:t>
      </w:r>
      <w:r>
        <w:rPr>
          <w:w w:val="99"/>
        </w:rPr>
        <w:t> </w:t>
      </w:r>
      <w:r>
        <w:rPr>
          <w:spacing w:val="-3"/>
        </w:rPr>
        <w:t>止及注销事项的议案》，依据公司股票期权激励计划相关安排，公司对授予的</w:t>
      </w:r>
      <w:r>
        <w:rPr>
          <w:rFonts w:ascii="Times New Roman" w:hAnsi="Times New Roman" w:cs="Times New Roman" w:eastAsia="Times New Roman" w:hint="default"/>
          <w:spacing w:val="-3"/>
        </w:rPr>
        <w:t>8,469</w:t>
      </w:r>
      <w:r>
        <w:rPr>
          <w:spacing w:val="-3"/>
        </w:rPr>
        <w:t>万份股票期权全部</w:t>
      </w:r>
      <w:r>
        <w:rPr>
          <w:spacing w:val="-79"/>
        </w:rPr>
        <w:t> </w:t>
      </w:r>
      <w:r>
        <w:rPr/>
        <w:t>注销，公司股票期权激励计划终止。并于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日完成</w:t>
      </w:r>
      <w:r>
        <w:rPr>
          <w:rFonts w:ascii="Times New Roman" w:hAnsi="Times New Roman" w:cs="Times New Roman" w:eastAsia="Times New Roman" w:hint="default"/>
        </w:rPr>
        <w:t>8,469</w:t>
      </w:r>
      <w:r>
        <w:rPr/>
        <w:t>万份股票期权注销手续。</w:t>
      </w:r>
    </w:p>
    <w:p>
      <w:pPr>
        <w:spacing w:line="369" w:lineRule="auto" w:before="32"/>
        <w:ind w:left="594" w:right="1082" w:firstLine="1"/>
        <w:jc w:val="left"/>
        <w:rPr>
          <w:rFonts w:ascii="宋体" w:hAnsi="宋体" w:cs="宋体" w:eastAsia="宋体" w:hint="default"/>
          <w:sz w:val="22"/>
          <w:szCs w:val="22"/>
        </w:rPr>
      </w:pPr>
      <w:r>
        <w:rPr>
          <w:rFonts w:ascii="宋体" w:hAnsi="宋体" w:cs="宋体" w:eastAsia="宋体" w:hint="default"/>
          <w:b/>
          <w:bCs/>
          <w:sz w:val="22"/>
          <w:szCs w:val="22"/>
        </w:rPr>
        <w:t>（二）</w:t>
      </w:r>
      <w:r>
        <w:rPr>
          <w:rFonts w:ascii="Times New Roman" w:hAnsi="Times New Roman" w:cs="Times New Roman" w:eastAsia="Times New Roman" w:hint="default"/>
          <w:b/>
          <w:bCs/>
          <w:sz w:val="22"/>
          <w:szCs w:val="22"/>
        </w:rPr>
        <w:t>2014</w:t>
      </w:r>
      <w:r>
        <w:rPr>
          <w:rFonts w:ascii="宋体" w:hAnsi="宋体" w:cs="宋体" w:eastAsia="宋体" w:hint="default"/>
          <w:b/>
          <w:bCs/>
          <w:sz w:val="22"/>
          <w:szCs w:val="22"/>
        </w:rPr>
        <w:t>年员工持股计划</w:t>
      </w:r>
      <w:r>
        <w:rPr>
          <w:rFonts w:ascii="宋体" w:hAnsi="宋体" w:cs="宋体" w:eastAsia="宋体" w:hint="default"/>
          <w:b/>
          <w:bCs/>
          <w:spacing w:val="1"/>
          <w:w w:val="99"/>
          <w:sz w:val="22"/>
          <w:szCs w:val="22"/>
        </w:rPr>
        <w:t> </w:t>
      </w:r>
      <w:r>
        <w:rPr>
          <w:rFonts w:ascii="宋体" w:hAnsi="宋体" w:cs="宋体" w:eastAsia="宋体" w:hint="default"/>
          <w:spacing w:val="-1"/>
          <w:w w:val="95"/>
          <w:sz w:val="22"/>
          <w:szCs w:val="22"/>
        </w:rPr>
        <w:t>经公司第五届董事会第十一次会议审议，</w:t>
      </w:r>
      <w:r>
        <w:rPr>
          <w:rFonts w:ascii="Times New Roman" w:hAnsi="Times New Roman" w:cs="Times New Roman" w:eastAsia="Times New Roman" w:hint="default"/>
          <w:spacing w:val="-1"/>
          <w:w w:val="95"/>
          <w:sz w:val="22"/>
          <w:szCs w:val="22"/>
        </w:rPr>
        <w:t>2014</w:t>
      </w:r>
      <w:r>
        <w:rPr>
          <w:rFonts w:ascii="宋体" w:hAnsi="宋体" w:cs="宋体" w:eastAsia="宋体" w:hint="default"/>
          <w:spacing w:val="-1"/>
          <w:w w:val="95"/>
          <w:sz w:val="22"/>
          <w:szCs w:val="22"/>
        </w:rPr>
        <w:t>年第二次临时股东大会决议通过《苏宁云商集团股</w:t>
      </w:r>
      <w:r>
        <w:rPr>
          <w:rFonts w:ascii="宋体" w:hAnsi="宋体" w:cs="宋体" w:eastAsia="宋体" w:hint="default"/>
          <w:spacing w:val="-1"/>
          <w:sz w:val="22"/>
          <w:szCs w:val="22"/>
        </w:rPr>
      </w:r>
    </w:p>
    <w:p>
      <w:pPr>
        <w:pStyle w:val="BodyText"/>
        <w:spacing w:line="369" w:lineRule="auto" w:before="32"/>
        <w:ind w:left="154" w:right="1120"/>
        <w:jc w:val="left"/>
      </w:pPr>
      <w:r>
        <w:rPr>
          <w:spacing w:val="-1"/>
        </w:rPr>
        <w:t>份有限公司</w:t>
      </w:r>
      <w:r>
        <w:rPr>
          <w:rFonts w:ascii="Times New Roman" w:hAnsi="Times New Roman" w:cs="Times New Roman" w:eastAsia="Times New Roman" w:hint="default"/>
          <w:spacing w:val="-1"/>
        </w:rPr>
        <w:t>2014</w:t>
      </w:r>
      <w:r>
        <w:rPr>
          <w:spacing w:val="-1"/>
        </w:rPr>
        <w:t>年员工持股计划（草案）》及其相关议案。公司</w:t>
      </w:r>
      <w:r>
        <w:rPr>
          <w:rFonts w:ascii="Times New Roman" w:hAnsi="Times New Roman" w:cs="Times New Roman" w:eastAsia="Times New Roman" w:hint="default"/>
          <w:spacing w:val="-1"/>
        </w:rPr>
        <w:t>2014</w:t>
      </w:r>
      <w:r>
        <w:rPr>
          <w:spacing w:val="-1"/>
        </w:rPr>
        <w:t>年员工持股计划实施情况内容如</w:t>
      </w:r>
      <w:r>
        <w:rPr>
          <w:w w:val="99"/>
        </w:rPr>
        <w:t> </w:t>
      </w:r>
      <w:r>
        <w:rPr/>
        <w:t>下：</w:t>
      </w:r>
    </w:p>
    <w:p>
      <w:pPr>
        <w:pStyle w:val="BodyText"/>
        <w:spacing w:line="369" w:lineRule="auto" w:before="61"/>
        <w:ind w:left="594" w:right="1082"/>
        <w:jc w:val="left"/>
      </w:pPr>
      <w:r>
        <w:rPr>
          <w:rFonts w:ascii="Times New Roman" w:hAnsi="Times New Roman" w:cs="Times New Roman" w:eastAsia="Times New Roman" w:hint="default"/>
        </w:rPr>
        <w:t>1</w:t>
      </w:r>
      <w:r>
        <w:rPr/>
        <w:t>、报告期内持股员工的范围</w:t>
      </w:r>
      <w:r>
        <w:rPr>
          <w:w w:val="99"/>
        </w:rPr>
        <w:t> </w:t>
      </w:r>
      <w:r>
        <w:rPr>
          <w:w w:val="95"/>
        </w:rPr>
        <w:t>本次员工持股计划的参加对象及确定标准为符合以下条件之一的公司员工：</w:t>
      </w:r>
      <w:r>
        <w:rPr/>
      </w:r>
    </w:p>
    <w:p>
      <w:pPr>
        <w:pStyle w:val="BodyText"/>
        <w:spacing w:line="240" w:lineRule="auto" w:before="61"/>
        <w:ind w:left="594" w:right="1082"/>
        <w:jc w:val="left"/>
      </w:pPr>
      <w:r>
        <w:rPr/>
        <w:t>（</w:t>
      </w:r>
      <w:r>
        <w:rPr>
          <w:rFonts w:ascii="Times New Roman" w:hAnsi="Times New Roman" w:cs="Times New Roman" w:eastAsia="Times New Roman" w:hint="default"/>
        </w:rPr>
        <w:t>1</w:t>
      </w:r>
      <w:r>
        <w:rPr/>
        <w:t>）公司董事、监事和高级管理人员；</w:t>
      </w:r>
    </w:p>
    <w:p>
      <w:pPr>
        <w:pStyle w:val="BodyText"/>
        <w:spacing w:line="240" w:lineRule="auto" w:before="163"/>
        <w:ind w:left="594" w:right="1082"/>
        <w:jc w:val="left"/>
      </w:pPr>
      <w:r>
        <w:rPr/>
        <w:t>（</w:t>
      </w:r>
      <w:r>
        <w:rPr>
          <w:rFonts w:ascii="Times New Roman" w:hAnsi="Times New Roman" w:cs="Times New Roman" w:eastAsia="Times New Roman" w:hint="default"/>
        </w:rPr>
        <w:t>2</w:t>
      </w:r>
      <w:r>
        <w:rPr/>
        <w:t>）公司正经理级部门负责人及以上岗位人员；</w:t>
      </w:r>
    </w:p>
    <w:p>
      <w:pPr>
        <w:pStyle w:val="BodyText"/>
        <w:spacing w:line="240" w:lineRule="auto" w:before="163"/>
        <w:ind w:left="594" w:right="1082"/>
        <w:jc w:val="left"/>
      </w:pPr>
      <w:r>
        <w:rPr/>
        <w:t>（</w:t>
      </w:r>
      <w:r>
        <w:rPr>
          <w:rFonts w:ascii="Times New Roman" w:hAnsi="Times New Roman" w:cs="Times New Roman" w:eastAsia="Times New Roman" w:hint="default"/>
        </w:rPr>
        <w:t>3</w:t>
      </w:r>
      <w:r>
        <w:rPr/>
        <w:t>）公司正经理级及以上店长人员；</w:t>
      </w:r>
    </w:p>
    <w:p>
      <w:pPr>
        <w:pStyle w:val="BodyText"/>
        <w:spacing w:line="240" w:lineRule="auto" w:before="163"/>
        <w:ind w:left="594" w:right="1082"/>
        <w:jc w:val="left"/>
      </w:pPr>
      <w:r>
        <w:rPr/>
        <w:t>（</w:t>
      </w:r>
      <w:r>
        <w:rPr>
          <w:rFonts w:ascii="Times New Roman" w:hAnsi="Times New Roman" w:cs="Times New Roman" w:eastAsia="Times New Roman" w:hint="default"/>
        </w:rPr>
        <w:t>4</w:t>
      </w:r>
      <w:r>
        <w:rPr/>
        <w:t>）公司正经理级及以上信息技术员工；</w:t>
      </w:r>
    </w:p>
    <w:p>
      <w:pPr>
        <w:pStyle w:val="BodyText"/>
        <w:spacing w:line="376" w:lineRule="auto" w:before="164"/>
        <w:ind w:left="594" w:right="1082"/>
        <w:jc w:val="left"/>
      </w:pPr>
      <w:r>
        <w:rPr/>
        <w:t>（</w:t>
      </w:r>
      <w:r>
        <w:rPr>
          <w:rFonts w:ascii="Times New Roman" w:hAnsi="Times New Roman" w:cs="Times New Roman" w:eastAsia="Times New Roman" w:hint="default"/>
        </w:rPr>
        <w:t>5</w:t>
      </w:r>
      <w:r>
        <w:rPr/>
        <w:t>）公司认可的有特殊贡献的其他员工。</w:t>
      </w:r>
      <w:r>
        <w:rPr>
          <w:w w:val="99"/>
        </w:rPr>
        <w:t> </w:t>
      </w:r>
      <w:r>
        <w:rPr/>
        <w:t>符合条件的员工按照依法合规、自愿参与、风险自担的原则参加本员工持股计划。</w:t>
      </w:r>
      <w:r>
        <w:rPr>
          <w:w w:val="99"/>
        </w:rPr>
        <w:t> </w:t>
      </w:r>
      <w:r>
        <w:rPr>
          <w:rFonts w:ascii="Times New Roman" w:hAnsi="Times New Roman" w:cs="Times New Roman" w:eastAsia="Times New Roman" w:hint="default"/>
        </w:rPr>
        <w:t>2</w:t>
      </w:r>
      <w:r>
        <w:rPr/>
        <w:t>、实施员工持股计划的资金来源</w:t>
      </w:r>
      <w:r>
        <w:rPr>
          <w:w w:val="99"/>
        </w:rPr>
        <w:t> </w:t>
      </w:r>
      <w:r>
        <w:rPr>
          <w:spacing w:val="-2"/>
        </w:rPr>
        <w:t>本次员工持股计划的资金来源为公司员工的合法薪酬和通过法律、行政法规允许的其他方式取得</w:t>
      </w:r>
    </w:p>
    <w:p>
      <w:pPr>
        <w:pStyle w:val="BodyText"/>
        <w:spacing w:line="240" w:lineRule="auto" w:before="54"/>
        <w:ind w:right="1082"/>
        <w:jc w:val="left"/>
      </w:pPr>
      <w:r>
        <w:rPr/>
        <w:t>的资金，具体包括：</w:t>
      </w:r>
    </w:p>
    <w:p>
      <w:pPr>
        <w:pStyle w:val="BodyText"/>
        <w:spacing w:line="240" w:lineRule="auto" w:before="180"/>
        <w:ind w:left="594" w:right="1082"/>
        <w:jc w:val="left"/>
      </w:pPr>
      <w:r>
        <w:rPr/>
        <w:t>（</w:t>
      </w:r>
      <w:r>
        <w:rPr>
          <w:rFonts w:ascii="Times New Roman" w:hAnsi="Times New Roman" w:cs="Times New Roman" w:eastAsia="Times New Roman" w:hint="default"/>
        </w:rPr>
        <w:t>1</w:t>
      </w:r>
      <w:r>
        <w:rPr/>
        <w:t>）公司员工的自筹资金；</w:t>
      </w:r>
    </w:p>
    <w:p>
      <w:pPr>
        <w:pStyle w:val="BodyText"/>
        <w:spacing w:line="369" w:lineRule="auto" w:before="163"/>
        <w:ind w:right="1082" w:firstLine="440"/>
        <w:jc w:val="left"/>
      </w:pPr>
      <w:r>
        <w:rPr>
          <w:w w:val="95"/>
        </w:rPr>
        <w:t>（</w:t>
      </w:r>
      <w:r>
        <w:rPr>
          <w:rFonts w:ascii="Times New Roman" w:hAnsi="Times New Roman" w:cs="Times New Roman" w:eastAsia="Times New Roman" w:hint="default"/>
          <w:w w:val="95"/>
        </w:rPr>
        <w:t>2</w:t>
      </w:r>
      <w:r>
        <w:rPr>
          <w:w w:val="95"/>
        </w:rPr>
        <w:t>）公司控股股东张近东先生拟以其持有的部分标的股票向安信证券申请质押融资取得资金，</w:t>
      </w:r>
      <w:r>
        <w:rPr>
          <w:w w:val="99"/>
        </w:rPr>
        <w:t> </w:t>
      </w:r>
      <w:r>
        <w:rPr/>
        <w:t>向员工持股计划提供借款支持，借款部分与自筹资金部分的比例为</w:t>
      </w:r>
      <w:r>
        <w:rPr>
          <w:rFonts w:ascii="Times New Roman" w:hAnsi="Times New Roman" w:cs="Times New Roman" w:eastAsia="Times New Roman" w:hint="default"/>
        </w:rPr>
        <w:t>3:1</w:t>
      </w:r>
      <w:r>
        <w:rPr/>
        <w:t>；</w:t>
      </w:r>
    </w:p>
    <w:p>
      <w:pPr>
        <w:pStyle w:val="BodyText"/>
        <w:spacing w:line="240" w:lineRule="auto" w:before="32"/>
        <w:ind w:left="594" w:right="1082"/>
        <w:jc w:val="left"/>
      </w:pPr>
      <w:r>
        <w:rPr/>
        <w:t>本次员工持股计划的资金总额为</w:t>
      </w:r>
      <w:r>
        <w:rPr>
          <w:rFonts w:ascii="Times New Roman" w:hAnsi="Times New Roman" w:cs="Times New Roman" w:eastAsia="Times New Roman" w:hint="default"/>
        </w:rPr>
        <w:t>52,760.15</w:t>
      </w:r>
      <w:r>
        <w:rPr/>
        <w:t>万元（含自筹资金、借款及银行利息）。</w:t>
      </w:r>
    </w:p>
    <w:p>
      <w:pPr>
        <w:pStyle w:val="BodyText"/>
        <w:spacing w:line="240" w:lineRule="auto" w:before="163"/>
        <w:ind w:left="594" w:right="1082"/>
        <w:jc w:val="left"/>
      </w:pPr>
      <w:r>
        <w:rPr>
          <w:rFonts w:ascii="Times New Roman" w:hAnsi="Times New Roman" w:cs="Times New Roman" w:eastAsia="Times New Roman" w:hint="default"/>
        </w:rPr>
        <w:t>3</w:t>
      </w:r>
      <w:r>
        <w:rPr/>
        <w:t>、员工持股计划持有的股票总额及占上市公司股本总额的比例</w:t>
      </w:r>
    </w:p>
    <w:p>
      <w:pPr>
        <w:pStyle w:val="BodyText"/>
        <w:spacing w:line="369" w:lineRule="auto" w:before="163"/>
        <w:ind w:right="1132" w:firstLine="44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月，员工持股计划的管理人安信证券股份有限公司通过二级市场买入的方式完成公司股</w:t>
      </w:r>
      <w:r>
        <w:rPr>
          <w:w w:val="99"/>
        </w:rPr>
        <w:t> </w:t>
      </w:r>
      <w:r>
        <w:rPr>
          <w:spacing w:val="-2"/>
        </w:rPr>
        <w:t>票购买，购买均价</w:t>
      </w:r>
      <w:r>
        <w:rPr>
          <w:rFonts w:ascii="Times New Roman" w:hAnsi="Times New Roman" w:cs="Times New Roman" w:eastAsia="Times New Roman" w:hint="default"/>
          <w:spacing w:val="-2"/>
        </w:rPr>
        <w:t>8.63</w:t>
      </w:r>
      <w:r>
        <w:rPr>
          <w:spacing w:val="-2"/>
        </w:rPr>
        <w:t>元</w:t>
      </w:r>
      <w:r>
        <w:rPr>
          <w:rFonts w:ascii="Times New Roman" w:hAnsi="Times New Roman" w:cs="Times New Roman" w:eastAsia="Times New Roman" w:hint="default"/>
          <w:spacing w:val="-2"/>
        </w:rPr>
        <w:t>/</w:t>
      </w:r>
      <w:r>
        <w:rPr>
          <w:spacing w:val="-2"/>
        </w:rPr>
        <w:t>股，购买数量</w:t>
      </w:r>
      <w:r>
        <w:rPr>
          <w:rFonts w:ascii="Times New Roman" w:hAnsi="Times New Roman" w:cs="Times New Roman" w:eastAsia="Times New Roman" w:hint="default"/>
          <w:spacing w:val="-2"/>
        </w:rPr>
        <w:t>61,056,374</w:t>
      </w:r>
      <w:r>
        <w:rPr>
          <w:spacing w:val="-2"/>
        </w:rPr>
        <w:t>股，占公司总股本的比例为</w:t>
      </w:r>
      <w:r>
        <w:rPr>
          <w:rFonts w:ascii="Times New Roman" w:hAnsi="Times New Roman" w:cs="Times New Roman" w:eastAsia="Times New Roman" w:hint="default"/>
          <w:spacing w:val="-2"/>
        </w:rPr>
        <w:t>0.83%</w:t>
      </w:r>
      <w:r>
        <w:rPr>
          <w:spacing w:val="-2"/>
        </w:rPr>
        <w:t>，该计划所购买的</w:t>
      </w:r>
      <w:r>
        <w:rPr>
          <w:spacing w:val="-82"/>
        </w:rPr>
        <w:t> </w:t>
      </w:r>
      <w:r>
        <w:rPr>
          <w:spacing w:val="-82"/>
        </w:rPr>
      </w:r>
      <w:r>
        <w:rPr/>
        <w:t>股票锁定期自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日起</w:t>
      </w:r>
      <w:r>
        <w:rPr>
          <w:rFonts w:ascii="Times New Roman" w:hAnsi="Times New Roman" w:cs="Times New Roman" w:eastAsia="Times New Roman" w:hint="default"/>
        </w:rPr>
        <w:t>12</w:t>
      </w:r>
      <w:r>
        <w:rPr/>
        <w:t>个月。</w:t>
      </w:r>
    </w:p>
    <w:p>
      <w:pPr>
        <w:pStyle w:val="BodyText"/>
        <w:spacing w:line="369" w:lineRule="auto" w:before="32"/>
        <w:ind w:left="594" w:right="1082"/>
        <w:jc w:val="left"/>
      </w:pPr>
      <w:r>
        <w:rPr>
          <w:rFonts w:ascii="Times New Roman" w:hAnsi="Times New Roman" w:cs="Times New Roman" w:eastAsia="Times New Roman" w:hint="default"/>
        </w:rPr>
        <w:t>4</w:t>
      </w:r>
      <w:r>
        <w:rPr/>
        <w:t>、因员工持股计划持有人处分权利引起的计划股份权益变动情况</w:t>
      </w:r>
      <w:r>
        <w:rPr>
          <w:w w:val="99"/>
        </w:rPr>
        <w:t> </w:t>
      </w:r>
      <w:r>
        <w:rPr>
          <w:spacing w:val="-1"/>
          <w:w w:val="95"/>
        </w:rPr>
        <w:t>依据《苏宁云商</w:t>
      </w:r>
      <w:r>
        <w:rPr>
          <w:rFonts w:ascii="Times New Roman" w:hAnsi="Times New Roman" w:cs="Times New Roman" w:eastAsia="Times New Roman" w:hint="default"/>
          <w:spacing w:val="-1"/>
          <w:w w:val="95"/>
        </w:rPr>
        <w:t>2014</w:t>
      </w:r>
      <w:r>
        <w:rPr>
          <w:spacing w:val="-1"/>
          <w:w w:val="95"/>
        </w:rPr>
        <w:t>年员工持股计划管理办法》规定，若持有人发生如下情形之一的，公司有权</w:t>
      </w:r>
      <w:r>
        <w:rPr>
          <w:spacing w:val="-1"/>
        </w:rPr>
      </w:r>
    </w:p>
    <w:p>
      <w:pPr>
        <w:spacing w:after="0" w:line="369" w:lineRule="auto"/>
        <w:jc w:val="left"/>
        <w:sectPr>
          <w:pgSz w:w="11910" w:h="16840"/>
          <w:pgMar w:header="877" w:footer="979" w:top="1100" w:bottom="1160" w:left="980" w:right="0"/>
        </w:sectPr>
      </w:pPr>
    </w:p>
    <w:p>
      <w:pPr>
        <w:spacing w:line="240" w:lineRule="auto" w:before="3"/>
        <w:rPr>
          <w:rFonts w:ascii="宋体" w:hAnsi="宋体" w:cs="宋体" w:eastAsia="宋体" w:hint="default"/>
          <w:sz w:val="26"/>
          <w:szCs w:val="26"/>
        </w:rPr>
      </w:pPr>
    </w:p>
    <w:p>
      <w:pPr>
        <w:pStyle w:val="BodyText"/>
        <w:spacing w:line="391" w:lineRule="auto" w:before="31"/>
        <w:ind w:right="1117"/>
        <w:jc w:val="left"/>
      </w:pPr>
      <w:r>
        <w:rPr>
          <w:spacing w:val="-1"/>
        </w:rPr>
        <w:t>取消该持有人参与本员工持股计划的资格，并将其持有的员工持股计划权益按照其自筹资金部分原始</w:t>
      </w:r>
      <w:r>
        <w:rPr>
          <w:w w:val="99"/>
        </w:rPr>
        <w:t> </w:t>
      </w:r>
      <w:r>
        <w:rPr/>
        <w:t>出资金额强制转让给管理委员会指定的具备参与本员工持股计划资格的受让人：</w:t>
      </w:r>
    </w:p>
    <w:p>
      <w:pPr>
        <w:pStyle w:val="BodyText"/>
        <w:spacing w:line="240" w:lineRule="auto" w:before="41"/>
        <w:ind w:left="594" w:right="1082"/>
        <w:jc w:val="left"/>
      </w:pPr>
      <w:r>
        <w:rPr/>
        <w:t>（</w:t>
      </w:r>
      <w:r>
        <w:rPr>
          <w:rFonts w:ascii="Times New Roman" w:hAnsi="Times New Roman" w:cs="Times New Roman" w:eastAsia="Times New Roman" w:hint="default"/>
        </w:rPr>
        <w:t>1</w:t>
      </w:r>
      <w:r>
        <w:rPr/>
        <w:t>）持有人辞职或擅自离职的；</w:t>
      </w:r>
    </w:p>
    <w:p>
      <w:pPr>
        <w:pStyle w:val="BodyText"/>
        <w:spacing w:line="240" w:lineRule="auto" w:before="164"/>
        <w:ind w:left="594" w:right="1082"/>
        <w:jc w:val="left"/>
      </w:pPr>
      <w:r>
        <w:rPr/>
        <w:t>（</w:t>
      </w:r>
      <w:r>
        <w:rPr>
          <w:rFonts w:ascii="Times New Roman" w:hAnsi="Times New Roman" w:cs="Times New Roman" w:eastAsia="Times New Roman" w:hint="default"/>
        </w:rPr>
        <w:t>2</w:t>
      </w:r>
      <w:r>
        <w:rPr/>
        <w:t>）持有人在劳动合同到期后拒绝与公司或控股子公司续签劳动合同的；</w:t>
      </w:r>
    </w:p>
    <w:p>
      <w:pPr>
        <w:pStyle w:val="BodyText"/>
        <w:spacing w:line="240" w:lineRule="auto" w:before="163"/>
        <w:ind w:left="594" w:right="1082"/>
        <w:jc w:val="left"/>
      </w:pPr>
      <w:r>
        <w:rPr/>
        <w:t>（</w:t>
      </w:r>
      <w:r>
        <w:rPr>
          <w:rFonts w:ascii="Times New Roman" w:hAnsi="Times New Roman" w:cs="Times New Roman" w:eastAsia="Times New Roman" w:hint="default"/>
        </w:rPr>
        <w:t>3</w:t>
      </w:r>
      <w:r>
        <w:rPr/>
        <w:t>）持有人劳动合同到期后，公司或控股子公司不与其续签劳动合同的；</w:t>
      </w:r>
    </w:p>
    <w:p>
      <w:pPr>
        <w:pStyle w:val="BodyText"/>
        <w:spacing w:line="240" w:lineRule="auto" w:before="163"/>
        <w:ind w:left="594" w:right="1082"/>
        <w:jc w:val="left"/>
      </w:pPr>
      <w:r>
        <w:rPr/>
        <w:t>（</w:t>
      </w:r>
      <w:r>
        <w:rPr>
          <w:rFonts w:ascii="Times New Roman" w:hAnsi="Times New Roman" w:cs="Times New Roman" w:eastAsia="Times New Roman" w:hint="default"/>
        </w:rPr>
        <w:t>4</w:t>
      </w:r>
      <w:r>
        <w:rPr/>
        <w:t>）持有人因违反法律、行政法规或公司规章制度而被公司或控股子公司解除劳动合同的；</w:t>
      </w:r>
    </w:p>
    <w:p>
      <w:pPr>
        <w:pStyle w:val="BodyText"/>
        <w:spacing w:line="240" w:lineRule="auto" w:before="163"/>
        <w:ind w:left="594" w:right="1082"/>
        <w:jc w:val="left"/>
      </w:pPr>
      <w:r>
        <w:rPr/>
        <w:t>（</w:t>
      </w:r>
      <w:r>
        <w:rPr>
          <w:rFonts w:ascii="Times New Roman" w:hAnsi="Times New Roman" w:cs="Times New Roman" w:eastAsia="Times New Roman" w:hint="default"/>
        </w:rPr>
        <w:t>5</w:t>
      </w:r>
      <w:r>
        <w:rPr/>
        <w:t>）持有人出现重大过错或业绩考核不达标的；</w:t>
      </w:r>
    </w:p>
    <w:p>
      <w:pPr>
        <w:pStyle w:val="BodyText"/>
        <w:spacing w:line="369" w:lineRule="auto" w:before="163"/>
        <w:ind w:left="594" w:right="1132"/>
        <w:jc w:val="left"/>
      </w:pPr>
      <w:r>
        <w:rPr/>
        <w:t>（</w:t>
      </w:r>
      <w:r>
        <w:rPr>
          <w:rFonts w:ascii="Times New Roman" w:hAnsi="Times New Roman" w:cs="Times New Roman" w:eastAsia="Times New Roman" w:hint="default"/>
        </w:rPr>
        <w:t>6</w:t>
      </w:r>
      <w:r>
        <w:rPr/>
        <w:t>）持有人被降职、降级，导致其不符合参与本员工持股计划条件的。</w:t>
      </w:r>
      <w:r>
        <w:rPr>
          <w:w w:val="99"/>
        </w:rPr>
        <w:t> </w:t>
      </w:r>
      <w:r>
        <w:rPr/>
        <w:t>报告期内，符合上述情形公司员工</w:t>
      </w:r>
      <w:r>
        <w:rPr>
          <w:rFonts w:ascii="Times New Roman" w:hAnsi="Times New Roman" w:cs="Times New Roman" w:eastAsia="Times New Roman" w:hint="default"/>
        </w:rPr>
        <w:t>101</w:t>
      </w:r>
      <w:r>
        <w:rPr/>
        <w:t>人，涉及员工持股计划自筹份额</w:t>
      </w:r>
      <w:r>
        <w:rPr>
          <w:rFonts w:ascii="Times New Roman" w:hAnsi="Times New Roman" w:cs="Times New Roman" w:eastAsia="Times New Roman" w:hint="default"/>
        </w:rPr>
        <w:t>1141</w:t>
      </w:r>
      <w:r>
        <w:rPr/>
        <w:t>万份。</w:t>
      </w:r>
      <w:r>
        <w:rPr>
          <w:w w:val="99"/>
        </w:rPr>
        <w:t> </w:t>
      </w:r>
      <w:r>
        <w:rPr>
          <w:rFonts w:ascii="Times New Roman" w:hAnsi="Times New Roman" w:cs="Times New Roman" w:eastAsia="Times New Roman" w:hint="default"/>
        </w:rPr>
        <w:t>5</w:t>
      </w:r>
      <w:r>
        <w:rPr/>
        <w:t>、资产管理机构的变更情况</w:t>
      </w:r>
      <w:r>
        <w:rPr>
          <w:w w:val="99"/>
        </w:rPr>
        <w:t> </w:t>
      </w:r>
      <w:r>
        <w:rPr>
          <w:spacing w:val="2"/>
        </w:rPr>
        <w:t>公司选任安信证券股份有限公司作为本员工持股计划的管理机构，并与其签订了《安信</w:t>
      </w:r>
      <w:r>
        <w:rPr>
          <w:rFonts w:ascii="Times New Roman" w:hAnsi="Times New Roman" w:cs="Times New Roman" w:eastAsia="Times New Roman" w:hint="default"/>
          <w:spacing w:val="2"/>
        </w:rPr>
        <w:t>-</w:t>
      </w:r>
      <w:r>
        <w:rPr>
          <w:spacing w:val="2"/>
        </w:rPr>
        <w:t>苏宁众</w:t>
      </w:r>
    </w:p>
    <w:p>
      <w:pPr>
        <w:pStyle w:val="BodyText"/>
        <w:spacing w:line="240" w:lineRule="auto" w:before="32"/>
        <w:ind w:right="1082"/>
        <w:jc w:val="left"/>
      </w:pPr>
      <w:r>
        <w:rPr/>
        <w:t>承定向资产管理计划管理合同》。报告期内，本次员工持股计划管理机构未发生变更。</w:t>
      </w:r>
    </w:p>
    <w:p>
      <w:pPr>
        <w:spacing w:line="391" w:lineRule="auto" w:before="180"/>
        <w:ind w:left="594" w:right="1168" w:firstLine="1"/>
        <w:jc w:val="left"/>
        <w:rPr>
          <w:rFonts w:ascii="宋体" w:hAnsi="宋体" w:cs="宋体" w:eastAsia="宋体" w:hint="default"/>
          <w:sz w:val="22"/>
          <w:szCs w:val="22"/>
        </w:rPr>
      </w:pPr>
      <w:r>
        <w:rPr>
          <w:rFonts w:ascii="宋体" w:hAnsi="宋体" w:cs="宋体" w:eastAsia="宋体" w:hint="default"/>
          <w:b/>
          <w:bCs/>
          <w:sz w:val="22"/>
          <w:szCs w:val="22"/>
        </w:rPr>
        <w:t>（三）第二期员工持股计划</w:t>
      </w:r>
      <w:r>
        <w:rPr>
          <w:rFonts w:ascii="宋体" w:hAnsi="宋体" w:cs="宋体" w:eastAsia="宋体" w:hint="default"/>
          <w:b/>
          <w:bCs/>
          <w:spacing w:val="1"/>
          <w:w w:val="99"/>
          <w:sz w:val="22"/>
          <w:szCs w:val="22"/>
        </w:rPr>
        <w:t> </w:t>
      </w:r>
      <w:r>
        <w:rPr>
          <w:rFonts w:ascii="宋体" w:hAnsi="宋体" w:cs="宋体" w:eastAsia="宋体" w:hint="default"/>
          <w:sz w:val="22"/>
          <w:szCs w:val="22"/>
        </w:rPr>
        <w:t>公司第五届董事会第二十三次会议审议、</w:t>
      </w:r>
      <w:r>
        <w:rPr>
          <w:rFonts w:ascii="Times New Roman" w:hAnsi="Times New Roman" w:cs="Times New Roman" w:eastAsia="Times New Roman" w:hint="default"/>
          <w:sz w:val="22"/>
          <w:szCs w:val="22"/>
        </w:rPr>
        <w:t>2015</w:t>
      </w:r>
      <w:r>
        <w:rPr>
          <w:rFonts w:ascii="宋体" w:hAnsi="宋体" w:cs="宋体" w:eastAsia="宋体" w:hint="default"/>
          <w:sz w:val="22"/>
          <w:szCs w:val="22"/>
        </w:rPr>
        <w:t>年第三次临时股东大会决议通过《关于修订</w:t>
      </w:r>
      <w:r>
        <w:rPr>
          <w:rFonts w:ascii="Times New Roman" w:hAnsi="Times New Roman" w:cs="Times New Roman" w:eastAsia="Times New Roman" w:hint="default"/>
          <w:sz w:val="22"/>
          <w:szCs w:val="22"/>
        </w:rPr>
        <w:t>&lt;</w:t>
      </w:r>
      <w:r>
        <w:rPr>
          <w:rFonts w:ascii="宋体" w:hAnsi="宋体" w:cs="宋体" w:eastAsia="宋体" w:hint="default"/>
          <w:sz w:val="22"/>
          <w:szCs w:val="22"/>
        </w:rPr>
        <w:t>苏宁</w:t>
      </w:r>
    </w:p>
    <w:p>
      <w:pPr>
        <w:pStyle w:val="BodyText"/>
        <w:spacing w:line="369" w:lineRule="auto" w:before="10"/>
        <w:ind w:right="1082"/>
        <w:jc w:val="left"/>
      </w:pPr>
      <w:r>
        <w:rPr>
          <w:spacing w:val="-4"/>
        </w:rPr>
        <w:t>云商集团股份有限公司第二期员工持股计划（草案）的议案</w:t>
      </w:r>
      <w:r>
        <w:rPr>
          <w:rFonts w:ascii="Times New Roman" w:hAnsi="Times New Roman" w:cs="Times New Roman" w:eastAsia="Times New Roman" w:hint="default"/>
          <w:spacing w:val="-4"/>
        </w:rPr>
        <w:t>&gt;</w:t>
      </w:r>
      <w:r>
        <w:rPr>
          <w:spacing w:val="-4"/>
        </w:rPr>
        <w:t>》及其相关议案，具体内容详见公司</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47"/>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日《第二期员工持股计划（草案修订稿）（认购非公开发行股票方式）》公告。</w:t>
      </w:r>
    </w:p>
    <w:p>
      <w:pPr>
        <w:pStyle w:val="BodyText"/>
        <w:spacing w:line="369" w:lineRule="auto" w:before="32"/>
        <w:ind w:left="154" w:right="1116" w:firstLine="440"/>
        <w:jc w:val="left"/>
      </w:pPr>
      <w:r>
        <w:rPr>
          <w:spacing w:val="-1"/>
        </w:rPr>
        <w:t>公司第二期员工持股计划参与认购</w:t>
      </w:r>
      <w:r>
        <w:rPr>
          <w:rFonts w:ascii="Times New Roman" w:hAnsi="Times New Roman" w:cs="Times New Roman" w:eastAsia="Times New Roman" w:hint="default"/>
          <w:spacing w:val="-1"/>
        </w:rPr>
        <w:t>2015</w:t>
      </w:r>
      <w:r>
        <w:rPr>
          <w:spacing w:val="-1"/>
        </w:rPr>
        <w:t>年非公开发行股份，截至本报告披露日，本次非公开发行</w:t>
      </w:r>
      <w:r>
        <w:rPr>
          <w:w w:val="99"/>
        </w:rPr>
        <w:t> </w:t>
      </w:r>
      <w:r>
        <w:rPr/>
        <w:t>股份尚未实施。</w:t>
      </w:r>
    </w:p>
    <w:p>
      <w:pPr>
        <w:spacing w:line="240" w:lineRule="auto" w:before="8"/>
        <w:rPr>
          <w:rFonts w:ascii="宋体" w:hAnsi="宋体" w:cs="宋体" w:eastAsia="宋体" w:hint="default"/>
          <w:sz w:val="20"/>
          <w:szCs w:val="20"/>
        </w:rPr>
      </w:pPr>
    </w:p>
    <w:p>
      <w:pPr>
        <w:pStyle w:val="Heading2"/>
        <w:spacing w:line="240" w:lineRule="auto"/>
        <w:ind w:left="154" w:right="1082"/>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left="154" w:right="1116" w:firstLine="440"/>
        <w:jc w:val="left"/>
      </w:pPr>
      <w:r>
        <w:rPr>
          <w:spacing w:val="-2"/>
          <w:w w:val="99"/>
        </w:rPr>
        <w:t>报告期内，公司与关联方发生交易事项，按照深交所上市规则、《关联交易决策制度》等制度规</w:t>
      </w:r>
      <w:r>
        <w:rPr>
          <w:w w:val="99"/>
        </w:rPr>
        <w:t> </w:t>
      </w:r>
      <w:r>
        <w:rPr>
          <w:spacing w:val="-1"/>
        </w:rPr>
        <w:t>范履行关联交易审批程序，关联交易定价公允，不存在损害上市公司利益及公司股东利益的情形。公</w:t>
      </w:r>
    </w:p>
    <w:p>
      <w:pPr>
        <w:pStyle w:val="BodyText"/>
        <w:spacing w:line="369" w:lineRule="auto" w:before="41"/>
        <w:ind w:right="0"/>
        <w:jc w:val="left"/>
      </w:pPr>
      <w:r>
        <w:rPr>
          <w:w w:val="99"/>
        </w:rPr>
        <w:t>司</w:t>
      </w:r>
      <w:r>
        <w:rPr>
          <w:spacing w:val="-51"/>
          <w:w w:val="99"/>
        </w:rPr>
        <w:t> </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5"/>
          <w:w w:val="99"/>
        </w:rPr>
        <w:t> </w:t>
      </w:r>
      <w:r>
        <w:rPr>
          <w:spacing w:val="-3"/>
          <w:w w:val="99"/>
        </w:rPr>
        <w:t>年度关联交易具体情况参见第五届董事会第二十九次会议决议公告附件《</w:t>
      </w:r>
      <w:r>
        <w:rPr>
          <w:rFonts w:ascii="Times New Roman" w:hAnsi="Times New Roman" w:cs="Times New Roman" w:eastAsia="Times New Roman" w:hint="default"/>
          <w:spacing w:val="-3"/>
          <w:w w:val="99"/>
        </w:rPr>
        <w:t>2015</w:t>
      </w:r>
      <w:r>
        <w:rPr>
          <w:rFonts w:ascii="Times New Roman" w:hAnsi="Times New Roman" w:cs="Times New Roman" w:eastAsia="Times New Roman" w:hint="default"/>
          <w:spacing w:val="4"/>
          <w:w w:val="99"/>
        </w:rPr>
        <w:t> </w:t>
      </w:r>
      <w:r>
        <w:rPr>
          <w:spacing w:val="-14"/>
          <w:w w:val="99"/>
        </w:rPr>
        <w:t>年度关联交易》，</w:t>
      </w:r>
      <w:r>
        <w:rPr>
          <w:w w:val="99"/>
        </w:rPr>
        <w:t> </w:t>
      </w:r>
      <w:r>
        <w:rPr/>
        <w:t>报告期内，公司重大关联交易（董事会、股东大会审议）事项如下：</w:t>
      </w:r>
    </w:p>
    <w:p>
      <w:pPr>
        <w:spacing w:after="0" w:line="369" w:lineRule="auto"/>
        <w:jc w:val="left"/>
        <w:sectPr>
          <w:pgSz w:w="11910" w:h="16840"/>
          <w:pgMar w:header="877" w:footer="979" w:top="1100" w:bottom="1160" w:left="980" w:right="0"/>
        </w:sectPr>
      </w:pPr>
    </w:p>
    <w:p>
      <w:pPr>
        <w:spacing w:line="240" w:lineRule="auto" w:before="12"/>
        <w:rPr>
          <w:rFonts w:ascii="宋体" w:hAnsi="宋体" w:cs="宋体" w:eastAsia="宋体" w:hint="default"/>
          <w:sz w:val="2"/>
          <w:szCs w:val="2"/>
        </w:rPr>
      </w:pPr>
      <w:r>
        <w:rPr/>
        <w:pict>
          <v:group style="position:absolute;margin-left:284.959991pt;margin-top:248.440002pt;width:56.3pt;height:227.8pt;mso-position-horizontal-relative:page;mso-position-vertical-relative:page;z-index:-1832032" coordorigin="5699,4969" coordsize="1126,4556">
            <v:shape style="position:absolute;left:5699;top:4969;width:1126;height:4556" coordorigin="5699,4969" coordsize="1126,4556" path="m5699,9524l6825,9524,6825,4969,5699,4969,5699,9524xe" filled="true" fillcolor="#ffffff" stroked="false">
              <v:path arrowok="t"/>
              <v:fill type="solid"/>
            </v:shape>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9"/>
          <w:szCs w:val="19"/>
        </w:rPr>
      </w:pPr>
    </w:p>
    <w:p>
      <w:pPr>
        <w:pStyle w:val="Heading4"/>
        <w:spacing w:line="240" w:lineRule="auto" w:before="31"/>
        <w:ind w:left="140" w:right="1276"/>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2"/>
          <w:szCs w:val="22"/>
        </w:rPr>
      </w:pPr>
    </w:p>
    <w:p>
      <w:pPr>
        <w:pStyle w:val="Heading4"/>
        <w:spacing w:line="240" w:lineRule="auto"/>
        <w:ind w:left="140" w:right="1276"/>
        <w:jc w:val="left"/>
        <w:rPr>
          <w:b w:val="0"/>
          <w:bCs w:val="0"/>
        </w:rPr>
      </w:pPr>
      <w:r>
        <w:rPr/>
        <w:t>（</w:t>
      </w:r>
      <w:r>
        <w:rPr>
          <w:rFonts w:ascii="Times New Roman" w:hAnsi="Times New Roman" w:cs="Times New Roman" w:eastAsia="Times New Roman" w:hint="default"/>
        </w:rPr>
        <w:t>1</w:t>
      </w:r>
      <w:r>
        <w:rPr/>
        <w:t>）接受劳务服务</w:t>
      </w:r>
      <w:r>
        <w:rPr>
          <w:b w:val="0"/>
          <w:bCs w:val="0"/>
        </w:rPr>
      </w:r>
    </w:p>
    <w:p>
      <w:pPr>
        <w:spacing w:line="240" w:lineRule="auto" w:before="5"/>
        <w:rPr>
          <w:rFonts w:ascii="宋体" w:hAnsi="宋体" w:cs="宋体" w:eastAsia="宋体" w:hint="default"/>
          <w:b/>
          <w:bCs/>
          <w:sz w:val="12"/>
          <w:szCs w:val="12"/>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008"/>
        <w:gridCol w:w="1012"/>
        <w:gridCol w:w="844"/>
        <w:gridCol w:w="1418"/>
        <w:gridCol w:w="1135"/>
        <w:gridCol w:w="1135"/>
        <w:gridCol w:w="855"/>
        <w:gridCol w:w="845"/>
        <w:gridCol w:w="880"/>
        <w:gridCol w:w="1015"/>
        <w:gridCol w:w="1370"/>
        <w:gridCol w:w="850"/>
        <w:gridCol w:w="818"/>
        <w:gridCol w:w="830"/>
      </w:tblGrid>
      <w:tr>
        <w:trPr>
          <w:trHeight w:val="710" w:hRule="exact"/>
        </w:trPr>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36" w:right="5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91" w:right="113"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471" w:right="113"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62" w:right="60"/>
              <w:jc w:val="left"/>
              <w:rPr>
                <w:rFonts w:ascii="宋体" w:hAnsi="宋体" w:cs="宋体" w:eastAsia="宋体" w:hint="default"/>
                <w:sz w:val="18"/>
                <w:szCs w:val="18"/>
              </w:rPr>
            </w:pPr>
            <w:r>
              <w:rPr>
                <w:rFonts w:ascii="宋体" w:hAnsi="宋体" w:cs="宋体" w:eastAsia="宋体" w:hint="default"/>
                <w:sz w:val="18"/>
                <w:szCs w:val="18"/>
              </w:rPr>
              <w:t>关联交易 支付金额</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6"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4"/>
              <w:ind w:left="236" w:right="56" w:hanging="180"/>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64" w:right="73"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31" w:right="53" w:hanging="180"/>
              <w:jc w:val="left"/>
              <w:rPr>
                <w:rFonts w:ascii="宋体" w:hAnsi="宋体" w:cs="宋体" w:eastAsia="宋体" w:hint="default"/>
                <w:sz w:val="18"/>
                <w:szCs w:val="18"/>
              </w:rPr>
            </w:pPr>
            <w:r>
              <w:rPr>
                <w:rFonts w:ascii="宋体" w:hAnsi="宋体" w:cs="宋体" w:eastAsia="宋体" w:hint="default"/>
                <w:sz w:val="18"/>
                <w:szCs w:val="18"/>
              </w:rPr>
              <w:t>是否超过获 批额度</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590" w:right="48" w:hanging="540"/>
              <w:jc w:val="left"/>
              <w:rPr>
                <w:rFonts w:ascii="宋体" w:hAnsi="宋体" w:cs="宋体" w:eastAsia="宋体" w:hint="default"/>
                <w:sz w:val="18"/>
                <w:szCs w:val="18"/>
              </w:rPr>
            </w:pPr>
            <w:r>
              <w:rPr>
                <w:rFonts w:ascii="宋体" w:hAnsi="宋体" w:cs="宋体" w:eastAsia="宋体" w:hint="default"/>
                <w:sz w:val="18"/>
                <w:szCs w:val="18"/>
              </w:rPr>
              <w:t>关联交易结算方 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8" w:right="0"/>
              <w:jc w:val="left"/>
              <w:rPr>
                <w:rFonts w:ascii="宋体" w:hAnsi="宋体" w:cs="宋体" w:eastAsia="宋体" w:hint="default"/>
                <w:sz w:val="18"/>
                <w:szCs w:val="18"/>
              </w:rPr>
            </w:pPr>
            <w:r>
              <w:rPr>
                <w:rFonts w:ascii="宋体" w:hAnsi="宋体" w:cs="宋体" w:eastAsia="宋体" w:hint="default"/>
                <w:sz w:val="18"/>
                <w:szCs w:val="18"/>
              </w:rPr>
              <w:t>可获得的</w:t>
            </w:r>
          </w:p>
          <w:p>
            <w:pPr>
              <w:pStyle w:val="TableParagraph"/>
              <w:spacing w:line="232" w:lineRule="exact" w:before="24"/>
              <w:ind w:left="238" w:right="59" w:hanging="180"/>
              <w:jc w:val="left"/>
              <w:rPr>
                <w:rFonts w:ascii="宋体" w:hAnsi="宋体" w:cs="宋体" w:eastAsia="宋体" w:hint="default"/>
                <w:sz w:val="18"/>
                <w:szCs w:val="18"/>
              </w:rPr>
            </w:pPr>
            <w:r>
              <w:rPr>
                <w:rFonts w:ascii="宋体" w:hAnsi="宋体" w:cs="宋体" w:eastAsia="宋体" w:hint="default"/>
                <w:sz w:val="18"/>
                <w:szCs w:val="18"/>
              </w:rPr>
              <w:t>同类交易 市价</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966"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苏宁置业集</w:t>
            </w:r>
            <w:r>
              <w:rPr>
                <w:rFonts w:ascii="宋体" w:hAnsi="宋体" w:cs="宋体" w:eastAsia="宋体" w:hint="default"/>
                <w:sz w:val="18"/>
                <w:szCs w:val="18"/>
              </w:rPr>
            </w:r>
          </w:p>
          <w:p>
            <w:pPr>
              <w:pStyle w:val="TableParagraph"/>
              <w:spacing w:line="232" w:lineRule="exact" w:before="24"/>
              <w:ind w:left="22" w:right="7"/>
              <w:jc w:val="left"/>
              <w:rPr>
                <w:rFonts w:ascii="宋体" w:hAnsi="宋体" w:cs="宋体" w:eastAsia="宋体" w:hint="default"/>
                <w:sz w:val="18"/>
                <w:szCs w:val="18"/>
              </w:rPr>
            </w:pPr>
            <w:r>
              <w:rPr>
                <w:rFonts w:ascii="宋体" w:hAnsi="宋体" w:cs="宋体" w:eastAsia="宋体" w:hint="default"/>
                <w:spacing w:val="13"/>
                <w:sz w:val="18"/>
                <w:szCs w:val="18"/>
              </w:rPr>
              <w:t>团有限公司 </w:t>
            </w:r>
            <w:r>
              <w:rPr>
                <w:rFonts w:ascii="宋体" w:hAnsi="宋体" w:cs="宋体" w:eastAsia="宋体" w:hint="default"/>
                <w:sz w:val="18"/>
                <w:szCs w:val="18"/>
              </w:rPr>
              <w:t>及子公司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4"/>
                <w:sz w:val="18"/>
                <w:szCs w:val="18"/>
              </w:rPr>
              <w:t>公司实际控</w:t>
            </w:r>
            <w:r>
              <w:rPr>
                <w:rFonts w:ascii="宋体" w:hAnsi="宋体" w:cs="宋体" w:eastAsia="宋体" w:hint="default"/>
                <w:sz w:val="18"/>
                <w:szCs w:val="18"/>
              </w:rPr>
            </w:r>
          </w:p>
          <w:p>
            <w:pPr>
              <w:pStyle w:val="TableParagraph"/>
              <w:spacing w:line="232" w:lineRule="exact" w:before="24"/>
              <w:ind w:left="22" w:right="5"/>
              <w:jc w:val="left"/>
              <w:rPr>
                <w:rFonts w:ascii="宋体" w:hAnsi="宋体" w:cs="宋体" w:eastAsia="宋体" w:hint="default"/>
                <w:sz w:val="18"/>
                <w:szCs w:val="18"/>
              </w:rPr>
            </w:pPr>
            <w:r>
              <w:rPr>
                <w:rFonts w:ascii="宋体" w:hAnsi="宋体" w:cs="宋体" w:eastAsia="宋体" w:hint="default"/>
                <w:spacing w:val="14"/>
                <w:sz w:val="18"/>
                <w:szCs w:val="18"/>
              </w:rPr>
              <w:t>制人之控股 </w:t>
            </w:r>
            <w:r>
              <w:rPr>
                <w:rFonts w:ascii="宋体" w:hAnsi="宋体" w:cs="宋体" w:eastAsia="宋体" w:hint="default"/>
                <w:sz w:val="18"/>
                <w:szCs w:val="18"/>
              </w:rPr>
              <w:t>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1"/>
              <w:jc w:val="left"/>
              <w:rPr>
                <w:rFonts w:ascii="宋体" w:hAnsi="宋体" w:cs="宋体" w:eastAsia="宋体" w:hint="default"/>
                <w:sz w:val="18"/>
                <w:szCs w:val="18"/>
              </w:rPr>
            </w:pPr>
            <w:r>
              <w:rPr>
                <w:rFonts w:ascii="宋体" w:hAnsi="宋体" w:cs="宋体" w:eastAsia="宋体" w:hint="default"/>
                <w:spacing w:val="16"/>
                <w:sz w:val="18"/>
                <w:szCs w:val="18"/>
              </w:rPr>
              <w:t>接受关联</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2" w:lineRule="exact" w:before="24"/>
              <w:ind w:left="22" w:right="-1"/>
              <w:jc w:val="left"/>
              <w:rPr>
                <w:rFonts w:ascii="宋体" w:hAnsi="宋体" w:cs="宋体" w:eastAsia="宋体" w:hint="default"/>
                <w:sz w:val="18"/>
                <w:szCs w:val="18"/>
              </w:rPr>
            </w:pPr>
            <w:r>
              <w:rPr>
                <w:rFonts w:ascii="宋体" w:hAnsi="宋体" w:cs="宋体" w:eastAsia="宋体" w:hint="default"/>
                <w:spacing w:val="16"/>
                <w:sz w:val="18"/>
                <w:szCs w:val="18"/>
              </w:rPr>
              <w:t>方提供服</w:t>
            </w:r>
            <w:r>
              <w:rPr>
                <w:rFonts w:ascii="宋体" w:hAnsi="宋体" w:cs="宋体" w:eastAsia="宋体" w:hint="default"/>
                <w:spacing w:val="-68"/>
                <w:sz w:val="18"/>
                <w:szCs w:val="18"/>
              </w:rPr>
              <w:t> </w:t>
            </w:r>
            <w:r>
              <w:rPr>
                <w:rFonts w:ascii="宋体" w:hAnsi="宋体" w:cs="宋体" w:eastAsia="宋体" w:hint="default"/>
                <w:sz w:val="18"/>
                <w:szCs w:val="18"/>
              </w:rPr>
              <w:t>务</w:t>
            </w:r>
          </w:p>
        </w:tc>
        <w:tc>
          <w:tcPr>
            <w:tcW w:w="1418" w:type="dxa"/>
            <w:tcBorders>
              <w:top w:val="single" w:sz="4" w:space="0" w:color="000000"/>
              <w:left w:val="single" w:sz="4" w:space="0" w:color="000000"/>
              <w:bottom w:val="single" w:sz="4" w:space="0" w:color="000000"/>
              <w:right w:val="single" w:sz="9" w:space="0" w:color="FFFFFF"/>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公司与苏宁置业</w:t>
            </w:r>
          </w:p>
          <w:p>
            <w:pPr>
              <w:pStyle w:val="TableParagraph"/>
              <w:spacing w:line="237" w:lineRule="auto" w:before="1"/>
              <w:ind w:left="23" w:right="-41"/>
              <w:jc w:val="left"/>
              <w:rPr>
                <w:rFonts w:ascii="宋体" w:hAnsi="宋体" w:cs="宋体" w:eastAsia="宋体" w:hint="default"/>
                <w:sz w:val="18"/>
                <w:szCs w:val="18"/>
              </w:rPr>
            </w:pPr>
            <w:r>
              <w:rPr>
                <w:rFonts w:ascii="宋体" w:hAnsi="宋体" w:cs="宋体" w:eastAsia="宋体" w:hint="default"/>
                <w:spacing w:val="13"/>
                <w:sz w:val="18"/>
                <w:szCs w:val="18"/>
              </w:rPr>
              <w:t>集团有限公司签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署《苏宁电器股份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有限公司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工程建 </w:t>
            </w:r>
            <w:r>
              <w:rPr>
                <w:rFonts w:ascii="宋体" w:hAnsi="宋体" w:cs="宋体" w:eastAsia="宋体" w:hint="default"/>
                <w:spacing w:val="46"/>
                <w:sz w:val="18"/>
                <w:szCs w:val="18"/>
              </w:rPr>
              <w:t>设项目代建合</w:t>
            </w:r>
            <w:r>
              <w:rPr>
                <w:rFonts w:ascii="宋体" w:hAnsi="宋体" w:cs="宋体" w:eastAsia="宋体" w:hint="default"/>
                <w:spacing w:val="-86"/>
                <w:sz w:val="18"/>
                <w:szCs w:val="18"/>
              </w:rPr>
              <w:t> </w:t>
            </w:r>
            <w:r>
              <w:rPr>
                <w:rFonts w:ascii="宋体" w:hAnsi="宋体" w:cs="宋体" w:eastAsia="宋体" w:hint="default"/>
                <w:spacing w:val="-10"/>
                <w:sz w:val="18"/>
                <w:szCs w:val="18"/>
              </w:rPr>
              <w:t>同》，公司及子公</w:t>
            </w:r>
            <w:r>
              <w:rPr>
                <w:rFonts w:ascii="宋体" w:hAnsi="宋体" w:cs="宋体" w:eastAsia="宋体" w:hint="default"/>
                <w:sz w:val="18"/>
                <w:szCs w:val="18"/>
              </w:rPr>
              <w:t> </w:t>
            </w:r>
            <w:r>
              <w:rPr>
                <w:rFonts w:ascii="宋体" w:hAnsi="宋体" w:cs="宋体" w:eastAsia="宋体" w:hint="default"/>
                <w:spacing w:val="13"/>
                <w:sz w:val="18"/>
                <w:szCs w:val="18"/>
              </w:rPr>
              <w:t>司委托苏宁置业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及其子公司对公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司自建店、物流基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地等土建项目工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程提供代建服务 </w:t>
            </w:r>
            <w:r>
              <w:rPr>
                <w:rFonts w:ascii="宋体" w:hAnsi="宋体" w:cs="宋体" w:eastAsia="宋体" w:hint="default"/>
                <w:spacing w:val="13"/>
                <w:sz w:val="18"/>
                <w:szCs w:val="18"/>
              </w:rPr>
              <w:t>本合同为委托代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建总合同，合同期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6"/>
                <w:sz w:val="18"/>
                <w:szCs w:val="18"/>
              </w:rPr>
              <w:t>限为三年，从</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35" w:lineRule="auto"/>
              <w:ind w:left="23"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日止，其中各 </w:t>
            </w:r>
            <w:r>
              <w:rPr>
                <w:rFonts w:ascii="宋体" w:hAnsi="宋体" w:cs="宋体" w:eastAsia="宋体" w:hint="default"/>
                <w:spacing w:val="13"/>
                <w:sz w:val="18"/>
                <w:szCs w:val="18"/>
              </w:rPr>
              <w:t>单项工程时间以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单项工程合同约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定的服务时间为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准，但最迟不超过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本合同届满日。代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建费用三年累计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发生额不超过</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亿元。</w:t>
            </w:r>
          </w:p>
        </w:tc>
        <w:tc>
          <w:tcPr>
            <w:tcW w:w="1135" w:type="dxa"/>
            <w:tcBorders>
              <w:top w:val="single" w:sz="4" w:space="0" w:color="000000"/>
              <w:left w:val="single" w:sz="9" w:space="0" w:color="FFFFFF"/>
              <w:bottom w:val="single" w:sz="4" w:space="0" w:color="000000"/>
              <w:right w:val="single" w:sz="13" w:space="0" w:color="FFFFFF"/>
            </w:tcBorders>
          </w:tcPr>
          <w:p>
            <w:pPr>
              <w:pStyle w:val="TableParagraph"/>
              <w:spacing w:line="205" w:lineRule="exact"/>
              <w:ind w:left="16" w:right="0"/>
              <w:jc w:val="both"/>
              <w:rPr>
                <w:rFonts w:ascii="宋体" w:hAnsi="宋体" w:cs="宋体" w:eastAsia="宋体" w:hint="default"/>
                <w:sz w:val="18"/>
                <w:szCs w:val="18"/>
              </w:rPr>
            </w:pPr>
            <w:r>
              <w:rPr>
                <w:rFonts w:ascii="宋体" w:hAnsi="宋体" w:cs="宋体" w:eastAsia="宋体" w:hint="default"/>
                <w:spacing w:val="35"/>
                <w:sz w:val="18"/>
                <w:szCs w:val="18"/>
              </w:rPr>
              <w:t>代建费用由</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7" w:lineRule="auto" w:before="1"/>
              <w:ind w:left="16" w:right="-31"/>
              <w:jc w:val="both"/>
              <w:rPr>
                <w:rFonts w:ascii="宋体" w:hAnsi="宋体" w:cs="宋体" w:eastAsia="宋体" w:hint="default"/>
                <w:sz w:val="18"/>
                <w:szCs w:val="18"/>
              </w:rPr>
            </w:pPr>
            <w:r>
              <w:rPr>
                <w:rFonts w:ascii="宋体" w:hAnsi="宋体" w:cs="宋体" w:eastAsia="宋体" w:hint="default"/>
                <w:spacing w:val="35"/>
                <w:sz w:val="18"/>
                <w:szCs w:val="18"/>
              </w:rPr>
              <w:t>双方依据相</w:t>
            </w:r>
            <w:r>
              <w:rPr>
                <w:rFonts w:ascii="宋体" w:hAnsi="宋体" w:cs="宋体" w:eastAsia="宋体" w:hint="default"/>
                <w:spacing w:val="-46"/>
                <w:sz w:val="18"/>
                <w:szCs w:val="18"/>
              </w:rPr>
              <w:t> </w:t>
            </w:r>
            <w:r>
              <w:rPr>
                <w:rFonts w:ascii="宋体" w:hAnsi="宋体" w:cs="宋体" w:eastAsia="宋体" w:hint="default"/>
                <w:spacing w:val="35"/>
                <w:sz w:val="18"/>
                <w:szCs w:val="18"/>
              </w:rPr>
              <w:t>关的成本投</w:t>
            </w:r>
            <w:r>
              <w:rPr>
                <w:rFonts w:ascii="宋体" w:hAnsi="宋体" w:cs="宋体" w:eastAsia="宋体" w:hint="default"/>
                <w:spacing w:val="-46"/>
                <w:sz w:val="18"/>
                <w:szCs w:val="18"/>
              </w:rPr>
              <w:t> </w:t>
            </w:r>
            <w:r>
              <w:rPr>
                <w:rFonts w:ascii="宋体" w:hAnsi="宋体" w:cs="宋体" w:eastAsia="宋体" w:hint="default"/>
                <w:spacing w:val="35"/>
                <w:sz w:val="18"/>
                <w:szCs w:val="18"/>
              </w:rPr>
              <w:t>入以及参考</w:t>
            </w:r>
            <w:r>
              <w:rPr>
                <w:rFonts w:ascii="宋体" w:hAnsi="宋体" w:cs="宋体" w:eastAsia="宋体" w:hint="default"/>
                <w:spacing w:val="-46"/>
                <w:sz w:val="18"/>
                <w:szCs w:val="18"/>
              </w:rPr>
              <w:t> </w:t>
            </w:r>
            <w:r>
              <w:rPr>
                <w:rFonts w:ascii="宋体" w:hAnsi="宋体" w:cs="宋体" w:eastAsia="宋体" w:hint="default"/>
                <w:spacing w:val="35"/>
                <w:sz w:val="18"/>
                <w:szCs w:val="18"/>
              </w:rPr>
              <w:t>市场价格协</w:t>
            </w:r>
            <w:r>
              <w:rPr>
                <w:rFonts w:ascii="宋体" w:hAnsi="宋体" w:cs="宋体" w:eastAsia="宋体" w:hint="default"/>
                <w:spacing w:val="-46"/>
                <w:sz w:val="18"/>
                <w:szCs w:val="18"/>
              </w:rPr>
              <w:t> </w:t>
            </w:r>
            <w:r>
              <w:rPr>
                <w:rFonts w:ascii="宋体" w:hAnsi="宋体" w:cs="宋体" w:eastAsia="宋体" w:hint="default"/>
                <w:sz w:val="18"/>
                <w:szCs w:val="18"/>
              </w:rPr>
              <w:t>商确定。</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13" w:space="0" w:color="FFFFFF"/>
              <w:bottom w:val="single" w:sz="4" w:space="0" w:color="000000"/>
              <w:right w:val="single" w:sz="9" w:space="0" w:color="FFFFFF"/>
            </w:tcBorders>
          </w:tcPr>
          <w:p>
            <w:pPr>
              <w:pStyle w:val="TableParagraph"/>
              <w:spacing w:line="205" w:lineRule="exact"/>
              <w:ind w:left="11"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pacing w:val="33"/>
                <w:sz w:val="18"/>
                <w:szCs w:val="18"/>
              </w:rPr>
              <w:t>建连锁店</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auto" w:before="3"/>
              <w:ind w:left="11" w:right="-26"/>
              <w:jc w:val="both"/>
              <w:rPr>
                <w:rFonts w:ascii="宋体" w:hAnsi="宋体" w:cs="宋体" w:eastAsia="宋体" w:hint="default"/>
                <w:sz w:val="18"/>
                <w:szCs w:val="18"/>
              </w:rPr>
            </w:pPr>
            <w:r>
              <w:rPr>
                <w:rFonts w:ascii="宋体" w:hAnsi="宋体" w:cs="宋体" w:eastAsia="宋体" w:hint="default"/>
                <w:spacing w:val="35"/>
                <w:sz w:val="18"/>
                <w:szCs w:val="18"/>
              </w:rPr>
              <w:t>项目按项目</w:t>
            </w:r>
            <w:r>
              <w:rPr>
                <w:rFonts w:ascii="宋体" w:hAnsi="宋体" w:cs="宋体" w:eastAsia="宋体" w:hint="default"/>
                <w:spacing w:val="-46"/>
                <w:sz w:val="18"/>
                <w:szCs w:val="18"/>
              </w:rPr>
              <w:t> </w:t>
            </w:r>
            <w:r>
              <w:rPr>
                <w:rFonts w:ascii="宋体" w:hAnsi="宋体" w:cs="宋体" w:eastAsia="宋体" w:hint="default"/>
                <w:spacing w:val="35"/>
                <w:sz w:val="18"/>
                <w:szCs w:val="18"/>
              </w:rPr>
              <w:t>建设工程总</w:t>
            </w:r>
            <w:r>
              <w:rPr>
                <w:rFonts w:ascii="宋体" w:hAnsi="宋体" w:cs="宋体" w:eastAsia="宋体" w:hint="default"/>
                <w:spacing w:val="-46"/>
                <w:sz w:val="18"/>
                <w:szCs w:val="18"/>
              </w:rPr>
              <w:t> </w:t>
            </w:r>
            <w:r>
              <w:rPr>
                <w:rFonts w:ascii="宋体" w:hAnsi="宋体" w:cs="宋体" w:eastAsia="宋体" w:hint="default"/>
                <w:sz w:val="18"/>
                <w:szCs w:val="18"/>
              </w:rPr>
              <w:t>投入（不含土</w:t>
            </w:r>
            <w:r>
              <w:rPr>
                <w:rFonts w:ascii="宋体" w:hAnsi="宋体" w:cs="宋体" w:eastAsia="宋体" w:hint="default"/>
                <w:sz w:val="18"/>
                <w:szCs w:val="18"/>
              </w:rPr>
              <w:t> </w:t>
            </w:r>
            <w:r>
              <w:rPr>
                <w:rFonts w:ascii="宋体" w:hAnsi="宋体" w:cs="宋体" w:eastAsia="宋体" w:hint="default"/>
                <w:spacing w:val="35"/>
                <w:sz w:val="18"/>
                <w:szCs w:val="18"/>
              </w:rPr>
              <w:t>地及相关税</w:t>
            </w:r>
            <w:r>
              <w:rPr>
                <w:rFonts w:ascii="宋体" w:hAnsi="宋体" w:cs="宋体" w:eastAsia="宋体" w:hint="default"/>
                <w:spacing w:val="-46"/>
                <w:sz w:val="18"/>
                <w:szCs w:val="18"/>
              </w:rPr>
              <w:t> </w:t>
            </w:r>
            <w:r>
              <w:rPr>
                <w:rFonts w:ascii="宋体" w:hAnsi="宋体" w:cs="宋体" w:eastAsia="宋体" w:hint="default"/>
                <w:spacing w:val="4"/>
                <w:sz w:val="18"/>
                <w:szCs w:val="18"/>
              </w:rPr>
              <w:t>费）的</w:t>
            </w:r>
            <w:r>
              <w:rPr>
                <w:rFonts w:ascii="宋体" w:hAnsi="宋体" w:cs="宋体" w:eastAsia="宋体" w:hint="default"/>
                <w:spacing w:val="8"/>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为</w:t>
            </w:r>
            <w:r>
              <w:rPr>
                <w:rFonts w:ascii="宋体" w:hAnsi="宋体" w:cs="宋体" w:eastAsia="宋体" w:hint="default"/>
                <w:sz w:val="18"/>
                <w:szCs w:val="18"/>
              </w:rPr>
              <w:t> 收费标准，物</w:t>
            </w:r>
            <w:r>
              <w:rPr>
                <w:rFonts w:ascii="宋体" w:hAnsi="宋体" w:cs="宋体" w:eastAsia="宋体" w:hint="default"/>
                <w:sz w:val="18"/>
                <w:szCs w:val="18"/>
              </w:rPr>
              <w:t> </w:t>
            </w:r>
            <w:r>
              <w:rPr>
                <w:rFonts w:ascii="宋体" w:hAnsi="宋体" w:cs="宋体" w:eastAsia="宋体" w:hint="default"/>
                <w:spacing w:val="35"/>
                <w:sz w:val="18"/>
                <w:szCs w:val="18"/>
              </w:rPr>
              <w:t>流基地等其</w:t>
            </w:r>
            <w:r>
              <w:rPr>
                <w:rFonts w:ascii="宋体" w:hAnsi="宋体" w:cs="宋体" w:eastAsia="宋体" w:hint="default"/>
                <w:spacing w:val="-46"/>
                <w:sz w:val="18"/>
                <w:szCs w:val="18"/>
              </w:rPr>
              <w:t> </w:t>
            </w:r>
            <w:r>
              <w:rPr>
                <w:rFonts w:ascii="宋体" w:hAnsi="宋体" w:cs="宋体" w:eastAsia="宋体" w:hint="default"/>
                <w:spacing w:val="35"/>
                <w:sz w:val="18"/>
                <w:szCs w:val="18"/>
              </w:rPr>
              <w:t>他自建项目</w:t>
            </w:r>
            <w:r>
              <w:rPr>
                <w:rFonts w:ascii="宋体" w:hAnsi="宋体" w:cs="宋体" w:eastAsia="宋体" w:hint="default"/>
                <w:spacing w:val="-46"/>
                <w:sz w:val="18"/>
                <w:szCs w:val="18"/>
              </w:rPr>
              <w:t> </w:t>
            </w:r>
            <w:r>
              <w:rPr>
                <w:rFonts w:ascii="宋体" w:hAnsi="宋体" w:cs="宋体" w:eastAsia="宋体" w:hint="default"/>
                <w:spacing w:val="35"/>
                <w:sz w:val="18"/>
                <w:szCs w:val="18"/>
              </w:rPr>
              <w:t>按项目建设</w:t>
            </w:r>
            <w:r>
              <w:rPr>
                <w:rFonts w:ascii="宋体" w:hAnsi="宋体" w:cs="宋体" w:eastAsia="宋体" w:hint="default"/>
                <w:spacing w:val="-46"/>
                <w:sz w:val="18"/>
                <w:szCs w:val="18"/>
              </w:rPr>
              <w:t> </w:t>
            </w:r>
            <w:r>
              <w:rPr>
                <w:rFonts w:ascii="宋体" w:hAnsi="宋体" w:cs="宋体" w:eastAsia="宋体" w:hint="default"/>
                <w:spacing w:val="35"/>
                <w:sz w:val="18"/>
                <w:szCs w:val="18"/>
              </w:rPr>
              <w:t>工程总投入</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2" w:lineRule="auto" w:before="5"/>
              <w:ind w:left="11" w:right="-26"/>
              <w:jc w:val="both"/>
              <w:rPr>
                <w:rFonts w:ascii="宋体" w:hAnsi="宋体" w:cs="宋体" w:eastAsia="宋体" w:hint="default"/>
                <w:sz w:val="18"/>
                <w:szCs w:val="18"/>
              </w:rPr>
            </w:pPr>
            <w:r>
              <w:rPr>
                <w:rFonts w:ascii="宋体" w:hAnsi="宋体" w:cs="宋体" w:eastAsia="宋体" w:hint="default"/>
                <w:spacing w:val="35"/>
                <w:sz w:val="18"/>
                <w:szCs w:val="18"/>
              </w:rPr>
              <w:t>（不含土地</w:t>
            </w:r>
            <w:r>
              <w:rPr>
                <w:rFonts w:ascii="宋体" w:hAnsi="宋体" w:cs="宋体" w:eastAsia="宋体" w:hint="default"/>
                <w:spacing w:val="-46"/>
                <w:sz w:val="18"/>
                <w:szCs w:val="18"/>
              </w:rPr>
              <w:t> </w:t>
            </w:r>
            <w:r>
              <w:rPr>
                <w:rFonts w:ascii="宋体" w:hAnsi="宋体" w:cs="宋体" w:eastAsia="宋体" w:hint="default"/>
                <w:sz w:val="18"/>
                <w:szCs w:val="18"/>
              </w:rPr>
              <w:t>及相关税费）</w:t>
            </w:r>
            <w:r>
              <w:rPr>
                <w:rFonts w:ascii="宋体" w:hAnsi="宋体" w:cs="宋体" w:eastAsia="宋体" w:hint="default"/>
                <w:sz w:val="18"/>
                <w:szCs w:val="18"/>
              </w:rPr>
              <w:t> 的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为收</w:t>
            </w:r>
            <w:r>
              <w:rPr>
                <w:rFonts w:ascii="宋体" w:hAnsi="宋体" w:cs="宋体" w:eastAsia="宋体" w:hint="default"/>
                <w:spacing w:val="-65"/>
                <w:sz w:val="18"/>
                <w:szCs w:val="18"/>
              </w:rPr>
              <w:t> </w:t>
            </w:r>
            <w:r>
              <w:rPr>
                <w:rFonts w:ascii="宋体" w:hAnsi="宋体" w:cs="宋体" w:eastAsia="宋体" w:hint="default"/>
                <w:sz w:val="18"/>
                <w:szCs w:val="18"/>
              </w:rPr>
              <w:t>费标准。</w:t>
            </w:r>
          </w:p>
        </w:tc>
        <w:tc>
          <w:tcPr>
            <w:tcW w:w="855" w:type="dxa"/>
            <w:tcBorders>
              <w:top w:val="single" w:sz="4" w:space="0" w:color="000000"/>
              <w:left w:val="single" w:sz="9" w:space="0" w:color="FFFFFF"/>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1,207.88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17.29%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15,000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7"/>
                <w:sz w:val="18"/>
                <w:szCs w:val="18"/>
              </w:rPr>
              <w:t>费用支付为单项</w:t>
            </w:r>
          </w:p>
          <w:p>
            <w:pPr>
              <w:pStyle w:val="TableParagraph"/>
              <w:spacing w:line="235" w:lineRule="auto" w:before="3"/>
              <w:ind w:left="22" w:right="20"/>
              <w:jc w:val="both"/>
              <w:rPr>
                <w:rFonts w:ascii="宋体" w:hAnsi="宋体" w:cs="宋体" w:eastAsia="宋体" w:hint="default"/>
                <w:sz w:val="18"/>
                <w:szCs w:val="18"/>
              </w:rPr>
            </w:pPr>
            <w:r>
              <w:rPr>
                <w:rFonts w:ascii="宋体" w:hAnsi="宋体" w:cs="宋体" w:eastAsia="宋体" w:hint="default"/>
                <w:spacing w:val="7"/>
                <w:sz w:val="18"/>
                <w:szCs w:val="18"/>
              </w:rPr>
              <w:t>工程签订单项委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托代建合同后，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公司暂按工程建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设预算投入额计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算，支付首期工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程项目代建费用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；项目竣 </w:t>
            </w:r>
            <w:r>
              <w:rPr>
                <w:rFonts w:ascii="宋体" w:hAnsi="宋体" w:cs="宋体" w:eastAsia="宋体" w:hint="default"/>
                <w:spacing w:val="7"/>
                <w:sz w:val="18"/>
                <w:szCs w:val="18"/>
              </w:rPr>
              <w:t>工验收时累计支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付至单项工程代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建费用的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 余款</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在项目 </w:t>
            </w:r>
            <w:r>
              <w:rPr>
                <w:rFonts w:ascii="宋体" w:hAnsi="宋体" w:cs="宋体" w:eastAsia="宋体" w:hint="default"/>
                <w:spacing w:val="7"/>
                <w:sz w:val="18"/>
                <w:szCs w:val="18"/>
              </w:rPr>
              <w:t>结束，苏宁置业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及其子公司将项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目管理和使用权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移交给公司及其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子公司后六个月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内支付，并根据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工程项目决算金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额予以确定。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pacing w:val="13"/>
                <w:sz w:val="18"/>
                <w:szCs w:val="18"/>
              </w:rPr>
              <w:t>巨潮资讯</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195" w:lineRule="exact" w:before="22"/>
              <w:ind w:left="23" w:right="0"/>
              <w:jc w:val="both"/>
              <w:rPr>
                <w:rFonts w:ascii="Times New Roman" w:hAnsi="Times New Roman" w:cs="Times New Roman" w:eastAsia="Times New Roman" w:hint="default"/>
                <w:sz w:val="18"/>
                <w:szCs w:val="18"/>
              </w:rPr>
            </w:pPr>
            <w:r>
              <w:rPr>
                <w:rFonts w:ascii="Times New Roman"/>
                <w:sz w:val="18"/>
              </w:rPr>
              <w:t>2012-011</w:t>
            </w:r>
          </w:p>
          <w:p>
            <w:pPr>
              <w:pStyle w:val="TableParagraph"/>
              <w:spacing w:line="237" w:lineRule="auto"/>
              <w:ind w:left="23" w:right="2"/>
              <w:jc w:val="both"/>
              <w:rPr>
                <w:rFonts w:ascii="宋体" w:hAnsi="宋体" w:cs="宋体" w:eastAsia="宋体" w:hint="default"/>
                <w:sz w:val="18"/>
                <w:szCs w:val="18"/>
              </w:rPr>
            </w:pPr>
            <w:r>
              <w:rPr>
                <w:rFonts w:ascii="宋体" w:hAnsi="宋体" w:cs="宋体" w:eastAsia="宋体" w:hint="default"/>
                <w:spacing w:val="13"/>
                <w:sz w:val="18"/>
                <w:szCs w:val="18"/>
              </w:rPr>
              <w:t>《关于日</w:t>
            </w:r>
            <w:r>
              <w:rPr>
                <w:rFonts w:ascii="宋体" w:hAnsi="宋体" w:cs="宋体" w:eastAsia="宋体" w:hint="default"/>
                <w:spacing w:val="-72"/>
                <w:sz w:val="18"/>
                <w:szCs w:val="18"/>
              </w:rPr>
              <w:t> </w:t>
            </w:r>
            <w:r>
              <w:rPr>
                <w:rFonts w:ascii="宋体" w:hAnsi="宋体" w:cs="宋体" w:eastAsia="宋体" w:hint="default"/>
                <w:spacing w:val="13"/>
                <w:sz w:val="18"/>
                <w:szCs w:val="18"/>
              </w:rPr>
              <w:t>常关联交</w:t>
            </w:r>
            <w:r>
              <w:rPr>
                <w:rFonts w:ascii="宋体" w:hAnsi="宋体" w:cs="宋体" w:eastAsia="宋体" w:hint="default"/>
                <w:spacing w:val="-72"/>
                <w:sz w:val="18"/>
                <w:szCs w:val="18"/>
              </w:rPr>
              <w:t> </w:t>
            </w:r>
            <w:r>
              <w:rPr>
                <w:rFonts w:ascii="宋体" w:hAnsi="宋体" w:cs="宋体" w:eastAsia="宋体" w:hint="default"/>
                <w:spacing w:val="13"/>
                <w:sz w:val="18"/>
                <w:szCs w:val="18"/>
              </w:rPr>
              <w:t>易预计的</w:t>
            </w:r>
            <w:r>
              <w:rPr>
                <w:rFonts w:ascii="宋体" w:hAnsi="宋体" w:cs="宋体" w:eastAsia="宋体" w:hint="default"/>
                <w:spacing w:val="-72"/>
                <w:sz w:val="18"/>
                <w:szCs w:val="18"/>
              </w:rPr>
              <w:t> </w:t>
            </w:r>
            <w:r>
              <w:rPr>
                <w:rFonts w:ascii="宋体" w:hAnsi="宋体" w:cs="宋体" w:eastAsia="宋体" w:hint="default"/>
                <w:sz w:val="18"/>
                <w:szCs w:val="18"/>
              </w:rPr>
              <w:t>公告》</w:t>
            </w:r>
          </w:p>
        </w:tc>
      </w:tr>
      <w:tr>
        <w:trPr>
          <w:trHeight w:val="115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苏宁置业集</w:t>
            </w:r>
            <w:r>
              <w:rPr>
                <w:rFonts w:ascii="宋体" w:hAnsi="宋体" w:cs="宋体" w:eastAsia="宋体" w:hint="default"/>
                <w:sz w:val="18"/>
                <w:szCs w:val="18"/>
              </w:rPr>
            </w:r>
          </w:p>
          <w:p>
            <w:pPr>
              <w:pStyle w:val="TableParagraph"/>
              <w:spacing w:line="240" w:lineRule="auto"/>
              <w:ind w:left="22" w:right="7"/>
              <w:jc w:val="left"/>
              <w:rPr>
                <w:rFonts w:ascii="宋体" w:hAnsi="宋体" w:cs="宋体" w:eastAsia="宋体" w:hint="default"/>
                <w:sz w:val="18"/>
                <w:szCs w:val="18"/>
              </w:rPr>
            </w:pPr>
            <w:r>
              <w:rPr>
                <w:rFonts w:ascii="宋体" w:hAnsi="宋体" w:cs="宋体" w:eastAsia="宋体" w:hint="default"/>
                <w:spacing w:val="13"/>
                <w:sz w:val="18"/>
                <w:szCs w:val="18"/>
              </w:rPr>
              <w:t>团有限公司 </w:t>
            </w:r>
            <w:r>
              <w:rPr>
                <w:rFonts w:ascii="宋体" w:hAnsi="宋体" w:cs="宋体" w:eastAsia="宋体" w:hint="default"/>
                <w:sz w:val="18"/>
                <w:szCs w:val="18"/>
              </w:rPr>
              <w:t>及子公司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4"/>
                <w:sz w:val="18"/>
                <w:szCs w:val="18"/>
              </w:rPr>
              <w:t>公司实际控</w:t>
            </w:r>
            <w:r>
              <w:rPr>
                <w:rFonts w:ascii="宋体" w:hAnsi="宋体" w:cs="宋体" w:eastAsia="宋体" w:hint="default"/>
                <w:sz w:val="18"/>
                <w:szCs w:val="18"/>
              </w:rPr>
            </w:r>
          </w:p>
          <w:p>
            <w:pPr>
              <w:pStyle w:val="TableParagraph"/>
              <w:spacing w:line="240" w:lineRule="auto"/>
              <w:ind w:left="22" w:right="5"/>
              <w:jc w:val="left"/>
              <w:rPr>
                <w:rFonts w:ascii="宋体" w:hAnsi="宋体" w:cs="宋体" w:eastAsia="宋体" w:hint="default"/>
                <w:sz w:val="18"/>
                <w:szCs w:val="18"/>
              </w:rPr>
            </w:pPr>
            <w:r>
              <w:rPr>
                <w:rFonts w:ascii="宋体" w:hAnsi="宋体" w:cs="宋体" w:eastAsia="宋体" w:hint="default"/>
                <w:spacing w:val="14"/>
                <w:sz w:val="18"/>
                <w:szCs w:val="18"/>
              </w:rPr>
              <w:t>制人之控股 </w:t>
            </w:r>
            <w:r>
              <w:rPr>
                <w:rFonts w:ascii="宋体" w:hAnsi="宋体" w:cs="宋体" w:eastAsia="宋体" w:hint="default"/>
                <w:sz w:val="18"/>
                <w:szCs w:val="18"/>
              </w:rPr>
              <w:t>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1"/>
              <w:jc w:val="left"/>
              <w:rPr>
                <w:rFonts w:ascii="宋体" w:hAnsi="宋体" w:cs="宋体" w:eastAsia="宋体" w:hint="default"/>
                <w:sz w:val="18"/>
                <w:szCs w:val="18"/>
              </w:rPr>
            </w:pPr>
            <w:r>
              <w:rPr>
                <w:rFonts w:ascii="宋体" w:hAnsi="宋体" w:cs="宋体" w:eastAsia="宋体" w:hint="default"/>
                <w:spacing w:val="16"/>
                <w:sz w:val="18"/>
                <w:szCs w:val="18"/>
              </w:rPr>
              <w:t>接受关联</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22" w:right="-1"/>
              <w:jc w:val="left"/>
              <w:rPr>
                <w:rFonts w:ascii="宋体" w:hAnsi="宋体" w:cs="宋体" w:eastAsia="宋体" w:hint="default"/>
                <w:sz w:val="18"/>
                <w:szCs w:val="18"/>
              </w:rPr>
            </w:pPr>
            <w:r>
              <w:rPr>
                <w:rFonts w:ascii="宋体" w:hAnsi="宋体" w:cs="宋体" w:eastAsia="宋体" w:hint="default"/>
                <w:spacing w:val="16"/>
                <w:sz w:val="18"/>
                <w:szCs w:val="18"/>
              </w:rPr>
              <w:t>方提供服</w:t>
            </w:r>
            <w:r>
              <w:rPr>
                <w:rFonts w:ascii="宋体" w:hAnsi="宋体" w:cs="宋体" w:eastAsia="宋体" w:hint="default"/>
                <w:spacing w:val="-68"/>
                <w:sz w:val="18"/>
                <w:szCs w:val="18"/>
              </w:rPr>
              <w:t> </w:t>
            </w:r>
            <w:r>
              <w:rPr>
                <w:rFonts w:ascii="宋体" w:hAnsi="宋体" w:cs="宋体" w:eastAsia="宋体" w:hint="default"/>
                <w:sz w:val="18"/>
                <w:szCs w:val="18"/>
              </w:rPr>
              <w:t>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pacing w:val="13"/>
                <w:sz w:val="18"/>
                <w:szCs w:val="18"/>
              </w:rPr>
              <w:t>公司委托苏宁置</w:t>
            </w:r>
          </w:p>
          <w:p>
            <w:pPr>
              <w:pStyle w:val="TableParagraph"/>
              <w:spacing w:line="237" w:lineRule="auto"/>
              <w:ind w:left="23" w:right="20"/>
              <w:jc w:val="both"/>
              <w:rPr>
                <w:rFonts w:ascii="宋体" w:hAnsi="宋体" w:cs="宋体" w:eastAsia="宋体" w:hint="default"/>
                <w:sz w:val="18"/>
                <w:szCs w:val="18"/>
              </w:rPr>
            </w:pPr>
            <w:r>
              <w:rPr>
                <w:rFonts w:ascii="宋体" w:hAnsi="宋体" w:cs="宋体" w:eastAsia="宋体" w:hint="default"/>
                <w:spacing w:val="13"/>
                <w:sz w:val="18"/>
                <w:szCs w:val="18"/>
              </w:rPr>
              <w:t>业及其下属子公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司为公司及下属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分、子公司实施的</w:t>
            </w:r>
          </w:p>
        </w:tc>
        <w:tc>
          <w:tcPr>
            <w:tcW w:w="1135" w:type="dxa"/>
            <w:tcBorders>
              <w:top w:val="single" w:sz="4" w:space="0" w:color="000000"/>
              <w:left w:val="single" w:sz="4" w:space="0" w:color="000000"/>
              <w:bottom w:val="single" w:sz="4" w:space="0" w:color="000000"/>
              <w:right w:val="single" w:sz="13" w:space="0" w:color="FFFFFF"/>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35"/>
                <w:sz w:val="18"/>
                <w:szCs w:val="18"/>
              </w:rPr>
              <w:t>代建费用由</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7" w:lineRule="auto"/>
              <w:ind w:left="22" w:right="-31"/>
              <w:jc w:val="both"/>
              <w:rPr>
                <w:rFonts w:ascii="宋体" w:hAnsi="宋体" w:cs="宋体" w:eastAsia="宋体" w:hint="default"/>
                <w:sz w:val="18"/>
                <w:szCs w:val="18"/>
              </w:rPr>
            </w:pPr>
            <w:r>
              <w:rPr>
                <w:rFonts w:ascii="宋体" w:hAnsi="宋体" w:cs="宋体" w:eastAsia="宋体" w:hint="default"/>
                <w:spacing w:val="35"/>
                <w:sz w:val="18"/>
                <w:szCs w:val="18"/>
              </w:rPr>
              <w:t>双方依据相</w:t>
            </w:r>
            <w:r>
              <w:rPr>
                <w:rFonts w:ascii="宋体" w:hAnsi="宋体" w:cs="宋体" w:eastAsia="宋体" w:hint="default"/>
                <w:spacing w:val="-46"/>
                <w:sz w:val="18"/>
                <w:szCs w:val="18"/>
              </w:rPr>
              <w:t> </w:t>
            </w:r>
            <w:r>
              <w:rPr>
                <w:rFonts w:ascii="宋体" w:hAnsi="宋体" w:cs="宋体" w:eastAsia="宋体" w:hint="default"/>
                <w:spacing w:val="35"/>
                <w:sz w:val="18"/>
                <w:szCs w:val="18"/>
              </w:rPr>
              <w:t>关的成本投</w:t>
            </w:r>
            <w:r>
              <w:rPr>
                <w:rFonts w:ascii="宋体" w:hAnsi="宋体" w:cs="宋体" w:eastAsia="宋体" w:hint="default"/>
                <w:spacing w:val="-46"/>
                <w:sz w:val="18"/>
                <w:szCs w:val="18"/>
              </w:rPr>
              <w:t> </w:t>
            </w:r>
            <w:r>
              <w:rPr>
                <w:rFonts w:ascii="宋体" w:hAnsi="宋体" w:cs="宋体" w:eastAsia="宋体" w:hint="default"/>
                <w:spacing w:val="35"/>
                <w:sz w:val="18"/>
                <w:szCs w:val="18"/>
              </w:rPr>
              <w:t>入以及参考</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35" w:type="dxa"/>
            <w:tcBorders>
              <w:top w:val="single" w:sz="4" w:space="0" w:color="000000"/>
              <w:left w:val="single" w:sz="13" w:space="0" w:color="FFFFFF"/>
              <w:bottom w:val="single" w:sz="4" w:space="0" w:color="000000"/>
              <w:right w:val="single" w:sz="9" w:space="0" w:color="FFFFFF"/>
            </w:tcBorders>
          </w:tcPr>
          <w:p>
            <w:pPr>
              <w:pStyle w:val="TableParagraph"/>
              <w:spacing w:line="205" w:lineRule="exact"/>
              <w:ind w:left="11" w:right="0"/>
              <w:jc w:val="both"/>
              <w:rPr>
                <w:rFonts w:ascii="宋体" w:hAnsi="宋体" w:cs="宋体" w:eastAsia="宋体" w:hint="default"/>
                <w:sz w:val="18"/>
                <w:szCs w:val="18"/>
              </w:rPr>
            </w:pPr>
            <w:r>
              <w:rPr>
                <w:rFonts w:ascii="宋体" w:hAnsi="宋体" w:cs="宋体" w:eastAsia="宋体" w:hint="default"/>
                <w:spacing w:val="35"/>
                <w:sz w:val="18"/>
                <w:szCs w:val="18"/>
              </w:rPr>
              <w:t>自建连锁店</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7" w:lineRule="auto"/>
              <w:ind w:left="11" w:right="-26"/>
              <w:jc w:val="both"/>
              <w:rPr>
                <w:rFonts w:ascii="宋体" w:hAnsi="宋体" w:cs="宋体" w:eastAsia="宋体" w:hint="default"/>
                <w:sz w:val="18"/>
                <w:szCs w:val="18"/>
              </w:rPr>
            </w:pPr>
            <w:r>
              <w:rPr>
                <w:rFonts w:ascii="宋体" w:hAnsi="宋体" w:cs="宋体" w:eastAsia="宋体" w:hint="default"/>
                <w:sz w:val="18"/>
                <w:szCs w:val="18"/>
              </w:rPr>
              <w:t>项目：按单个 </w:t>
            </w:r>
            <w:r>
              <w:rPr>
                <w:rFonts w:ascii="宋体" w:hAnsi="宋体" w:cs="宋体" w:eastAsia="宋体" w:hint="default"/>
                <w:spacing w:val="35"/>
                <w:sz w:val="18"/>
                <w:szCs w:val="18"/>
              </w:rPr>
              <w:t>项目建设总</w:t>
            </w:r>
            <w:r>
              <w:rPr>
                <w:rFonts w:ascii="宋体" w:hAnsi="宋体" w:cs="宋体" w:eastAsia="宋体" w:hint="default"/>
                <w:spacing w:val="-46"/>
                <w:sz w:val="18"/>
                <w:szCs w:val="18"/>
              </w:rPr>
              <w:t> </w:t>
            </w:r>
            <w:r>
              <w:rPr>
                <w:rFonts w:ascii="宋体" w:hAnsi="宋体" w:cs="宋体" w:eastAsia="宋体" w:hint="default"/>
                <w:sz w:val="18"/>
                <w:szCs w:val="18"/>
              </w:rPr>
              <w:t>投入（不含土</w:t>
            </w:r>
          </w:p>
        </w:tc>
        <w:tc>
          <w:tcPr>
            <w:tcW w:w="855" w:type="dxa"/>
            <w:tcBorders>
              <w:top w:val="single" w:sz="4" w:space="0" w:color="000000"/>
              <w:left w:val="single" w:sz="9" w:space="0" w:color="FFFFFF"/>
              <w:bottom w:val="single" w:sz="4" w:space="0" w:color="000000"/>
              <w:right w:val="single" w:sz="4" w:space="0" w:color="000000"/>
            </w:tcBorders>
          </w:tcPr>
          <w:p>
            <w:pPr>
              <w:pStyle w:val="TableParagraph"/>
              <w:spacing w:line="203" w:lineRule="exact"/>
              <w:ind w:right="20"/>
              <w:jc w:val="right"/>
              <w:rPr>
                <w:rFonts w:ascii="Times New Roman" w:hAnsi="Times New Roman" w:cs="Times New Roman" w:eastAsia="Times New Roman" w:hint="default"/>
                <w:sz w:val="18"/>
                <w:szCs w:val="18"/>
              </w:rPr>
            </w:pPr>
            <w:r>
              <w:rPr>
                <w:rFonts w:ascii="Times New Roman"/>
                <w:sz w:val="18"/>
              </w:rPr>
              <w:t>222.75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
              <w:jc w:val="right"/>
              <w:rPr>
                <w:rFonts w:ascii="Times New Roman" w:hAnsi="Times New Roman" w:cs="Times New Roman" w:eastAsia="Times New Roman" w:hint="default"/>
                <w:sz w:val="18"/>
                <w:szCs w:val="18"/>
              </w:rPr>
            </w:pPr>
            <w:r>
              <w:rPr>
                <w:rFonts w:ascii="Times New Roman"/>
                <w:sz w:val="18"/>
              </w:rPr>
              <w:t>3.19%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z w:val="18"/>
              </w:rPr>
              <w:t>25,000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合同签订后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w:t>
            </w:r>
          </w:p>
          <w:p>
            <w:pPr>
              <w:pStyle w:val="TableParagraph"/>
              <w:spacing w:line="230" w:lineRule="auto"/>
              <w:ind w:left="22" w:right="20"/>
              <w:jc w:val="both"/>
              <w:rPr>
                <w:rFonts w:ascii="宋体" w:hAnsi="宋体" w:cs="宋体" w:eastAsia="宋体" w:hint="default"/>
                <w:sz w:val="18"/>
                <w:szCs w:val="18"/>
              </w:rPr>
            </w:pPr>
            <w:r>
              <w:rPr>
                <w:rFonts w:ascii="宋体" w:hAnsi="宋体" w:cs="宋体" w:eastAsia="宋体" w:hint="default"/>
                <w:spacing w:val="7"/>
                <w:sz w:val="18"/>
                <w:szCs w:val="18"/>
              </w:rPr>
              <w:t>日内支付代建服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务费的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作为 前期管理费用。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巨潮资讯</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194" w:lineRule="exact" w:before="24"/>
              <w:ind w:left="23" w:right="0"/>
              <w:jc w:val="left"/>
              <w:rPr>
                <w:rFonts w:ascii="Times New Roman" w:hAnsi="Times New Roman" w:cs="Times New Roman" w:eastAsia="Times New Roman" w:hint="default"/>
                <w:sz w:val="18"/>
                <w:szCs w:val="18"/>
              </w:rPr>
            </w:pPr>
            <w:r>
              <w:rPr>
                <w:rFonts w:ascii="Times New Roman"/>
                <w:sz w:val="18"/>
              </w:rPr>
              <w:t>2015-017</w:t>
            </w:r>
          </w:p>
          <w:p>
            <w:pPr>
              <w:pStyle w:val="TableParagraph"/>
              <w:spacing w:line="234" w:lineRule="exact" w:before="10"/>
              <w:ind w:left="23" w:right="2"/>
              <w:jc w:val="left"/>
              <w:rPr>
                <w:rFonts w:ascii="宋体" w:hAnsi="宋体" w:cs="宋体" w:eastAsia="宋体" w:hint="default"/>
                <w:sz w:val="18"/>
                <w:szCs w:val="18"/>
              </w:rPr>
            </w:pPr>
            <w:r>
              <w:rPr>
                <w:rFonts w:ascii="宋体" w:hAnsi="宋体" w:cs="宋体" w:eastAsia="宋体" w:hint="default"/>
                <w:spacing w:val="13"/>
                <w:sz w:val="18"/>
                <w:szCs w:val="18"/>
              </w:rPr>
              <w:t>《关于日</w:t>
            </w:r>
            <w:r>
              <w:rPr>
                <w:rFonts w:ascii="宋体" w:hAnsi="宋体" w:cs="宋体" w:eastAsia="宋体" w:hint="default"/>
                <w:spacing w:val="-72"/>
                <w:sz w:val="18"/>
                <w:szCs w:val="18"/>
              </w:rPr>
              <w:t> </w:t>
            </w:r>
            <w:r>
              <w:rPr>
                <w:rFonts w:ascii="宋体" w:hAnsi="宋体" w:cs="宋体" w:eastAsia="宋体" w:hint="default"/>
                <w:spacing w:val="13"/>
                <w:sz w:val="18"/>
                <w:szCs w:val="18"/>
              </w:rPr>
              <w:t>常关联交</w:t>
            </w:r>
            <w:r>
              <w:rPr>
                <w:rFonts w:ascii="宋体" w:hAnsi="宋体" w:cs="宋体" w:eastAsia="宋体" w:hint="default"/>
                <w:spacing w:val="-72"/>
                <w:sz w:val="18"/>
                <w:szCs w:val="18"/>
              </w:rPr>
              <w:t> </w:t>
            </w:r>
            <w:r>
              <w:rPr>
                <w:rFonts w:ascii="宋体" w:hAnsi="宋体" w:cs="宋体" w:eastAsia="宋体" w:hint="default"/>
                <w:sz w:val="18"/>
                <w:szCs w:val="18"/>
              </w:rPr>
            </w:r>
          </w:p>
        </w:tc>
      </w:tr>
    </w:tbl>
    <w:p>
      <w:pPr>
        <w:spacing w:after="0" w:line="234" w:lineRule="exact"/>
        <w:jc w:val="left"/>
        <w:rPr>
          <w:rFonts w:ascii="宋体" w:hAnsi="宋体" w:cs="宋体" w:eastAsia="宋体" w:hint="default"/>
          <w:sz w:val="18"/>
          <w:szCs w:val="18"/>
        </w:rPr>
        <w:sectPr>
          <w:headerReference w:type="default" r:id="rId16"/>
          <w:footerReference w:type="default" r:id="rId17"/>
          <w:pgSz w:w="16840" w:h="11910" w:orient="landscape"/>
          <w:pgMar w:header="867" w:footer="979" w:top="1060" w:bottom="1220" w:left="1300" w:right="0"/>
          <w:pgNumType w:start="62"/>
        </w:sectPr>
      </w:pPr>
    </w:p>
    <w:p>
      <w:pPr>
        <w:spacing w:line="240" w:lineRule="auto" w:before="4"/>
        <w:rPr>
          <w:rFonts w:ascii="Times New Roman" w:hAnsi="Times New Roman" w:cs="Times New Roman" w:eastAsia="Times New Roman" w:hint="default"/>
          <w:sz w:val="3"/>
          <w:szCs w:val="3"/>
        </w:rPr>
      </w:pPr>
      <w:r>
        <w:rPr/>
        <w:pict>
          <v:shape style="position:absolute;margin-left:631.599976pt;margin-top:57.180008pt;width:57.1pt;height:338.6pt;mso-position-horizontal-relative:page;mso-position-vertical-relative:page;z-index:-1831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月、</w:t>
                  </w:r>
                </w:p>
              </w:txbxContent>
            </v:textbox>
            <w10:wrap type="none"/>
          </v:shape>
        </w:pict>
      </w:r>
      <w:r>
        <w:rPr/>
        <w:pict>
          <v:group style="position:absolute;margin-left:284.959991pt;margin-top:80.520004pt;width:56.3pt;height:315.25pt;mso-position-horizontal-relative:page;mso-position-vertical-relative:page;z-index:-1831960" coordorigin="5699,1610" coordsize="1126,6305">
            <v:shape style="position:absolute;left:5699;top:1610;width:1126;height:6305" coordorigin="5699,1610" coordsize="1126,6305" path="m5699,7915l6825,7915,6825,1610,5699,1610,5699,7915xe" filled="true" fillcolor="#ffffff" stroked="false">
              <v:path arrowok="t"/>
              <v:fill type="solid"/>
            </v:shape>
            <w10:wrap type="none"/>
          </v:group>
        </w:pict>
      </w:r>
      <w:r>
        <w:rPr/>
        <w:pict>
          <v:group style="position:absolute;margin-left:284.959991pt;margin-top:407.940002pt;width:56.3pt;height:116.7pt;mso-position-horizontal-relative:page;mso-position-vertical-relative:page;z-index:-1831936" coordorigin="5699,8159" coordsize="1126,2334">
            <v:shape style="position:absolute;left:5699;top:8159;width:1126;height:2334" coordorigin="5699,8159" coordsize="1126,2334" path="m5699,10493l6825,10493,6825,8159,5699,8159,5699,10493xe" filled="true" fillcolor="#ffffff" stroked="false">
              <v:path arrowok="t"/>
              <v:fill type="solid"/>
            </v:shape>
            <w10:wrap type="none"/>
          </v:group>
        </w:pict>
      </w:r>
      <w:r>
        <w:rPr/>
        <w:pict>
          <v:group style="position:absolute;margin-left:398.480011pt;margin-top:406.619995pt;width:42.3pt;height:118.05pt;mso-position-horizontal-relative:page;mso-position-vertical-relative:page;z-index:-1831912" coordorigin="7970,8132" coordsize="846,2361">
            <v:shape style="position:absolute;left:7970;top:8132;width:846;height:2361" coordorigin="7970,8132" coordsize="846,2361" path="m7970,10493l8815,10493,8815,8132,7970,8132,7970,10493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008"/>
        <w:gridCol w:w="1012"/>
        <w:gridCol w:w="844"/>
        <w:gridCol w:w="1418"/>
        <w:gridCol w:w="1135"/>
        <w:gridCol w:w="1135"/>
        <w:gridCol w:w="855"/>
        <w:gridCol w:w="845"/>
        <w:gridCol w:w="880"/>
        <w:gridCol w:w="1015"/>
        <w:gridCol w:w="1370"/>
        <w:gridCol w:w="850"/>
        <w:gridCol w:w="818"/>
        <w:gridCol w:w="830"/>
      </w:tblGrid>
      <w:tr>
        <w:trPr>
          <w:trHeight w:val="256" w:hRule="exact"/>
        </w:trPr>
        <w:tc>
          <w:tcPr>
            <w:tcW w:w="1008" w:type="dxa"/>
            <w:vMerge w:val="restart"/>
            <w:tcBorders>
              <w:top w:val="single" w:sz="15" w:space="0" w:color="000000"/>
              <w:left w:val="single" w:sz="4" w:space="0" w:color="000000"/>
              <w:right w:val="single" w:sz="4" w:space="0" w:color="000000"/>
            </w:tcBorders>
          </w:tcPr>
          <w:p>
            <w:pPr/>
          </w:p>
        </w:tc>
        <w:tc>
          <w:tcPr>
            <w:tcW w:w="1012" w:type="dxa"/>
            <w:vMerge w:val="restart"/>
            <w:tcBorders>
              <w:top w:val="single" w:sz="15" w:space="0" w:color="000000"/>
              <w:left w:val="single" w:sz="4" w:space="0" w:color="000000"/>
              <w:right w:val="single" w:sz="4" w:space="0" w:color="000000"/>
            </w:tcBorders>
          </w:tcPr>
          <w:p>
            <w:pPr/>
          </w:p>
        </w:tc>
        <w:tc>
          <w:tcPr>
            <w:tcW w:w="844" w:type="dxa"/>
            <w:vMerge w:val="restart"/>
            <w:tcBorders>
              <w:top w:val="single" w:sz="15" w:space="0" w:color="000000"/>
              <w:left w:val="single" w:sz="4" w:space="0" w:color="000000"/>
              <w:right w:val="single" w:sz="4" w:space="0" w:color="000000"/>
            </w:tcBorders>
          </w:tcPr>
          <w:p>
            <w:pPr/>
          </w:p>
        </w:tc>
        <w:tc>
          <w:tcPr>
            <w:tcW w:w="1418" w:type="dxa"/>
            <w:tcBorders>
              <w:top w:val="single" w:sz="15" w:space="0" w:color="000000"/>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包括各地物流基</w:t>
            </w:r>
          </w:p>
        </w:tc>
        <w:tc>
          <w:tcPr>
            <w:tcW w:w="1135" w:type="dxa"/>
            <w:tcBorders>
              <w:top w:val="single" w:sz="15" w:space="0" w:color="000000"/>
              <w:left w:val="single" w:sz="4" w:space="0" w:color="000000"/>
              <w:bottom w:val="nil" w:sz="6" w:space="0" w:color="auto"/>
              <w:right w:val="single" w:sz="13" w:space="0" w:color="FFFFFF"/>
            </w:tcBorders>
          </w:tcPr>
          <w:p>
            <w:pPr>
              <w:pStyle w:val="TableParagraph"/>
              <w:spacing w:line="205" w:lineRule="exact"/>
              <w:ind w:left="22" w:right="-31"/>
              <w:jc w:val="left"/>
              <w:rPr>
                <w:rFonts w:ascii="宋体" w:hAnsi="宋体" w:cs="宋体" w:eastAsia="宋体" w:hint="default"/>
                <w:sz w:val="18"/>
                <w:szCs w:val="18"/>
              </w:rPr>
            </w:pPr>
            <w:r>
              <w:rPr>
                <w:rFonts w:ascii="宋体" w:hAnsi="宋体" w:cs="宋体" w:eastAsia="宋体" w:hint="default"/>
                <w:spacing w:val="35"/>
                <w:sz w:val="18"/>
                <w:szCs w:val="18"/>
              </w:rPr>
              <w:t>市场价格协</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35" w:type="dxa"/>
            <w:tcBorders>
              <w:top w:val="single" w:sz="15" w:space="0" w:color="000000"/>
              <w:left w:val="single" w:sz="13" w:space="0" w:color="FFFFFF"/>
              <w:bottom w:val="nil" w:sz="6" w:space="0" w:color="auto"/>
              <w:right w:val="single" w:sz="4" w:space="0" w:color="000000"/>
            </w:tcBorders>
          </w:tcPr>
          <w:p>
            <w:pPr>
              <w:pStyle w:val="TableParagraph"/>
              <w:spacing w:line="205" w:lineRule="exact"/>
              <w:ind w:left="11" w:right="-20"/>
              <w:jc w:val="left"/>
              <w:rPr>
                <w:rFonts w:ascii="宋体" w:hAnsi="宋体" w:cs="宋体" w:eastAsia="宋体" w:hint="default"/>
                <w:sz w:val="18"/>
                <w:szCs w:val="18"/>
              </w:rPr>
            </w:pPr>
            <w:r>
              <w:rPr>
                <w:rFonts w:ascii="宋体" w:hAnsi="宋体" w:cs="宋体" w:eastAsia="宋体" w:hint="default"/>
                <w:spacing w:val="35"/>
                <w:sz w:val="18"/>
                <w:szCs w:val="18"/>
              </w:rPr>
              <w:t>地款及相关</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5" w:type="dxa"/>
            <w:vMerge w:val="restart"/>
            <w:tcBorders>
              <w:top w:val="single" w:sz="15" w:space="0" w:color="000000"/>
              <w:left w:val="single" w:sz="4" w:space="0" w:color="000000"/>
              <w:right w:val="single" w:sz="4" w:space="0" w:color="000000"/>
            </w:tcBorders>
          </w:tcPr>
          <w:p>
            <w:pPr/>
          </w:p>
        </w:tc>
        <w:tc>
          <w:tcPr>
            <w:tcW w:w="845" w:type="dxa"/>
            <w:vMerge w:val="restart"/>
            <w:tcBorders>
              <w:top w:val="single" w:sz="15" w:space="0" w:color="000000"/>
              <w:left w:val="single" w:sz="4" w:space="0" w:color="000000"/>
              <w:right w:val="single" w:sz="4" w:space="0" w:color="000000"/>
            </w:tcBorders>
          </w:tcPr>
          <w:p>
            <w:pPr/>
          </w:p>
        </w:tc>
        <w:tc>
          <w:tcPr>
            <w:tcW w:w="880" w:type="dxa"/>
            <w:vMerge w:val="restart"/>
            <w:tcBorders>
              <w:top w:val="single" w:sz="15" w:space="0" w:color="000000"/>
              <w:left w:val="single" w:sz="4" w:space="0" w:color="000000"/>
              <w:right w:val="single" w:sz="4" w:space="0" w:color="000000"/>
            </w:tcBorders>
          </w:tcPr>
          <w:p>
            <w:pPr/>
          </w:p>
        </w:tc>
        <w:tc>
          <w:tcPr>
            <w:tcW w:w="1015" w:type="dxa"/>
            <w:vMerge w:val="restart"/>
            <w:tcBorders>
              <w:top w:val="single" w:sz="15" w:space="0" w:color="000000"/>
              <w:left w:val="single" w:sz="4" w:space="0" w:color="000000"/>
              <w:right w:val="single" w:sz="4" w:space="0" w:color="000000"/>
            </w:tcBorders>
          </w:tcPr>
          <w:p>
            <w:pPr/>
          </w:p>
        </w:tc>
        <w:tc>
          <w:tcPr>
            <w:tcW w:w="1370" w:type="dxa"/>
            <w:tcBorders>
              <w:top w:val="single" w:sz="15" w:space="0" w:color="000000"/>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项目代建服务</w:t>
            </w:r>
          </w:p>
        </w:tc>
        <w:tc>
          <w:tcPr>
            <w:tcW w:w="850" w:type="dxa"/>
            <w:vMerge w:val="restart"/>
            <w:tcBorders>
              <w:top w:val="single" w:sz="15" w:space="0" w:color="000000"/>
              <w:left w:val="single" w:sz="4" w:space="0" w:color="000000"/>
              <w:right w:val="single" w:sz="4" w:space="0" w:color="000000"/>
            </w:tcBorders>
          </w:tcPr>
          <w:p>
            <w:pPr>
              <w:pStyle w:val="TableParagraph"/>
              <w:spacing w:line="6771"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4"/>
                <w:sz w:val="20"/>
                <w:szCs w:val="20"/>
              </w:rPr>
              <w:pict>
                <v:group style="width:41.95pt;height:338.6pt;mso-position-horizontal-relative:char;mso-position-vertical-relative:line" coordorigin="0,0" coordsize="839,6772">
                  <v:group style="position:absolute;left:0;top:0;width:839;height:6772" coordorigin="0,0" coordsize="839,6772">
                    <v:shape style="position:absolute;left:0;top:0;width:839;height:6772" coordorigin="0,0" coordsize="839,6772" path="m0,6771l839,6771,839,0,0,0,0,6771xe" filled="true" fillcolor="#ffffff" stroked="false">
                      <v:path arrowok="t"/>
                      <v:fill type="solid"/>
                    </v:shape>
                  </v:group>
                </v:group>
              </w:pict>
            </w:r>
            <w:r>
              <w:rPr>
                <w:rFonts w:ascii="Times New Roman" w:hAnsi="Times New Roman" w:cs="Times New Roman" w:eastAsia="Times New Roman" w:hint="default"/>
                <w:position w:val="-134"/>
                <w:sz w:val="20"/>
                <w:szCs w:val="20"/>
              </w:rPr>
            </w:r>
          </w:p>
        </w:tc>
        <w:tc>
          <w:tcPr>
            <w:tcW w:w="818" w:type="dxa"/>
            <w:vMerge w:val="restart"/>
            <w:tcBorders>
              <w:top w:val="single" w:sz="15" w:space="0" w:color="000000"/>
              <w:left w:val="single" w:sz="4" w:space="0" w:color="000000"/>
              <w:right w:val="single" w:sz="4" w:space="0" w:color="000000"/>
            </w:tcBorders>
          </w:tcPr>
          <w:p>
            <w:pPr/>
          </w:p>
        </w:tc>
        <w:tc>
          <w:tcPr>
            <w:tcW w:w="830" w:type="dxa"/>
            <w:tcBorders>
              <w:top w:val="single" w:sz="15" w:space="0" w:color="000000"/>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易预计的</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29"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78"/>
                <w:sz w:val="18"/>
                <w:szCs w:val="18"/>
              </w:rPr>
              <w:t>、</w:t>
            </w:r>
            <w:r>
              <w:rPr>
                <w:rFonts w:ascii="宋体" w:hAnsi="宋体" w:cs="宋体" w:eastAsia="宋体" w:hint="default"/>
                <w:sz w:val="18"/>
                <w:szCs w:val="18"/>
              </w:rPr>
              <w:t>自建店项目在</w:t>
            </w:r>
          </w:p>
        </w:tc>
        <w:tc>
          <w:tcPr>
            <w:tcW w:w="1135" w:type="dxa"/>
            <w:tcBorders>
              <w:top w:val="nil" w:sz="6" w:space="0" w:color="auto"/>
              <w:left w:val="single" w:sz="4" w:space="0" w:color="000000"/>
              <w:bottom w:val="nil" w:sz="6" w:space="0" w:color="auto"/>
              <w:right w:val="single" w:sz="13" w:space="0" w:color="FFFFFF"/>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商确定。</w:t>
            </w: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02" w:lineRule="exact"/>
              <w:ind w:left="11" w:right="0"/>
              <w:jc w:val="left"/>
              <w:rPr>
                <w:rFonts w:ascii="宋体" w:hAnsi="宋体" w:cs="宋体" w:eastAsia="宋体" w:hint="default"/>
                <w:sz w:val="18"/>
                <w:szCs w:val="18"/>
              </w:rPr>
            </w:pPr>
            <w:r>
              <w:rPr>
                <w:rFonts w:ascii="宋体" w:hAnsi="宋体" w:cs="宋体" w:eastAsia="宋体" w:hint="default"/>
                <w:sz w:val="18"/>
                <w:szCs w:val="18"/>
              </w:rPr>
              <w:t>税费、下同）</w:t>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进度款按照进度</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239"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内的各类土建项</w:t>
            </w:r>
          </w:p>
        </w:tc>
        <w:tc>
          <w:tcPr>
            <w:tcW w:w="1135" w:type="dxa"/>
            <w:tcBorders>
              <w:top w:val="nil" w:sz="6" w:space="0" w:color="auto"/>
              <w:left w:val="single" w:sz="4" w:space="0" w:color="000000"/>
              <w:bottom w:val="nil" w:sz="6" w:space="0" w:color="auto"/>
              <w:right w:val="single" w:sz="13" w:space="0" w:color="FFFFFF"/>
            </w:tcBorders>
          </w:tcPr>
          <w:p>
            <w:pP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20" w:lineRule="exact"/>
              <w:ind w:left="11" w:right="0"/>
              <w:jc w:val="left"/>
              <w:rPr>
                <w:rFonts w:ascii="宋体" w:hAnsi="宋体" w:cs="宋体" w:eastAsia="宋体" w:hint="default"/>
                <w:sz w:val="18"/>
                <w:szCs w:val="18"/>
              </w:rPr>
            </w:pPr>
            <w:r>
              <w:rPr>
                <w:rFonts w:ascii="宋体" w:hAnsi="宋体" w:cs="宋体" w:eastAsia="宋体" w:hint="default"/>
                <w:sz w:val="18"/>
                <w:szCs w:val="18"/>
              </w:rPr>
              <w:t>金额的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％予</w:t>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完工量确认，代</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目提供工程代建</w:t>
            </w:r>
          </w:p>
        </w:tc>
        <w:tc>
          <w:tcPr>
            <w:tcW w:w="1135" w:type="dxa"/>
            <w:tcBorders>
              <w:top w:val="nil" w:sz="6" w:space="0" w:color="auto"/>
              <w:left w:val="single" w:sz="4" w:space="0" w:color="000000"/>
              <w:bottom w:val="nil" w:sz="6" w:space="0" w:color="auto"/>
              <w:right w:val="single" w:sz="13" w:space="0" w:color="FFFFFF"/>
            </w:tcBorders>
          </w:tcPr>
          <w:p>
            <w:pP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02" w:lineRule="exact"/>
              <w:ind w:left="11" w:right="0"/>
              <w:jc w:val="left"/>
              <w:rPr>
                <w:rFonts w:ascii="宋体" w:hAnsi="宋体" w:cs="宋体" w:eastAsia="宋体" w:hint="default"/>
                <w:sz w:val="18"/>
                <w:szCs w:val="18"/>
              </w:rPr>
            </w:pPr>
            <w:r>
              <w:rPr>
                <w:rFonts w:ascii="宋体" w:hAnsi="宋体" w:cs="宋体" w:eastAsia="宋体" w:hint="default"/>
                <w:sz w:val="18"/>
                <w:szCs w:val="18"/>
              </w:rPr>
              <w:t>以支付；</w:t>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建方在每年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pacing w:val="32"/>
                <w:sz w:val="18"/>
                <w:szCs w:val="18"/>
              </w:rPr>
              <w:t>服务。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1135" w:type="dxa"/>
            <w:tcBorders>
              <w:top w:val="nil" w:sz="6" w:space="0" w:color="auto"/>
              <w:left w:val="single" w:sz="4" w:space="0" w:color="000000"/>
              <w:bottom w:val="nil" w:sz="6" w:space="0" w:color="auto"/>
              <w:right w:val="single" w:sz="13" w:space="0" w:color="FFFFFF"/>
            </w:tcBorders>
          </w:tcPr>
          <w:p>
            <w:pP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01" w:lineRule="exact"/>
              <w:ind w:left="11" w:right="-20"/>
              <w:jc w:val="left"/>
              <w:rPr>
                <w:rFonts w:ascii="宋体" w:hAnsi="宋体" w:cs="宋体" w:eastAsia="宋体" w:hint="default"/>
                <w:sz w:val="18"/>
                <w:szCs w:val="18"/>
              </w:rPr>
            </w:pPr>
            <w:r>
              <w:rPr>
                <w:rFonts w:ascii="宋体" w:hAnsi="宋体" w:cs="宋体" w:eastAsia="宋体" w:hint="default"/>
                <w:spacing w:val="35"/>
                <w:sz w:val="18"/>
                <w:szCs w:val="18"/>
              </w:rPr>
              <w:t>物流基地等</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月上报项目半</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年三年累计</w:t>
            </w:r>
          </w:p>
        </w:tc>
        <w:tc>
          <w:tcPr>
            <w:tcW w:w="1135" w:type="dxa"/>
            <w:tcBorders>
              <w:top w:val="nil" w:sz="6" w:space="0" w:color="auto"/>
              <w:left w:val="single" w:sz="4" w:space="0" w:color="000000"/>
              <w:bottom w:val="nil" w:sz="6" w:space="0" w:color="auto"/>
              <w:right w:val="single" w:sz="13" w:space="0" w:color="FFFFFF"/>
            </w:tcBorders>
          </w:tcPr>
          <w:p>
            <w:pP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02" w:lineRule="exact"/>
              <w:ind w:left="11" w:right="-20"/>
              <w:jc w:val="left"/>
              <w:rPr>
                <w:rFonts w:ascii="宋体" w:hAnsi="宋体" w:cs="宋体" w:eastAsia="宋体" w:hint="default"/>
                <w:sz w:val="18"/>
                <w:szCs w:val="18"/>
              </w:rPr>
            </w:pPr>
            <w:r>
              <w:rPr>
                <w:rFonts w:ascii="宋体" w:hAnsi="宋体" w:cs="宋体" w:eastAsia="宋体" w:hint="default"/>
                <w:spacing w:val="35"/>
                <w:sz w:val="18"/>
                <w:szCs w:val="18"/>
              </w:rPr>
              <w:t>其他自建项</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年度内完工量，</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34"/>
              <w:jc w:val="left"/>
              <w:rPr>
                <w:rFonts w:ascii="宋体" w:hAnsi="宋体" w:cs="宋体" w:eastAsia="宋体" w:hint="default"/>
                <w:sz w:val="18"/>
                <w:szCs w:val="18"/>
              </w:rPr>
            </w:pPr>
            <w:r>
              <w:rPr>
                <w:rFonts w:ascii="宋体" w:hAnsi="宋体" w:cs="宋体" w:eastAsia="宋体" w:hint="default"/>
                <w:spacing w:val="46"/>
                <w:sz w:val="18"/>
                <w:szCs w:val="18"/>
              </w:rPr>
              <w:t>发生额不超过</w:t>
            </w:r>
            <w:r>
              <w:rPr>
                <w:rFonts w:ascii="宋体" w:hAnsi="宋体" w:cs="宋体" w:eastAsia="宋体" w:hint="default"/>
                <w:spacing w:val="-34"/>
                <w:sz w:val="18"/>
                <w:szCs w:val="18"/>
              </w:rPr>
              <w:t> </w:t>
            </w:r>
            <w:r>
              <w:rPr>
                <w:rFonts w:ascii="宋体" w:hAnsi="宋体" w:cs="宋体" w:eastAsia="宋体" w:hint="default"/>
                <w:sz w:val="18"/>
                <w:szCs w:val="18"/>
              </w:rPr>
            </w:r>
          </w:p>
        </w:tc>
        <w:tc>
          <w:tcPr>
            <w:tcW w:w="1135" w:type="dxa"/>
            <w:tcBorders>
              <w:top w:val="nil" w:sz="6" w:space="0" w:color="auto"/>
              <w:left w:val="single" w:sz="4" w:space="0" w:color="000000"/>
              <w:bottom w:val="nil" w:sz="6" w:space="0" w:color="auto"/>
              <w:right w:val="single" w:sz="13" w:space="0" w:color="FFFFFF"/>
            </w:tcBorders>
          </w:tcPr>
          <w:p>
            <w:pP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02" w:lineRule="exact"/>
              <w:ind w:left="11" w:right="0"/>
              <w:jc w:val="left"/>
              <w:rPr>
                <w:rFonts w:ascii="宋体" w:hAnsi="宋体" w:cs="宋体" w:eastAsia="宋体" w:hint="default"/>
                <w:sz w:val="18"/>
                <w:szCs w:val="18"/>
              </w:rPr>
            </w:pPr>
            <w:r>
              <w:rPr>
                <w:rFonts w:ascii="宋体" w:hAnsi="宋体" w:cs="宋体" w:eastAsia="宋体" w:hint="default"/>
                <w:sz w:val="18"/>
                <w:szCs w:val="18"/>
              </w:rPr>
              <w:t>目：按单个项</w:t>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经委托方审核后</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35" w:type="dxa"/>
            <w:tcBorders>
              <w:top w:val="nil" w:sz="6" w:space="0" w:color="auto"/>
              <w:left w:val="single" w:sz="4" w:space="0" w:color="000000"/>
              <w:bottom w:val="nil" w:sz="6" w:space="0" w:color="auto"/>
              <w:right w:val="single" w:sz="13" w:space="0" w:color="FFFFFF"/>
            </w:tcBorders>
          </w:tcPr>
          <w:p>
            <w:pP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06" w:lineRule="exact"/>
              <w:ind w:left="11" w:right="-20"/>
              <w:jc w:val="left"/>
              <w:rPr>
                <w:rFonts w:ascii="宋体" w:hAnsi="宋体" w:cs="宋体" w:eastAsia="宋体" w:hint="default"/>
                <w:sz w:val="18"/>
                <w:szCs w:val="18"/>
              </w:rPr>
            </w:pPr>
            <w:r>
              <w:rPr>
                <w:rFonts w:ascii="宋体" w:hAnsi="宋体" w:cs="宋体" w:eastAsia="宋体" w:hint="default"/>
                <w:spacing w:val="35"/>
                <w:sz w:val="18"/>
                <w:szCs w:val="18"/>
              </w:rPr>
              <w:t>目建设总投</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按照核定完工量</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13" w:space="0" w:color="FFFFFF"/>
            </w:tcBorders>
          </w:tcPr>
          <w:p>
            <w:pP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02" w:lineRule="exact"/>
              <w:ind w:left="11" w:right="0"/>
              <w:jc w:val="left"/>
              <w:rPr>
                <w:rFonts w:ascii="宋体" w:hAnsi="宋体" w:cs="宋体" w:eastAsia="宋体" w:hint="default"/>
                <w:sz w:val="18"/>
                <w:szCs w:val="18"/>
              </w:rPr>
            </w:pPr>
            <w:r>
              <w:rPr>
                <w:rFonts w:ascii="宋体" w:hAnsi="宋体" w:cs="宋体" w:eastAsia="宋体" w:hint="default"/>
                <w:sz w:val="18"/>
                <w:szCs w:val="18"/>
              </w:rPr>
              <w:t>入 金 额  的</w:t>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pacing w:val="5"/>
                <w:sz w:val="18"/>
                <w:szCs w:val="18"/>
              </w:rPr>
              <w:t>费率</w:t>
            </w:r>
            <w:r>
              <w:rPr>
                <w:rFonts w:ascii="Times New Roman" w:hAnsi="Times New Roman" w:cs="Times New Roman" w:eastAsia="Times New Roman" w:hint="default"/>
                <w:spacing w:val="5"/>
                <w:sz w:val="18"/>
                <w:szCs w:val="18"/>
              </w:rPr>
              <w:t>*90%</w:t>
            </w:r>
            <w:r>
              <w:rPr>
                <w:rFonts w:ascii="Times New Roman" w:hAnsi="Times New Roman" w:cs="Times New Roman" w:eastAsia="Times New Roman" w:hint="default"/>
                <w:spacing w:val="-28"/>
                <w:sz w:val="18"/>
                <w:szCs w:val="18"/>
              </w:rPr>
              <w:t> </w:t>
            </w:r>
            <w:r>
              <w:rPr>
                <w:rFonts w:ascii="宋体" w:hAnsi="宋体" w:cs="宋体" w:eastAsia="宋体" w:hint="default"/>
                <w:spacing w:val="9"/>
                <w:sz w:val="18"/>
                <w:szCs w:val="18"/>
              </w:rPr>
              <w:t>的金</w:t>
            </w:r>
            <w:r>
              <w:rPr>
                <w:rFonts w:ascii="宋体" w:hAnsi="宋体" w:cs="宋体" w:eastAsia="宋体" w:hint="default"/>
                <w:spacing w:val="-72"/>
                <w:sz w:val="18"/>
                <w:szCs w:val="18"/>
              </w:rPr>
              <w:t> </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13" w:space="0" w:color="FFFFFF"/>
            </w:tcBorders>
          </w:tcPr>
          <w:p>
            <w:pP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15"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予 以</w:t>
            </w:r>
            <w:r>
              <w:rPr>
                <w:rFonts w:ascii="宋体" w:hAnsi="宋体" w:cs="宋体" w:eastAsia="宋体" w:hint="default"/>
                <w:spacing w:val="-62"/>
                <w:sz w:val="18"/>
                <w:szCs w:val="18"/>
              </w:rPr>
              <w:t> </w:t>
            </w:r>
            <w:r>
              <w:rPr>
                <w:rFonts w:ascii="宋体" w:hAnsi="宋体" w:cs="宋体" w:eastAsia="宋体" w:hint="default"/>
                <w:sz w:val="18"/>
                <w:szCs w:val="18"/>
              </w:rPr>
              <w:t>支</w:t>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额在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天内予以</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13" w:space="0" w:color="FFFFFF"/>
            </w:tcBorders>
          </w:tcPr>
          <w:p>
            <w:pPr/>
          </w:p>
        </w:tc>
        <w:tc>
          <w:tcPr>
            <w:tcW w:w="1135" w:type="dxa"/>
            <w:tcBorders>
              <w:top w:val="nil" w:sz="6" w:space="0" w:color="auto"/>
              <w:left w:val="single" w:sz="13" w:space="0" w:color="FFFFFF"/>
              <w:bottom w:val="nil" w:sz="6" w:space="0" w:color="auto"/>
              <w:right w:val="single" w:sz="4" w:space="0" w:color="000000"/>
            </w:tcBorders>
          </w:tcPr>
          <w:p>
            <w:pPr>
              <w:pStyle w:val="TableParagraph"/>
              <w:spacing w:line="202" w:lineRule="exact"/>
              <w:ind w:left="11" w:right="0"/>
              <w:jc w:val="left"/>
              <w:rPr>
                <w:rFonts w:ascii="宋体" w:hAnsi="宋体" w:cs="宋体" w:eastAsia="宋体" w:hint="default"/>
                <w:sz w:val="18"/>
                <w:szCs w:val="18"/>
              </w:rPr>
            </w:pPr>
            <w:r>
              <w:rPr>
                <w:rFonts w:ascii="宋体" w:hAnsi="宋体" w:cs="宋体" w:eastAsia="宋体" w:hint="default"/>
                <w:sz w:val="18"/>
                <w:szCs w:val="18"/>
              </w:rPr>
              <w:t>付。</w:t>
            </w: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支付。</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项目交付使用</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甲方验收合格之</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代建方上报项目</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宋体" w:hAnsi="宋体" w:cs="宋体" w:eastAsia="宋体" w:hint="default"/>
                <w:sz w:val="18"/>
                <w:szCs w:val="18"/>
              </w:rPr>
              <w:t>预</w:t>
            </w:r>
            <w:r>
              <w:rPr>
                <w:rFonts w:ascii="宋体" w:hAnsi="宋体" w:cs="宋体" w:eastAsia="宋体" w:hint="default"/>
                <w:spacing w:val="-44"/>
                <w:sz w:val="18"/>
                <w:szCs w:val="18"/>
              </w:rPr>
              <w:t> </w:t>
            </w:r>
            <w:r>
              <w:rPr>
                <w:rFonts w:ascii="宋体" w:hAnsi="宋体" w:cs="宋体" w:eastAsia="宋体" w:hint="default"/>
                <w:sz w:val="18"/>
                <w:szCs w:val="18"/>
              </w:rPr>
              <w:t>决</w:t>
            </w:r>
            <w:r>
              <w:rPr>
                <w:rFonts w:ascii="宋体" w:hAnsi="宋体" w:cs="宋体" w:eastAsia="宋体" w:hint="default"/>
                <w:spacing w:val="-44"/>
                <w:sz w:val="18"/>
                <w:szCs w:val="18"/>
              </w:rPr>
              <w:t> </w:t>
            </w:r>
            <w:r>
              <w:rPr>
                <w:rFonts w:ascii="宋体" w:hAnsi="宋体" w:cs="宋体" w:eastAsia="宋体" w:hint="default"/>
                <w:sz w:val="18"/>
                <w:szCs w:val="18"/>
              </w:rPr>
              <w:t>算</w:t>
            </w:r>
            <w:r>
              <w:rPr>
                <w:rFonts w:ascii="宋体" w:hAnsi="宋体" w:cs="宋体" w:eastAsia="宋体" w:hint="default"/>
                <w:spacing w:val="-44"/>
                <w:sz w:val="18"/>
                <w:szCs w:val="18"/>
              </w:rPr>
              <w:t> </w:t>
            </w:r>
            <w:r>
              <w:rPr>
                <w:rFonts w:ascii="宋体" w:hAnsi="宋体" w:cs="宋体" w:eastAsia="宋体" w:hint="default"/>
                <w:sz w:val="18"/>
                <w:szCs w:val="18"/>
              </w:rPr>
              <w:t>完</w:t>
            </w:r>
            <w:r>
              <w:rPr>
                <w:rFonts w:ascii="宋体" w:hAnsi="宋体" w:cs="宋体" w:eastAsia="宋体" w:hint="default"/>
                <w:spacing w:val="-43"/>
                <w:sz w:val="18"/>
                <w:szCs w:val="18"/>
              </w:rPr>
              <w:t> </w:t>
            </w:r>
            <w:r>
              <w:rPr>
                <w:rFonts w:ascii="宋体" w:hAnsi="宋体" w:cs="宋体" w:eastAsia="宋体" w:hint="default"/>
                <w:sz w:val="18"/>
                <w:szCs w:val="18"/>
              </w:rPr>
              <w:t>工</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量，经委托方审</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核后按照完工量</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对前期已</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付款进行清算，</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多退少补。</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工程项目决算</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后并取得产权证</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后，双方根据结</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算定案单金额重</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新计算调整代建</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服务费，并于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30</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1008"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1015"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日内进行最终清</w:t>
            </w:r>
          </w:p>
        </w:tc>
        <w:tc>
          <w:tcPr>
            <w:tcW w:w="850"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008"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80"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算。</w:t>
            </w:r>
          </w:p>
        </w:tc>
        <w:tc>
          <w:tcPr>
            <w:tcW w:w="850"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30" w:type="dxa"/>
            <w:tcBorders>
              <w:top w:val="nil" w:sz="6" w:space="0" w:color="auto"/>
              <w:left w:val="single" w:sz="4" w:space="0" w:color="000000"/>
              <w:bottom w:val="single" w:sz="4" w:space="0" w:color="000000"/>
              <w:right w:val="single" w:sz="4" w:space="0" w:color="000000"/>
            </w:tcBorders>
          </w:tcPr>
          <w:p>
            <w:pPr/>
          </w:p>
        </w:tc>
      </w:tr>
      <w:tr>
        <w:trPr>
          <w:trHeight w:val="242" w:hRule="exact"/>
        </w:trPr>
        <w:tc>
          <w:tcPr>
            <w:tcW w:w="100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江苏银河物</w:t>
            </w:r>
            <w:r>
              <w:rPr>
                <w:rFonts w:ascii="宋体" w:hAnsi="宋体" w:cs="宋体" w:eastAsia="宋体" w:hint="default"/>
                <w:sz w:val="18"/>
                <w:szCs w:val="18"/>
              </w:rPr>
            </w:r>
          </w:p>
        </w:tc>
        <w:tc>
          <w:tcPr>
            <w:tcW w:w="101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4"/>
                <w:sz w:val="18"/>
                <w:szCs w:val="18"/>
              </w:rPr>
              <w:t>苏宁置业集</w:t>
            </w:r>
            <w:r>
              <w:rPr>
                <w:rFonts w:ascii="宋体" w:hAnsi="宋体" w:cs="宋体" w:eastAsia="宋体" w:hint="default"/>
                <w:sz w:val="18"/>
                <w:szCs w:val="18"/>
              </w:rPr>
            </w:r>
          </w:p>
        </w:tc>
        <w:tc>
          <w:tcPr>
            <w:tcW w:w="8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1"/>
              <w:jc w:val="left"/>
              <w:rPr>
                <w:rFonts w:ascii="宋体" w:hAnsi="宋体" w:cs="宋体" w:eastAsia="宋体" w:hint="default"/>
                <w:sz w:val="18"/>
                <w:szCs w:val="18"/>
              </w:rPr>
            </w:pPr>
            <w:r>
              <w:rPr>
                <w:rFonts w:ascii="宋体" w:hAnsi="宋体" w:cs="宋体" w:eastAsia="宋体" w:hint="default"/>
                <w:spacing w:val="16"/>
                <w:sz w:val="18"/>
                <w:szCs w:val="18"/>
              </w:rPr>
              <w:t>接受关联</w:t>
            </w:r>
            <w:r>
              <w:rPr>
                <w:rFonts w:ascii="宋体" w:hAnsi="宋体" w:cs="宋体" w:eastAsia="宋体" w:hint="default"/>
                <w:spacing w:val="-68"/>
                <w:sz w:val="18"/>
                <w:szCs w:val="18"/>
              </w:rPr>
              <w:t> </w:t>
            </w:r>
            <w:r>
              <w:rPr>
                <w:rFonts w:ascii="宋体" w:hAnsi="宋体" w:cs="宋体" w:eastAsia="宋体" w:hint="default"/>
                <w:sz w:val="18"/>
                <w:szCs w:val="18"/>
              </w:rPr>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公司委托江苏银</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8"/>
                <w:sz w:val="18"/>
                <w:szCs w:val="18"/>
              </w:rPr>
              <w:t> </w:t>
            </w:r>
            <w:r>
              <w:rPr>
                <w:rFonts w:ascii="宋体" w:hAnsi="宋体" w:cs="宋体" w:eastAsia="宋体" w:hint="default"/>
                <w:spacing w:val="10"/>
                <w:sz w:val="18"/>
                <w:szCs w:val="18"/>
              </w:rPr>
              <w:t>东区</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10</w:t>
            </w:r>
          </w:p>
        </w:tc>
        <w:tc>
          <w:tcPr>
            <w:tcW w:w="855"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91" w:right="0"/>
              <w:jc w:val="left"/>
              <w:rPr>
                <w:rFonts w:ascii="Times New Roman" w:hAnsi="Times New Roman" w:cs="Times New Roman" w:eastAsia="Times New Roman" w:hint="default"/>
                <w:sz w:val="18"/>
                <w:szCs w:val="18"/>
              </w:rPr>
            </w:pPr>
            <w:r>
              <w:rPr>
                <w:rFonts w:ascii="Times New Roman"/>
                <w:sz w:val="18"/>
              </w:rPr>
              <w:t>5,554.37</w:t>
            </w:r>
          </w:p>
        </w:tc>
        <w:tc>
          <w:tcPr>
            <w:tcW w:w="845"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256" w:right="0"/>
              <w:jc w:val="left"/>
              <w:rPr>
                <w:rFonts w:ascii="Times New Roman" w:hAnsi="Times New Roman" w:cs="Times New Roman" w:eastAsia="Times New Roman" w:hint="default"/>
                <w:sz w:val="18"/>
                <w:szCs w:val="18"/>
              </w:rPr>
            </w:pPr>
            <w:r>
              <w:rPr>
                <w:rFonts w:ascii="Times New Roman"/>
                <w:sz w:val="18"/>
              </w:rPr>
              <w:t>79.52%</w:t>
            </w:r>
          </w:p>
        </w:tc>
        <w:tc>
          <w:tcPr>
            <w:tcW w:w="880"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352" w:right="0"/>
              <w:jc w:val="left"/>
              <w:rPr>
                <w:rFonts w:ascii="Times New Roman" w:hAnsi="Times New Roman" w:cs="Times New Roman" w:eastAsia="Times New Roman" w:hint="default"/>
                <w:sz w:val="18"/>
                <w:szCs w:val="18"/>
              </w:rPr>
            </w:pPr>
            <w:r>
              <w:rPr>
                <w:rFonts w:ascii="Times New Roman"/>
                <w:sz w:val="18"/>
              </w:rPr>
              <w:t>13,854</w:t>
            </w: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7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季度支付</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p>
        </w:tc>
        <w:tc>
          <w:tcPr>
            <w:tcW w:w="83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巨潮资讯</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30" w:hRule="exact"/>
        </w:trPr>
        <w:tc>
          <w:tcPr>
            <w:tcW w:w="100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业管理有限</w:t>
            </w:r>
            <w:r>
              <w:rPr>
                <w:rFonts w:ascii="宋体" w:hAnsi="宋体" w:cs="宋体" w:eastAsia="宋体" w:hint="default"/>
                <w:sz w:val="18"/>
                <w:szCs w:val="18"/>
              </w:rPr>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团子公司</w:t>
            </w:r>
          </w:p>
        </w:tc>
        <w:tc>
          <w:tcPr>
            <w:tcW w:w="844"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1"/>
              <w:jc w:val="left"/>
              <w:rPr>
                <w:rFonts w:ascii="宋体" w:hAnsi="宋体" w:cs="宋体" w:eastAsia="宋体" w:hint="default"/>
                <w:sz w:val="18"/>
                <w:szCs w:val="18"/>
              </w:rPr>
            </w:pPr>
            <w:r>
              <w:rPr>
                <w:rFonts w:ascii="宋体" w:hAnsi="宋体" w:cs="宋体" w:eastAsia="宋体" w:hint="default"/>
                <w:spacing w:val="16"/>
                <w:sz w:val="18"/>
                <w:szCs w:val="18"/>
              </w:rPr>
              <w:t>方提供服</w:t>
            </w:r>
            <w:r>
              <w:rPr>
                <w:rFonts w:ascii="宋体" w:hAnsi="宋体" w:cs="宋体" w:eastAsia="宋体" w:hint="default"/>
                <w:spacing w:val="-68"/>
                <w:sz w:val="18"/>
                <w:szCs w:val="18"/>
              </w:rPr>
              <w:t> </w:t>
            </w:r>
            <w:r>
              <w:rPr>
                <w:rFonts w:ascii="宋体" w:hAnsi="宋体" w:cs="宋体" w:eastAsia="宋体" w:hint="default"/>
                <w:sz w:val="18"/>
                <w:szCs w:val="18"/>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河物业负责徐庄</w:t>
            </w: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28"/>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pacing w:val="25"/>
                <w:sz w:val="18"/>
                <w:szCs w:val="18"/>
              </w:rPr>
              <w:t>平方</w:t>
            </w:r>
            <w:r>
              <w:rPr>
                <w:rFonts w:ascii="宋体" w:hAnsi="宋体" w:cs="宋体" w:eastAsia="宋体" w:hint="default"/>
                <w:spacing w:val="-39"/>
                <w:sz w:val="18"/>
                <w:szCs w:val="18"/>
              </w:rPr>
              <w:t> </w:t>
            </w:r>
            <w:r>
              <w:rPr>
                <w:rFonts w:ascii="宋体" w:hAnsi="宋体" w:cs="宋体" w:eastAsia="宋体" w:hint="default"/>
                <w:sz w:val="18"/>
                <w:szCs w:val="18"/>
              </w:rPr>
            </w:r>
          </w:p>
        </w:tc>
        <w:tc>
          <w:tcPr>
            <w:tcW w:w="85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224" w:hRule="exact"/>
        </w:trPr>
        <w:tc>
          <w:tcPr>
            <w:tcW w:w="10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12" w:type="dxa"/>
            <w:tcBorders>
              <w:top w:val="nil" w:sz="6" w:space="0" w:color="auto"/>
              <w:left w:val="single" w:sz="4" w:space="0" w:color="000000"/>
              <w:bottom w:val="nil" w:sz="6" w:space="0" w:color="auto"/>
              <w:right w:val="single" w:sz="4" w:space="0" w:color="000000"/>
            </w:tcBorders>
          </w:tcPr>
          <w:p>
            <w:pPr/>
          </w:p>
        </w:tc>
        <w:tc>
          <w:tcPr>
            <w:tcW w:w="84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总部园区的物业</w:t>
            </w: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米、西区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85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2015-004</w:t>
            </w:r>
          </w:p>
        </w:tc>
      </w:tr>
      <w:tr>
        <w:trPr>
          <w:trHeight w:val="233" w:hRule="exact"/>
        </w:trPr>
        <w:tc>
          <w:tcPr>
            <w:tcW w:w="1008"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84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管理服务</w:t>
            </w:r>
            <w:r>
              <w:rPr>
                <w:rFonts w:ascii="宋体" w:hAnsi="宋体" w:cs="宋体" w:eastAsia="宋体" w:hint="default"/>
                <w:spacing w:val="-78"/>
                <w:sz w:val="18"/>
                <w:szCs w:val="18"/>
              </w:rPr>
              <w:t>，</w:t>
            </w:r>
            <w:r>
              <w:rPr>
                <w:rFonts w:ascii="宋体" w:hAnsi="宋体" w:cs="宋体" w:eastAsia="宋体" w:hint="default"/>
                <w:sz w:val="18"/>
                <w:szCs w:val="18"/>
              </w:rPr>
              <w:t>服务内</w:t>
            </w: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月</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平方米，</w:t>
            </w:r>
            <w:r>
              <w:rPr>
                <w:rFonts w:ascii="宋体" w:hAnsi="宋体" w:cs="宋体" w:eastAsia="宋体" w:hint="default"/>
                <w:sz w:val="18"/>
                <w:szCs w:val="18"/>
              </w:rPr>
            </w:r>
          </w:p>
        </w:tc>
        <w:tc>
          <w:tcPr>
            <w:tcW w:w="85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《关于接</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33" w:hRule="exact"/>
        </w:trPr>
        <w:tc>
          <w:tcPr>
            <w:tcW w:w="1008"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84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容包括安全、</w:t>
            </w:r>
            <w:r>
              <w:rPr>
                <w:rFonts w:ascii="宋体" w:hAnsi="宋体" w:cs="宋体" w:eastAsia="宋体" w:hint="default"/>
                <w:spacing w:val="-71"/>
                <w:sz w:val="18"/>
                <w:szCs w:val="18"/>
              </w:rPr>
              <w:t> </w:t>
            </w:r>
            <w:r>
              <w:rPr>
                <w:rFonts w:ascii="宋体" w:hAnsi="宋体" w:cs="宋体" w:eastAsia="宋体" w:hint="default"/>
                <w:sz w:val="18"/>
                <w:szCs w:val="18"/>
              </w:rPr>
              <w:t>环</w:t>
            </w: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二期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c>
          <w:tcPr>
            <w:tcW w:w="85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受关联方</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28" w:hRule="exact"/>
        </w:trPr>
        <w:tc>
          <w:tcPr>
            <w:tcW w:w="1008"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84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78"/>
                <w:sz w:val="18"/>
                <w:szCs w:val="18"/>
              </w:rPr>
              <w:t>、</w:t>
            </w:r>
            <w:r>
              <w:rPr>
                <w:rFonts w:ascii="宋体" w:hAnsi="宋体" w:cs="宋体" w:eastAsia="宋体" w:hint="default"/>
                <w:sz w:val="18"/>
                <w:szCs w:val="18"/>
              </w:rPr>
              <w:t>设备的管理及</w:t>
            </w: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85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提供物业</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33" w:hRule="exact"/>
        </w:trPr>
        <w:tc>
          <w:tcPr>
            <w:tcW w:w="1008"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84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其他专项服务</w:t>
            </w:r>
            <w:r>
              <w:rPr>
                <w:rFonts w:ascii="宋体" w:hAnsi="宋体" w:cs="宋体" w:eastAsia="宋体" w:hint="default"/>
                <w:spacing w:val="-78"/>
                <w:sz w:val="18"/>
                <w:szCs w:val="18"/>
              </w:rPr>
              <w:t>。</w:t>
            </w:r>
            <w:r>
              <w:rPr>
                <w:rFonts w:ascii="宋体" w:hAnsi="宋体" w:cs="宋体" w:eastAsia="宋体" w:hint="default"/>
                <w:sz w:val="18"/>
                <w:szCs w:val="18"/>
              </w:rPr>
              <w:t>物</w:t>
            </w: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服务的关</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33" w:hRule="exact"/>
        </w:trPr>
        <w:tc>
          <w:tcPr>
            <w:tcW w:w="1008"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84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业服务期限为三</w:t>
            </w: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联交易公</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52" w:hRule="exact"/>
        </w:trPr>
        <w:tc>
          <w:tcPr>
            <w:tcW w:w="1008"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84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年，自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233" w:hRule="exact"/>
        </w:trPr>
        <w:tc>
          <w:tcPr>
            <w:tcW w:w="1008"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
        </w:tc>
        <w:tc>
          <w:tcPr>
            <w:tcW w:w="84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p>
        </w:tc>
        <w:tc>
          <w:tcPr>
            <w:tcW w:w="113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008"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
        </w:tc>
        <w:tc>
          <w:tcPr>
            <w:tcW w:w="84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nil" w:sz="6" w:space="0" w:color="auto"/>
              <w:left w:val="single" w:sz="4" w:space="0" w:color="000000"/>
              <w:bottom w:val="single" w:sz="4" w:space="0" w:color="000000"/>
              <w:right w:val="single" w:sz="4" w:space="0" w:color="000000"/>
            </w:tcBorders>
          </w:tcPr>
          <w:p>
            <w:pPr/>
          </w:p>
        </w:tc>
        <w:tc>
          <w:tcPr>
            <w:tcW w:w="855"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880"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830"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7"/>
        <w:rPr>
          <w:rFonts w:ascii="Times New Roman" w:hAnsi="Times New Roman" w:cs="Times New Roman" w:eastAsia="Times New Roman" w:hint="default"/>
          <w:sz w:val="6"/>
          <w:szCs w:val="6"/>
        </w:rPr>
      </w:pPr>
    </w:p>
    <w:p>
      <w:pPr>
        <w:spacing w:line="701" w:lineRule="exact"/>
        <w:ind w:left="439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6.3pt;height:35.1pt;mso-position-horizontal-relative:char;mso-position-vertical-relative:line" coordorigin="0,0" coordsize="1126,702">
            <v:group style="position:absolute;left:0;top:0;width:1126;height:702" coordorigin="0,0" coordsize="1126,702">
              <v:shape style="position:absolute;left:0;top:0;width:1126;height:702" coordorigin="0,0" coordsize="1126,702" path="m0,701l1126,701,1126,0,0,0,0,701xe" filled="true" fillcolor="#ffffff" stroked="false">
                <v:path arrowok="t"/>
                <v:fill type="solid"/>
              </v:shape>
            </v:group>
          </v:group>
        </w:pict>
      </w:r>
      <w:r>
        <w:rPr>
          <w:rFonts w:ascii="Times New Roman" w:hAnsi="Times New Roman" w:cs="Times New Roman" w:eastAsia="Times New Roman" w:hint="default"/>
          <w:position w:val="-1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before="44"/>
        <w:ind w:left="0" w:right="1349" w:firstLine="0"/>
        <w:jc w:val="right"/>
        <w:rPr>
          <w:rFonts w:ascii="宋体" w:hAnsi="宋体" w:cs="宋体" w:eastAsia="宋体" w:hint="default"/>
          <w:sz w:val="18"/>
          <w:szCs w:val="18"/>
        </w:rPr>
      </w:pPr>
      <w:r>
        <w:rPr/>
        <w:pict>
          <v:shape style="position:absolute;margin-left:70.379997pt;margin-top:-139.828293pt;width:701.5pt;height:179.5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8"/>
                    <w:gridCol w:w="1012"/>
                    <w:gridCol w:w="844"/>
                    <w:gridCol w:w="1418"/>
                    <w:gridCol w:w="1135"/>
                    <w:gridCol w:w="1135"/>
                    <w:gridCol w:w="855"/>
                    <w:gridCol w:w="845"/>
                    <w:gridCol w:w="880"/>
                    <w:gridCol w:w="1015"/>
                    <w:gridCol w:w="1370"/>
                    <w:gridCol w:w="850"/>
                    <w:gridCol w:w="818"/>
                    <w:gridCol w:w="830"/>
                  </w:tblGrid>
                  <w:tr>
                    <w:trPr>
                      <w:trHeight w:val="725" w:hRule="exact"/>
                    </w:trPr>
                    <w:tc>
                      <w:tcPr>
                        <w:tcW w:w="1008" w:type="dxa"/>
                        <w:tcBorders>
                          <w:top w:val="single" w:sz="15" w:space="0" w:color="000000"/>
                          <w:left w:val="single" w:sz="4" w:space="0" w:color="000000"/>
                          <w:bottom w:val="single" w:sz="4" w:space="0" w:color="000000"/>
                          <w:right w:val="single" w:sz="4" w:space="0" w:color="000000"/>
                        </w:tcBorders>
                      </w:tcPr>
                      <w:p>
                        <w:pPr/>
                      </w:p>
                    </w:tc>
                    <w:tc>
                      <w:tcPr>
                        <w:tcW w:w="1012"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服务期限内公司</w:t>
                        </w:r>
                      </w:p>
                      <w:p>
                        <w:pPr>
                          <w:pStyle w:val="TableParagraph"/>
                          <w:spacing w:line="234" w:lineRule="exact" w:before="22"/>
                          <w:ind w:left="23" w:right="22"/>
                          <w:jc w:val="left"/>
                          <w:rPr>
                            <w:rFonts w:ascii="宋体" w:hAnsi="宋体" w:cs="宋体" w:eastAsia="宋体" w:hint="default"/>
                            <w:sz w:val="18"/>
                            <w:szCs w:val="18"/>
                          </w:rPr>
                        </w:pPr>
                        <w:r>
                          <w:rPr>
                            <w:rFonts w:ascii="宋体" w:hAnsi="宋体" w:cs="宋体" w:eastAsia="宋体" w:hint="default"/>
                            <w:spacing w:val="13"/>
                            <w:sz w:val="18"/>
                            <w:szCs w:val="18"/>
                          </w:rPr>
                          <w:t>需支付物业服务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费共</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13,854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w:t>
                        </w:r>
                      </w:p>
                    </w:tc>
                    <w:tc>
                      <w:tcPr>
                        <w:tcW w:w="1135" w:type="dxa"/>
                        <w:tcBorders>
                          <w:top w:val="single" w:sz="15" w:space="0" w:color="000000"/>
                          <w:left w:val="single" w:sz="4" w:space="0" w:color="000000"/>
                          <w:bottom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35" w:type="dxa"/>
                        <w:tcBorders>
                          <w:top w:val="single" w:sz="15" w:space="0" w:color="000000"/>
                          <w:left w:val="single" w:sz="4" w:space="0" w:color="000000"/>
                          <w:bottom w:val="single" w:sz="9" w:space="0" w:color="D2D2D2"/>
                          <w:right w:val="single" w:sz="4" w:space="0" w:color="000000"/>
                        </w:tcBorders>
                      </w:tcPr>
                      <w:p>
                        <w:pPr/>
                      </w:p>
                    </w:tc>
                    <w:tc>
                      <w:tcPr>
                        <w:tcW w:w="855" w:type="dxa"/>
                        <w:tcBorders>
                          <w:top w:val="single" w:sz="15" w:space="0" w:color="000000"/>
                          <w:left w:val="single" w:sz="4" w:space="0" w:color="000000"/>
                          <w:bottom w:val="single" w:sz="4" w:space="0" w:color="000000"/>
                          <w:right w:val="single" w:sz="4" w:space="0" w:color="000000"/>
                        </w:tcBorders>
                      </w:tcPr>
                      <w:p>
                        <w:pPr/>
                      </w:p>
                    </w:tc>
                    <w:tc>
                      <w:tcPr>
                        <w:tcW w:w="845" w:type="dxa"/>
                        <w:tcBorders>
                          <w:top w:val="single" w:sz="15" w:space="0" w:color="000000"/>
                          <w:left w:val="single" w:sz="4" w:space="0" w:color="000000"/>
                          <w:bottom w:val="single" w:sz="4" w:space="0" w:color="000000"/>
                          <w:right w:val="single" w:sz="4" w:space="0" w:color="000000"/>
                        </w:tcBorders>
                      </w:tcPr>
                      <w:p>
                        <w:pPr/>
                      </w:p>
                    </w:tc>
                    <w:tc>
                      <w:tcPr>
                        <w:tcW w:w="880" w:type="dxa"/>
                        <w:tcBorders>
                          <w:top w:val="single" w:sz="15" w:space="0" w:color="000000"/>
                          <w:left w:val="single" w:sz="4" w:space="0" w:color="000000"/>
                          <w:bottom w:val="single" w:sz="4" w:space="0" w:color="000000"/>
                          <w:right w:val="single" w:sz="4" w:space="0" w:color="000000"/>
                        </w:tcBorders>
                      </w:tcPr>
                      <w:p>
                        <w:pPr/>
                      </w:p>
                    </w:tc>
                    <w:tc>
                      <w:tcPr>
                        <w:tcW w:w="1015" w:type="dxa"/>
                        <w:tcBorders>
                          <w:top w:val="single" w:sz="15" w:space="0" w:color="000000"/>
                          <w:left w:val="single" w:sz="4" w:space="0" w:color="000000"/>
                          <w:bottom w:val="single" w:sz="9" w:space="0" w:color="D2D2D2"/>
                          <w:right w:val="single" w:sz="4" w:space="0" w:color="000000"/>
                        </w:tcBorders>
                      </w:tcPr>
                      <w:p>
                        <w:pPr/>
                      </w:p>
                    </w:tc>
                    <w:tc>
                      <w:tcPr>
                        <w:tcW w:w="1370" w:type="dxa"/>
                        <w:tcBorders>
                          <w:top w:val="single" w:sz="15" w:space="0" w:color="000000"/>
                          <w:left w:val="single" w:sz="4" w:space="0" w:color="000000"/>
                          <w:bottom w:val="single" w:sz="9" w:space="0" w:color="D2D2D2"/>
                          <w:right w:val="single" w:sz="4" w:space="0" w:color="000000"/>
                        </w:tcBorders>
                      </w:tcPr>
                      <w:p>
                        <w:pPr/>
                      </w:p>
                    </w:tc>
                    <w:tc>
                      <w:tcPr>
                        <w:tcW w:w="850" w:type="dxa"/>
                        <w:tcBorders>
                          <w:top w:val="single" w:sz="15" w:space="0" w:color="000000"/>
                          <w:left w:val="single" w:sz="4" w:space="0" w:color="000000"/>
                          <w:bottom w:val="single" w:sz="9" w:space="0" w:color="D2D2D2"/>
                          <w:right w:val="single" w:sz="4" w:space="0" w:color="000000"/>
                        </w:tcBorders>
                      </w:tcPr>
                      <w:p>
                        <w:pPr/>
                      </w:p>
                    </w:tc>
                    <w:tc>
                      <w:tcPr>
                        <w:tcW w:w="818" w:type="dxa"/>
                        <w:tcBorders>
                          <w:top w:val="single" w:sz="15" w:space="0" w:color="000000"/>
                          <w:left w:val="single" w:sz="4" w:space="0" w:color="000000"/>
                          <w:bottom w:val="single" w:sz="9" w:space="0" w:color="D2D2D2"/>
                          <w:right w:val="single" w:sz="4" w:space="0" w:color="000000"/>
                        </w:tcBorders>
                      </w:tcPr>
                      <w:p>
                        <w:pPr/>
                      </w:p>
                    </w:tc>
                    <w:tc>
                      <w:tcPr>
                        <w:tcW w:w="830" w:type="dxa"/>
                        <w:tcBorders>
                          <w:top w:val="single" w:sz="15" w:space="0" w:color="000000"/>
                          <w:left w:val="single" w:sz="4" w:space="0" w:color="000000"/>
                          <w:bottom w:val="single" w:sz="9" w:space="0" w:color="D2D2D2"/>
                          <w:right w:val="single" w:sz="4" w:space="0" w:color="000000"/>
                        </w:tcBorders>
                      </w:tcPr>
                      <w:p>
                        <w:pPr/>
                      </w:p>
                    </w:tc>
                  </w:tr>
                  <w:tr>
                    <w:trPr>
                      <w:trHeight w:val="237" w:hRule="exact"/>
                    </w:trPr>
                    <w:tc>
                      <w:tcPr>
                        <w:tcW w:w="42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02" w:lineRule="exact"/>
                          <w:ind w:left="179" w:right="0"/>
                          <w:jc w:val="left"/>
                          <w:rPr>
                            <w:rFonts w:ascii="Times New Roman" w:hAnsi="Times New Roman" w:cs="Times New Roman" w:eastAsia="Times New Roman" w:hint="default"/>
                            <w:sz w:val="18"/>
                            <w:szCs w:val="18"/>
                          </w:rPr>
                        </w:pPr>
                        <w:r>
                          <w:rPr>
                            <w:rFonts w:ascii="Times New Roman"/>
                            <w:sz w:val="18"/>
                          </w:rPr>
                          <w:t>6,985.00</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4" w:space="0" w:color="000000"/>
                          <w:bottom w:val="single" w:sz="4" w:space="0" w:color="000000"/>
                          <w:right w:val="single" w:sz="13" w:space="0" w:color="D2D2D2"/>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53,854.00</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r>
                  <w:tr>
                    <w:trPr>
                      <w:trHeight w:val="250" w:hRule="exact"/>
                    </w:trPr>
                    <w:tc>
                      <w:tcPr>
                        <w:tcW w:w="42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9733" w:type="dxa"/>
                        <w:gridSpan w:val="10"/>
                        <w:tcBorders>
                          <w:top w:val="single" w:sz="11" w:space="0" w:color="D2D2D2"/>
                          <w:left w:val="single" w:sz="13" w:space="0" w:color="D2D2D2"/>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822" w:hRule="exact"/>
                    </w:trPr>
                    <w:tc>
                      <w:tcPr>
                        <w:tcW w:w="42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9733" w:type="dxa"/>
                        <w:gridSpan w:val="10"/>
                        <w:vMerge w:val="restart"/>
                        <w:tcBorders>
                          <w:top w:val="single" w:sz="4" w:space="0" w:color="000000"/>
                          <w:left w:val="single" w:sz="9" w:space="0" w:color="D2D2D2"/>
                          <w:right w:val="single" w:sz="4" w:space="0" w:color="000000"/>
                        </w:tcBorders>
                      </w:tcPr>
                      <w:p>
                        <w:pPr>
                          <w:pStyle w:val="TableParagraph"/>
                          <w:spacing w:line="211"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、经公司第四届董事会第二十三次会议审议通过，同意公司委托苏宁置业集团有限公司及其下属子公司为公司、下属分公</w:t>
                        </w:r>
                      </w:p>
                      <w:p>
                        <w:pPr>
                          <w:pStyle w:val="TableParagraph"/>
                          <w:spacing w:line="225" w:lineRule="auto" w:before="5"/>
                          <w:ind w:left="16" w:right="23"/>
                          <w:jc w:val="left"/>
                          <w:rPr>
                            <w:rFonts w:ascii="宋体" w:hAnsi="宋体" w:cs="宋体" w:eastAsia="宋体" w:hint="default"/>
                            <w:sz w:val="18"/>
                            <w:szCs w:val="18"/>
                          </w:rPr>
                        </w:pPr>
                        <w:r>
                          <w:rPr>
                            <w:rFonts w:ascii="宋体" w:hAnsi="宋体" w:cs="宋体" w:eastAsia="宋体" w:hint="default"/>
                            <w:sz w:val="18"/>
                            <w:szCs w:val="18"/>
                          </w:rPr>
                          <w:t>司及控股子公司实施的包括各地物流基地、自建店项目在内的各类土建项目提供工程代建服务。</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年三年累计 发生额不超过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年公司累计支付代建服务款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9,409.88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、经公司第五届董事会第十八次会议审议通过，同意公司继续委托苏宁置业及其下属子公司为公司及下属分、子公司实施 的包括各地物流基地、自建店项目在内的各类土建项目提供工程代建服务。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年三年累计发生额不超过</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年，公司累计支付工程代建服务款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3</w:t>
                        </w:r>
                        <w:r>
                          <w:rPr>
                            <w:rFonts w:ascii="宋体" w:hAnsi="宋体" w:cs="宋体" w:eastAsia="宋体" w:hint="default"/>
                            <w:sz w:val="18"/>
                            <w:szCs w:val="18"/>
                          </w:rPr>
                          <w:t>、经公司第五届董事会第十七次会议审议通过，公司及子公司委托江苏银河物业负责徐庄总部园区的物业管理服务，服务 </w:t>
                        </w:r>
                        <w:r>
                          <w:rPr>
                            <w:rFonts w:ascii="宋体" w:hAnsi="宋体" w:cs="宋体" w:eastAsia="宋体" w:hint="default"/>
                            <w:spacing w:val="-4"/>
                            <w:sz w:val="18"/>
                            <w:szCs w:val="18"/>
                          </w:rPr>
                          <w:t>内容包括安全、环境、设备的管理及其他专项服务。</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年物业费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年，合计支付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13,854</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由于公司总部外租户调整，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年公司支付物业服务费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5,554.37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67" w:hRule="exact"/>
                    </w:trPr>
                    <w:tc>
                      <w:tcPr>
                        <w:tcW w:w="428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的，在报告期内的实际履行情况（如有）</w:t>
                        </w:r>
                      </w:p>
                    </w:tc>
                    <w:tc>
                      <w:tcPr>
                        <w:tcW w:w="9733" w:type="dxa"/>
                        <w:gridSpan w:val="10"/>
                        <w:vMerge/>
                        <w:tcBorders>
                          <w:left w:val="single" w:sz="9" w:space="0" w:color="D2D2D2"/>
                          <w:right w:val="single" w:sz="4" w:space="0" w:color="000000"/>
                        </w:tcBorders>
                      </w:tcPr>
                      <w:p>
                        <w:pPr/>
                      </w:p>
                    </w:tc>
                  </w:tr>
                  <w:tr>
                    <w:trPr>
                      <w:trHeight w:val="822" w:hRule="exact"/>
                    </w:trPr>
                    <w:tc>
                      <w:tcPr>
                        <w:tcW w:w="42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9733" w:type="dxa"/>
                        <w:gridSpan w:val="10"/>
                        <w:vMerge/>
                        <w:tcBorders>
                          <w:left w:val="single" w:sz="9" w:space="0" w:color="D2D2D2"/>
                          <w:bottom w:val="single" w:sz="4" w:space="0" w:color="000000"/>
                          <w:right w:val="single" w:sz="4" w:space="0" w:color="000000"/>
                        </w:tcBorders>
                      </w:tcPr>
                      <w:p>
                        <w:pPr/>
                      </w:p>
                    </w:tc>
                  </w:tr>
                  <w:tr>
                    <w:trPr>
                      <w:trHeight w:val="244" w:hRule="exact"/>
                    </w:trPr>
                    <w:tc>
                      <w:tcPr>
                        <w:tcW w:w="42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973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67" w:footer="979" w:top="1060" w:bottom="1160" w:left="1300" w:right="0"/>
        </w:sectPr>
      </w:pPr>
    </w:p>
    <w:p>
      <w:pPr>
        <w:pStyle w:val="Heading4"/>
        <w:spacing w:line="240" w:lineRule="auto" w:before="31"/>
        <w:ind w:left="140" w:right="0"/>
        <w:jc w:val="left"/>
        <w:rPr>
          <w:b w:val="0"/>
          <w:bCs w:val="0"/>
        </w:rPr>
      </w:pPr>
      <w:r>
        <w:rPr>
          <w:w w:val="95"/>
        </w:rPr>
        <w:t>（</w:t>
      </w:r>
      <w:r>
        <w:rPr>
          <w:rFonts w:ascii="Times New Roman" w:hAnsi="Times New Roman" w:cs="Times New Roman" w:eastAsia="Times New Roman" w:hint="default"/>
          <w:w w:val="95"/>
        </w:rPr>
        <w:t>2</w:t>
      </w:r>
      <w:r>
        <w:rPr>
          <w:w w:val="95"/>
        </w:rPr>
        <w:t>）物业租赁</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4"/>
          <w:szCs w:val="14"/>
        </w:rPr>
      </w:pPr>
    </w:p>
    <w:p>
      <w:pPr>
        <w:spacing w:before="0"/>
        <w:ind w:left="140" w:right="0" w:firstLine="0"/>
        <w:jc w:val="left"/>
        <w:rPr>
          <w:rFonts w:ascii="宋体" w:hAnsi="宋体" w:cs="宋体" w:eastAsia="宋体" w:hint="default"/>
          <w:sz w:val="18"/>
          <w:szCs w:val="18"/>
        </w:rPr>
      </w:pPr>
      <w:r>
        <w:rPr/>
        <w:pict>
          <v:shape style="position:absolute;margin-left:548.140015pt;margin-top:76.331718pt;width:43.4pt;height:178.9pt;mso-position-horizontal-relative:page;mso-position-vertical-relative:paragraph;z-index:-1831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月。</w:t>
                  </w:r>
                </w:p>
              </w:txbxContent>
            </v:textbox>
            <w10:wrap type="none"/>
          </v:shape>
        </w:pict>
      </w:r>
      <w:r>
        <w:rPr/>
        <w:pict>
          <v:group style="position:absolute;margin-left:117.779999pt;margin-top:99.671722pt;width:46.6pt;height:155.550pt;mso-position-horizontal-relative:page;mso-position-vertical-relative:paragraph;z-index:-1831816" coordorigin="2356,1993" coordsize="932,3111">
            <v:shape style="position:absolute;left:2356;top:1993;width:932;height:3111" coordorigin="2356,1993" coordsize="932,3111" path="m2356,5104l3287,5104,3287,1993,2356,1993,2356,5104xe" filled="true" fillcolor="#ffffff" stroked="false">
              <v:path arrowok="t"/>
              <v:fill type="solid"/>
            </v:shape>
            <w10:wrap type="none"/>
          </v:group>
        </w:pict>
      </w:r>
      <w:r>
        <w:rPr/>
        <w:pict>
          <v:group style="position:absolute;margin-left:563.200012pt;margin-top:76.331718pt;width:28.35pt;height:178.9pt;mso-position-horizontal-relative:page;mso-position-vertical-relative:paragraph;z-index:-1831792" coordorigin="11264,1527" coordsize="567,3578">
            <v:shape style="position:absolute;left:11264;top:1527;width:567;height:3578" coordorigin="11264,1527" coordsize="567,3578" path="m11264,5104l11830,5104,11830,1527,11264,1527,11264,5104xe" filled="true" fillcolor="#ffffff" stroked="false">
              <v:path arrowok="t"/>
              <v:fill type="solid"/>
            </v:shape>
            <w10:wrap type="none"/>
          </v:group>
        </w:pict>
      </w: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1060" w:bottom="1160" w:left="1300" w:right="0"/>
          <w:cols w:num="2" w:equalWidth="0">
            <w:col w:w="1576" w:space="11484"/>
            <w:col w:w="2480"/>
          </w:cols>
        </w:sectPr>
      </w:pPr>
    </w:p>
    <w:p>
      <w:pPr>
        <w:spacing w:line="240" w:lineRule="auto" w:before="11"/>
        <w:rPr>
          <w:rFonts w:ascii="宋体" w:hAnsi="宋体" w:cs="宋体" w:eastAsia="宋体" w:hint="default"/>
          <w:sz w:val="6"/>
          <w:szCs w:val="6"/>
        </w:rPr>
      </w:pPr>
      <w:r>
        <w:rPr/>
        <w:pict>
          <v:shape style="position:absolute;margin-left:269.837006pt;margin-top:57.180008pt;width:71.45pt;height:35.1pt;mso-position-horizontal-relative:page;mso-position-vertical-relative:page;z-index:-18318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54"/>
        <w:gridCol w:w="2015"/>
        <w:gridCol w:w="854"/>
        <w:gridCol w:w="1055"/>
        <w:gridCol w:w="832"/>
        <w:gridCol w:w="944"/>
        <w:gridCol w:w="1313"/>
        <w:gridCol w:w="577"/>
        <w:gridCol w:w="1104"/>
        <w:gridCol w:w="785"/>
        <w:gridCol w:w="760"/>
        <w:gridCol w:w="942"/>
      </w:tblGrid>
      <w:tr>
        <w:trPr>
          <w:trHeight w:val="95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373" w:right="10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286" w:right="11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62" w:right="60"/>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432" w:right="71"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50" w:right="49"/>
              <w:jc w:val="left"/>
              <w:rPr>
                <w:rFonts w:ascii="宋体" w:hAnsi="宋体" w:cs="宋体" w:eastAsia="宋体" w:hint="default"/>
                <w:sz w:val="18"/>
                <w:szCs w:val="18"/>
              </w:rPr>
            </w:pPr>
            <w:r>
              <w:rPr>
                <w:rFonts w:ascii="宋体" w:hAnsi="宋体" w:cs="宋体" w:eastAsia="宋体" w:hint="default"/>
                <w:sz w:val="18"/>
                <w:szCs w:val="18"/>
              </w:rPr>
              <w:t>关联交易 支付金额</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6" w:right="107"/>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561" w:right="109" w:hanging="450"/>
              <w:jc w:val="left"/>
              <w:rPr>
                <w:rFonts w:ascii="宋体" w:hAnsi="宋体" w:cs="宋体" w:eastAsia="宋体" w:hint="default"/>
                <w:sz w:val="18"/>
                <w:szCs w:val="18"/>
              </w:rPr>
            </w:pPr>
            <w:r>
              <w:rPr>
                <w:rFonts w:ascii="宋体" w:hAnsi="宋体" w:cs="宋体" w:eastAsia="宋体" w:hint="default"/>
                <w:sz w:val="18"/>
                <w:szCs w:val="18"/>
              </w:rPr>
              <w:t>获批的交易额 度</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z w:val="18"/>
                <w:szCs w:val="18"/>
              </w:rPr>
              <w:t>超过 获批 额度</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275" w:right="96"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26"/>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284" w:right="10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22" w:hRule="exact"/>
        </w:trPr>
        <w:tc>
          <w:tcPr>
            <w:tcW w:w="937" w:type="dxa"/>
            <w:tcBorders>
              <w:top w:val="single" w:sz="4" w:space="0" w:color="000000"/>
              <w:left w:val="single" w:sz="4" w:space="0" w:color="000000"/>
              <w:bottom w:val="single" w:sz="4" w:space="0" w:color="000000"/>
              <w:right w:val="single" w:sz="9" w:space="0" w:color="FFFFFF"/>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40"/>
                <w:sz w:val="18"/>
                <w:szCs w:val="18"/>
              </w:rPr>
              <w:t>成都鸿业</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7" w:lineRule="auto"/>
              <w:ind w:left="22" w:right="-38"/>
              <w:jc w:val="both"/>
              <w:rPr>
                <w:rFonts w:ascii="宋体" w:hAnsi="宋体" w:cs="宋体" w:eastAsia="宋体" w:hint="default"/>
                <w:sz w:val="18"/>
                <w:szCs w:val="18"/>
              </w:rPr>
            </w:pPr>
            <w:r>
              <w:rPr>
                <w:rFonts w:ascii="宋体" w:hAnsi="宋体" w:cs="宋体" w:eastAsia="宋体" w:hint="default"/>
                <w:spacing w:val="40"/>
                <w:sz w:val="18"/>
                <w:szCs w:val="18"/>
              </w:rPr>
              <w:t>置业有限</w:t>
            </w:r>
            <w:r>
              <w:rPr>
                <w:rFonts w:ascii="宋体" w:hAnsi="宋体" w:cs="宋体" w:eastAsia="宋体" w:hint="default"/>
                <w:spacing w:val="-36"/>
                <w:sz w:val="18"/>
                <w:szCs w:val="18"/>
              </w:rPr>
              <w:t> </w:t>
            </w:r>
            <w:r>
              <w:rPr>
                <w:rFonts w:ascii="宋体" w:hAnsi="宋体" w:cs="宋体" w:eastAsia="宋体" w:hint="default"/>
                <w:spacing w:val="40"/>
                <w:sz w:val="18"/>
                <w:szCs w:val="18"/>
              </w:rPr>
              <w:t>公司苏宁</w:t>
            </w:r>
            <w:r>
              <w:rPr>
                <w:rFonts w:ascii="宋体" w:hAnsi="宋体" w:cs="宋体" w:eastAsia="宋体" w:hint="default"/>
                <w:spacing w:val="-36"/>
                <w:sz w:val="18"/>
                <w:szCs w:val="18"/>
              </w:rPr>
              <w:t> </w:t>
            </w:r>
            <w:r>
              <w:rPr>
                <w:rFonts w:ascii="宋体" w:hAnsi="宋体" w:cs="宋体" w:eastAsia="宋体" w:hint="default"/>
                <w:spacing w:val="40"/>
                <w:sz w:val="18"/>
                <w:szCs w:val="18"/>
              </w:rPr>
              <w:t>广场购物</w:t>
            </w:r>
            <w:r>
              <w:rPr>
                <w:rFonts w:ascii="宋体" w:hAnsi="宋体" w:cs="宋体" w:eastAsia="宋体" w:hint="default"/>
                <w:spacing w:val="-36"/>
                <w:sz w:val="18"/>
                <w:szCs w:val="18"/>
              </w:rPr>
              <w:t> </w:t>
            </w:r>
            <w:r>
              <w:rPr>
                <w:rFonts w:ascii="宋体" w:hAnsi="宋体" w:cs="宋体" w:eastAsia="宋体" w:hint="default"/>
                <w:sz w:val="18"/>
                <w:szCs w:val="18"/>
              </w:rPr>
              <w:t>分公司</w:t>
            </w:r>
          </w:p>
        </w:tc>
        <w:tc>
          <w:tcPr>
            <w:tcW w:w="942" w:type="dxa"/>
            <w:tcBorders>
              <w:top w:val="single" w:sz="4" w:space="0" w:color="000000"/>
              <w:left w:val="single" w:sz="9" w:space="0" w:color="FFFFFF"/>
              <w:bottom w:val="single" w:sz="4" w:space="0" w:color="000000"/>
              <w:right w:val="single" w:sz="9" w:space="0" w:color="FFFFFF"/>
            </w:tcBorders>
          </w:tcPr>
          <w:p>
            <w:pPr>
              <w:pStyle w:val="TableParagraph"/>
              <w:spacing w:line="205" w:lineRule="exact"/>
              <w:ind w:left="17" w:right="-39"/>
              <w:jc w:val="left"/>
              <w:rPr>
                <w:rFonts w:ascii="宋体" w:hAnsi="宋体" w:cs="宋体" w:eastAsia="宋体" w:hint="default"/>
                <w:sz w:val="18"/>
                <w:szCs w:val="18"/>
              </w:rPr>
            </w:pPr>
            <w:r>
              <w:rPr>
                <w:rFonts w:ascii="宋体" w:hAnsi="宋体" w:cs="宋体" w:eastAsia="宋体" w:hint="default"/>
                <w:spacing w:val="41"/>
                <w:sz w:val="18"/>
                <w:szCs w:val="18"/>
              </w:rPr>
              <w:t>苏宁置业</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7" w:right="-39"/>
              <w:jc w:val="left"/>
              <w:rPr>
                <w:rFonts w:ascii="宋体" w:hAnsi="宋体" w:cs="宋体" w:eastAsia="宋体" w:hint="default"/>
                <w:sz w:val="18"/>
                <w:szCs w:val="18"/>
              </w:rPr>
            </w:pPr>
            <w:r>
              <w:rPr>
                <w:rFonts w:ascii="宋体" w:hAnsi="宋体" w:cs="宋体" w:eastAsia="宋体" w:hint="default"/>
                <w:spacing w:val="41"/>
                <w:sz w:val="18"/>
                <w:szCs w:val="18"/>
              </w:rPr>
              <w:t>集团子公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54" w:type="dxa"/>
            <w:tcBorders>
              <w:top w:val="single" w:sz="4" w:space="0" w:color="000000"/>
              <w:left w:val="single" w:sz="9" w:space="0" w:color="FFFFFF"/>
              <w:bottom w:val="single" w:sz="4" w:space="0" w:color="000000"/>
              <w:right w:val="single" w:sz="13" w:space="0" w:color="FFFFFF"/>
            </w:tcBorders>
          </w:tcPr>
          <w:p>
            <w:pPr>
              <w:pStyle w:val="TableParagraph"/>
              <w:spacing w:line="205" w:lineRule="exact"/>
              <w:ind w:left="17" w:right="-33"/>
              <w:jc w:val="left"/>
              <w:rPr>
                <w:rFonts w:ascii="宋体" w:hAnsi="宋体" w:cs="宋体" w:eastAsia="宋体" w:hint="default"/>
                <w:sz w:val="18"/>
                <w:szCs w:val="18"/>
              </w:rPr>
            </w:pPr>
            <w:r>
              <w:rPr>
                <w:rFonts w:ascii="宋体" w:hAnsi="宋体" w:cs="宋体" w:eastAsia="宋体" w:hint="default"/>
                <w:spacing w:val="41"/>
                <w:sz w:val="18"/>
                <w:szCs w:val="18"/>
              </w:rPr>
              <w:t>物业租赁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及服务</w:t>
            </w:r>
          </w:p>
        </w:tc>
        <w:tc>
          <w:tcPr>
            <w:tcW w:w="2015" w:type="dxa"/>
            <w:tcBorders>
              <w:top w:val="single" w:sz="4" w:space="0" w:color="000000"/>
              <w:left w:val="single" w:sz="13" w:space="0" w:color="FFFFFF"/>
              <w:bottom w:val="single" w:sz="4" w:space="0" w:color="000000"/>
              <w:right w:val="single" w:sz="4" w:space="0" w:color="000000"/>
            </w:tcBorders>
          </w:tcPr>
          <w:p>
            <w:pPr>
              <w:pStyle w:val="TableParagraph"/>
              <w:spacing w:line="205" w:lineRule="exact"/>
              <w:ind w:right="0"/>
              <w:jc w:val="both"/>
              <w:rPr>
                <w:rFonts w:ascii="宋体" w:hAnsi="宋体" w:cs="宋体" w:eastAsia="宋体" w:hint="default"/>
                <w:sz w:val="18"/>
                <w:szCs w:val="18"/>
              </w:rPr>
            </w:pPr>
            <w:r>
              <w:rPr>
                <w:rFonts w:ascii="宋体" w:hAnsi="宋体" w:cs="宋体" w:eastAsia="宋体" w:hint="default"/>
                <w:spacing w:val="16"/>
                <w:sz w:val="18"/>
                <w:szCs w:val="18"/>
              </w:rPr>
              <w:t>租赁位于成都市高新区</w:t>
            </w:r>
          </w:p>
          <w:p>
            <w:pPr>
              <w:pStyle w:val="TableParagraph"/>
              <w:spacing w:line="232" w:lineRule="auto" w:before="5"/>
              <w:ind w:right="20"/>
              <w:jc w:val="both"/>
              <w:rPr>
                <w:rFonts w:ascii="宋体" w:hAnsi="宋体" w:cs="宋体" w:eastAsia="宋体" w:hint="default"/>
                <w:sz w:val="18"/>
                <w:szCs w:val="18"/>
              </w:rPr>
            </w:pPr>
            <w:r>
              <w:rPr>
                <w:rFonts w:ascii="宋体" w:hAnsi="宋体" w:cs="宋体" w:eastAsia="宋体" w:hint="default"/>
                <w:sz w:val="18"/>
                <w:szCs w:val="18"/>
              </w:rPr>
              <w:t>南部园区天府大道北段</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16"/>
                <w:sz w:val="18"/>
                <w:szCs w:val="18"/>
              </w:rPr>
              <w:t>号物业一到四层用于开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设旗舰店，租赁面积共约</w:t>
            </w:r>
            <w:r>
              <w:rPr>
                <w:rFonts w:ascii="宋体" w:hAnsi="宋体" w:cs="宋体" w:eastAsia="宋体" w:hint="default"/>
                <w:sz w:val="18"/>
                <w:szCs w:val="18"/>
              </w:rPr>
              <w:t> </w:t>
            </w:r>
            <w:r>
              <w:rPr>
                <w:rFonts w:ascii="Times New Roman" w:hAnsi="Times New Roman" w:cs="Times New Roman" w:eastAsia="Times New Roman" w:hint="default"/>
                <w:sz w:val="18"/>
                <w:szCs w:val="18"/>
              </w:rPr>
              <w:t>10,973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平方米，租赁期限</w:t>
            </w:r>
          </w:p>
          <w:p>
            <w:pPr>
              <w:pStyle w:val="TableParagraph"/>
              <w:spacing w:line="227" w:lineRule="exact"/>
              <w:ind w:left="9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2011/1/11-2031/1/10</w:t>
            </w:r>
            <w:r>
              <w:rPr>
                <w:rFonts w:ascii="宋体" w:hAnsi="宋体" w:cs="宋体" w:eastAsia="宋体" w:hint="default"/>
                <w:sz w:val="18"/>
                <w:szCs w:val="18"/>
              </w:rPr>
              <w:t>。</w:t>
            </w:r>
          </w:p>
          <w:p>
            <w:pPr>
              <w:pStyle w:val="TableParagraph"/>
              <w:spacing w:line="230" w:lineRule="auto" w:before="1"/>
              <w:ind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月，公司退租部</w:t>
            </w:r>
            <w:r>
              <w:rPr>
                <w:rFonts w:ascii="宋体" w:hAnsi="宋体" w:cs="宋体" w:eastAsia="宋体" w:hint="default"/>
                <w:sz w:val="18"/>
                <w:szCs w:val="18"/>
              </w:rPr>
              <w:t> 分经营区域，退租后租赁 面积为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w:t>
            </w:r>
          </w:p>
          <w:p>
            <w:pPr>
              <w:pStyle w:val="TableParagraph"/>
              <w:spacing w:line="235" w:lineRule="auto"/>
              <w:ind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月，公司子公司</w:t>
            </w:r>
            <w:r>
              <w:rPr>
                <w:rFonts w:ascii="宋体" w:hAnsi="宋体" w:cs="宋体" w:eastAsia="宋体" w:hint="default"/>
                <w:sz w:val="18"/>
                <w:szCs w:val="18"/>
              </w:rPr>
              <w:t> </w:t>
            </w:r>
            <w:r>
              <w:rPr>
                <w:rFonts w:ascii="宋体" w:hAnsi="宋体" w:cs="宋体" w:eastAsia="宋体" w:hint="default"/>
                <w:spacing w:val="16"/>
                <w:sz w:val="18"/>
                <w:szCs w:val="18"/>
              </w:rPr>
              <w:t>与成都鸿业置业有限公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司苏宁广场购物分公司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签订服务合同，委托成都</w:t>
            </w:r>
            <w:r>
              <w:rPr>
                <w:rFonts w:ascii="宋体" w:hAnsi="宋体" w:cs="宋体" w:eastAsia="宋体" w:hint="default"/>
                <w:sz w:val="18"/>
                <w:szCs w:val="18"/>
              </w:rPr>
              <w:t> </w:t>
            </w:r>
            <w:r>
              <w:rPr>
                <w:rFonts w:ascii="宋体" w:hAnsi="宋体" w:cs="宋体" w:eastAsia="宋体" w:hint="default"/>
                <w:spacing w:val="16"/>
                <w:sz w:val="18"/>
                <w:szCs w:val="18"/>
              </w:rPr>
              <w:t>鸿业置业为店面提供物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4"/>
                <w:sz w:val="18"/>
                <w:szCs w:val="18"/>
              </w:rPr>
              <w:t>业服务，服务期</w:t>
            </w:r>
            <w:r>
              <w:rPr>
                <w:rFonts w:ascii="宋体" w:hAnsi="宋体" w:cs="宋体" w:eastAsia="宋体" w:hint="default"/>
                <w:spacing w:val="-13"/>
                <w:sz w:val="18"/>
                <w:szCs w:val="18"/>
              </w:rPr>
              <w:t> </w:t>
            </w:r>
            <w:r>
              <w:rPr>
                <w:rFonts w:ascii="宋体" w:hAnsi="宋体" w:cs="宋体" w:eastAsia="宋体" w:hint="default"/>
                <w:sz w:val="18"/>
                <w:szCs w:val="18"/>
              </w:rPr>
              <w:t>限</w:t>
            </w:r>
          </w:p>
          <w:p>
            <w:pPr>
              <w:pStyle w:val="TableParagraph"/>
              <w:spacing w:line="248" w:lineRule="exact"/>
              <w:ind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2014/10/11 </w:t>
            </w: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2021/1/10</w:t>
            </w:r>
            <w:r>
              <w:rPr>
                <w:rFonts w:ascii="宋体" w:hAnsi="宋体" w:cs="宋体" w:eastAsia="宋体" w:hint="default"/>
                <w:sz w:val="18"/>
                <w:szCs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赁</w:t>
            </w:r>
            <w:r>
              <w:rPr>
                <w:rFonts w:ascii="宋体" w:hAnsi="宋体" w:cs="宋体" w:eastAsia="宋体" w:hint="default"/>
                <w:spacing w:val="-67"/>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采</w:t>
            </w:r>
            <w:r>
              <w:rPr>
                <w:rFonts w:ascii="宋体" w:hAnsi="宋体" w:cs="宋体" w:eastAsia="宋体" w:hint="default"/>
                <w:spacing w:val="-67"/>
                <w:sz w:val="18"/>
                <w:szCs w:val="18"/>
              </w:rPr>
              <w:t> </w:t>
            </w:r>
            <w:r>
              <w:rPr>
                <w:rFonts w:ascii="宋体" w:hAnsi="宋体" w:cs="宋体" w:eastAsia="宋体" w:hint="default"/>
                <w:sz w:val="18"/>
                <w:szCs w:val="18"/>
              </w:rPr>
              <w:t>用</w:t>
            </w:r>
          </w:p>
          <w:p>
            <w:pPr>
              <w:pStyle w:val="TableParagraph"/>
              <w:spacing w:line="232" w:lineRule="auto" w:before="5"/>
              <w:ind w:left="22"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保</w:t>
            </w:r>
            <w:r>
              <w:rPr>
                <w:rFonts w:ascii="宋体" w:hAnsi="宋体" w:cs="宋体" w:eastAsia="宋体" w:hint="default"/>
                <w:spacing w:val="-42"/>
                <w:sz w:val="18"/>
                <w:szCs w:val="18"/>
              </w:rPr>
              <w:t> </w:t>
            </w:r>
            <w:r>
              <w:rPr>
                <w:rFonts w:ascii="宋体" w:hAnsi="宋体" w:cs="宋体" w:eastAsia="宋体" w:hint="default"/>
                <w:sz w:val="18"/>
                <w:szCs w:val="18"/>
              </w:rPr>
              <w:t>底</w:t>
            </w:r>
            <w:r>
              <w:rPr>
                <w:rFonts w:ascii="宋体" w:hAnsi="宋体" w:cs="宋体" w:eastAsia="宋体" w:hint="default"/>
                <w:spacing w:val="-40"/>
                <w:sz w:val="18"/>
                <w:szCs w:val="18"/>
              </w:rPr>
              <w:t> </w:t>
            </w:r>
            <w:r>
              <w:rPr>
                <w:rFonts w:ascii="宋体" w:hAnsi="宋体" w:cs="宋体" w:eastAsia="宋体" w:hint="default"/>
                <w:sz w:val="18"/>
                <w:szCs w:val="18"/>
              </w:rPr>
              <w:t>加</w:t>
            </w:r>
            <w:r>
              <w:rPr>
                <w:rFonts w:ascii="宋体" w:hAnsi="宋体" w:cs="宋体" w:eastAsia="宋体" w:hint="default"/>
                <w:spacing w:val="-42"/>
                <w:sz w:val="18"/>
                <w:szCs w:val="18"/>
              </w:rPr>
              <w:t> </w:t>
            </w:r>
            <w:r>
              <w:rPr>
                <w:rFonts w:ascii="宋体" w:hAnsi="宋体" w:cs="宋体" w:eastAsia="宋体" w:hint="default"/>
                <w:sz w:val="18"/>
                <w:szCs w:val="18"/>
              </w:rPr>
              <w:t>提</w:t>
            </w:r>
            <w:r>
              <w:rPr>
                <w:rFonts w:ascii="宋体" w:hAnsi="宋体" w:cs="宋体" w:eastAsia="宋体" w:hint="default"/>
                <w:sz w:val="18"/>
                <w:szCs w:val="18"/>
              </w:rPr>
              <w:t> </w:t>
            </w:r>
            <w:r>
              <w:rPr>
                <w:rFonts w:ascii="宋体" w:hAnsi="宋体" w:cs="宋体" w:eastAsia="宋体" w:hint="default"/>
                <w:spacing w:val="3"/>
                <w:sz w:val="18"/>
                <w:szCs w:val="18"/>
              </w:rPr>
              <w:t>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方式，每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度</w:t>
            </w:r>
            <w:r>
              <w:rPr>
                <w:rFonts w:ascii="宋体" w:hAnsi="宋体" w:cs="宋体" w:eastAsia="宋体" w:hint="default"/>
                <w:spacing w:val="-67"/>
                <w:sz w:val="18"/>
                <w:szCs w:val="18"/>
              </w:rPr>
              <w:t> </w:t>
            </w:r>
            <w:r>
              <w:rPr>
                <w:rFonts w:ascii="宋体" w:hAnsi="宋体" w:cs="宋体" w:eastAsia="宋体" w:hint="default"/>
                <w:sz w:val="18"/>
                <w:szCs w:val="18"/>
              </w:rPr>
              <w:t>按</w:t>
            </w:r>
            <w:r>
              <w:rPr>
                <w:rFonts w:ascii="宋体" w:hAnsi="宋体" w:cs="宋体" w:eastAsia="宋体" w:hint="default"/>
                <w:spacing w:val="-65"/>
                <w:sz w:val="18"/>
                <w:szCs w:val="18"/>
              </w:rPr>
              <w:t> </w:t>
            </w:r>
            <w:r>
              <w:rPr>
                <w:rFonts w:ascii="宋体" w:hAnsi="宋体" w:cs="宋体" w:eastAsia="宋体" w:hint="default"/>
                <w:sz w:val="18"/>
                <w:szCs w:val="18"/>
              </w:rPr>
              <w:t>含</w:t>
            </w:r>
            <w:r>
              <w:rPr>
                <w:rFonts w:ascii="宋体" w:hAnsi="宋体" w:cs="宋体" w:eastAsia="宋体" w:hint="default"/>
                <w:spacing w:val="-67"/>
                <w:sz w:val="18"/>
                <w:szCs w:val="18"/>
              </w:rPr>
              <w:t> </w:t>
            </w:r>
            <w:r>
              <w:rPr>
                <w:rFonts w:ascii="宋体" w:hAnsi="宋体" w:cs="宋体" w:eastAsia="宋体" w:hint="default"/>
                <w:sz w:val="18"/>
                <w:szCs w:val="18"/>
              </w:rPr>
              <w:t>税</w:t>
            </w:r>
            <w:r>
              <w:rPr>
                <w:rFonts w:ascii="宋体" w:hAnsi="宋体" w:cs="宋体" w:eastAsia="宋体" w:hint="default"/>
                <w:sz w:val="18"/>
                <w:szCs w:val="18"/>
              </w:rPr>
              <w:t> 销</w:t>
            </w:r>
            <w:r>
              <w:rPr>
                <w:rFonts w:ascii="宋体" w:hAnsi="宋体" w:cs="宋体" w:eastAsia="宋体" w:hint="default"/>
                <w:spacing w:val="-67"/>
                <w:sz w:val="18"/>
                <w:szCs w:val="18"/>
              </w:rPr>
              <w:t> </w:t>
            </w:r>
            <w:r>
              <w:rPr>
                <w:rFonts w:ascii="宋体" w:hAnsi="宋体" w:cs="宋体" w:eastAsia="宋体" w:hint="default"/>
                <w:sz w:val="18"/>
                <w:szCs w:val="18"/>
              </w:rPr>
              <w:t>售</w:t>
            </w:r>
            <w:r>
              <w:rPr>
                <w:rFonts w:ascii="宋体" w:hAnsi="宋体" w:cs="宋体" w:eastAsia="宋体" w:hint="default"/>
                <w:spacing w:val="-67"/>
                <w:sz w:val="18"/>
                <w:szCs w:val="18"/>
              </w:rPr>
              <w:t> </w:t>
            </w:r>
            <w:r>
              <w:rPr>
                <w:rFonts w:ascii="宋体" w:hAnsi="宋体" w:cs="宋体" w:eastAsia="宋体" w:hint="default"/>
                <w:sz w:val="18"/>
                <w:szCs w:val="18"/>
              </w:rPr>
              <w:t>总</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8"/>
                <w:sz w:val="18"/>
                <w:szCs w:val="18"/>
              </w:rPr>
              <w:t> </w:t>
            </w:r>
            <w:r>
              <w:rPr>
                <w:rFonts w:ascii="宋体" w:hAnsi="宋体" w:cs="宋体" w:eastAsia="宋体" w:hint="default"/>
                <w:spacing w:val="18"/>
                <w:sz w:val="18"/>
                <w:szCs w:val="18"/>
              </w:rPr>
              <w:t>支付租</w:t>
            </w:r>
            <w:r>
              <w:rPr>
                <w:rFonts w:ascii="宋体" w:hAnsi="宋体" w:cs="宋体" w:eastAsia="宋体" w:hint="default"/>
                <w:spacing w:val="-63"/>
                <w:sz w:val="18"/>
                <w:szCs w:val="18"/>
              </w:rPr>
              <w:t> </w:t>
            </w:r>
            <w:r>
              <w:rPr>
                <w:rFonts w:ascii="宋体" w:hAnsi="宋体" w:cs="宋体" w:eastAsia="宋体" w:hint="default"/>
                <w:spacing w:val="-14"/>
                <w:sz w:val="18"/>
                <w:szCs w:val="18"/>
              </w:rPr>
              <w:t>赁费，但租金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w:t>
            </w:r>
            <w:r>
              <w:rPr>
                <w:rFonts w:ascii="宋体" w:hAnsi="宋体" w:cs="宋体" w:eastAsia="宋体" w:hint="default"/>
                <w:spacing w:val="-67"/>
                <w:sz w:val="18"/>
                <w:szCs w:val="18"/>
              </w:rPr>
              <w:t> </w:t>
            </w:r>
            <w:r>
              <w:rPr>
                <w:rFonts w:ascii="宋体" w:hAnsi="宋体" w:cs="宋体" w:eastAsia="宋体" w:hint="default"/>
                <w:sz w:val="18"/>
                <w:szCs w:val="18"/>
              </w:rPr>
              <w:t>价</w:t>
            </w:r>
            <w:r>
              <w:rPr>
                <w:rFonts w:ascii="宋体" w:hAnsi="宋体" w:cs="宋体" w:eastAsia="宋体" w:hint="default"/>
                <w:spacing w:val="-67"/>
                <w:sz w:val="18"/>
                <w:szCs w:val="18"/>
              </w:rPr>
              <w:t> </w:t>
            </w:r>
            <w:r>
              <w:rPr>
                <w:rFonts w:ascii="宋体" w:hAnsi="宋体" w:cs="宋体" w:eastAsia="宋体" w:hint="default"/>
                <w:sz w:val="18"/>
                <w:szCs w:val="18"/>
              </w:rPr>
              <w:t>不</w:t>
            </w:r>
            <w:r>
              <w:rPr>
                <w:rFonts w:ascii="宋体" w:hAnsi="宋体" w:cs="宋体" w:eastAsia="宋体" w:hint="default"/>
                <w:spacing w:val="-65"/>
                <w:sz w:val="18"/>
                <w:szCs w:val="18"/>
              </w:rPr>
              <w:t> </w:t>
            </w:r>
            <w:r>
              <w:rPr>
                <w:rFonts w:ascii="宋体" w:hAnsi="宋体" w:cs="宋体" w:eastAsia="宋体" w:hint="default"/>
                <w:sz w:val="18"/>
                <w:szCs w:val="18"/>
              </w:rPr>
              <w:t>低</w:t>
            </w:r>
            <w:r>
              <w:rPr>
                <w:rFonts w:ascii="宋体" w:hAnsi="宋体" w:cs="宋体" w:eastAsia="宋体" w:hint="default"/>
                <w:spacing w:val="-67"/>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平</w:t>
            </w:r>
            <w:r>
              <w:rPr>
                <w:rFonts w:ascii="宋体" w:hAnsi="宋体" w:cs="宋体" w:eastAsia="宋体" w:hint="default"/>
                <w:sz w:val="18"/>
                <w:szCs w:val="18"/>
              </w:rPr>
              <w:t> </w:t>
            </w:r>
            <w:r>
              <w:rPr>
                <w:rFonts w:ascii="宋体" w:hAnsi="宋体" w:cs="宋体" w:eastAsia="宋体" w:hint="default"/>
                <w:spacing w:val="-14"/>
                <w:sz w:val="18"/>
                <w:szCs w:val="18"/>
              </w:rPr>
              <w:t>米，即年保底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租   赁 </w:t>
            </w:r>
            <w:r>
              <w:rPr>
                <w:rFonts w:ascii="宋体" w:hAnsi="宋体" w:cs="宋体" w:eastAsia="宋体" w:hint="default"/>
                <w:spacing w:val="8"/>
                <w:sz w:val="18"/>
                <w:szCs w:val="18"/>
              </w:rPr>
              <w:t> </w:t>
            </w:r>
            <w:r>
              <w:rPr>
                <w:rFonts w:ascii="宋体" w:hAnsi="宋体" w:cs="宋体" w:eastAsia="宋体" w:hint="default"/>
                <w:sz w:val="18"/>
                <w:szCs w:val="18"/>
              </w:rPr>
              <w:t>费</w:t>
            </w:r>
          </w:p>
          <w:p>
            <w:pPr>
              <w:pStyle w:val="TableParagraph"/>
              <w:spacing w:line="240"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784.728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p>
            <w:pPr>
              <w:pStyle w:val="TableParagraph"/>
              <w:spacing w:line="230" w:lineRule="auto" w:before="1"/>
              <w:ind w:left="22" w:right="20"/>
              <w:jc w:val="both"/>
              <w:rPr>
                <w:rFonts w:ascii="宋体" w:hAnsi="宋体" w:cs="宋体" w:eastAsia="宋体" w:hint="default"/>
                <w:sz w:val="18"/>
                <w:szCs w:val="18"/>
              </w:rPr>
            </w:pPr>
            <w:r>
              <w:rPr>
                <w:rFonts w:ascii="宋体" w:hAnsi="宋体" w:cs="宋体" w:eastAsia="宋体" w:hint="default"/>
                <w:spacing w:val="-14"/>
                <w:sz w:val="18"/>
                <w:szCs w:val="18"/>
              </w:rPr>
              <w:t>元；物业服务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 米</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69" w:right="0"/>
              <w:jc w:val="left"/>
              <w:rPr>
                <w:rFonts w:ascii="Times New Roman" w:hAnsi="Times New Roman" w:cs="Times New Roman" w:eastAsia="Times New Roman" w:hint="default"/>
                <w:sz w:val="18"/>
                <w:szCs w:val="18"/>
              </w:rPr>
            </w:pPr>
            <w:r>
              <w:rPr>
                <w:rFonts w:ascii="Times New Roman"/>
                <w:sz w:val="18"/>
              </w:rPr>
              <w:t>1,258.37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47" w:right="0"/>
              <w:jc w:val="left"/>
              <w:rPr>
                <w:rFonts w:ascii="Times New Roman" w:hAnsi="Times New Roman" w:cs="Times New Roman" w:eastAsia="Times New Roman" w:hint="default"/>
                <w:sz w:val="18"/>
                <w:szCs w:val="18"/>
              </w:rPr>
            </w:pPr>
            <w:r>
              <w:rPr>
                <w:rFonts w:ascii="Times New Roman"/>
                <w:sz w:val="18"/>
              </w:rPr>
              <w:t>8.14%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6"/>
                <w:sz w:val="18"/>
                <w:szCs w:val="18"/>
              </w:rPr>
              <w:t> </w:t>
            </w:r>
            <w:r>
              <w:rPr>
                <w:rFonts w:ascii="宋体" w:hAnsi="宋体" w:cs="宋体" w:eastAsia="宋体" w:hint="default"/>
                <w:sz w:val="18"/>
                <w:szCs w:val="18"/>
              </w:rPr>
              <w:t>该</w:t>
            </w:r>
            <w:r>
              <w:rPr>
                <w:rFonts w:ascii="宋体" w:hAnsi="宋体" w:cs="宋体" w:eastAsia="宋体" w:hint="default"/>
                <w:spacing w:val="-56"/>
                <w:sz w:val="18"/>
                <w:szCs w:val="18"/>
              </w:rPr>
              <w:t> </w:t>
            </w:r>
            <w:r>
              <w:rPr>
                <w:rFonts w:ascii="宋体" w:hAnsi="宋体" w:cs="宋体" w:eastAsia="宋体" w:hint="default"/>
                <w:sz w:val="18"/>
                <w:szCs w:val="18"/>
              </w:rPr>
              <w:t>店</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实</w:t>
            </w:r>
            <w:r>
              <w:rPr>
                <w:rFonts w:ascii="宋体" w:hAnsi="宋体" w:cs="宋体" w:eastAsia="宋体" w:hint="default"/>
                <w:spacing w:val="-55"/>
                <w:sz w:val="18"/>
                <w:szCs w:val="18"/>
              </w:rPr>
              <w:t> </w:t>
            </w:r>
            <w:r>
              <w:rPr>
                <w:rFonts w:ascii="宋体" w:hAnsi="宋体" w:cs="宋体" w:eastAsia="宋体" w:hint="default"/>
                <w:sz w:val="18"/>
                <w:szCs w:val="18"/>
              </w:rPr>
              <w:t>现</w:t>
            </w:r>
          </w:p>
          <w:p>
            <w:pPr>
              <w:pStyle w:val="TableParagraph"/>
              <w:spacing w:line="232" w:lineRule="auto" w:before="5"/>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销</w:t>
            </w:r>
            <w:r>
              <w:rPr>
                <w:rFonts w:ascii="宋体" w:hAnsi="宋体" w:cs="宋体" w:eastAsia="宋体" w:hint="default"/>
                <w:spacing w:val="-56"/>
                <w:sz w:val="18"/>
                <w:szCs w:val="18"/>
              </w:rPr>
              <w:t> </w:t>
            </w:r>
            <w:r>
              <w:rPr>
                <w:rFonts w:ascii="宋体" w:hAnsi="宋体" w:cs="宋体" w:eastAsia="宋体" w:hint="default"/>
                <w:sz w:val="18"/>
                <w:szCs w:val="18"/>
              </w:rPr>
              <w:t>售</w:t>
            </w:r>
            <w:r>
              <w:rPr>
                <w:rFonts w:ascii="宋体" w:hAnsi="宋体" w:cs="宋体" w:eastAsia="宋体" w:hint="default"/>
                <w:spacing w:val="-56"/>
                <w:sz w:val="18"/>
                <w:szCs w:val="18"/>
              </w:rPr>
              <w:t> </w:t>
            </w:r>
            <w:r>
              <w:rPr>
                <w:rFonts w:ascii="宋体" w:hAnsi="宋体" w:cs="宋体" w:eastAsia="宋体" w:hint="default"/>
                <w:sz w:val="18"/>
                <w:szCs w:val="18"/>
              </w:rPr>
              <w:t>收</w:t>
            </w:r>
            <w:r>
              <w:rPr>
                <w:rFonts w:ascii="宋体" w:hAnsi="宋体" w:cs="宋体" w:eastAsia="宋体" w:hint="default"/>
                <w:spacing w:val="-56"/>
                <w:sz w:val="18"/>
                <w:szCs w:val="18"/>
              </w:rPr>
              <w:t> </w:t>
            </w:r>
            <w:r>
              <w:rPr>
                <w:rFonts w:ascii="宋体" w:hAnsi="宋体" w:cs="宋体" w:eastAsia="宋体" w:hint="default"/>
                <w:sz w:val="18"/>
                <w:szCs w:val="18"/>
              </w:rPr>
              <w:t>入</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含</w:t>
            </w:r>
            <w:r>
              <w:rPr>
                <w:rFonts w:ascii="宋体" w:hAnsi="宋体" w:cs="宋体" w:eastAsia="宋体" w:hint="default"/>
                <w:sz w:val="18"/>
                <w:szCs w:val="18"/>
              </w:rPr>
              <w:t> </w:t>
            </w:r>
            <w:r>
              <w:rPr>
                <w:rFonts w:ascii="宋体" w:hAnsi="宋体" w:cs="宋体" w:eastAsia="宋体" w:hint="default"/>
                <w:spacing w:val="9"/>
                <w:sz w:val="18"/>
                <w:szCs w:val="18"/>
              </w:rPr>
              <w:t>税）的</w:t>
            </w:r>
            <w:r>
              <w:rPr>
                <w:rFonts w:ascii="宋体" w:hAnsi="宋体" w:cs="宋体" w:eastAsia="宋体" w:hint="default"/>
                <w:spacing w:val="31"/>
                <w:sz w:val="18"/>
                <w:szCs w:val="18"/>
              </w:rPr>
              <w:t> </w:t>
            </w:r>
            <w:r>
              <w:rPr>
                <w:rFonts w:ascii="Times New Roman" w:hAnsi="Times New Roman" w:cs="Times New Roman" w:eastAsia="Times New Roman" w:hint="default"/>
                <w:spacing w:val="2"/>
                <w:sz w:val="18"/>
                <w:szCs w:val="18"/>
              </w:rPr>
              <w:t>3.2%</w:t>
            </w:r>
            <w:r>
              <w:rPr>
                <w:rFonts w:ascii="宋体" w:hAnsi="宋体" w:cs="宋体" w:eastAsia="宋体" w:hint="default"/>
                <w:spacing w:val="2"/>
                <w:sz w:val="18"/>
                <w:szCs w:val="18"/>
              </w:rPr>
              <w:t>计</w:t>
            </w:r>
            <w:r>
              <w:rPr>
                <w:rFonts w:ascii="宋体" w:hAnsi="宋体" w:cs="宋体" w:eastAsia="宋体" w:hint="default"/>
                <w:sz w:val="18"/>
                <w:szCs w:val="18"/>
              </w:rPr>
              <w:t> 算租金费用，但</w:t>
            </w:r>
            <w:r>
              <w:rPr>
                <w:rFonts w:ascii="宋体" w:hAnsi="宋体" w:cs="宋体" w:eastAsia="宋体" w:hint="default"/>
                <w:sz w:val="18"/>
                <w:szCs w:val="18"/>
              </w:rPr>
              <w:t> 每</w:t>
            </w:r>
            <w:r>
              <w:rPr>
                <w:rFonts w:ascii="宋体" w:hAnsi="宋体" w:cs="宋体" w:eastAsia="宋体" w:hint="default"/>
                <w:spacing w:val="-56"/>
                <w:sz w:val="18"/>
                <w:szCs w:val="18"/>
              </w:rPr>
              <w:t> </w:t>
            </w:r>
            <w:r>
              <w:rPr>
                <w:rFonts w:ascii="宋体" w:hAnsi="宋体" w:cs="宋体" w:eastAsia="宋体" w:hint="default"/>
                <w:sz w:val="18"/>
                <w:szCs w:val="18"/>
              </w:rPr>
              <w:t>平</w:t>
            </w:r>
            <w:r>
              <w:rPr>
                <w:rFonts w:ascii="宋体" w:hAnsi="宋体" w:cs="宋体" w:eastAsia="宋体" w:hint="default"/>
                <w:spacing w:val="-56"/>
                <w:sz w:val="18"/>
                <w:szCs w:val="18"/>
              </w:rPr>
              <w:t> </w:t>
            </w:r>
            <w:r>
              <w:rPr>
                <w:rFonts w:ascii="宋体" w:hAnsi="宋体" w:cs="宋体" w:eastAsia="宋体" w:hint="default"/>
                <w:sz w:val="18"/>
                <w:szCs w:val="18"/>
              </w:rPr>
              <w:t>米</w:t>
            </w:r>
            <w:r>
              <w:rPr>
                <w:rFonts w:ascii="宋体" w:hAnsi="宋体" w:cs="宋体" w:eastAsia="宋体" w:hint="default"/>
                <w:spacing w:val="-56"/>
                <w:sz w:val="18"/>
                <w:szCs w:val="18"/>
              </w:rPr>
              <w:t> </w:t>
            </w:r>
            <w:r>
              <w:rPr>
                <w:rFonts w:ascii="宋体" w:hAnsi="宋体" w:cs="宋体" w:eastAsia="宋体" w:hint="default"/>
                <w:sz w:val="18"/>
                <w:szCs w:val="18"/>
              </w:rPr>
              <w:t>租</w:t>
            </w:r>
            <w:r>
              <w:rPr>
                <w:rFonts w:ascii="宋体" w:hAnsi="宋体" w:cs="宋体" w:eastAsia="宋体" w:hint="default"/>
                <w:spacing w:val="-55"/>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单</w:t>
            </w:r>
            <w:r>
              <w:rPr>
                <w:rFonts w:ascii="宋体" w:hAnsi="宋体" w:cs="宋体" w:eastAsia="宋体" w:hint="default"/>
                <w:sz w:val="18"/>
                <w:szCs w:val="18"/>
              </w:rPr>
              <w:t> 价不低于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月；物业服务费 </w:t>
            </w:r>
            <w:r>
              <w:rPr>
                <w:rFonts w:ascii="Times New Roman" w:hAnsi="Times New Roman" w:cs="Times New Roman" w:eastAsia="Times New Roman" w:hint="default"/>
                <w:sz w:val="18"/>
                <w:szCs w:val="18"/>
              </w:rPr>
              <w:t>16.5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平米</w:t>
            </w:r>
            <w:r>
              <w:rPr>
                <w:rFonts w:ascii="Times New Roman" w:hAnsi="Times New Roman" w:cs="Times New Roman" w:eastAsia="Times New Roman" w:hint="default"/>
                <w:sz w:val="18"/>
                <w:szCs w:val="18"/>
              </w:rPr>
              <w:t>/</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29"/>
                <w:sz w:val="18"/>
                <w:szCs w:val="18"/>
              </w:rPr>
              <w:t>保底租赁费</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5" w:lineRule="auto" w:before="3"/>
              <w:ind w:left="22" w:right="-22"/>
              <w:jc w:val="both"/>
              <w:rPr>
                <w:rFonts w:ascii="宋体" w:hAnsi="宋体" w:cs="宋体" w:eastAsia="宋体" w:hint="default"/>
                <w:sz w:val="18"/>
                <w:szCs w:val="18"/>
              </w:rPr>
            </w:pPr>
            <w:r>
              <w:rPr>
                <w:rFonts w:ascii="宋体" w:hAnsi="宋体" w:cs="宋体" w:eastAsia="宋体" w:hint="default"/>
                <w:spacing w:val="13"/>
                <w:sz w:val="18"/>
                <w:szCs w:val="18"/>
              </w:rPr>
              <w:t>用采取</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先付 后租</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的方式 </w:t>
            </w:r>
            <w:r>
              <w:rPr>
                <w:rFonts w:ascii="宋体" w:hAnsi="宋体" w:cs="宋体" w:eastAsia="宋体" w:hint="default"/>
                <w:spacing w:val="29"/>
                <w:sz w:val="18"/>
                <w:szCs w:val="18"/>
              </w:rPr>
              <w:t>按季提前支</w:t>
            </w:r>
            <w:r>
              <w:rPr>
                <w:rFonts w:ascii="宋体" w:hAnsi="宋体" w:cs="宋体" w:eastAsia="宋体" w:hint="default"/>
                <w:spacing w:val="-88"/>
                <w:sz w:val="18"/>
                <w:szCs w:val="18"/>
              </w:rPr>
              <w:t> </w:t>
            </w:r>
            <w:r>
              <w:rPr>
                <w:rFonts w:ascii="宋体" w:hAnsi="宋体" w:cs="宋体" w:eastAsia="宋体" w:hint="default"/>
                <w:spacing w:val="-6"/>
                <w:sz w:val="18"/>
                <w:szCs w:val="18"/>
              </w:rPr>
              <w:t>付；提成租赁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9"/>
                <w:sz w:val="18"/>
                <w:szCs w:val="18"/>
              </w:rPr>
              <w:t>费用采取先</w:t>
            </w:r>
            <w:r>
              <w:rPr>
                <w:rFonts w:ascii="宋体" w:hAnsi="宋体" w:cs="宋体" w:eastAsia="宋体" w:hint="default"/>
                <w:spacing w:val="-88"/>
                <w:sz w:val="18"/>
                <w:szCs w:val="18"/>
              </w:rPr>
              <w:t> </w:t>
            </w:r>
            <w:r>
              <w:rPr>
                <w:rFonts w:ascii="宋体" w:hAnsi="宋体" w:cs="宋体" w:eastAsia="宋体" w:hint="default"/>
                <w:spacing w:val="29"/>
                <w:sz w:val="18"/>
                <w:szCs w:val="18"/>
              </w:rPr>
              <w:t>租后付方式</w:t>
            </w:r>
            <w:r>
              <w:rPr>
                <w:rFonts w:ascii="宋体" w:hAnsi="宋体" w:cs="宋体" w:eastAsia="宋体" w:hint="default"/>
                <w:spacing w:val="-88"/>
                <w:sz w:val="18"/>
                <w:szCs w:val="18"/>
              </w:rPr>
              <w:t> </w:t>
            </w:r>
            <w:r>
              <w:rPr>
                <w:rFonts w:ascii="宋体" w:hAnsi="宋体" w:cs="宋体" w:eastAsia="宋体" w:hint="default"/>
                <w:spacing w:val="29"/>
                <w:sz w:val="18"/>
                <w:szCs w:val="18"/>
              </w:rPr>
              <w:t>每年度结束</w:t>
            </w:r>
            <w:r>
              <w:rPr>
                <w:rFonts w:ascii="宋体" w:hAnsi="宋体" w:cs="宋体" w:eastAsia="宋体" w:hint="default"/>
                <w:spacing w:val="-88"/>
                <w:sz w:val="18"/>
                <w:szCs w:val="18"/>
              </w:rPr>
              <w:t> </w:t>
            </w:r>
            <w:r>
              <w:rPr>
                <w:rFonts w:ascii="宋体" w:hAnsi="宋体" w:cs="宋体" w:eastAsia="宋体" w:hint="default"/>
                <w:sz w:val="18"/>
                <w:szCs w:val="18"/>
              </w:rPr>
              <w:t>后结算</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03" w:lineRule="exact"/>
              <w:ind w:left="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网</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2011-003</w:t>
            </w:r>
          </w:p>
          <w:p>
            <w:pPr>
              <w:pStyle w:val="TableParagraph"/>
              <w:spacing w:line="237" w:lineRule="auto"/>
              <w:ind w:left="22" w:right="-32"/>
              <w:jc w:val="both"/>
              <w:rPr>
                <w:rFonts w:ascii="宋体" w:hAnsi="宋体" w:cs="宋体" w:eastAsia="宋体" w:hint="default"/>
                <w:sz w:val="18"/>
                <w:szCs w:val="18"/>
              </w:rPr>
            </w:pPr>
            <w:r>
              <w:rPr>
                <w:rFonts w:ascii="宋体" w:hAnsi="宋体" w:cs="宋体" w:eastAsia="宋体" w:hint="default"/>
                <w:spacing w:val="41"/>
                <w:sz w:val="18"/>
                <w:szCs w:val="18"/>
              </w:rPr>
              <w:t>《关于物</w:t>
            </w:r>
            <w:r>
              <w:rPr>
                <w:rFonts w:ascii="宋体" w:hAnsi="宋体" w:cs="宋体" w:eastAsia="宋体" w:hint="default"/>
                <w:spacing w:val="-35"/>
                <w:sz w:val="18"/>
                <w:szCs w:val="18"/>
              </w:rPr>
              <w:t> </w:t>
            </w:r>
            <w:r>
              <w:rPr>
                <w:rFonts w:ascii="宋体" w:hAnsi="宋体" w:cs="宋体" w:eastAsia="宋体" w:hint="default"/>
                <w:spacing w:val="41"/>
                <w:sz w:val="18"/>
                <w:szCs w:val="18"/>
              </w:rPr>
              <w:t>业租赁的</w:t>
            </w:r>
            <w:r>
              <w:rPr>
                <w:rFonts w:ascii="宋体" w:hAnsi="宋体" w:cs="宋体" w:eastAsia="宋体" w:hint="default"/>
                <w:spacing w:val="-35"/>
                <w:sz w:val="18"/>
                <w:szCs w:val="18"/>
              </w:rPr>
              <w:t> </w:t>
            </w: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t>公告》</w:t>
            </w:r>
          </w:p>
        </w:tc>
      </w:tr>
    </w:tbl>
    <w:p>
      <w:pPr>
        <w:spacing w:after="0" w:line="237" w:lineRule="auto"/>
        <w:jc w:val="both"/>
        <w:rPr>
          <w:rFonts w:ascii="宋体" w:hAnsi="宋体" w:cs="宋体" w:eastAsia="宋体" w:hint="default"/>
          <w:sz w:val="18"/>
          <w:szCs w:val="18"/>
        </w:rPr>
        <w:sectPr>
          <w:type w:val="continuous"/>
          <w:pgSz w:w="16840" w:h="11910" w:orient="landscape"/>
          <w:pgMar w:top="1060" w:bottom="116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17.779999pt;margin-top:68.880005pt;width:93.7pt;height:81.75pt;mso-position-horizontal-relative:page;mso-position-vertical-relative:page;z-index:-1831744" coordorigin="2356,1378" coordsize="1874,1635">
            <v:group style="position:absolute;left:2356;top:1845;width:932;height:1168" coordorigin="2356,1845" coordsize="932,1168">
              <v:shape style="position:absolute;left:2356;top:1845;width:932;height:1168" coordorigin="2356,1845" coordsize="932,1168" path="m2356,3012l3287,3012,3287,1845,2356,1845,2356,3012xe" filled="true" fillcolor="#ffffff" stroked="false">
                <v:path arrowok="t"/>
                <v:fill type="solid"/>
              </v:shape>
            </v:group>
            <v:group style="position:absolute;left:3298;top:1378;width:932;height:1635" coordorigin="3298,1378" coordsize="932,1635">
              <v:shape style="position:absolute;left:3298;top:1378;width:932;height:1635" coordorigin="3298,1378" coordsize="932,1635" path="m3298,3012l4229,3012,4229,1378,3298,1378,3298,3012xe" filled="true" fillcolor="#ffffff" stroked="false">
                <v:path arrowok="t"/>
                <v:fill type="solid"/>
              </v:shape>
            </v:group>
            <w10:wrap type="none"/>
          </v:group>
        </w:pict>
      </w:r>
      <w:r>
        <w:rPr/>
        <w:pict>
          <v:group style="position:absolute;margin-left:164.899994pt;margin-top:162.740005pt;width:46.6pt;height:162.15pt;mso-position-horizontal-relative:page;mso-position-vertical-relative:page;z-index:-1831720" coordorigin="3298,3255" coordsize="932,3243">
            <v:shape style="position:absolute;left:3298;top:3255;width:932;height:3243" coordorigin="3298,3255" coordsize="932,3243" path="m3298,6498l4229,6498,4229,3255,3298,3255,3298,6498xe" filled="true" fillcolor="#ffffff" stroked="false">
              <v:path arrowok="t"/>
              <v:fill type="solid"/>
            </v:shape>
            <w10:wrap type="none"/>
          </v:group>
        </w:pict>
      </w:r>
      <w:r>
        <w:rPr/>
        <w:pict>
          <v:group style="position:absolute;margin-left:164.899994pt;margin-top:512.640015pt;width:46.6pt;height:22.05pt;mso-position-horizontal-relative:page;mso-position-vertical-relative:page;z-index:-1831696" coordorigin="3298,10253" coordsize="932,441">
            <v:shape style="position:absolute;left:3298;top:10253;width:932;height:441" coordorigin="3298,10253" coordsize="932,441" path="m3298,10693l4229,10693,4229,10253,3298,10253,3298,10693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832"/>
        <w:gridCol w:w="944"/>
        <w:gridCol w:w="1313"/>
        <w:gridCol w:w="577"/>
        <w:gridCol w:w="1104"/>
        <w:gridCol w:w="785"/>
        <w:gridCol w:w="760"/>
        <w:gridCol w:w="942"/>
      </w:tblGrid>
      <w:tr>
        <w:trPr>
          <w:trHeight w:val="1893" w:hRule="exact"/>
        </w:trPr>
        <w:tc>
          <w:tcPr>
            <w:tcW w:w="937" w:type="dxa"/>
            <w:tcBorders>
              <w:top w:val="single" w:sz="15" w:space="0" w:color="000000"/>
              <w:left w:val="single" w:sz="4" w:space="0" w:color="000000"/>
              <w:bottom w:val="single" w:sz="4" w:space="0" w:color="000000"/>
              <w:right w:val="single" w:sz="13" w:space="0" w:color="FFFFFF"/>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37"/>
                <w:sz w:val="18"/>
                <w:szCs w:val="18"/>
              </w:rPr>
              <w:t> </w:t>
            </w:r>
            <w:r>
              <w:rPr>
                <w:rFonts w:ascii="宋体" w:hAnsi="宋体" w:cs="宋体" w:eastAsia="宋体" w:hint="default"/>
                <w:spacing w:val="36"/>
                <w:sz w:val="18"/>
                <w:szCs w:val="18"/>
              </w:rPr>
              <w:t>京玄武</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7" w:lineRule="auto" w:before="1"/>
              <w:ind w:left="22" w:right="-44"/>
              <w:jc w:val="both"/>
              <w:rPr>
                <w:rFonts w:ascii="宋体" w:hAnsi="宋体" w:cs="宋体" w:eastAsia="宋体" w:hint="default"/>
                <w:sz w:val="18"/>
                <w:szCs w:val="18"/>
              </w:rPr>
            </w:pPr>
            <w:r>
              <w:rPr>
                <w:rFonts w:ascii="宋体" w:hAnsi="宋体" w:cs="宋体" w:eastAsia="宋体" w:hint="default"/>
                <w:spacing w:val="40"/>
                <w:sz w:val="18"/>
                <w:szCs w:val="18"/>
              </w:rPr>
              <w:t>苏宁置业</w:t>
            </w:r>
            <w:r>
              <w:rPr>
                <w:rFonts w:ascii="宋体" w:hAnsi="宋体" w:cs="宋体" w:eastAsia="宋体" w:hint="default"/>
                <w:spacing w:val="-36"/>
                <w:sz w:val="18"/>
                <w:szCs w:val="18"/>
              </w:rPr>
              <w:t> </w:t>
            </w:r>
            <w:r>
              <w:rPr>
                <w:rFonts w:ascii="宋体" w:hAnsi="宋体" w:cs="宋体" w:eastAsia="宋体" w:hint="default"/>
                <w:spacing w:val="40"/>
                <w:sz w:val="18"/>
                <w:szCs w:val="18"/>
              </w:rPr>
              <w:t>有限公司</w:t>
            </w:r>
            <w:r>
              <w:rPr>
                <w:rFonts w:ascii="宋体" w:hAnsi="宋体" w:cs="宋体" w:eastAsia="宋体" w:hint="default"/>
                <w:spacing w:val="-36"/>
                <w:sz w:val="18"/>
                <w:szCs w:val="18"/>
              </w:rPr>
              <w:t> </w:t>
            </w:r>
            <w:r>
              <w:rPr>
                <w:rFonts w:ascii="宋体" w:hAnsi="宋体" w:cs="宋体" w:eastAsia="宋体" w:hint="default"/>
                <w:spacing w:val="40"/>
                <w:sz w:val="18"/>
                <w:szCs w:val="18"/>
              </w:rPr>
              <w:t>玄武苏宁</w:t>
            </w:r>
            <w:r>
              <w:rPr>
                <w:rFonts w:ascii="宋体" w:hAnsi="宋体" w:cs="宋体" w:eastAsia="宋体" w:hint="default"/>
                <w:spacing w:val="-36"/>
                <w:sz w:val="18"/>
                <w:szCs w:val="18"/>
              </w:rPr>
              <w:t> </w:t>
            </w:r>
            <w:r>
              <w:rPr>
                <w:rFonts w:ascii="宋体" w:hAnsi="宋体" w:cs="宋体" w:eastAsia="宋体" w:hint="default"/>
                <w:spacing w:val="40"/>
                <w:sz w:val="18"/>
                <w:szCs w:val="18"/>
              </w:rPr>
              <w:t>银河诺富</w:t>
            </w:r>
            <w:r>
              <w:rPr>
                <w:rFonts w:ascii="宋体" w:hAnsi="宋体" w:cs="宋体" w:eastAsia="宋体" w:hint="default"/>
                <w:spacing w:val="-36"/>
                <w:sz w:val="18"/>
                <w:szCs w:val="18"/>
              </w:rPr>
              <w:t> </w:t>
            </w:r>
            <w:r>
              <w:rPr>
                <w:rFonts w:ascii="宋体" w:hAnsi="宋体" w:cs="宋体" w:eastAsia="宋体" w:hint="default"/>
                <w:sz w:val="18"/>
                <w:szCs w:val="18"/>
              </w:rPr>
              <w:t>特酒店</w:t>
            </w:r>
          </w:p>
        </w:tc>
        <w:tc>
          <w:tcPr>
            <w:tcW w:w="942" w:type="dxa"/>
            <w:tcBorders>
              <w:top w:val="single" w:sz="15" w:space="0" w:color="000000"/>
              <w:left w:val="single" w:sz="13" w:space="0" w:color="FFFFFF"/>
              <w:bottom w:val="single" w:sz="4" w:space="0" w:color="000000"/>
              <w:right w:val="single" w:sz="9" w:space="0" w:color="FFFFFF"/>
            </w:tcBorders>
          </w:tcPr>
          <w:p>
            <w:pPr>
              <w:pStyle w:val="TableParagraph"/>
              <w:spacing w:line="205" w:lineRule="exact"/>
              <w:ind w:left="12" w:right="-39"/>
              <w:jc w:val="left"/>
              <w:rPr>
                <w:rFonts w:ascii="宋体" w:hAnsi="宋体" w:cs="宋体" w:eastAsia="宋体" w:hint="default"/>
                <w:sz w:val="18"/>
                <w:szCs w:val="18"/>
              </w:rPr>
            </w:pPr>
            <w:r>
              <w:rPr>
                <w:rFonts w:ascii="宋体" w:hAnsi="宋体" w:cs="宋体" w:eastAsia="宋体" w:hint="default"/>
                <w:spacing w:val="41"/>
                <w:sz w:val="18"/>
                <w:szCs w:val="18"/>
              </w:rPr>
              <w:t>苏宁置业</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before="22"/>
              <w:ind w:left="12" w:right="-39"/>
              <w:jc w:val="left"/>
              <w:rPr>
                <w:rFonts w:ascii="宋体" w:hAnsi="宋体" w:cs="宋体" w:eastAsia="宋体" w:hint="default"/>
                <w:sz w:val="18"/>
                <w:szCs w:val="18"/>
              </w:rPr>
            </w:pPr>
            <w:r>
              <w:rPr>
                <w:rFonts w:ascii="宋体" w:hAnsi="宋体" w:cs="宋体" w:eastAsia="宋体" w:hint="default"/>
                <w:spacing w:val="41"/>
                <w:sz w:val="18"/>
                <w:szCs w:val="18"/>
              </w:rPr>
              <w:t>集团子公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42" w:type="dxa"/>
            <w:tcBorders>
              <w:top w:val="single" w:sz="15" w:space="0" w:color="000000"/>
              <w:left w:val="single" w:sz="9" w:space="0" w:color="FFFFFF"/>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物业出租</w:t>
            </w:r>
          </w:p>
        </w:tc>
        <w:tc>
          <w:tcPr>
            <w:tcW w:w="2027"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pacing w:val="16"/>
                <w:sz w:val="18"/>
                <w:szCs w:val="18"/>
              </w:rPr>
              <w:t>出租位于南京市徐庄软</w:t>
            </w:r>
          </w:p>
          <w:p>
            <w:pPr>
              <w:pStyle w:val="TableParagraph"/>
              <w:spacing w:line="232" w:lineRule="auto" w:before="5"/>
              <w:ind w:left="23" w:right="20"/>
              <w:jc w:val="both"/>
              <w:rPr>
                <w:rFonts w:ascii="宋体" w:hAnsi="宋体" w:cs="宋体" w:eastAsia="宋体" w:hint="default"/>
                <w:sz w:val="18"/>
                <w:szCs w:val="18"/>
              </w:rPr>
            </w:pPr>
            <w:r>
              <w:rPr>
                <w:rFonts w:ascii="宋体" w:hAnsi="宋体" w:cs="宋体" w:eastAsia="宋体" w:hint="default"/>
                <w:spacing w:val="16"/>
                <w:sz w:val="18"/>
                <w:szCs w:val="18"/>
              </w:rPr>
              <w:t>件园内苏宁电器总部</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8 </w:t>
            </w:r>
            <w:r>
              <w:rPr>
                <w:rFonts w:ascii="宋体" w:hAnsi="宋体" w:cs="宋体" w:eastAsia="宋体" w:hint="default"/>
                <w:sz w:val="18"/>
                <w:szCs w:val="18"/>
              </w:rPr>
              <w:t>号楼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层、地下 </w:t>
            </w:r>
            <w:r>
              <w:rPr>
                <w:rFonts w:ascii="宋体" w:hAnsi="宋体" w:cs="宋体" w:eastAsia="宋体" w:hint="default"/>
                <w:spacing w:val="16"/>
                <w:sz w:val="18"/>
                <w:szCs w:val="18"/>
              </w:rPr>
              <w:t>夹层及负一层部分物业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用于其开展酒店经营业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务。</w:t>
            </w:r>
            <w:r>
              <w:rPr>
                <w:rFonts w:ascii="宋体" w:hAnsi="宋体" w:cs="宋体" w:eastAsia="宋体" w:hint="default"/>
                <w:spacing w:val="-70"/>
                <w:sz w:val="18"/>
                <w:szCs w:val="18"/>
              </w:rPr>
              <w:t> </w:t>
            </w:r>
            <w:r>
              <w:rPr>
                <w:rFonts w:ascii="宋体" w:hAnsi="宋体" w:cs="宋体" w:eastAsia="宋体" w:hint="default"/>
                <w:spacing w:val="16"/>
                <w:sz w:val="18"/>
                <w:szCs w:val="18"/>
              </w:rPr>
              <w:t>出租物业面积约为</w:t>
            </w:r>
            <w:r>
              <w:rPr>
                <w:rFonts w:ascii="宋体" w:hAnsi="宋体" w:cs="宋体" w:eastAsia="宋体" w:hint="default"/>
                <w:sz w:val="18"/>
                <w:szCs w:val="18"/>
              </w:rPr>
              <w:t> </w:t>
            </w:r>
            <w:r>
              <w:rPr>
                <w:rFonts w:ascii="Times New Roman" w:hAnsi="Times New Roman" w:cs="Times New Roman" w:eastAsia="Times New Roman" w:hint="default"/>
                <w:sz w:val="18"/>
                <w:szCs w:val="18"/>
              </w:rPr>
              <w:t>45,000  </w:t>
            </w:r>
            <w:r>
              <w:rPr>
                <w:rFonts w:ascii="宋体" w:hAnsi="宋体" w:cs="宋体" w:eastAsia="宋体" w:hint="default"/>
                <w:spacing w:val="11"/>
                <w:sz w:val="18"/>
                <w:szCs w:val="18"/>
              </w:rPr>
              <w:t>平米，</w:t>
            </w:r>
            <w:r>
              <w:rPr>
                <w:rFonts w:ascii="宋体" w:hAnsi="宋体" w:cs="宋体" w:eastAsia="宋体" w:hint="default"/>
                <w:spacing w:val="-53"/>
                <w:sz w:val="18"/>
                <w:szCs w:val="18"/>
              </w:rPr>
              <w:t> </w:t>
            </w:r>
            <w:r>
              <w:rPr>
                <w:rFonts w:ascii="宋体" w:hAnsi="宋体" w:cs="宋体" w:eastAsia="宋体" w:hint="default"/>
                <w:spacing w:val="12"/>
                <w:sz w:val="18"/>
                <w:szCs w:val="18"/>
              </w:rPr>
              <w:t>租赁期限</w:t>
            </w:r>
          </w:p>
          <w:p>
            <w:pPr>
              <w:pStyle w:val="TableParagraph"/>
              <w:spacing w:line="234"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2011/3/20-2026/3/19</w:t>
            </w:r>
            <w:r>
              <w:rPr>
                <w:rFonts w:ascii="宋体" w:hAnsi="宋体" w:cs="宋体" w:eastAsia="宋体" w:hint="default"/>
                <w:sz w:val="18"/>
                <w:szCs w:val="18"/>
              </w:rPr>
              <w:t>。</w:t>
            </w:r>
          </w:p>
        </w:tc>
        <w:tc>
          <w:tcPr>
            <w:tcW w:w="854"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7"/>
                <w:sz w:val="18"/>
                <w:szCs w:val="18"/>
              </w:rPr>
              <w:t> </w:t>
            </w: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至</w:t>
            </w:r>
            <w:r>
              <w:rPr>
                <w:rFonts w:ascii="宋体" w:hAnsi="宋体" w:cs="宋体" w:eastAsia="宋体" w:hint="default"/>
                <w:spacing w:val="-67"/>
                <w:sz w:val="18"/>
                <w:szCs w:val="18"/>
              </w:rPr>
              <w:t> </w:t>
            </w:r>
            <w:r>
              <w:rPr>
                <w:rFonts w:ascii="宋体" w:hAnsi="宋体" w:cs="宋体" w:eastAsia="宋体" w:hint="default"/>
                <w:sz w:val="18"/>
                <w:szCs w:val="18"/>
              </w:rPr>
              <w:t>第</w:t>
            </w:r>
          </w:p>
          <w:p>
            <w:pPr>
              <w:pStyle w:val="TableParagraph"/>
              <w:spacing w:line="232" w:lineRule="auto" w:before="5"/>
              <w:ind w:left="22" w:right="12"/>
              <w:jc w:val="both"/>
              <w:rPr>
                <w:rFonts w:ascii="宋体" w:hAnsi="宋体" w:cs="宋体" w:eastAsia="宋体" w:hint="default"/>
                <w:sz w:val="18"/>
                <w:szCs w:val="18"/>
              </w:rPr>
            </w:pPr>
            <w:r>
              <w:rPr>
                <w:rFonts w:ascii="宋体" w:hAnsi="宋体" w:cs="宋体" w:eastAsia="宋体" w:hint="default"/>
                <w:sz w:val="18"/>
                <w:szCs w:val="18"/>
              </w:rPr>
              <w:t>五年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平方米</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日， </w:t>
            </w:r>
            <w:r>
              <w:rPr>
                <w:rFonts w:ascii="宋体" w:hAnsi="宋体" w:cs="宋体" w:eastAsia="宋体" w:hint="default"/>
                <w:sz w:val="18"/>
                <w:szCs w:val="18"/>
              </w:rPr>
              <w:t>自</w:t>
            </w:r>
            <w:r>
              <w:rPr>
                <w:rFonts w:ascii="宋体" w:hAnsi="宋体" w:cs="宋体" w:eastAsia="宋体" w:hint="default"/>
                <w:spacing w:val="-67"/>
                <w:sz w:val="18"/>
                <w:szCs w:val="18"/>
              </w:rPr>
              <w:t> </w:t>
            </w:r>
            <w:r>
              <w:rPr>
                <w:rFonts w:ascii="宋体" w:hAnsi="宋体" w:cs="宋体" w:eastAsia="宋体" w:hint="default"/>
                <w:sz w:val="18"/>
                <w:szCs w:val="18"/>
              </w:rPr>
              <w:t>第</w:t>
            </w:r>
            <w:r>
              <w:rPr>
                <w:rFonts w:ascii="宋体" w:hAnsi="宋体" w:cs="宋体" w:eastAsia="宋体" w:hint="default"/>
                <w:spacing w:val="-67"/>
                <w:sz w:val="18"/>
                <w:szCs w:val="18"/>
              </w:rPr>
              <w:t> </w:t>
            </w:r>
            <w:r>
              <w:rPr>
                <w:rFonts w:ascii="宋体" w:hAnsi="宋体" w:cs="宋体" w:eastAsia="宋体" w:hint="default"/>
                <w:sz w:val="18"/>
                <w:szCs w:val="18"/>
              </w:rPr>
              <w:t>六</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起</w:t>
            </w:r>
            <w:r>
              <w:rPr>
                <w:rFonts w:ascii="宋体" w:hAnsi="宋体" w:cs="宋体" w:eastAsia="宋体" w:hint="default"/>
                <w:sz w:val="18"/>
                <w:szCs w:val="18"/>
              </w:rPr>
              <w:t> 每</w:t>
            </w:r>
            <w:r>
              <w:rPr>
                <w:rFonts w:ascii="宋体" w:hAnsi="宋体" w:cs="宋体" w:eastAsia="宋体" w:hint="default"/>
                <w:spacing w:val="-67"/>
                <w:sz w:val="18"/>
                <w:szCs w:val="18"/>
              </w:rPr>
              <w:t> </w:t>
            </w:r>
            <w:r>
              <w:rPr>
                <w:rFonts w:ascii="宋体" w:hAnsi="宋体" w:cs="宋体" w:eastAsia="宋体" w:hint="default"/>
                <w:sz w:val="18"/>
                <w:szCs w:val="18"/>
              </w:rPr>
              <w:t>两</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在</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z w:val="18"/>
                <w:szCs w:val="18"/>
              </w:rPr>
              <w:t> 一</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基</w:t>
            </w:r>
            <w:r>
              <w:rPr>
                <w:rFonts w:ascii="宋体" w:hAnsi="宋体" w:cs="宋体" w:eastAsia="宋体" w:hint="default"/>
                <w:spacing w:val="-67"/>
                <w:sz w:val="18"/>
                <w:szCs w:val="18"/>
              </w:rPr>
              <w:t> </w:t>
            </w:r>
            <w:r>
              <w:rPr>
                <w:rFonts w:ascii="宋体" w:hAnsi="宋体" w:cs="宋体" w:eastAsia="宋体" w:hint="default"/>
                <w:sz w:val="18"/>
                <w:szCs w:val="18"/>
              </w:rPr>
              <w:t>础</w:t>
            </w:r>
            <w:r>
              <w:rPr>
                <w:rFonts w:ascii="宋体" w:hAnsi="宋体" w:cs="宋体" w:eastAsia="宋体" w:hint="default"/>
                <w:sz w:val="18"/>
                <w:szCs w:val="18"/>
              </w:rPr>
              <w:t> 上递增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32" w:type="dxa"/>
            <w:tcBorders>
              <w:top w:val="single" w:sz="15"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1,971.00</w:t>
            </w:r>
          </w:p>
        </w:tc>
        <w:tc>
          <w:tcPr>
            <w:tcW w:w="944" w:type="dxa"/>
            <w:tcBorders>
              <w:top w:val="single" w:sz="15"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12.76%</w:t>
            </w:r>
          </w:p>
        </w:tc>
        <w:tc>
          <w:tcPr>
            <w:tcW w:w="1313" w:type="dxa"/>
            <w:tcBorders>
              <w:top w:val="single" w:sz="15"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32,240.14</w:t>
            </w: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按季度支付</w:t>
            </w:r>
          </w:p>
        </w:tc>
        <w:tc>
          <w:tcPr>
            <w:tcW w:w="785" w:type="dxa"/>
            <w:tcBorders>
              <w:top w:val="single" w:sz="15" w:space="0" w:color="000000"/>
              <w:left w:val="single" w:sz="4" w:space="0" w:color="000000"/>
              <w:bottom w:val="single" w:sz="4" w:space="0" w:color="000000"/>
              <w:right w:val="single" w:sz="4" w:space="0" w:color="000000"/>
            </w:tcBorders>
          </w:tcPr>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15"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网</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2011-010</w:t>
            </w:r>
          </w:p>
          <w:p>
            <w:pPr>
              <w:pStyle w:val="TableParagraph"/>
              <w:spacing w:line="237" w:lineRule="auto"/>
              <w:ind w:left="22" w:right="-32"/>
              <w:jc w:val="both"/>
              <w:rPr>
                <w:rFonts w:ascii="宋体" w:hAnsi="宋体" w:cs="宋体" w:eastAsia="宋体" w:hint="default"/>
                <w:sz w:val="18"/>
                <w:szCs w:val="18"/>
              </w:rPr>
            </w:pPr>
            <w:r>
              <w:rPr>
                <w:rFonts w:ascii="宋体" w:hAnsi="宋体" w:cs="宋体" w:eastAsia="宋体" w:hint="default"/>
                <w:spacing w:val="41"/>
                <w:sz w:val="18"/>
                <w:szCs w:val="18"/>
              </w:rPr>
              <w:t>《关于向</w:t>
            </w:r>
            <w:r>
              <w:rPr>
                <w:rFonts w:ascii="宋体" w:hAnsi="宋体" w:cs="宋体" w:eastAsia="宋体" w:hint="default"/>
                <w:spacing w:val="-35"/>
                <w:sz w:val="18"/>
                <w:szCs w:val="18"/>
              </w:rPr>
              <w:t> </w:t>
            </w:r>
            <w:r>
              <w:rPr>
                <w:rFonts w:ascii="宋体" w:hAnsi="宋体" w:cs="宋体" w:eastAsia="宋体" w:hint="default"/>
                <w:spacing w:val="41"/>
                <w:sz w:val="18"/>
                <w:szCs w:val="18"/>
              </w:rPr>
              <w:t>关联方出</w:t>
            </w:r>
            <w:r>
              <w:rPr>
                <w:rFonts w:ascii="宋体" w:hAnsi="宋体" w:cs="宋体" w:eastAsia="宋体" w:hint="default"/>
                <w:spacing w:val="-35"/>
                <w:sz w:val="18"/>
                <w:szCs w:val="18"/>
              </w:rPr>
              <w:t> </w:t>
            </w:r>
            <w:r>
              <w:rPr>
                <w:rFonts w:ascii="宋体" w:hAnsi="宋体" w:cs="宋体" w:eastAsia="宋体" w:hint="default"/>
                <w:spacing w:val="41"/>
                <w:sz w:val="18"/>
                <w:szCs w:val="18"/>
              </w:rPr>
              <w:t>租物业的</w:t>
            </w:r>
            <w:r>
              <w:rPr>
                <w:rFonts w:ascii="宋体" w:hAnsi="宋体" w:cs="宋体" w:eastAsia="宋体" w:hint="default"/>
                <w:spacing w:val="-35"/>
                <w:sz w:val="18"/>
                <w:szCs w:val="18"/>
              </w:rPr>
              <w:t> </w:t>
            </w: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t>公告》</w:t>
            </w:r>
          </w:p>
        </w:tc>
      </w:tr>
      <w:tr>
        <w:trPr>
          <w:trHeight w:val="3485" w:hRule="exact"/>
        </w:trPr>
        <w:tc>
          <w:tcPr>
            <w:tcW w:w="937" w:type="dxa"/>
            <w:tcBorders>
              <w:top w:val="single" w:sz="4" w:space="0" w:color="000000"/>
              <w:left w:val="single" w:sz="4" w:space="0" w:color="000000"/>
              <w:bottom w:val="single" w:sz="4" w:space="0" w:color="000000"/>
              <w:right w:val="single" w:sz="9" w:space="0" w:color="FFFFFF"/>
            </w:tcBorders>
          </w:tcPr>
          <w:p>
            <w:pPr>
              <w:pStyle w:val="TableParagraph"/>
              <w:spacing w:line="204" w:lineRule="exact"/>
              <w:ind w:left="22" w:right="-38"/>
              <w:jc w:val="left"/>
              <w:rPr>
                <w:rFonts w:ascii="宋体" w:hAnsi="宋体" w:cs="宋体" w:eastAsia="宋体" w:hint="default"/>
                <w:sz w:val="18"/>
                <w:szCs w:val="18"/>
              </w:rPr>
            </w:pPr>
            <w:r>
              <w:rPr>
                <w:rFonts w:ascii="宋体" w:hAnsi="宋体" w:cs="宋体" w:eastAsia="宋体" w:hint="default"/>
                <w:spacing w:val="40"/>
                <w:sz w:val="18"/>
                <w:szCs w:val="18"/>
              </w:rPr>
              <w:t>青岛苏宁</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40" w:lineRule="auto"/>
              <w:ind w:left="22" w:right="-38"/>
              <w:jc w:val="left"/>
              <w:rPr>
                <w:rFonts w:ascii="宋体" w:hAnsi="宋体" w:cs="宋体" w:eastAsia="宋体" w:hint="default"/>
                <w:sz w:val="18"/>
                <w:szCs w:val="18"/>
              </w:rPr>
            </w:pPr>
            <w:r>
              <w:rPr>
                <w:rFonts w:ascii="宋体" w:hAnsi="宋体" w:cs="宋体" w:eastAsia="宋体" w:hint="default"/>
                <w:spacing w:val="40"/>
                <w:sz w:val="18"/>
                <w:szCs w:val="18"/>
              </w:rPr>
              <w:t>置业有限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942" w:type="dxa"/>
            <w:tcBorders>
              <w:top w:val="single" w:sz="4" w:space="0" w:color="000000"/>
              <w:left w:val="single" w:sz="9" w:space="0" w:color="FFFFFF"/>
              <w:bottom w:val="single" w:sz="4" w:space="0" w:color="000000"/>
              <w:right w:val="single" w:sz="9" w:space="0" w:color="FFFFFF"/>
            </w:tcBorders>
          </w:tcPr>
          <w:p>
            <w:pPr>
              <w:pStyle w:val="TableParagraph"/>
              <w:spacing w:line="204" w:lineRule="exact"/>
              <w:ind w:left="17" w:right="-39"/>
              <w:jc w:val="left"/>
              <w:rPr>
                <w:rFonts w:ascii="宋体" w:hAnsi="宋体" w:cs="宋体" w:eastAsia="宋体" w:hint="default"/>
                <w:sz w:val="18"/>
                <w:szCs w:val="18"/>
              </w:rPr>
            </w:pPr>
            <w:r>
              <w:rPr>
                <w:rFonts w:ascii="宋体" w:hAnsi="宋体" w:cs="宋体" w:eastAsia="宋体" w:hint="default"/>
                <w:spacing w:val="41"/>
                <w:sz w:val="18"/>
                <w:szCs w:val="18"/>
              </w:rPr>
              <w:t>苏宁置业</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7" w:right="-39"/>
              <w:jc w:val="left"/>
              <w:rPr>
                <w:rFonts w:ascii="宋体" w:hAnsi="宋体" w:cs="宋体" w:eastAsia="宋体" w:hint="default"/>
                <w:sz w:val="18"/>
                <w:szCs w:val="18"/>
              </w:rPr>
            </w:pPr>
            <w:r>
              <w:rPr>
                <w:rFonts w:ascii="宋体" w:hAnsi="宋体" w:cs="宋体" w:eastAsia="宋体" w:hint="default"/>
                <w:spacing w:val="41"/>
                <w:sz w:val="18"/>
                <w:szCs w:val="18"/>
              </w:rPr>
              <w:t>集团子公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42" w:type="dxa"/>
            <w:tcBorders>
              <w:top w:val="single" w:sz="4" w:space="0" w:color="000000"/>
              <w:left w:val="single" w:sz="9" w:space="0" w:color="FFFFFF"/>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pacing w:val="16"/>
                <w:sz w:val="18"/>
                <w:szCs w:val="18"/>
              </w:rPr>
              <w:t>租赁位于青岛市李沧区</w:t>
            </w:r>
          </w:p>
          <w:p>
            <w:pPr>
              <w:pStyle w:val="TableParagraph"/>
              <w:spacing w:line="240" w:lineRule="exact"/>
              <w:ind w:left="23" w:right="0"/>
              <w:jc w:val="both"/>
              <w:rPr>
                <w:rFonts w:ascii="宋体" w:hAnsi="宋体" w:cs="宋体" w:eastAsia="宋体" w:hint="default"/>
                <w:sz w:val="18"/>
                <w:szCs w:val="18"/>
              </w:rPr>
            </w:pPr>
            <w:r>
              <w:rPr>
                <w:rFonts w:ascii="宋体" w:hAnsi="宋体" w:cs="宋体" w:eastAsia="宋体" w:hint="default"/>
                <w:sz w:val="18"/>
                <w:szCs w:val="18"/>
              </w:rPr>
              <w:t>京口路 </w:t>
            </w:r>
            <w:r>
              <w:rPr>
                <w:rFonts w:ascii="Times New Roman" w:hAnsi="Times New Roman" w:cs="Times New Roman" w:eastAsia="Times New Roman" w:hint="default"/>
                <w:sz w:val="18"/>
                <w:szCs w:val="18"/>
              </w:rPr>
              <w:t>22-42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号、古镇路</w:t>
            </w:r>
          </w:p>
          <w:p>
            <w:pPr>
              <w:pStyle w:val="TableParagraph"/>
              <w:spacing w:line="230" w:lineRule="auto" w:before="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1-29</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号、书院路</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 </w:t>
            </w:r>
            <w:r>
              <w:rPr>
                <w:rFonts w:ascii="宋体" w:hAnsi="宋体" w:cs="宋体" w:eastAsia="宋体" w:hint="default"/>
                <w:spacing w:val="16"/>
                <w:sz w:val="18"/>
                <w:szCs w:val="18"/>
              </w:rPr>
              <w:t>物业一至三层用于开设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EXPO</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超级旗舰店，租赁 物</w:t>
            </w:r>
            <w:r>
              <w:rPr>
                <w:rFonts w:ascii="宋体" w:hAnsi="宋体" w:cs="宋体" w:eastAsia="宋体" w:hint="default"/>
                <w:spacing w:val="-47"/>
                <w:sz w:val="18"/>
                <w:szCs w:val="18"/>
              </w:rPr>
              <w:t> </w:t>
            </w:r>
            <w:r>
              <w:rPr>
                <w:rFonts w:ascii="宋体" w:hAnsi="宋体" w:cs="宋体" w:eastAsia="宋体" w:hint="default"/>
                <w:sz w:val="18"/>
                <w:szCs w:val="18"/>
              </w:rPr>
              <w:t>业</w:t>
            </w:r>
            <w:r>
              <w:rPr>
                <w:rFonts w:ascii="宋体" w:hAnsi="宋体" w:cs="宋体" w:eastAsia="宋体" w:hint="default"/>
                <w:spacing w:val="-47"/>
                <w:sz w:val="18"/>
                <w:szCs w:val="18"/>
              </w:rPr>
              <w:t> </w:t>
            </w:r>
            <w:r>
              <w:rPr>
                <w:rFonts w:ascii="宋体" w:hAnsi="宋体" w:cs="宋体" w:eastAsia="宋体" w:hint="default"/>
                <w:sz w:val="18"/>
                <w:szCs w:val="18"/>
              </w:rPr>
              <w:t>建</w:t>
            </w:r>
            <w:r>
              <w:rPr>
                <w:rFonts w:ascii="宋体" w:hAnsi="宋体" w:cs="宋体" w:eastAsia="宋体" w:hint="default"/>
                <w:spacing w:val="-46"/>
                <w:sz w:val="18"/>
                <w:szCs w:val="18"/>
              </w:rPr>
              <w:t> </w:t>
            </w:r>
            <w:r>
              <w:rPr>
                <w:rFonts w:ascii="宋体" w:hAnsi="宋体" w:cs="宋体" w:eastAsia="宋体" w:hint="default"/>
                <w:sz w:val="18"/>
                <w:szCs w:val="18"/>
              </w:rPr>
              <w:t>筑</w:t>
            </w:r>
            <w:r>
              <w:rPr>
                <w:rFonts w:ascii="宋体" w:hAnsi="宋体" w:cs="宋体" w:eastAsia="宋体" w:hint="default"/>
                <w:spacing w:val="-47"/>
                <w:sz w:val="18"/>
                <w:szCs w:val="18"/>
              </w:rPr>
              <w:t> </w:t>
            </w:r>
            <w:r>
              <w:rPr>
                <w:rFonts w:ascii="宋体" w:hAnsi="宋体" w:cs="宋体" w:eastAsia="宋体" w:hint="default"/>
                <w:sz w:val="18"/>
                <w:szCs w:val="18"/>
              </w:rPr>
              <w:t>面</w:t>
            </w:r>
            <w:r>
              <w:rPr>
                <w:rFonts w:ascii="宋体" w:hAnsi="宋体" w:cs="宋体" w:eastAsia="宋体" w:hint="default"/>
                <w:spacing w:val="-46"/>
                <w:sz w:val="18"/>
                <w:szCs w:val="18"/>
              </w:rPr>
              <w:t> </w:t>
            </w:r>
            <w:r>
              <w:rPr>
                <w:rFonts w:ascii="宋体" w:hAnsi="宋体" w:cs="宋体" w:eastAsia="宋体" w:hint="default"/>
                <w:sz w:val="18"/>
                <w:szCs w:val="18"/>
              </w:rPr>
              <w:t>积</w:t>
            </w:r>
            <w:r>
              <w:rPr>
                <w:rFonts w:ascii="宋体" w:hAnsi="宋体" w:cs="宋体" w:eastAsia="宋体" w:hint="default"/>
                <w:spacing w:val="-47"/>
                <w:sz w:val="18"/>
                <w:szCs w:val="18"/>
              </w:rPr>
              <w:t> </w:t>
            </w:r>
            <w:r>
              <w:rPr>
                <w:rFonts w:ascii="宋体" w:hAnsi="宋体" w:cs="宋体" w:eastAsia="宋体" w:hint="default"/>
                <w:sz w:val="18"/>
                <w:szCs w:val="18"/>
              </w:rPr>
              <w:t>合</w:t>
            </w:r>
            <w:r>
              <w:rPr>
                <w:rFonts w:ascii="宋体" w:hAnsi="宋体" w:cs="宋体" w:eastAsia="宋体" w:hint="default"/>
                <w:spacing w:val="-47"/>
                <w:sz w:val="18"/>
                <w:szCs w:val="18"/>
              </w:rPr>
              <w:t> </w:t>
            </w:r>
            <w:r>
              <w:rPr>
                <w:rFonts w:ascii="宋体" w:hAnsi="宋体" w:cs="宋体" w:eastAsia="宋体" w:hint="default"/>
                <w:sz w:val="18"/>
                <w:szCs w:val="18"/>
              </w:rPr>
              <w:t>计</w:t>
            </w:r>
            <w:r>
              <w:rPr>
                <w:rFonts w:ascii="宋体" w:hAnsi="宋体" w:cs="宋体" w:eastAsia="宋体" w:hint="default"/>
                <w:spacing w:val="-47"/>
                <w:sz w:val="18"/>
                <w:szCs w:val="18"/>
              </w:rPr>
              <w:t> </w:t>
            </w:r>
            <w:r>
              <w:rPr>
                <w:rFonts w:ascii="宋体" w:hAnsi="宋体" w:cs="宋体" w:eastAsia="宋体" w:hint="default"/>
                <w:sz w:val="18"/>
                <w:szCs w:val="18"/>
              </w:rPr>
              <w:t>约</w:t>
            </w:r>
            <w:r>
              <w:rPr>
                <w:rFonts w:ascii="宋体" w:hAnsi="宋体" w:cs="宋体" w:eastAsia="宋体" w:hint="default"/>
                <w:sz w:val="18"/>
                <w:szCs w:val="18"/>
              </w:rPr>
              <w:t> </w:t>
            </w:r>
            <w:r>
              <w:rPr>
                <w:rFonts w:ascii="Times New Roman" w:hAnsi="Times New Roman" w:cs="Times New Roman" w:eastAsia="Times New Roman" w:hint="default"/>
                <w:sz w:val="18"/>
                <w:szCs w:val="18"/>
              </w:rPr>
              <w:t>14,120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平</w:t>
            </w:r>
            <w:r>
              <w:rPr>
                <w:rFonts w:ascii="宋体" w:hAnsi="宋体" w:cs="宋体" w:eastAsia="宋体" w:hint="default"/>
                <w:spacing w:val="-40"/>
                <w:sz w:val="18"/>
                <w:szCs w:val="18"/>
              </w:rPr>
              <w:t> </w:t>
            </w:r>
            <w:r>
              <w:rPr>
                <w:rFonts w:ascii="宋体" w:hAnsi="宋体" w:cs="宋体" w:eastAsia="宋体" w:hint="default"/>
                <w:sz w:val="18"/>
                <w:szCs w:val="18"/>
              </w:rPr>
              <w:t>米</w:t>
            </w:r>
            <w:r>
              <w:rPr>
                <w:rFonts w:ascii="宋体" w:hAnsi="宋体" w:cs="宋体" w:eastAsia="宋体" w:hint="default"/>
                <w:spacing w:val="-39"/>
                <w:sz w:val="18"/>
                <w:szCs w:val="18"/>
              </w:rPr>
              <w:t> </w:t>
            </w: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租</w:t>
            </w:r>
            <w:r>
              <w:rPr>
                <w:rFonts w:ascii="宋体" w:hAnsi="宋体" w:cs="宋体" w:eastAsia="宋体" w:hint="default"/>
                <w:spacing w:val="-40"/>
                <w:sz w:val="18"/>
                <w:szCs w:val="18"/>
              </w:rPr>
              <w:t> </w:t>
            </w:r>
            <w:r>
              <w:rPr>
                <w:rFonts w:ascii="宋体" w:hAnsi="宋体" w:cs="宋体" w:eastAsia="宋体" w:hint="default"/>
                <w:sz w:val="18"/>
                <w:szCs w:val="18"/>
              </w:rPr>
              <w:t>赁</w:t>
            </w:r>
            <w:r>
              <w:rPr>
                <w:rFonts w:ascii="宋体" w:hAnsi="宋体" w:cs="宋体" w:eastAsia="宋体" w:hint="default"/>
                <w:spacing w:val="-40"/>
                <w:sz w:val="18"/>
                <w:szCs w:val="18"/>
              </w:rPr>
              <w:t> </w:t>
            </w:r>
            <w:r>
              <w:rPr>
                <w:rFonts w:ascii="宋体" w:hAnsi="宋体" w:cs="宋体" w:eastAsia="宋体" w:hint="default"/>
                <w:sz w:val="18"/>
                <w:szCs w:val="18"/>
              </w:rPr>
              <w:t>期</w:t>
            </w:r>
          </w:p>
          <w:p>
            <w:pPr>
              <w:pStyle w:val="TableParagraph"/>
              <w:spacing w:line="236"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2011/4/19-2021/4/18</w:t>
            </w:r>
            <w:r>
              <w:rPr>
                <w:rFonts w:ascii="宋体" w:hAnsi="宋体" w:cs="宋体" w:eastAsia="宋体" w:hint="default"/>
                <w:sz w:val="18"/>
                <w:szCs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both"/>
              <w:rPr>
                <w:rFonts w:ascii="宋体" w:hAnsi="宋体" w:cs="宋体" w:eastAsia="宋体" w:hint="default"/>
                <w:sz w:val="18"/>
                <w:szCs w:val="18"/>
              </w:rPr>
            </w:pP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赁</w:t>
            </w:r>
            <w:r>
              <w:rPr>
                <w:rFonts w:ascii="宋体" w:hAnsi="宋体" w:cs="宋体" w:eastAsia="宋体" w:hint="default"/>
                <w:spacing w:val="-67"/>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7"/>
                <w:sz w:val="18"/>
                <w:szCs w:val="18"/>
              </w:rPr>
              <w:t> </w:t>
            </w:r>
            <w:r>
              <w:rPr>
                <w:rFonts w:ascii="宋体" w:hAnsi="宋体" w:cs="宋体" w:eastAsia="宋体" w:hint="default"/>
                <w:sz w:val="18"/>
                <w:szCs w:val="18"/>
              </w:rPr>
              <w:t>采</w:t>
            </w:r>
          </w:p>
          <w:p>
            <w:pPr>
              <w:pStyle w:val="TableParagraph"/>
              <w:spacing w:line="232" w:lineRule="auto" w:before="5"/>
              <w:ind w:left="22" w:right="-25"/>
              <w:jc w:val="both"/>
              <w:rPr>
                <w:rFonts w:ascii="宋体" w:hAnsi="宋体" w:cs="宋体" w:eastAsia="宋体" w:hint="default"/>
                <w:sz w:val="18"/>
                <w:szCs w:val="18"/>
              </w:rPr>
            </w:pPr>
            <w:r>
              <w:rPr>
                <w:rFonts w:ascii="宋体" w:hAnsi="宋体" w:cs="宋体" w:eastAsia="宋体" w:hint="default"/>
                <w:spacing w:val="2"/>
                <w:sz w:val="18"/>
                <w:szCs w:val="18"/>
              </w:rPr>
              <w:t>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保底加提</w:t>
            </w:r>
            <w:r>
              <w:rPr>
                <w:rFonts w:ascii="宋体" w:hAnsi="宋体" w:cs="宋体" w:eastAsia="宋体" w:hint="default"/>
                <w:spacing w:val="-86"/>
                <w:sz w:val="18"/>
                <w:szCs w:val="18"/>
              </w:rPr>
              <w:t> </w:t>
            </w:r>
            <w:r>
              <w:rPr>
                <w:rFonts w:ascii="宋体" w:hAnsi="宋体" w:cs="宋体" w:eastAsia="宋体" w:hint="default"/>
                <w:sz w:val="18"/>
                <w:szCs w:val="18"/>
              </w:rPr>
              <w:t>成</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pacing w:val="32"/>
                <w:sz w:val="18"/>
                <w:szCs w:val="18"/>
              </w:rPr>
              <w:t>方式计</w:t>
            </w:r>
            <w:r>
              <w:rPr>
                <w:rFonts w:ascii="宋体" w:hAnsi="宋体" w:cs="宋体" w:eastAsia="宋体" w:hint="default"/>
                <w:spacing w:val="-41"/>
                <w:sz w:val="18"/>
                <w:szCs w:val="18"/>
              </w:rPr>
              <w:t> </w:t>
            </w:r>
            <w:r>
              <w:rPr>
                <w:rFonts w:ascii="宋体" w:hAnsi="宋体" w:cs="宋体" w:eastAsia="宋体" w:hint="default"/>
                <w:spacing w:val="-14"/>
                <w:sz w:val="18"/>
                <w:szCs w:val="18"/>
              </w:rPr>
              <w:t>算，按含税销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额</w:t>
            </w:r>
            <w:r>
              <w:rPr>
                <w:rFonts w:ascii="宋体" w:hAnsi="宋体" w:cs="宋体" w:eastAsia="宋体" w:hint="default"/>
                <w:sz w:val="18"/>
                <w:szCs w:val="18"/>
              </w:rPr>
              <w:t> 作</w:t>
            </w:r>
            <w:r>
              <w:rPr>
                <w:rFonts w:ascii="宋体" w:hAnsi="宋体" w:cs="宋体" w:eastAsia="宋体" w:hint="default"/>
                <w:spacing w:val="-67"/>
                <w:sz w:val="18"/>
                <w:szCs w:val="18"/>
              </w:rPr>
              <w:t> </w:t>
            </w:r>
            <w:r>
              <w:rPr>
                <w:rFonts w:ascii="宋体" w:hAnsi="宋体" w:cs="宋体" w:eastAsia="宋体" w:hint="default"/>
                <w:sz w:val="18"/>
                <w:szCs w:val="18"/>
              </w:rPr>
              <w:t>为</w:t>
            </w:r>
            <w:r>
              <w:rPr>
                <w:rFonts w:ascii="宋体" w:hAnsi="宋体" w:cs="宋体" w:eastAsia="宋体" w:hint="default"/>
                <w:spacing w:val="-67"/>
                <w:sz w:val="18"/>
                <w:szCs w:val="18"/>
              </w:rPr>
              <w:t> </w:t>
            </w:r>
            <w:r>
              <w:rPr>
                <w:rFonts w:ascii="宋体" w:hAnsi="宋体" w:cs="宋体" w:eastAsia="宋体" w:hint="default"/>
                <w:sz w:val="18"/>
                <w:szCs w:val="18"/>
              </w:rPr>
              <w:t>租</w:t>
            </w:r>
            <w:r>
              <w:rPr>
                <w:rFonts w:ascii="宋体" w:hAnsi="宋体" w:cs="宋体" w:eastAsia="宋体" w:hint="default"/>
                <w:spacing w:val="-65"/>
                <w:sz w:val="18"/>
                <w:szCs w:val="18"/>
              </w:rPr>
              <w:t> </w:t>
            </w:r>
            <w:r>
              <w:rPr>
                <w:rFonts w:ascii="宋体" w:hAnsi="宋体" w:cs="宋体" w:eastAsia="宋体" w:hint="default"/>
                <w:sz w:val="18"/>
                <w:szCs w:val="18"/>
              </w:rPr>
              <w:t>赁</w:t>
            </w:r>
            <w:r>
              <w:rPr>
                <w:rFonts w:ascii="宋体" w:hAnsi="宋体" w:cs="宋体" w:eastAsia="宋体" w:hint="default"/>
                <w:spacing w:val="-67"/>
                <w:sz w:val="18"/>
                <w:szCs w:val="18"/>
              </w:rPr>
              <w:t> </w:t>
            </w:r>
            <w:r>
              <w:rPr>
                <w:rFonts w:ascii="宋体" w:hAnsi="宋体" w:cs="宋体" w:eastAsia="宋体" w:hint="default"/>
                <w:sz w:val="18"/>
                <w:szCs w:val="18"/>
              </w:rPr>
              <w:t>费</w:t>
            </w:r>
            <w:r>
              <w:rPr>
                <w:rFonts w:ascii="宋体" w:hAnsi="宋体" w:cs="宋体" w:eastAsia="宋体" w:hint="default"/>
                <w:sz w:val="18"/>
                <w:szCs w:val="18"/>
              </w:rPr>
              <w:t> </w:t>
            </w:r>
            <w:r>
              <w:rPr>
                <w:rFonts w:ascii="宋体" w:hAnsi="宋体" w:cs="宋体" w:eastAsia="宋体" w:hint="default"/>
                <w:spacing w:val="-14"/>
                <w:sz w:val="18"/>
                <w:szCs w:val="18"/>
              </w:rPr>
              <w:t>用，但每平米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w:t>
            </w:r>
            <w:r>
              <w:rPr>
                <w:rFonts w:ascii="宋体" w:hAnsi="宋体" w:cs="宋体" w:eastAsia="宋体" w:hint="default"/>
                <w:spacing w:val="-67"/>
                <w:sz w:val="18"/>
                <w:szCs w:val="18"/>
              </w:rPr>
              <w:t> </w:t>
            </w:r>
            <w:r>
              <w:rPr>
                <w:rFonts w:ascii="宋体" w:hAnsi="宋体" w:cs="宋体" w:eastAsia="宋体" w:hint="default"/>
                <w:sz w:val="18"/>
                <w:szCs w:val="18"/>
              </w:rPr>
              <w:t>价</w:t>
            </w:r>
            <w:r>
              <w:rPr>
                <w:rFonts w:ascii="宋体" w:hAnsi="宋体" w:cs="宋体" w:eastAsia="宋体" w:hint="default"/>
                <w:spacing w:val="-67"/>
                <w:sz w:val="18"/>
                <w:szCs w:val="18"/>
              </w:rPr>
              <w:t> </w:t>
            </w:r>
            <w:r>
              <w:rPr>
                <w:rFonts w:ascii="宋体" w:hAnsi="宋体" w:cs="宋体" w:eastAsia="宋体" w:hint="default"/>
                <w:sz w:val="18"/>
                <w:szCs w:val="18"/>
              </w:rPr>
              <w:t>不</w:t>
            </w:r>
            <w:r>
              <w:rPr>
                <w:rFonts w:ascii="宋体" w:hAnsi="宋体" w:cs="宋体" w:eastAsia="宋体" w:hint="default"/>
                <w:spacing w:val="-65"/>
                <w:sz w:val="18"/>
                <w:szCs w:val="18"/>
              </w:rPr>
              <w:t> </w:t>
            </w:r>
            <w:r>
              <w:rPr>
                <w:rFonts w:ascii="宋体" w:hAnsi="宋体" w:cs="宋体" w:eastAsia="宋体" w:hint="default"/>
                <w:sz w:val="18"/>
                <w:szCs w:val="18"/>
              </w:rPr>
              <w:t>低</w:t>
            </w:r>
            <w:r>
              <w:rPr>
                <w:rFonts w:ascii="宋体" w:hAnsi="宋体" w:cs="宋体" w:eastAsia="宋体" w:hint="default"/>
                <w:spacing w:val="-67"/>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天，即</w:t>
            </w:r>
            <w:r>
              <w:rPr>
                <w:rFonts w:ascii="宋体" w:hAnsi="宋体" w:cs="宋体" w:eastAsia="宋体" w:hint="default"/>
                <w:sz w:val="18"/>
                <w:szCs w:val="18"/>
              </w:rPr>
              <w:t> 年</w:t>
            </w:r>
            <w:r>
              <w:rPr>
                <w:rFonts w:ascii="宋体" w:hAnsi="宋体" w:cs="宋体" w:eastAsia="宋体" w:hint="default"/>
                <w:spacing w:val="-67"/>
                <w:sz w:val="18"/>
                <w:szCs w:val="18"/>
              </w:rPr>
              <w:t> </w:t>
            </w:r>
            <w:r>
              <w:rPr>
                <w:rFonts w:ascii="宋体" w:hAnsi="宋体" w:cs="宋体" w:eastAsia="宋体" w:hint="default"/>
                <w:sz w:val="18"/>
                <w:szCs w:val="18"/>
              </w:rPr>
              <w:t>保</w:t>
            </w:r>
            <w:r>
              <w:rPr>
                <w:rFonts w:ascii="宋体" w:hAnsi="宋体" w:cs="宋体" w:eastAsia="宋体" w:hint="default"/>
                <w:spacing w:val="-67"/>
                <w:sz w:val="18"/>
                <w:szCs w:val="18"/>
              </w:rPr>
              <w:t> </w:t>
            </w:r>
            <w:r>
              <w:rPr>
                <w:rFonts w:ascii="宋体" w:hAnsi="宋体" w:cs="宋体" w:eastAsia="宋体" w:hint="default"/>
                <w:sz w:val="18"/>
                <w:szCs w:val="18"/>
              </w:rPr>
              <w:t>底</w:t>
            </w:r>
            <w:r>
              <w:rPr>
                <w:rFonts w:ascii="宋体" w:hAnsi="宋体" w:cs="宋体" w:eastAsia="宋体" w:hint="default"/>
                <w:spacing w:val="-65"/>
                <w:sz w:val="18"/>
                <w:szCs w:val="18"/>
              </w:rPr>
              <w:t> </w:t>
            </w: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赁</w:t>
            </w:r>
            <w:r>
              <w:rPr>
                <w:rFonts w:ascii="宋体" w:hAnsi="宋体" w:cs="宋体" w:eastAsia="宋体" w:hint="default"/>
                <w:sz w:val="18"/>
                <w:szCs w:val="18"/>
              </w:rPr>
              <w:t> 费 用</w:t>
            </w:r>
            <w:r>
              <w:rPr>
                <w:rFonts w:ascii="宋体" w:hAnsi="宋体" w:cs="宋体" w:eastAsia="宋体" w:hint="default"/>
                <w:spacing w:val="8"/>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Times New Roman" w:hAnsi="Times New Roman" w:cs="Times New Roman" w:eastAsia="Times New Roman" w:hint="default"/>
                <w:sz w:val="18"/>
                <w:szCs w:val="18"/>
              </w:rPr>
              <w:t>1,288.45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p>
            <w:pPr>
              <w:pStyle w:val="TableParagraph"/>
              <w:spacing w:line="222" w:lineRule="exact"/>
              <w:ind w:left="22" w:right="0"/>
              <w:jc w:val="both"/>
              <w:rPr>
                <w:rFonts w:ascii="宋体" w:hAnsi="宋体" w:cs="宋体" w:eastAsia="宋体" w:hint="default"/>
                <w:sz w:val="18"/>
                <w:szCs w:val="18"/>
              </w:rPr>
            </w:pPr>
            <w:r>
              <w:rPr>
                <w:rFonts w:ascii="宋体" w:hAnsi="宋体" w:cs="宋体" w:eastAsia="宋体" w:hint="default"/>
                <w:sz w:val="18"/>
                <w:szCs w:val="18"/>
              </w:rPr>
              <w:t>元。</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1,288.45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8.34%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6"/>
                <w:sz w:val="18"/>
                <w:szCs w:val="18"/>
              </w:rPr>
              <w:t> </w:t>
            </w:r>
            <w:r>
              <w:rPr>
                <w:rFonts w:ascii="宋体" w:hAnsi="宋体" w:cs="宋体" w:eastAsia="宋体" w:hint="default"/>
                <w:sz w:val="18"/>
                <w:szCs w:val="18"/>
              </w:rPr>
              <w:t>该</w:t>
            </w:r>
            <w:r>
              <w:rPr>
                <w:rFonts w:ascii="宋体" w:hAnsi="宋体" w:cs="宋体" w:eastAsia="宋体" w:hint="default"/>
                <w:spacing w:val="-56"/>
                <w:sz w:val="18"/>
                <w:szCs w:val="18"/>
              </w:rPr>
              <w:t> </w:t>
            </w:r>
            <w:r>
              <w:rPr>
                <w:rFonts w:ascii="宋体" w:hAnsi="宋体" w:cs="宋体" w:eastAsia="宋体" w:hint="default"/>
                <w:sz w:val="18"/>
                <w:szCs w:val="18"/>
              </w:rPr>
              <w:t>店</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实</w:t>
            </w:r>
            <w:r>
              <w:rPr>
                <w:rFonts w:ascii="宋体" w:hAnsi="宋体" w:cs="宋体" w:eastAsia="宋体" w:hint="default"/>
                <w:spacing w:val="-55"/>
                <w:sz w:val="18"/>
                <w:szCs w:val="18"/>
              </w:rPr>
              <w:t> </w:t>
            </w:r>
            <w:r>
              <w:rPr>
                <w:rFonts w:ascii="宋体" w:hAnsi="宋体" w:cs="宋体" w:eastAsia="宋体" w:hint="default"/>
                <w:sz w:val="18"/>
                <w:szCs w:val="18"/>
              </w:rPr>
              <w:t>现</w:t>
            </w:r>
          </w:p>
          <w:p>
            <w:pPr>
              <w:pStyle w:val="TableParagraph"/>
              <w:spacing w:line="232" w:lineRule="auto" w:before="5"/>
              <w:ind w:left="23" w:right="20"/>
              <w:jc w:val="both"/>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pacing w:val="-56"/>
                <w:sz w:val="18"/>
                <w:szCs w:val="18"/>
              </w:rPr>
              <w:t> </w:t>
            </w:r>
            <w:r>
              <w:rPr>
                <w:rFonts w:ascii="宋体" w:hAnsi="宋体" w:cs="宋体" w:eastAsia="宋体" w:hint="default"/>
                <w:sz w:val="18"/>
                <w:szCs w:val="18"/>
              </w:rPr>
              <w:t>售</w:t>
            </w:r>
            <w:r>
              <w:rPr>
                <w:rFonts w:ascii="宋体" w:hAnsi="宋体" w:cs="宋体" w:eastAsia="宋体" w:hint="default"/>
                <w:spacing w:val="-56"/>
                <w:sz w:val="18"/>
                <w:szCs w:val="18"/>
              </w:rPr>
              <w:t> </w:t>
            </w:r>
            <w:r>
              <w:rPr>
                <w:rFonts w:ascii="宋体" w:hAnsi="宋体" w:cs="宋体" w:eastAsia="宋体" w:hint="default"/>
                <w:sz w:val="18"/>
                <w:szCs w:val="18"/>
              </w:rPr>
              <w:t>收</w:t>
            </w:r>
            <w:r>
              <w:rPr>
                <w:rFonts w:ascii="宋体" w:hAnsi="宋体" w:cs="宋体" w:eastAsia="宋体" w:hint="default"/>
                <w:spacing w:val="-56"/>
                <w:sz w:val="18"/>
                <w:szCs w:val="18"/>
              </w:rPr>
              <w:t> </w:t>
            </w:r>
            <w:r>
              <w:rPr>
                <w:rFonts w:ascii="宋体" w:hAnsi="宋体" w:cs="宋体" w:eastAsia="宋体" w:hint="default"/>
                <w:sz w:val="18"/>
                <w:szCs w:val="18"/>
              </w:rPr>
              <w:t>入</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含</w:t>
            </w:r>
            <w:r>
              <w:rPr>
                <w:rFonts w:ascii="宋体" w:hAnsi="宋体" w:cs="宋体" w:eastAsia="宋体" w:hint="default"/>
                <w:sz w:val="18"/>
                <w:szCs w:val="18"/>
              </w:rPr>
              <w:t> </w:t>
            </w:r>
            <w:r>
              <w:rPr>
                <w:rFonts w:ascii="宋体" w:hAnsi="宋体" w:cs="宋体" w:eastAsia="宋体" w:hint="default"/>
                <w:spacing w:val="9"/>
                <w:sz w:val="18"/>
                <w:szCs w:val="18"/>
              </w:rPr>
              <w:t>税）的</w:t>
            </w:r>
            <w:r>
              <w:rPr>
                <w:rFonts w:ascii="宋体" w:hAnsi="宋体" w:cs="宋体" w:eastAsia="宋体" w:hint="default"/>
                <w:spacing w:val="31"/>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计</w:t>
            </w:r>
            <w:r>
              <w:rPr>
                <w:rFonts w:ascii="宋体" w:hAnsi="宋体" w:cs="宋体" w:eastAsia="宋体" w:hint="default"/>
                <w:sz w:val="18"/>
                <w:szCs w:val="18"/>
              </w:rPr>
              <w:t> 算租金费用，但</w:t>
            </w:r>
            <w:r>
              <w:rPr>
                <w:rFonts w:ascii="宋体" w:hAnsi="宋体" w:cs="宋体" w:eastAsia="宋体" w:hint="default"/>
                <w:sz w:val="18"/>
                <w:szCs w:val="18"/>
              </w:rPr>
              <w:t> 每</w:t>
            </w:r>
            <w:r>
              <w:rPr>
                <w:rFonts w:ascii="宋体" w:hAnsi="宋体" w:cs="宋体" w:eastAsia="宋体" w:hint="default"/>
                <w:spacing w:val="-56"/>
                <w:sz w:val="18"/>
                <w:szCs w:val="18"/>
              </w:rPr>
              <w:t> </w:t>
            </w:r>
            <w:r>
              <w:rPr>
                <w:rFonts w:ascii="宋体" w:hAnsi="宋体" w:cs="宋体" w:eastAsia="宋体" w:hint="default"/>
                <w:sz w:val="18"/>
                <w:szCs w:val="18"/>
              </w:rPr>
              <w:t>平</w:t>
            </w:r>
            <w:r>
              <w:rPr>
                <w:rFonts w:ascii="宋体" w:hAnsi="宋体" w:cs="宋体" w:eastAsia="宋体" w:hint="default"/>
                <w:spacing w:val="-56"/>
                <w:sz w:val="18"/>
                <w:szCs w:val="18"/>
              </w:rPr>
              <w:t> </w:t>
            </w:r>
            <w:r>
              <w:rPr>
                <w:rFonts w:ascii="宋体" w:hAnsi="宋体" w:cs="宋体" w:eastAsia="宋体" w:hint="default"/>
                <w:sz w:val="18"/>
                <w:szCs w:val="18"/>
              </w:rPr>
              <w:t>米</w:t>
            </w:r>
            <w:r>
              <w:rPr>
                <w:rFonts w:ascii="宋体" w:hAnsi="宋体" w:cs="宋体" w:eastAsia="宋体" w:hint="default"/>
                <w:spacing w:val="-56"/>
                <w:sz w:val="18"/>
                <w:szCs w:val="18"/>
              </w:rPr>
              <w:t> </w:t>
            </w:r>
            <w:r>
              <w:rPr>
                <w:rFonts w:ascii="宋体" w:hAnsi="宋体" w:cs="宋体" w:eastAsia="宋体" w:hint="default"/>
                <w:sz w:val="18"/>
                <w:szCs w:val="18"/>
              </w:rPr>
              <w:t>租</w:t>
            </w:r>
            <w:r>
              <w:rPr>
                <w:rFonts w:ascii="宋体" w:hAnsi="宋体" w:cs="宋体" w:eastAsia="宋体" w:hint="default"/>
                <w:spacing w:val="-55"/>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单</w:t>
            </w:r>
            <w:r>
              <w:rPr>
                <w:rFonts w:ascii="宋体" w:hAnsi="宋体" w:cs="宋体" w:eastAsia="宋体" w:hint="default"/>
                <w:sz w:val="18"/>
                <w:szCs w:val="18"/>
              </w:rPr>
              <w:t> 价不低于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天</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04" w:lineRule="exact"/>
              <w:ind w:left="22" w:right="0"/>
              <w:jc w:val="both"/>
              <w:rPr>
                <w:rFonts w:ascii="宋体" w:hAnsi="宋体" w:cs="宋体" w:eastAsia="宋体" w:hint="default"/>
                <w:sz w:val="18"/>
                <w:szCs w:val="18"/>
              </w:rPr>
            </w:pPr>
            <w:r>
              <w:rPr>
                <w:rFonts w:ascii="宋体" w:hAnsi="宋体" w:cs="宋体" w:eastAsia="宋体" w:hint="default"/>
                <w:spacing w:val="29"/>
                <w:sz w:val="18"/>
                <w:szCs w:val="18"/>
              </w:rPr>
              <w:t>保底租赁费</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7" w:lineRule="auto"/>
              <w:ind w:left="22" w:right="-22"/>
              <w:jc w:val="both"/>
              <w:rPr>
                <w:rFonts w:ascii="宋体" w:hAnsi="宋体" w:cs="宋体" w:eastAsia="宋体" w:hint="default"/>
                <w:sz w:val="18"/>
                <w:szCs w:val="18"/>
              </w:rPr>
            </w:pPr>
            <w:r>
              <w:rPr>
                <w:rFonts w:ascii="宋体" w:hAnsi="宋体" w:cs="宋体" w:eastAsia="宋体" w:hint="default"/>
                <w:spacing w:val="29"/>
                <w:sz w:val="18"/>
                <w:szCs w:val="18"/>
              </w:rPr>
              <w:t>用采取先付</w:t>
            </w:r>
            <w:r>
              <w:rPr>
                <w:rFonts w:ascii="宋体" w:hAnsi="宋体" w:cs="宋体" w:eastAsia="宋体" w:hint="default"/>
                <w:spacing w:val="-88"/>
                <w:sz w:val="18"/>
                <w:szCs w:val="18"/>
              </w:rPr>
              <w:t> </w:t>
            </w:r>
            <w:r>
              <w:rPr>
                <w:rFonts w:ascii="宋体" w:hAnsi="宋体" w:cs="宋体" w:eastAsia="宋体" w:hint="default"/>
                <w:spacing w:val="29"/>
                <w:sz w:val="18"/>
                <w:szCs w:val="18"/>
              </w:rPr>
              <w:t>后租的方式</w:t>
            </w:r>
            <w:r>
              <w:rPr>
                <w:rFonts w:ascii="宋体" w:hAnsi="宋体" w:cs="宋体" w:eastAsia="宋体" w:hint="default"/>
                <w:spacing w:val="-88"/>
                <w:sz w:val="18"/>
                <w:szCs w:val="18"/>
              </w:rPr>
              <w:t> </w:t>
            </w:r>
            <w:r>
              <w:rPr>
                <w:rFonts w:ascii="宋体" w:hAnsi="宋体" w:cs="宋体" w:eastAsia="宋体" w:hint="default"/>
                <w:spacing w:val="29"/>
                <w:sz w:val="18"/>
                <w:szCs w:val="18"/>
              </w:rPr>
              <w:t>按季提前支</w:t>
            </w:r>
            <w:r>
              <w:rPr>
                <w:rFonts w:ascii="宋体" w:hAnsi="宋体" w:cs="宋体" w:eastAsia="宋体" w:hint="default"/>
                <w:spacing w:val="-88"/>
                <w:sz w:val="18"/>
                <w:szCs w:val="18"/>
              </w:rPr>
              <w:t> </w:t>
            </w:r>
            <w:r>
              <w:rPr>
                <w:rFonts w:ascii="宋体" w:hAnsi="宋体" w:cs="宋体" w:eastAsia="宋体" w:hint="default"/>
                <w:spacing w:val="-6"/>
                <w:sz w:val="18"/>
                <w:szCs w:val="18"/>
              </w:rPr>
              <w:t>付；提成租赁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9"/>
                <w:sz w:val="18"/>
                <w:szCs w:val="18"/>
              </w:rPr>
              <w:t>费用采取先</w:t>
            </w:r>
            <w:r>
              <w:rPr>
                <w:rFonts w:ascii="宋体" w:hAnsi="宋体" w:cs="宋体" w:eastAsia="宋体" w:hint="default"/>
                <w:spacing w:val="-88"/>
                <w:sz w:val="18"/>
                <w:szCs w:val="18"/>
              </w:rPr>
              <w:t> </w:t>
            </w:r>
            <w:r>
              <w:rPr>
                <w:rFonts w:ascii="宋体" w:hAnsi="宋体" w:cs="宋体" w:eastAsia="宋体" w:hint="default"/>
                <w:spacing w:val="29"/>
                <w:sz w:val="18"/>
                <w:szCs w:val="18"/>
              </w:rPr>
              <w:t>租后付方式</w:t>
            </w:r>
            <w:r>
              <w:rPr>
                <w:rFonts w:ascii="宋体" w:hAnsi="宋体" w:cs="宋体" w:eastAsia="宋体" w:hint="default"/>
                <w:spacing w:val="-88"/>
                <w:sz w:val="18"/>
                <w:szCs w:val="18"/>
              </w:rPr>
              <w:t> </w:t>
            </w:r>
            <w:r>
              <w:rPr>
                <w:rFonts w:ascii="宋体" w:hAnsi="宋体" w:cs="宋体" w:eastAsia="宋体" w:hint="default"/>
                <w:spacing w:val="29"/>
                <w:sz w:val="18"/>
                <w:szCs w:val="18"/>
              </w:rPr>
              <w:t>每年度结束</w:t>
            </w:r>
            <w:r>
              <w:rPr>
                <w:rFonts w:ascii="宋体" w:hAnsi="宋体" w:cs="宋体" w:eastAsia="宋体" w:hint="default"/>
                <w:spacing w:val="-88"/>
                <w:sz w:val="18"/>
                <w:szCs w:val="18"/>
              </w:rPr>
              <w:t> </w:t>
            </w:r>
            <w:r>
              <w:rPr>
                <w:rFonts w:ascii="宋体" w:hAnsi="宋体" w:cs="宋体" w:eastAsia="宋体" w:hint="default"/>
                <w:sz w:val="18"/>
                <w:szCs w:val="18"/>
              </w:rPr>
              <w:t>后结算</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02" w:lineRule="exact"/>
              <w:ind w:left="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both"/>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网</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2011-020</w:t>
            </w:r>
          </w:p>
          <w:p>
            <w:pPr>
              <w:pStyle w:val="TableParagraph"/>
              <w:spacing w:line="237" w:lineRule="auto"/>
              <w:ind w:left="22" w:right="-32"/>
              <w:jc w:val="both"/>
              <w:rPr>
                <w:rFonts w:ascii="宋体" w:hAnsi="宋体" w:cs="宋体" w:eastAsia="宋体" w:hint="default"/>
                <w:sz w:val="18"/>
                <w:szCs w:val="18"/>
              </w:rPr>
            </w:pPr>
            <w:r>
              <w:rPr>
                <w:rFonts w:ascii="宋体" w:hAnsi="宋体" w:cs="宋体" w:eastAsia="宋体" w:hint="default"/>
                <w:spacing w:val="41"/>
                <w:sz w:val="18"/>
                <w:szCs w:val="18"/>
              </w:rPr>
              <w:t>《关于物</w:t>
            </w:r>
            <w:r>
              <w:rPr>
                <w:rFonts w:ascii="宋体" w:hAnsi="宋体" w:cs="宋体" w:eastAsia="宋体" w:hint="default"/>
                <w:spacing w:val="-35"/>
                <w:sz w:val="18"/>
                <w:szCs w:val="18"/>
              </w:rPr>
              <w:t> </w:t>
            </w:r>
            <w:r>
              <w:rPr>
                <w:rFonts w:ascii="宋体" w:hAnsi="宋体" w:cs="宋体" w:eastAsia="宋体" w:hint="default"/>
                <w:spacing w:val="41"/>
                <w:sz w:val="18"/>
                <w:szCs w:val="18"/>
              </w:rPr>
              <w:t>业租赁的</w:t>
            </w:r>
            <w:r>
              <w:rPr>
                <w:rFonts w:ascii="宋体" w:hAnsi="宋体" w:cs="宋体" w:eastAsia="宋体" w:hint="default"/>
                <w:spacing w:val="-35"/>
                <w:sz w:val="18"/>
                <w:szCs w:val="18"/>
              </w:rPr>
              <w:t> </w:t>
            </w: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t>公告》</w:t>
            </w:r>
          </w:p>
        </w:tc>
      </w:tr>
      <w:tr>
        <w:trPr>
          <w:trHeight w:val="3512" w:hRule="exact"/>
        </w:trPr>
        <w:tc>
          <w:tcPr>
            <w:tcW w:w="937" w:type="dxa"/>
            <w:tcBorders>
              <w:top w:val="single" w:sz="4" w:space="0" w:color="000000"/>
              <w:left w:val="single" w:sz="4" w:space="0" w:color="000000"/>
              <w:bottom w:val="single" w:sz="4" w:space="0" w:color="000000"/>
              <w:right w:val="single" w:sz="9" w:space="0" w:color="FFFFFF"/>
            </w:tcBorders>
          </w:tcPr>
          <w:p>
            <w:pPr>
              <w:pStyle w:val="TableParagraph"/>
              <w:spacing w:line="205" w:lineRule="exact"/>
              <w:ind w:left="22" w:right="-38"/>
              <w:jc w:val="left"/>
              <w:rPr>
                <w:rFonts w:ascii="宋体" w:hAnsi="宋体" w:cs="宋体" w:eastAsia="宋体" w:hint="default"/>
                <w:sz w:val="18"/>
                <w:szCs w:val="18"/>
              </w:rPr>
            </w:pPr>
            <w:r>
              <w:rPr>
                <w:rFonts w:ascii="宋体" w:hAnsi="宋体" w:cs="宋体" w:eastAsia="宋体" w:hint="default"/>
                <w:spacing w:val="40"/>
                <w:sz w:val="18"/>
                <w:szCs w:val="18"/>
              </w:rPr>
              <w:t>苏宁电器</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2" w:lineRule="exact" w:before="24"/>
              <w:ind w:left="22" w:right="-38"/>
              <w:jc w:val="left"/>
              <w:rPr>
                <w:rFonts w:ascii="宋体" w:hAnsi="宋体" w:cs="宋体" w:eastAsia="宋体" w:hint="default"/>
                <w:sz w:val="18"/>
                <w:szCs w:val="18"/>
              </w:rPr>
            </w:pPr>
            <w:r>
              <w:rPr>
                <w:rFonts w:ascii="宋体" w:hAnsi="宋体" w:cs="宋体" w:eastAsia="宋体" w:hint="default"/>
                <w:spacing w:val="40"/>
                <w:sz w:val="18"/>
                <w:szCs w:val="18"/>
              </w:rPr>
              <w:t>集团有限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942" w:type="dxa"/>
            <w:tcBorders>
              <w:top w:val="single" w:sz="4" w:space="0" w:color="000000"/>
              <w:left w:val="single" w:sz="9" w:space="0" w:color="FFFFFF"/>
              <w:bottom w:val="single" w:sz="4" w:space="0" w:color="000000"/>
              <w:right w:val="single" w:sz="9" w:space="0" w:color="FFFFFF"/>
            </w:tcBorders>
          </w:tcPr>
          <w:p>
            <w:pPr>
              <w:pStyle w:val="TableParagraph"/>
              <w:spacing w:line="205" w:lineRule="exact"/>
              <w:ind w:left="17" w:right="-39"/>
              <w:jc w:val="left"/>
              <w:rPr>
                <w:rFonts w:ascii="宋体" w:hAnsi="宋体" w:cs="宋体" w:eastAsia="宋体" w:hint="default"/>
                <w:sz w:val="18"/>
                <w:szCs w:val="18"/>
              </w:rPr>
            </w:pPr>
            <w:r>
              <w:rPr>
                <w:rFonts w:ascii="宋体" w:hAnsi="宋体" w:cs="宋体" w:eastAsia="宋体" w:hint="default"/>
                <w:spacing w:val="41"/>
                <w:sz w:val="18"/>
                <w:szCs w:val="18"/>
              </w:rPr>
              <w:t>公司第二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大股东</w:t>
            </w:r>
          </w:p>
        </w:tc>
        <w:tc>
          <w:tcPr>
            <w:tcW w:w="942" w:type="dxa"/>
            <w:tcBorders>
              <w:top w:val="single" w:sz="4" w:space="0" w:color="000000"/>
              <w:left w:val="single" w:sz="9" w:space="0" w:color="FFFFFF"/>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pacing w:val="16"/>
                <w:sz w:val="18"/>
                <w:szCs w:val="18"/>
              </w:rPr>
              <w:t>租赁位于南京市山西路</w:t>
            </w:r>
          </w:p>
          <w:p>
            <w:pPr>
              <w:pStyle w:val="TableParagraph"/>
              <w:spacing w:line="232" w:lineRule="auto" w:before="5"/>
              <w:ind w:left="23" w:right="20"/>
              <w:jc w:val="both"/>
              <w:rPr>
                <w:rFonts w:ascii="宋体" w:hAnsi="宋体" w:cs="宋体" w:eastAsia="宋体" w:hint="default"/>
                <w:sz w:val="18"/>
                <w:szCs w:val="18"/>
              </w:rPr>
            </w:pPr>
            <w:r>
              <w:rPr>
                <w:rFonts w:ascii="宋体" w:hAnsi="宋体" w:cs="宋体" w:eastAsia="宋体" w:hint="default"/>
                <w:spacing w:val="16"/>
                <w:sz w:val="18"/>
                <w:szCs w:val="18"/>
              </w:rPr>
              <w:t>一号银河大厦裙楼部分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层用于乐购仕生活广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场的经营业务，租赁物业</w:t>
            </w:r>
            <w:r>
              <w:rPr>
                <w:rFonts w:ascii="宋体" w:hAnsi="宋体" w:cs="宋体" w:eastAsia="宋体" w:hint="default"/>
                <w:sz w:val="18"/>
                <w:szCs w:val="18"/>
              </w:rPr>
              <w:t> 面积共计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19,291</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平米，租</w:t>
            </w:r>
            <w:r>
              <w:rPr>
                <w:rFonts w:ascii="宋体" w:hAnsi="宋体" w:cs="宋体" w:eastAsia="宋体" w:hint="default"/>
                <w:sz w:val="18"/>
                <w:szCs w:val="18"/>
              </w:rPr>
              <w:t> 赁 期</w:t>
            </w:r>
            <w:r>
              <w:rPr>
                <w:rFonts w:ascii="宋体" w:hAnsi="宋体" w:cs="宋体" w:eastAsia="宋体" w:hint="default"/>
                <w:spacing w:val="80"/>
                <w:sz w:val="18"/>
                <w:szCs w:val="18"/>
              </w:rPr>
              <w:t> </w:t>
            </w:r>
            <w:r>
              <w:rPr>
                <w:rFonts w:ascii="宋体" w:hAnsi="宋体" w:cs="宋体" w:eastAsia="宋体" w:hint="default"/>
                <w:sz w:val="18"/>
                <w:szCs w:val="18"/>
              </w:rPr>
              <w:t>自</w:t>
            </w:r>
            <w:r>
              <w:rPr>
                <w:rFonts w:ascii="宋体" w:hAnsi="宋体" w:cs="宋体" w:eastAsia="宋体" w:hint="default"/>
                <w:sz w:val="18"/>
                <w:szCs w:val="18"/>
              </w:rPr>
              <w:t> </w:t>
            </w:r>
            <w:r>
              <w:rPr>
                <w:rFonts w:ascii="Times New Roman" w:hAnsi="Times New Roman" w:cs="Times New Roman" w:eastAsia="Times New Roman" w:hint="default"/>
                <w:sz w:val="18"/>
                <w:szCs w:val="18"/>
              </w:rPr>
              <w:t>2011/11/1-2021/12/31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w:t>
            </w:r>
          </w:p>
          <w:p>
            <w:pPr>
              <w:pStyle w:val="TableParagraph"/>
              <w:spacing w:line="230" w:lineRule="auto"/>
              <w:ind w:left="23" w:right="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月，公司子公 </w:t>
            </w:r>
            <w:r>
              <w:rPr>
                <w:rFonts w:ascii="宋体" w:hAnsi="宋体" w:cs="宋体" w:eastAsia="宋体" w:hint="default"/>
                <w:spacing w:val="16"/>
                <w:sz w:val="18"/>
                <w:szCs w:val="18"/>
              </w:rPr>
              <w:t>司与关联方苏宁电器集</w:t>
            </w:r>
            <w:r>
              <w:rPr>
                <w:rFonts w:ascii="宋体" w:hAnsi="宋体" w:cs="宋体" w:eastAsia="宋体" w:hint="default"/>
                <w:spacing w:val="-83"/>
                <w:sz w:val="18"/>
                <w:szCs w:val="18"/>
              </w:rPr>
              <w:t> </w:t>
            </w:r>
            <w:r>
              <w:rPr>
                <w:rFonts w:ascii="宋体" w:hAnsi="宋体" w:cs="宋体" w:eastAsia="宋体" w:hint="default"/>
                <w:spacing w:val="-7"/>
                <w:sz w:val="18"/>
                <w:szCs w:val="18"/>
              </w:rPr>
              <w:t>团签订补充协议，自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2014</w:t>
            </w:r>
          </w:p>
          <w:p>
            <w:pPr>
              <w:pStyle w:val="TableParagraph"/>
              <w:spacing w:line="232" w:lineRule="auto"/>
              <w:ind w:left="23"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日起退租</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 </w:t>
            </w:r>
            <w:r>
              <w:rPr>
                <w:rFonts w:ascii="宋体" w:hAnsi="宋体" w:cs="宋体" w:eastAsia="宋体" w:hint="default"/>
                <w:spacing w:val="-1"/>
                <w:sz w:val="18"/>
                <w:szCs w:val="18"/>
              </w:rPr>
              <w:t>部分租赁区域，退租后的</w:t>
            </w:r>
            <w:r>
              <w:rPr>
                <w:rFonts w:ascii="宋体" w:hAnsi="宋体" w:cs="宋体" w:eastAsia="宋体" w:hint="default"/>
                <w:sz w:val="18"/>
                <w:szCs w:val="18"/>
              </w:rPr>
              <w:t> 租</w:t>
            </w:r>
            <w:r>
              <w:rPr>
                <w:rFonts w:ascii="宋体" w:hAnsi="宋体" w:cs="宋体" w:eastAsia="宋体" w:hint="default"/>
                <w:spacing w:val="-47"/>
                <w:sz w:val="18"/>
                <w:szCs w:val="18"/>
              </w:rPr>
              <w:t> </w:t>
            </w:r>
            <w:r>
              <w:rPr>
                <w:rFonts w:ascii="宋体" w:hAnsi="宋体" w:cs="宋体" w:eastAsia="宋体" w:hint="default"/>
                <w:sz w:val="18"/>
                <w:szCs w:val="18"/>
              </w:rPr>
              <w:t>赁</w:t>
            </w:r>
            <w:r>
              <w:rPr>
                <w:rFonts w:ascii="宋体" w:hAnsi="宋体" w:cs="宋体" w:eastAsia="宋体" w:hint="default"/>
                <w:spacing w:val="-47"/>
                <w:sz w:val="18"/>
                <w:szCs w:val="18"/>
              </w:rPr>
              <w:t> </w:t>
            </w:r>
            <w:r>
              <w:rPr>
                <w:rFonts w:ascii="宋体" w:hAnsi="宋体" w:cs="宋体" w:eastAsia="宋体" w:hint="default"/>
                <w:sz w:val="18"/>
                <w:szCs w:val="18"/>
              </w:rPr>
              <w:t>物</w:t>
            </w:r>
            <w:r>
              <w:rPr>
                <w:rFonts w:ascii="宋体" w:hAnsi="宋体" w:cs="宋体" w:eastAsia="宋体" w:hint="default"/>
                <w:spacing w:val="-46"/>
                <w:sz w:val="18"/>
                <w:szCs w:val="18"/>
              </w:rPr>
              <w:t> </w:t>
            </w:r>
            <w:r>
              <w:rPr>
                <w:rFonts w:ascii="宋体" w:hAnsi="宋体" w:cs="宋体" w:eastAsia="宋体" w:hint="default"/>
                <w:sz w:val="18"/>
                <w:szCs w:val="18"/>
              </w:rPr>
              <w:t>建</w:t>
            </w:r>
            <w:r>
              <w:rPr>
                <w:rFonts w:ascii="宋体" w:hAnsi="宋体" w:cs="宋体" w:eastAsia="宋体" w:hint="default"/>
                <w:spacing w:val="-47"/>
                <w:sz w:val="18"/>
                <w:szCs w:val="18"/>
              </w:rPr>
              <w:t> </w:t>
            </w:r>
            <w:r>
              <w:rPr>
                <w:rFonts w:ascii="宋体" w:hAnsi="宋体" w:cs="宋体" w:eastAsia="宋体" w:hint="default"/>
                <w:sz w:val="18"/>
                <w:szCs w:val="18"/>
              </w:rPr>
              <w:t>筑</w:t>
            </w:r>
            <w:r>
              <w:rPr>
                <w:rFonts w:ascii="宋体" w:hAnsi="宋体" w:cs="宋体" w:eastAsia="宋体" w:hint="default"/>
                <w:spacing w:val="-46"/>
                <w:sz w:val="18"/>
                <w:szCs w:val="18"/>
              </w:rPr>
              <w:t> </w:t>
            </w:r>
            <w:r>
              <w:rPr>
                <w:rFonts w:ascii="宋体" w:hAnsi="宋体" w:cs="宋体" w:eastAsia="宋体" w:hint="default"/>
                <w:sz w:val="18"/>
                <w:szCs w:val="18"/>
              </w:rPr>
              <w:t>面</w:t>
            </w:r>
            <w:r>
              <w:rPr>
                <w:rFonts w:ascii="宋体" w:hAnsi="宋体" w:cs="宋体" w:eastAsia="宋体" w:hint="default"/>
                <w:spacing w:val="-47"/>
                <w:sz w:val="18"/>
                <w:szCs w:val="18"/>
              </w:rPr>
              <w:t> </w:t>
            </w:r>
            <w:r>
              <w:rPr>
                <w:rFonts w:ascii="宋体" w:hAnsi="宋体" w:cs="宋体" w:eastAsia="宋体" w:hint="default"/>
                <w:sz w:val="18"/>
                <w:szCs w:val="18"/>
              </w:rPr>
              <w:t>积</w:t>
            </w:r>
            <w:r>
              <w:rPr>
                <w:rFonts w:ascii="宋体" w:hAnsi="宋体" w:cs="宋体" w:eastAsia="宋体" w:hint="default"/>
                <w:spacing w:val="-47"/>
                <w:sz w:val="18"/>
                <w:szCs w:val="18"/>
              </w:rPr>
              <w:t> </w:t>
            </w:r>
            <w:r>
              <w:rPr>
                <w:rFonts w:ascii="宋体" w:hAnsi="宋体" w:cs="宋体" w:eastAsia="宋体" w:hint="default"/>
                <w:sz w:val="18"/>
                <w:szCs w:val="18"/>
              </w:rPr>
              <w:t>共</w:t>
            </w:r>
            <w:r>
              <w:rPr>
                <w:rFonts w:ascii="宋体" w:hAnsi="宋体" w:cs="宋体" w:eastAsia="宋体" w:hint="default"/>
                <w:spacing w:val="-47"/>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r>
              <w:rPr>
                <w:rFonts w:ascii="Times New Roman" w:hAnsi="Times New Roman" w:cs="Times New Roman" w:eastAsia="Times New Roman" w:hint="default"/>
                <w:sz w:val="18"/>
                <w:szCs w:val="18"/>
              </w:rPr>
              <w:t>13182</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平方米，租赁期限 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2014/1/1-2021/12/31</w:t>
            </w:r>
            <w:r>
              <w:rPr>
                <w:rFonts w:ascii="宋体" w:hAnsi="宋体" w:cs="宋体" w:eastAsia="宋体" w:hint="default"/>
                <w:sz w:val="18"/>
                <w:szCs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首 年 （</w:t>
            </w:r>
            <w:r>
              <w:rPr>
                <w:rFonts w:ascii="宋体" w:hAnsi="宋体" w:cs="宋体" w:eastAsia="宋体" w:hint="default"/>
                <w:spacing w:val="5"/>
                <w:sz w:val="18"/>
                <w:szCs w:val="18"/>
              </w:rPr>
              <w:t> </w:t>
            </w:r>
            <w:r>
              <w:rPr>
                <w:rFonts w:ascii="宋体" w:hAnsi="宋体" w:cs="宋体" w:eastAsia="宋体" w:hint="default"/>
                <w:sz w:val="18"/>
                <w:szCs w:val="18"/>
              </w:rPr>
              <w:t>自</w:t>
            </w:r>
          </w:p>
          <w:p>
            <w:pPr>
              <w:pStyle w:val="TableParagraph"/>
              <w:spacing w:line="230" w:lineRule="auto" w:before="7"/>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
                <w:sz w:val="18"/>
                <w:szCs w:val="18"/>
              </w:rPr>
              <w:t> </w:t>
            </w:r>
            <w:r>
              <w:rPr>
                <w:rFonts w:ascii="宋体" w:hAnsi="宋体" w:cs="宋体" w:eastAsia="宋体" w:hint="default"/>
                <w:sz w:val="18"/>
                <w:szCs w:val="18"/>
              </w:rPr>
              <w:t>度</w:t>
            </w:r>
            <w:r>
              <w:rPr>
                <w:rFonts w:ascii="宋体" w:hAnsi="宋体" w:cs="宋体" w:eastAsia="宋体" w:hint="default"/>
                <w:sz w:val="18"/>
                <w:szCs w:val="18"/>
              </w:rPr>
              <w:t> </w:t>
            </w:r>
            <w:r>
              <w:rPr>
                <w:rFonts w:ascii="宋体" w:hAnsi="宋体" w:cs="宋体" w:eastAsia="宋体" w:hint="default"/>
                <w:spacing w:val="-14"/>
                <w:sz w:val="18"/>
                <w:szCs w:val="18"/>
              </w:rPr>
              <w:t>起）租赁费用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  </w:t>
            </w:r>
            <w:r>
              <w:rPr>
                <w:rFonts w:ascii="Times New Roman" w:hAnsi="Times New Roman" w:cs="Times New Roman" w:eastAsia="Times New Roman" w:hint="default"/>
                <w:sz w:val="18"/>
                <w:szCs w:val="18"/>
              </w:rPr>
              <w:t>1347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p>
            <w:pPr>
              <w:pStyle w:val="TableParagraph"/>
              <w:spacing w:line="230" w:lineRule="auto"/>
              <w:ind w:left="22" w:right="20"/>
              <w:jc w:val="both"/>
              <w:rPr>
                <w:rFonts w:ascii="宋体" w:hAnsi="宋体" w:cs="宋体" w:eastAsia="宋体" w:hint="default"/>
                <w:sz w:val="18"/>
                <w:szCs w:val="18"/>
              </w:rPr>
            </w:pPr>
            <w:r>
              <w:rPr>
                <w:rFonts w:ascii="宋体" w:hAnsi="宋体" w:cs="宋体" w:eastAsia="宋体" w:hint="default"/>
                <w:sz w:val="18"/>
                <w:szCs w:val="18"/>
              </w:rPr>
              <w:t>元，第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w:t>
            </w:r>
            <w:r>
              <w:rPr>
                <w:rFonts w:ascii="宋体" w:hAnsi="宋体" w:cs="宋体" w:eastAsia="宋体" w:hint="default"/>
                <w:spacing w:val="-14"/>
                <w:sz w:val="18"/>
                <w:szCs w:val="18"/>
              </w:rPr>
              <w:t>起，每两年递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1,347.00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8.72%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26,162</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05" w:lineRule="exact"/>
              <w:ind w:left="22" w:right="-22"/>
              <w:jc w:val="left"/>
              <w:rPr>
                <w:rFonts w:ascii="宋体" w:hAnsi="宋体" w:cs="宋体" w:eastAsia="宋体" w:hint="default"/>
                <w:sz w:val="18"/>
                <w:szCs w:val="18"/>
              </w:rPr>
            </w:pPr>
            <w:r>
              <w:rPr>
                <w:rFonts w:ascii="宋体" w:hAnsi="宋体" w:cs="宋体" w:eastAsia="宋体" w:hint="default"/>
                <w:spacing w:val="29"/>
                <w:sz w:val="18"/>
                <w:szCs w:val="18"/>
              </w:rPr>
              <w:t>按季度提前</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支付</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02" w:lineRule="exact"/>
              <w:ind w:left="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12</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网</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2011-044</w:t>
            </w:r>
          </w:p>
          <w:p>
            <w:pPr>
              <w:pStyle w:val="TableParagraph"/>
              <w:spacing w:line="237" w:lineRule="auto"/>
              <w:ind w:left="22" w:right="-32"/>
              <w:jc w:val="both"/>
              <w:rPr>
                <w:rFonts w:ascii="宋体" w:hAnsi="宋体" w:cs="宋体" w:eastAsia="宋体" w:hint="default"/>
                <w:sz w:val="18"/>
                <w:szCs w:val="18"/>
              </w:rPr>
            </w:pPr>
            <w:r>
              <w:rPr>
                <w:rFonts w:ascii="宋体" w:hAnsi="宋体" w:cs="宋体" w:eastAsia="宋体" w:hint="default"/>
                <w:spacing w:val="41"/>
                <w:sz w:val="18"/>
                <w:szCs w:val="18"/>
              </w:rPr>
              <w:t>《关于向</w:t>
            </w:r>
            <w:r>
              <w:rPr>
                <w:rFonts w:ascii="宋体" w:hAnsi="宋体" w:cs="宋体" w:eastAsia="宋体" w:hint="default"/>
                <w:spacing w:val="-35"/>
                <w:sz w:val="18"/>
                <w:szCs w:val="18"/>
              </w:rPr>
              <w:t> </w:t>
            </w:r>
            <w:r>
              <w:rPr>
                <w:rFonts w:ascii="宋体" w:hAnsi="宋体" w:cs="宋体" w:eastAsia="宋体" w:hint="default"/>
                <w:spacing w:val="41"/>
                <w:sz w:val="18"/>
                <w:szCs w:val="18"/>
              </w:rPr>
              <w:t>关联方租</w:t>
            </w:r>
            <w:r>
              <w:rPr>
                <w:rFonts w:ascii="宋体" w:hAnsi="宋体" w:cs="宋体" w:eastAsia="宋体" w:hint="default"/>
                <w:spacing w:val="-35"/>
                <w:sz w:val="18"/>
                <w:szCs w:val="18"/>
              </w:rPr>
              <w:t> </w:t>
            </w:r>
            <w:r>
              <w:rPr>
                <w:rFonts w:ascii="宋体" w:hAnsi="宋体" w:cs="宋体" w:eastAsia="宋体" w:hint="default"/>
                <w:spacing w:val="41"/>
                <w:sz w:val="18"/>
                <w:szCs w:val="18"/>
              </w:rPr>
              <w:t>赁物业的</w:t>
            </w:r>
            <w:r>
              <w:rPr>
                <w:rFonts w:ascii="宋体" w:hAnsi="宋体" w:cs="宋体" w:eastAsia="宋体" w:hint="default"/>
                <w:spacing w:val="-35"/>
                <w:sz w:val="18"/>
                <w:szCs w:val="18"/>
              </w:rPr>
              <w:t> </w:t>
            </w: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t>公告》</w:t>
            </w:r>
          </w:p>
        </w:tc>
      </w:tr>
      <w:tr>
        <w:trPr>
          <w:trHeight w:val="684" w:hRule="exact"/>
        </w:trPr>
        <w:tc>
          <w:tcPr>
            <w:tcW w:w="937" w:type="dxa"/>
            <w:tcBorders>
              <w:top w:val="single" w:sz="4" w:space="0" w:color="000000"/>
              <w:left w:val="single" w:sz="4" w:space="0" w:color="000000"/>
              <w:bottom w:val="single" w:sz="4" w:space="0" w:color="000000"/>
              <w:right w:val="single" w:sz="13" w:space="0" w:color="FFFFFF"/>
            </w:tcBorders>
          </w:tcPr>
          <w:p>
            <w:pPr>
              <w:pStyle w:val="TableParagraph"/>
              <w:spacing w:line="205" w:lineRule="exact"/>
              <w:ind w:left="22" w:right="-44"/>
              <w:jc w:val="left"/>
              <w:rPr>
                <w:rFonts w:ascii="宋体" w:hAnsi="宋体" w:cs="宋体" w:eastAsia="宋体" w:hint="default"/>
                <w:sz w:val="18"/>
                <w:szCs w:val="18"/>
              </w:rPr>
            </w:pPr>
            <w:r>
              <w:rPr>
                <w:rFonts w:ascii="宋体" w:hAnsi="宋体" w:cs="宋体" w:eastAsia="宋体" w:hint="default"/>
                <w:spacing w:val="36"/>
                <w:sz w:val="18"/>
                <w:szCs w:val="18"/>
              </w:rPr>
              <w:t>苏宁置</w:t>
            </w:r>
            <w:r>
              <w:rPr>
                <w:rFonts w:ascii="宋体" w:hAnsi="宋体" w:cs="宋体" w:eastAsia="宋体" w:hint="default"/>
                <w:spacing w:val="-37"/>
                <w:sz w:val="18"/>
                <w:szCs w:val="18"/>
              </w:rPr>
              <w:t> </w:t>
            </w:r>
            <w:r>
              <w:rPr>
                <w:rFonts w:ascii="宋体" w:hAnsi="宋体" w:cs="宋体" w:eastAsia="宋体" w:hint="default"/>
                <w:sz w:val="18"/>
                <w:szCs w:val="18"/>
              </w:rPr>
              <w:t>业</w:t>
            </w:r>
          </w:p>
          <w:p>
            <w:pPr>
              <w:pStyle w:val="TableParagraph"/>
              <w:spacing w:line="235" w:lineRule="exact"/>
              <w:ind w:left="22" w:right="-44"/>
              <w:jc w:val="left"/>
              <w:rPr>
                <w:rFonts w:ascii="宋体" w:hAnsi="宋体" w:cs="宋体" w:eastAsia="宋体" w:hint="default"/>
                <w:sz w:val="18"/>
                <w:szCs w:val="18"/>
              </w:rPr>
            </w:pPr>
            <w:r>
              <w:rPr>
                <w:rFonts w:ascii="宋体" w:hAnsi="宋体" w:cs="宋体" w:eastAsia="宋体" w:hint="default"/>
                <w:spacing w:val="40"/>
                <w:sz w:val="18"/>
                <w:szCs w:val="18"/>
              </w:rPr>
              <w:t>集团有限</w:t>
            </w:r>
            <w:r>
              <w:rPr>
                <w:rFonts w:ascii="宋体" w:hAnsi="宋体" w:cs="宋体" w:eastAsia="宋体" w:hint="default"/>
                <w:spacing w:val="-36"/>
                <w:sz w:val="18"/>
                <w:szCs w:val="18"/>
              </w:rPr>
              <w:t> </w:t>
            </w:r>
            <w:r>
              <w:rPr>
                <w:rFonts w:ascii="宋体" w:hAnsi="宋体" w:cs="宋体" w:eastAsia="宋体" w:hint="default"/>
                <w:sz w:val="18"/>
                <w:szCs w:val="18"/>
              </w:rPr>
            </w:r>
          </w:p>
        </w:tc>
        <w:tc>
          <w:tcPr>
            <w:tcW w:w="942" w:type="dxa"/>
            <w:tcBorders>
              <w:top w:val="single" w:sz="4" w:space="0" w:color="000000"/>
              <w:left w:val="single" w:sz="13" w:space="0" w:color="FFFFFF"/>
              <w:bottom w:val="single" w:sz="4" w:space="0" w:color="000000"/>
              <w:right w:val="single" w:sz="13" w:space="0" w:color="FFFFFF"/>
            </w:tcBorders>
          </w:tcPr>
          <w:p>
            <w:pPr>
              <w:pStyle w:val="TableParagraph"/>
              <w:spacing w:line="205" w:lineRule="exact"/>
              <w:ind w:left="12" w:right="-45"/>
              <w:jc w:val="left"/>
              <w:rPr>
                <w:rFonts w:ascii="宋体" w:hAnsi="宋体" w:cs="宋体" w:eastAsia="宋体" w:hint="default"/>
                <w:sz w:val="18"/>
                <w:szCs w:val="18"/>
              </w:rPr>
            </w:pPr>
            <w:r>
              <w:rPr>
                <w:rFonts w:ascii="宋体" w:hAnsi="宋体" w:cs="宋体" w:eastAsia="宋体" w:hint="default"/>
                <w:spacing w:val="41"/>
                <w:sz w:val="18"/>
                <w:szCs w:val="18"/>
              </w:rPr>
              <w:t>公司实际</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12" w:right="-45"/>
              <w:jc w:val="left"/>
              <w:rPr>
                <w:rFonts w:ascii="宋体" w:hAnsi="宋体" w:cs="宋体" w:eastAsia="宋体" w:hint="default"/>
                <w:sz w:val="18"/>
                <w:szCs w:val="18"/>
              </w:rPr>
            </w:pPr>
            <w:r>
              <w:rPr>
                <w:rFonts w:ascii="宋体" w:hAnsi="宋体" w:cs="宋体" w:eastAsia="宋体" w:hint="default"/>
                <w:spacing w:val="41"/>
                <w:sz w:val="18"/>
                <w:szCs w:val="18"/>
              </w:rPr>
              <w:t>控制人之</w:t>
            </w:r>
            <w:r>
              <w:rPr>
                <w:rFonts w:ascii="宋体" w:hAnsi="宋体" w:cs="宋体" w:eastAsia="宋体" w:hint="default"/>
                <w:spacing w:val="-35"/>
                <w:sz w:val="18"/>
                <w:szCs w:val="18"/>
              </w:rPr>
              <w:t> </w:t>
            </w:r>
            <w:r>
              <w:rPr>
                <w:rFonts w:ascii="宋体" w:hAnsi="宋体" w:cs="宋体" w:eastAsia="宋体" w:hint="default"/>
                <w:sz w:val="18"/>
                <w:szCs w:val="18"/>
              </w:rPr>
            </w:r>
          </w:p>
        </w:tc>
        <w:tc>
          <w:tcPr>
            <w:tcW w:w="942" w:type="dxa"/>
            <w:tcBorders>
              <w:top w:val="single" w:sz="4" w:space="0" w:color="000000"/>
              <w:left w:val="single" w:sz="13" w:space="0" w:color="FFFFFF"/>
              <w:bottom w:val="single" w:sz="4" w:space="0" w:color="000000"/>
              <w:right w:val="single" w:sz="4" w:space="0" w:color="000000"/>
            </w:tcBorders>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6"/>
                <w:sz w:val="18"/>
                <w:szCs w:val="18"/>
              </w:rPr>
              <w:t>租赁位于南京市淮海路</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号苏宁广场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层部分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pacing w:val="-67"/>
                <w:sz w:val="18"/>
                <w:szCs w:val="18"/>
              </w:rPr>
              <w:t> </w:t>
            </w:r>
            <w:r>
              <w:rPr>
                <w:rFonts w:ascii="宋体" w:hAnsi="宋体" w:cs="宋体" w:eastAsia="宋体" w:hint="default"/>
                <w:sz w:val="18"/>
                <w:szCs w:val="18"/>
              </w:rPr>
              <w:t>个</w:t>
            </w:r>
            <w:r>
              <w:rPr>
                <w:rFonts w:ascii="宋体" w:hAnsi="宋体" w:cs="宋体" w:eastAsia="宋体" w:hint="default"/>
                <w:spacing w:val="-67"/>
                <w:sz w:val="18"/>
                <w:szCs w:val="18"/>
              </w:rPr>
              <w:t> </w:t>
            </w:r>
            <w:r>
              <w:rPr>
                <w:rFonts w:ascii="宋体" w:hAnsi="宋体" w:cs="宋体" w:eastAsia="宋体" w:hint="default"/>
                <w:sz w:val="18"/>
                <w:szCs w:val="18"/>
              </w:rPr>
              <w:t>租</w:t>
            </w:r>
            <w:r>
              <w:rPr>
                <w:rFonts w:ascii="宋体" w:hAnsi="宋体" w:cs="宋体" w:eastAsia="宋体" w:hint="default"/>
                <w:spacing w:val="-65"/>
                <w:sz w:val="18"/>
                <w:szCs w:val="18"/>
              </w:rPr>
              <w:t> </w:t>
            </w:r>
            <w:r>
              <w:rPr>
                <w:rFonts w:ascii="宋体" w:hAnsi="宋体" w:cs="宋体" w:eastAsia="宋体" w:hint="default"/>
                <w:sz w:val="18"/>
                <w:szCs w:val="18"/>
              </w:rPr>
              <w:t>赁</w:t>
            </w:r>
            <w:r>
              <w:rPr>
                <w:rFonts w:ascii="宋体" w:hAnsi="宋体" w:cs="宋体" w:eastAsia="宋体" w:hint="default"/>
                <w:spacing w:val="-67"/>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度 </w:t>
            </w:r>
            <w:r>
              <w:rPr>
                <w:rFonts w:ascii="Times New Roman" w:hAnsi="Times New Roman" w:cs="Times New Roman" w:eastAsia="Times New Roman" w:hint="default"/>
                <w:sz w:val="18"/>
                <w:szCs w:val="18"/>
              </w:rPr>
              <w:t>5.5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3,923.88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25.40%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39,671.54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13" w:space="0" w:color="FFFFFF"/>
            </w:tcBorders>
          </w:tcPr>
          <w:p>
            <w:pPr>
              <w:pStyle w:val="TableParagraph"/>
              <w:spacing w:line="205" w:lineRule="exact"/>
              <w:ind w:left="22" w:right="-26"/>
              <w:jc w:val="left"/>
              <w:rPr>
                <w:rFonts w:ascii="宋体" w:hAnsi="宋体" w:cs="宋体" w:eastAsia="宋体" w:hint="default"/>
                <w:sz w:val="18"/>
                <w:szCs w:val="18"/>
              </w:rPr>
            </w:pPr>
            <w:r>
              <w:rPr>
                <w:rFonts w:ascii="宋体" w:hAnsi="宋体" w:cs="宋体" w:eastAsia="宋体" w:hint="default"/>
                <w:spacing w:val="29"/>
                <w:sz w:val="18"/>
                <w:szCs w:val="18"/>
              </w:rPr>
              <w:t>按季度提前</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支付</w:t>
            </w:r>
          </w:p>
        </w:tc>
        <w:tc>
          <w:tcPr>
            <w:tcW w:w="785" w:type="dxa"/>
            <w:tcBorders>
              <w:top w:val="single" w:sz="4" w:space="0" w:color="000000"/>
              <w:left w:val="single" w:sz="13" w:space="0" w:color="FFFFFF"/>
              <w:bottom w:val="single" w:sz="4" w:space="0" w:color="000000"/>
              <w:right w:val="single" w:sz="4" w:space="0" w:color="000000"/>
            </w:tcBorders>
          </w:tcPr>
          <w:p>
            <w:pPr>
              <w:pStyle w:val="TableParagraph"/>
              <w:spacing w:line="202" w:lineRule="exact"/>
              <w:ind w:left="1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32"/>
              <w:jc w:val="left"/>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2012-057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20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64.899994pt;margin-top:420.059998pt;width:46.6pt;height:105.1pt;mso-position-horizontal-relative:page;mso-position-vertical-relative:page;z-index:-1831672" coordorigin="3298,8401" coordsize="932,2102">
            <v:shape style="position:absolute;left:3298;top:8401;width:932;height:2102" coordorigin="3298,8401" coordsize="932,2102" path="m3298,10502l4229,10502,4229,8401,3298,8401,3298,10502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832"/>
        <w:gridCol w:w="944"/>
        <w:gridCol w:w="1313"/>
        <w:gridCol w:w="577"/>
        <w:gridCol w:w="1104"/>
        <w:gridCol w:w="785"/>
        <w:gridCol w:w="760"/>
        <w:gridCol w:w="942"/>
      </w:tblGrid>
      <w:tr>
        <w:trPr>
          <w:trHeight w:val="4227" w:hRule="exact"/>
        </w:trPr>
        <w:tc>
          <w:tcPr>
            <w:tcW w:w="937"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42"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15" w:space="0" w:color="000000"/>
              <w:left w:val="single" w:sz="4" w:space="0" w:color="000000"/>
              <w:bottom w:val="single" w:sz="4" w:space="0" w:color="000000"/>
              <w:right w:val="single" w:sz="4" w:space="0" w:color="000000"/>
            </w:tcBorders>
          </w:tcPr>
          <w:p>
            <w:pPr/>
          </w:p>
        </w:tc>
        <w:tc>
          <w:tcPr>
            <w:tcW w:w="2027" w:type="dxa"/>
            <w:tcBorders>
              <w:top w:val="single" w:sz="15" w:space="0" w:color="000000"/>
              <w:left w:val="single" w:sz="4" w:space="0" w:color="000000"/>
              <w:bottom w:val="single" w:sz="4" w:space="0" w:color="000000"/>
              <w:right w:val="single" w:sz="4" w:space="0" w:color="000000"/>
            </w:tcBorders>
          </w:tcPr>
          <w:p>
            <w:pPr>
              <w:pStyle w:val="TableParagraph"/>
              <w:spacing w:line="211"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物业，用于新街口</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EXPO</w:t>
            </w:r>
          </w:p>
          <w:p>
            <w:pPr>
              <w:pStyle w:val="TableParagraph"/>
              <w:spacing w:line="232" w:lineRule="auto"/>
              <w:ind w:left="23" w:right="11"/>
              <w:jc w:val="both"/>
              <w:rPr>
                <w:rFonts w:ascii="宋体" w:hAnsi="宋体" w:cs="宋体" w:eastAsia="宋体" w:hint="default"/>
                <w:sz w:val="18"/>
                <w:szCs w:val="18"/>
              </w:rPr>
            </w:pPr>
            <w:r>
              <w:rPr>
                <w:rFonts w:ascii="宋体" w:hAnsi="宋体" w:cs="宋体" w:eastAsia="宋体" w:hint="default"/>
                <w:sz w:val="18"/>
                <w:szCs w:val="18"/>
              </w:rPr>
              <w:t>超级旗舰店的经营管理， </w:t>
            </w:r>
            <w:r>
              <w:rPr>
                <w:rFonts w:ascii="宋体" w:hAnsi="宋体" w:cs="宋体" w:eastAsia="宋体" w:hint="default"/>
                <w:spacing w:val="16"/>
                <w:sz w:val="18"/>
                <w:szCs w:val="18"/>
              </w:rPr>
              <w:t>租赁物业建筑面积合计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18,611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平方米，租赁期</w:t>
            </w:r>
            <w:r>
              <w:rPr>
                <w:rFonts w:ascii="宋体" w:hAnsi="宋体" w:cs="宋体" w:eastAsia="宋体" w:hint="default"/>
                <w:sz w:val="18"/>
                <w:szCs w:val="18"/>
              </w:rPr>
              <w:t> 限</w:t>
            </w:r>
          </w:p>
          <w:p>
            <w:pPr>
              <w:pStyle w:val="TableParagraph"/>
              <w:spacing w:line="241"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2012/12/28-2022/12/27</w:t>
            </w:r>
            <w:r>
              <w:rPr>
                <w:rFonts w:ascii="宋体" w:hAnsi="宋体" w:cs="宋体" w:eastAsia="宋体" w:hint="default"/>
                <w:sz w:val="18"/>
                <w:szCs w:val="18"/>
              </w:rPr>
              <w:t>。</w:t>
            </w:r>
          </w:p>
          <w:p>
            <w:pPr>
              <w:pStyle w:val="TableParagraph"/>
              <w:spacing w:line="23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年新街口云店扩租</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租赁面积 </w:t>
            </w:r>
            <w:r>
              <w:rPr>
                <w:rFonts w:ascii="Times New Roman" w:hAnsi="Times New Roman" w:cs="Times New Roman" w:eastAsia="Times New Roman" w:hint="default"/>
                <w:sz w:val="18"/>
                <w:szCs w:val="18"/>
              </w:rPr>
              <w:t>5546.27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平方米</w:t>
            </w:r>
          </w:p>
          <w:p>
            <w:pPr>
              <w:pStyle w:val="TableParagraph"/>
              <w:spacing w:line="232" w:lineRule="auto"/>
              <w:ind w:left="23" w:right="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6"/>
                <w:sz w:val="18"/>
                <w:szCs w:val="18"/>
              </w:rPr>
              <w:t>其中租赁苏宁置业集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团面积为 </w:t>
            </w:r>
            <w:r>
              <w:rPr>
                <w:rFonts w:ascii="Times New Roman" w:hAnsi="Times New Roman" w:cs="Times New Roman" w:eastAsia="Times New Roman" w:hint="default"/>
                <w:sz w:val="18"/>
                <w:szCs w:val="18"/>
              </w:rPr>
              <w:t>5023.01</w:t>
            </w:r>
            <w:r>
              <w:rPr>
                <w:rFonts w:ascii="Times New Roman" w:hAnsi="Times New Roman" w:cs="Times New Roman" w:eastAsia="Times New Roman" w:hint="default"/>
                <w:spacing w:val="25"/>
                <w:sz w:val="18"/>
                <w:szCs w:val="18"/>
              </w:rPr>
              <w:t> </w:t>
            </w:r>
            <w:r>
              <w:rPr>
                <w:rFonts w:ascii="宋体" w:hAnsi="宋体" w:cs="宋体" w:eastAsia="宋体" w:hint="default"/>
                <w:spacing w:val="10"/>
                <w:sz w:val="18"/>
                <w:szCs w:val="18"/>
              </w:rPr>
              <w:t>平方</w:t>
            </w:r>
            <w:r>
              <w:rPr>
                <w:rFonts w:ascii="宋体" w:hAnsi="宋体" w:cs="宋体" w:eastAsia="宋体" w:hint="default"/>
                <w:spacing w:val="-70"/>
                <w:sz w:val="18"/>
                <w:szCs w:val="18"/>
              </w:rPr>
              <w:t> </w:t>
            </w:r>
            <w:r>
              <w:rPr>
                <w:rFonts w:ascii="宋体" w:hAnsi="宋体" w:cs="宋体" w:eastAsia="宋体" w:hint="default"/>
                <w:sz w:val="18"/>
                <w:szCs w:val="18"/>
              </w:rPr>
              <w:t>米，租赁苏宁电器集团面</w:t>
            </w:r>
            <w:r>
              <w:rPr>
                <w:rFonts w:ascii="宋体" w:hAnsi="宋体" w:cs="宋体" w:eastAsia="宋体" w:hint="default"/>
                <w:sz w:val="18"/>
                <w:szCs w:val="18"/>
              </w:rPr>
              <w:t> 积为 </w:t>
            </w:r>
            <w:r>
              <w:rPr>
                <w:rFonts w:ascii="Times New Roman" w:hAnsi="Times New Roman" w:cs="Times New Roman" w:eastAsia="Times New Roman" w:hint="default"/>
                <w:sz w:val="18"/>
                <w:szCs w:val="18"/>
              </w:rPr>
              <w:t>523.26</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平方米），扩</w:t>
            </w:r>
          </w:p>
          <w:p>
            <w:pPr>
              <w:pStyle w:val="TableParagraph"/>
              <w:spacing w:line="227" w:lineRule="exact"/>
              <w:ind w:left="23" w:right="0"/>
              <w:jc w:val="both"/>
              <w:rPr>
                <w:rFonts w:ascii="宋体" w:hAnsi="宋体" w:cs="宋体" w:eastAsia="宋体" w:hint="default"/>
                <w:sz w:val="18"/>
                <w:szCs w:val="18"/>
              </w:rPr>
            </w:pPr>
            <w:r>
              <w:rPr>
                <w:rFonts w:ascii="宋体" w:hAnsi="宋体" w:cs="宋体" w:eastAsia="宋体" w:hint="default"/>
                <w:sz w:val="18"/>
                <w:szCs w:val="18"/>
              </w:rPr>
              <w:t>租部分租赁期自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w:t>
            </w:r>
          </w:p>
          <w:p>
            <w:pPr>
              <w:pStyle w:val="TableParagraph"/>
              <w:spacing w:line="233" w:lineRule="exact"/>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28" w:lineRule="auto" w:before="3"/>
              <w:ind w:left="23" w:right="2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日，租赁价格按照 </w:t>
            </w:r>
            <w:r>
              <w:rPr>
                <w:rFonts w:ascii="宋体" w:hAnsi="宋体" w:cs="宋体" w:eastAsia="宋体" w:hint="default"/>
                <w:spacing w:val="-1"/>
                <w:sz w:val="18"/>
                <w:szCs w:val="18"/>
              </w:rPr>
              <w:t>原合同相同标准执行，扩</w:t>
            </w:r>
            <w:r>
              <w:rPr>
                <w:rFonts w:ascii="宋体" w:hAnsi="宋体" w:cs="宋体" w:eastAsia="宋体" w:hint="default"/>
                <w:sz w:val="18"/>
                <w:szCs w:val="18"/>
              </w:rPr>
              <w:t> </w:t>
            </w:r>
            <w:r>
              <w:rPr>
                <w:rFonts w:ascii="宋体" w:hAnsi="宋体" w:cs="宋体" w:eastAsia="宋体" w:hint="default"/>
                <w:spacing w:val="10"/>
                <w:sz w:val="18"/>
                <w:szCs w:val="18"/>
              </w:rPr>
              <w:t>租租金总额为</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9,587.234 </w:t>
            </w:r>
            <w:r>
              <w:rPr>
                <w:rFonts w:ascii="宋体" w:hAnsi="宋体" w:cs="宋体" w:eastAsia="宋体" w:hint="default"/>
                <w:sz w:val="18"/>
                <w:szCs w:val="18"/>
              </w:rPr>
              <w:t>万元。</w:t>
            </w:r>
          </w:p>
        </w:tc>
        <w:tc>
          <w:tcPr>
            <w:tcW w:w="854" w:type="dxa"/>
            <w:tcBorders>
              <w:top w:val="single" w:sz="15" w:space="0" w:color="000000"/>
              <w:left w:val="single" w:sz="4" w:space="0" w:color="000000"/>
              <w:bottom w:val="single" w:sz="4" w:space="0" w:color="000000"/>
              <w:right w:val="single" w:sz="4" w:space="0" w:color="000000"/>
            </w:tcBorders>
          </w:tcPr>
          <w:p>
            <w:pPr/>
          </w:p>
        </w:tc>
        <w:tc>
          <w:tcPr>
            <w:tcW w:w="1055" w:type="dxa"/>
            <w:tcBorders>
              <w:top w:val="single" w:sz="15" w:space="0" w:color="000000"/>
              <w:left w:val="single" w:sz="4" w:space="0" w:color="000000"/>
              <w:bottom w:val="single" w:sz="4" w:space="0" w:color="000000"/>
              <w:right w:val="single" w:sz="4" w:space="0" w:color="000000"/>
            </w:tcBorders>
          </w:tcPr>
          <w:p>
            <w:pPr>
              <w:pStyle w:val="TableParagraph"/>
              <w:spacing w:line="211" w:lineRule="exact"/>
              <w:ind w:left="22" w:right="0"/>
              <w:jc w:val="both"/>
              <w:rPr>
                <w:rFonts w:ascii="宋体" w:hAnsi="宋体" w:cs="宋体" w:eastAsia="宋体" w:hint="default"/>
                <w:sz w:val="18"/>
                <w:szCs w:val="18"/>
              </w:rPr>
            </w:pPr>
            <w:r>
              <w:rPr>
                <w:rFonts w:ascii="宋体" w:hAnsi="宋体" w:cs="宋体" w:eastAsia="宋体" w:hint="default"/>
                <w:spacing w:val="9"/>
                <w:sz w:val="18"/>
                <w:szCs w:val="18"/>
              </w:rPr>
              <w:t>方米</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日，自</w:t>
            </w:r>
            <w:r>
              <w:rPr>
                <w:rFonts w:ascii="宋体" w:hAnsi="宋体" w:cs="宋体" w:eastAsia="宋体" w:hint="default"/>
                <w:sz w:val="18"/>
                <w:szCs w:val="18"/>
              </w:rPr>
            </w:r>
          </w:p>
          <w:p>
            <w:pPr>
              <w:pStyle w:val="TableParagraph"/>
              <w:spacing w:line="237" w:lineRule="auto"/>
              <w:ind w:left="22" w:right="24"/>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7"/>
                <w:sz w:val="18"/>
                <w:szCs w:val="18"/>
              </w:rPr>
              <w:t> </w:t>
            </w:r>
            <w:r>
              <w:rPr>
                <w:rFonts w:ascii="宋体" w:hAnsi="宋体" w:cs="宋体" w:eastAsia="宋体" w:hint="default"/>
                <w:sz w:val="18"/>
                <w:szCs w:val="18"/>
              </w:rPr>
              <w:t>三</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起</w:t>
            </w:r>
            <w:r>
              <w:rPr>
                <w:rFonts w:ascii="宋体" w:hAnsi="宋体" w:cs="宋体" w:eastAsia="宋体" w:hint="default"/>
                <w:spacing w:val="-67"/>
                <w:sz w:val="18"/>
                <w:szCs w:val="18"/>
              </w:rPr>
              <w:t> </w:t>
            </w:r>
            <w:r>
              <w:rPr>
                <w:rFonts w:ascii="宋体" w:hAnsi="宋体" w:cs="宋体" w:eastAsia="宋体" w:hint="default"/>
                <w:sz w:val="18"/>
                <w:szCs w:val="18"/>
              </w:rPr>
              <w:t>每</w:t>
            </w:r>
            <w:r>
              <w:rPr>
                <w:rFonts w:ascii="宋体" w:hAnsi="宋体" w:cs="宋体" w:eastAsia="宋体" w:hint="default"/>
                <w:sz w:val="18"/>
                <w:szCs w:val="18"/>
              </w:rPr>
              <w:t> 两</w:t>
            </w:r>
            <w:r>
              <w:rPr>
                <w:rFonts w:ascii="宋体" w:hAnsi="宋体" w:cs="宋体" w:eastAsia="宋体" w:hint="default"/>
                <w:spacing w:val="-67"/>
                <w:sz w:val="18"/>
                <w:szCs w:val="18"/>
              </w:rPr>
              <w:t> </w:t>
            </w:r>
            <w:r>
              <w:rPr>
                <w:rFonts w:ascii="宋体" w:hAnsi="宋体" w:cs="宋体" w:eastAsia="宋体" w:hint="default"/>
                <w:sz w:val="18"/>
                <w:szCs w:val="18"/>
              </w:rPr>
              <w:t>个</w:t>
            </w:r>
            <w:r>
              <w:rPr>
                <w:rFonts w:ascii="宋体" w:hAnsi="宋体" w:cs="宋体" w:eastAsia="宋体" w:hint="default"/>
                <w:spacing w:val="-67"/>
                <w:sz w:val="18"/>
                <w:szCs w:val="18"/>
              </w:rPr>
              <w:t> </w:t>
            </w:r>
            <w:r>
              <w:rPr>
                <w:rFonts w:ascii="宋体" w:hAnsi="宋体" w:cs="宋体" w:eastAsia="宋体" w:hint="default"/>
                <w:sz w:val="18"/>
                <w:szCs w:val="18"/>
              </w:rPr>
              <w:t>租</w:t>
            </w:r>
            <w:r>
              <w:rPr>
                <w:rFonts w:ascii="宋体" w:hAnsi="宋体" w:cs="宋体" w:eastAsia="宋体" w:hint="default"/>
                <w:spacing w:val="-65"/>
                <w:sz w:val="18"/>
                <w:szCs w:val="18"/>
              </w:rPr>
              <w:t> </w:t>
            </w:r>
            <w:r>
              <w:rPr>
                <w:rFonts w:ascii="宋体" w:hAnsi="宋体" w:cs="宋体" w:eastAsia="宋体" w:hint="default"/>
                <w:sz w:val="18"/>
                <w:szCs w:val="18"/>
              </w:rPr>
              <w:t>赁</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z w:val="18"/>
                <w:szCs w:val="18"/>
              </w:rPr>
              <w:t> 度</w:t>
            </w:r>
            <w:r>
              <w:rPr>
                <w:rFonts w:ascii="宋体" w:hAnsi="宋体" w:cs="宋体" w:eastAsia="宋体" w:hint="default"/>
                <w:spacing w:val="-67"/>
                <w:sz w:val="18"/>
                <w:szCs w:val="18"/>
              </w:rPr>
              <w:t> </w:t>
            </w:r>
            <w:r>
              <w:rPr>
                <w:rFonts w:ascii="宋体" w:hAnsi="宋体" w:cs="宋体" w:eastAsia="宋体" w:hint="default"/>
                <w:sz w:val="18"/>
                <w:szCs w:val="18"/>
              </w:rPr>
              <w:t>在</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5"/>
                <w:sz w:val="18"/>
                <w:szCs w:val="18"/>
              </w:rPr>
              <w:t> </w:t>
            </w: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z w:val="18"/>
                <w:szCs w:val="18"/>
              </w:rPr>
              <w:t> 的</w:t>
            </w:r>
            <w:r>
              <w:rPr>
                <w:rFonts w:ascii="宋体" w:hAnsi="宋体" w:cs="宋体" w:eastAsia="宋体" w:hint="default"/>
                <w:spacing w:val="-67"/>
                <w:sz w:val="18"/>
                <w:szCs w:val="18"/>
              </w:rPr>
              <w:t> </w:t>
            </w:r>
            <w:r>
              <w:rPr>
                <w:rFonts w:ascii="宋体" w:hAnsi="宋体" w:cs="宋体" w:eastAsia="宋体" w:hint="default"/>
                <w:sz w:val="18"/>
                <w:szCs w:val="18"/>
              </w:rPr>
              <w:t>基</w:t>
            </w:r>
            <w:r>
              <w:rPr>
                <w:rFonts w:ascii="宋体" w:hAnsi="宋体" w:cs="宋体" w:eastAsia="宋体" w:hint="default"/>
                <w:spacing w:val="-67"/>
                <w:sz w:val="18"/>
                <w:szCs w:val="18"/>
              </w:rPr>
              <w:t> </w:t>
            </w:r>
            <w:r>
              <w:rPr>
                <w:rFonts w:ascii="宋体" w:hAnsi="宋体" w:cs="宋体" w:eastAsia="宋体" w:hint="default"/>
                <w:sz w:val="18"/>
                <w:szCs w:val="18"/>
              </w:rPr>
              <w:t>础</w:t>
            </w:r>
            <w:r>
              <w:rPr>
                <w:rFonts w:ascii="宋体" w:hAnsi="宋体" w:cs="宋体" w:eastAsia="宋体" w:hint="default"/>
                <w:spacing w:val="-65"/>
                <w:sz w:val="18"/>
                <w:szCs w:val="18"/>
              </w:rPr>
              <w:t> </w:t>
            </w: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递</w:t>
            </w:r>
            <w:r>
              <w:rPr>
                <w:rFonts w:ascii="宋体" w:hAnsi="宋体" w:cs="宋体" w:eastAsia="宋体" w:hint="default"/>
                <w:sz w:val="18"/>
                <w:szCs w:val="18"/>
              </w:rPr>
              <w:t> 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32" w:type="dxa"/>
            <w:tcBorders>
              <w:top w:val="single" w:sz="15" w:space="0" w:color="000000"/>
              <w:left w:val="single" w:sz="4" w:space="0" w:color="000000"/>
              <w:bottom w:val="single" w:sz="4" w:space="0" w:color="000000"/>
              <w:right w:val="single" w:sz="4" w:space="0" w:color="000000"/>
            </w:tcBorders>
          </w:tcPr>
          <w:p>
            <w:pPr/>
          </w:p>
        </w:tc>
        <w:tc>
          <w:tcPr>
            <w:tcW w:w="944" w:type="dxa"/>
            <w:tcBorders>
              <w:top w:val="single" w:sz="15" w:space="0" w:color="000000"/>
              <w:left w:val="single" w:sz="4" w:space="0" w:color="000000"/>
              <w:bottom w:val="single" w:sz="4" w:space="0" w:color="000000"/>
              <w:right w:val="single" w:sz="4" w:space="0" w:color="000000"/>
            </w:tcBorders>
          </w:tcPr>
          <w:p>
            <w:pPr/>
          </w:p>
        </w:tc>
        <w:tc>
          <w:tcPr>
            <w:tcW w:w="1313" w:type="dxa"/>
            <w:tcBorders>
              <w:top w:val="single" w:sz="15" w:space="0" w:color="000000"/>
              <w:left w:val="single" w:sz="4" w:space="0" w:color="000000"/>
              <w:bottom w:val="single" w:sz="4" w:space="0" w:color="000000"/>
              <w:right w:val="single" w:sz="4" w:space="0" w:color="000000"/>
            </w:tcBorders>
          </w:tcPr>
          <w:p>
            <w:pPr/>
          </w:p>
        </w:tc>
        <w:tc>
          <w:tcPr>
            <w:tcW w:w="577" w:type="dxa"/>
            <w:tcBorders>
              <w:top w:val="single" w:sz="15" w:space="0" w:color="000000"/>
              <w:left w:val="single" w:sz="4" w:space="0" w:color="000000"/>
              <w:bottom w:val="single" w:sz="4" w:space="0" w:color="000000"/>
              <w:right w:val="single" w:sz="4" w:space="0" w:color="000000"/>
            </w:tcBorders>
          </w:tcPr>
          <w:p>
            <w:pPr/>
          </w:p>
        </w:tc>
        <w:tc>
          <w:tcPr>
            <w:tcW w:w="1104"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
        </w:tc>
        <w:tc>
          <w:tcPr>
            <w:tcW w:w="76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2"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41"/>
                <w:sz w:val="18"/>
                <w:szCs w:val="18"/>
              </w:rPr>
              <w:t>《关于向</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before="1"/>
              <w:ind w:left="22" w:right="-32"/>
              <w:jc w:val="both"/>
              <w:rPr>
                <w:rFonts w:ascii="宋体" w:hAnsi="宋体" w:cs="宋体" w:eastAsia="宋体" w:hint="default"/>
                <w:sz w:val="18"/>
                <w:szCs w:val="18"/>
              </w:rPr>
            </w:pPr>
            <w:r>
              <w:rPr>
                <w:rFonts w:ascii="宋体" w:hAnsi="宋体" w:cs="宋体" w:eastAsia="宋体" w:hint="default"/>
                <w:spacing w:val="41"/>
                <w:sz w:val="18"/>
                <w:szCs w:val="18"/>
              </w:rPr>
              <w:t>关联方租</w:t>
            </w:r>
            <w:r>
              <w:rPr>
                <w:rFonts w:ascii="宋体" w:hAnsi="宋体" w:cs="宋体" w:eastAsia="宋体" w:hint="default"/>
                <w:spacing w:val="-35"/>
                <w:sz w:val="18"/>
                <w:szCs w:val="18"/>
              </w:rPr>
              <w:t> </w:t>
            </w:r>
            <w:r>
              <w:rPr>
                <w:rFonts w:ascii="宋体" w:hAnsi="宋体" w:cs="宋体" w:eastAsia="宋体" w:hint="default"/>
                <w:spacing w:val="41"/>
                <w:sz w:val="18"/>
                <w:szCs w:val="18"/>
              </w:rPr>
              <w:t>赁物业的</w:t>
            </w:r>
            <w:r>
              <w:rPr>
                <w:rFonts w:ascii="宋体" w:hAnsi="宋体" w:cs="宋体" w:eastAsia="宋体" w:hint="default"/>
                <w:spacing w:val="-35"/>
                <w:sz w:val="18"/>
                <w:szCs w:val="18"/>
              </w:rPr>
              <w:t> </w:t>
            </w: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t>公告》</w:t>
            </w:r>
          </w:p>
        </w:tc>
      </w:tr>
      <w:tr>
        <w:trPr>
          <w:trHeight w:val="2812" w:hRule="exact"/>
        </w:trPr>
        <w:tc>
          <w:tcPr>
            <w:tcW w:w="937" w:type="dxa"/>
            <w:tcBorders>
              <w:top w:val="single" w:sz="4" w:space="0" w:color="000000"/>
              <w:left w:val="single" w:sz="4" w:space="0" w:color="000000"/>
              <w:bottom w:val="single" w:sz="4" w:space="0" w:color="000000"/>
              <w:right w:val="single" w:sz="9" w:space="0" w:color="FFFFFF"/>
            </w:tcBorders>
          </w:tcPr>
          <w:p>
            <w:pPr>
              <w:pStyle w:val="TableParagraph"/>
              <w:spacing w:line="205" w:lineRule="exact"/>
              <w:ind w:left="22" w:right="-38"/>
              <w:jc w:val="left"/>
              <w:rPr>
                <w:rFonts w:ascii="宋体" w:hAnsi="宋体" w:cs="宋体" w:eastAsia="宋体" w:hint="default"/>
                <w:sz w:val="18"/>
                <w:szCs w:val="18"/>
              </w:rPr>
            </w:pPr>
            <w:r>
              <w:rPr>
                <w:rFonts w:ascii="宋体" w:hAnsi="宋体" w:cs="宋体" w:eastAsia="宋体" w:hint="default"/>
                <w:spacing w:val="36"/>
                <w:sz w:val="18"/>
                <w:szCs w:val="18"/>
              </w:rPr>
              <w:t>无锡苏</w:t>
            </w:r>
            <w:r>
              <w:rPr>
                <w:rFonts w:ascii="宋体" w:hAnsi="宋体" w:cs="宋体" w:eastAsia="宋体" w:hint="default"/>
                <w:spacing w:val="-37"/>
                <w:sz w:val="18"/>
                <w:szCs w:val="18"/>
              </w:rPr>
              <w:t> </w:t>
            </w:r>
            <w:r>
              <w:rPr>
                <w:rFonts w:ascii="宋体" w:hAnsi="宋体" w:cs="宋体" w:eastAsia="宋体" w:hint="default"/>
                <w:sz w:val="18"/>
                <w:szCs w:val="18"/>
              </w:rPr>
              <w:t>宁</w:t>
            </w:r>
          </w:p>
          <w:p>
            <w:pPr>
              <w:pStyle w:val="TableParagraph"/>
              <w:spacing w:line="232" w:lineRule="exact" w:before="24"/>
              <w:ind w:left="22" w:right="-38"/>
              <w:jc w:val="left"/>
              <w:rPr>
                <w:rFonts w:ascii="宋体" w:hAnsi="宋体" w:cs="宋体" w:eastAsia="宋体" w:hint="default"/>
                <w:sz w:val="18"/>
                <w:szCs w:val="18"/>
              </w:rPr>
            </w:pPr>
            <w:r>
              <w:rPr>
                <w:rFonts w:ascii="宋体" w:hAnsi="宋体" w:cs="宋体" w:eastAsia="宋体" w:hint="default"/>
                <w:spacing w:val="40"/>
                <w:sz w:val="18"/>
                <w:szCs w:val="18"/>
              </w:rPr>
              <w:t>商业管理</w:t>
            </w:r>
            <w:r>
              <w:rPr>
                <w:rFonts w:ascii="宋体" w:hAnsi="宋体" w:cs="宋体" w:eastAsia="宋体" w:hint="default"/>
                <w:spacing w:val="-36"/>
                <w:sz w:val="18"/>
                <w:szCs w:val="18"/>
              </w:rPr>
              <w:t> </w:t>
            </w:r>
            <w:r>
              <w:rPr>
                <w:rFonts w:ascii="宋体" w:hAnsi="宋体" w:cs="宋体" w:eastAsia="宋体" w:hint="default"/>
                <w:sz w:val="18"/>
                <w:szCs w:val="18"/>
              </w:rPr>
              <w:t>有限公司</w:t>
            </w:r>
          </w:p>
        </w:tc>
        <w:tc>
          <w:tcPr>
            <w:tcW w:w="942" w:type="dxa"/>
            <w:tcBorders>
              <w:top w:val="single" w:sz="4" w:space="0" w:color="000000"/>
              <w:left w:val="single" w:sz="9" w:space="0" w:color="FFFFFF"/>
              <w:bottom w:val="single" w:sz="4" w:space="0" w:color="000000"/>
              <w:right w:val="single" w:sz="9" w:space="0" w:color="FFFFFF"/>
            </w:tcBorders>
          </w:tcPr>
          <w:p>
            <w:pPr>
              <w:pStyle w:val="TableParagraph"/>
              <w:spacing w:line="205" w:lineRule="exact"/>
              <w:ind w:left="17" w:right="-39"/>
              <w:jc w:val="left"/>
              <w:rPr>
                <w:rFonts w:ascii="宋体" w:hAnsi="宋体" w:cs="宋体" w:eastAsia="宋体" w:hint="default"/>
                <w:sz w:val="18"/>
                <w:szCs w:val="18"/>
              </w:rPr>
            </w:pPr>
            <w:r>
              <w:rPr>
                <w:rFonts w:ascii="宋体" w:hAnsi="宋体" w:cs="宋体" w:eastAsia="宋体" w:hint="default"/>
                <w:spacing w:val="41"/>
                <w:sz w:val="18"/>
                <w:szCs w:val="18"/>
              </w:rPr>
              <w:t>苏宁电器</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7" w:right="-39"/>
              <w:jc w:val="left"/>
              <w:rPr>
                <w:rFonts w:ascii="宋体" w:hAnsi="宋体" w:cs="宋体" w:eastAsia="宋体" w:hint="default"/>
                <w:sz w:val="18"/>
                <w:szCs w:val="18"/>
              </w:rPr>
            </w:pPr>
            <w:r>
              <w:rPr>
                <w:rFonts w:ascii="宋体" w:hAnsi="宋体" w:cs="宋体" w:eastAsia="宋体" w:hint="default"/>
                <w:spacing w:val="41"/>
                <w:sz w:val="18"/>
                <w:szCs w:val="18"/>
              </w:rPr>
              <w:t>集团子公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42" w:type="dxa"/>
            <w:tcBorders>
              <w:top w:val="single" w:sz="4" w:space="0" w:color="000000"/>
              <w:left w:val="single" w:sz="9" w:space="0" w:color="FFFFFF"/>
              <w:bottom w:val="single" w:sz="4" w:space="0" w:color="000000"/>
              <w:right w:val="single" w:sz="13" w:space="0" w:color="FFFFFF"/>
            </w:tcBorders>
          </w:tcPr>
          <w:p>
            <w:pPr>
              <w:pStyle w:val="TableParagraph"/>
              <w:spacing w:line="205" w:lineRule="exact"/>
              <w:ind w:left="17" w:right="-45"/>
              <w:jc w:val="left"/>
              <w:rPr>
                <w:rFonts w:ascii="宋体" w:hAnsi="宋体" w:cs="宋体" w:eastAsia="宋体" w:hint="default"/>
                <w:sz w:val="18"/>
                <w:szCs w:val="18"/>
              </w:rPr>
            </w:pPr>
            <w:r>
              <w:rPr>
                <w:rFonts w:ascii="宋体" w:hAnsi="宋体" w:cs="宋体" w:eastAsia="宋体" w:hint="default"/>
                <w:spacing w:val="41"/>
                <w:sz w:val="18"/>
                <w:szCs w:val="18"/>
              </w:rPr>
              <w:t>物业租赁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7" w:right="-45"/>
              <w:jc w:val="left"/>
              <w:rPr>
                <w:rFonts w:ascii="宋体" w:hAnsi="宋体" w:cs="宋体" w:eastAsia="宋体" w:hint="default"/>
                <w:sz w:val="18"/>
                <w:szCs w:val="18"/>
              </w:rPr>
            </w:pPr>
            <w:r>
              <w:rPr>
                <w:rFonts w:ascii="宋体" w:hAnsi="宋体" w:cs="宋体" w:eastAsia="宋体" w:hint="default"/>
                <w:spacing w:val="41"/>
                <w:sz w:val="18"/>
                <w:szCs w:val="18"/>
              </w:rPr>
              <w:t>及物业服</w:t>
            </w:r>
            <w:r>
              <w:rPr>
                <w:rFonts w:ascii="宋体" w:hAnsi="宋体" w:cs="宋体" w:eastAsia="宋体" w:hint="default"/>
                <w:spacing w:val="-35"/>
                <w:sz w:val="18"/>
                <w:szCs w:val="18"/>
              </w:rPr>
              <w:t> </w:t>
            </w:r>
            <w:r>
              <w:rPr>
                <w:rFonts w:ascii="宋体" w:hAnsi="宋体" w:cs="宋体" w:eastAsia="宋体" w:hint="default"/>
                <w:sz w:val="18"/>
                <w:szCs w:val="18"/>
              </w:rPr>
              <w:t>务</w:t>
            </w:r>
          </w:p>
        </w:tc>
        <w:tc>
          <w:tcPr>
            <w:tcW w:w="2027" w:type="dxa"/>
            <w:tcBorders>
              <w:top w:val="single" w:sz="4" w:space="0" w:color="000000"/>
              <w:left w:val="single" w:sz="13" w:space="0" w:color="FFFFFF"/>
              <w:bottom w:val="single" w:sz="4" w:space="0" w:color="000000"/>
              <w:right w:val="single" w:sz="4" w:space="0" w:color="000000"/>
            </w:tcBorders>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16"/>
                <w:sz w:val="18"/>
                <w:szCs w:val="18"/>
              </w:rPr>
              <w:t>租赁其位于无锡市人民</w:t>
            </w:r>
          </w:p>
          <w:p>
            <w:pPr>
              <w:pStyle w:val="TableParagraph"/>
              <w:spacing w:line="240" w:lineRule="exact"/>
              <w:ind w:left="11" w:right="0"/>
              <w:jc w:val="left"/>
              <w:rPr>
                <w:rFonts w:ascii="宋体" w:hAnsi="宋体" w:cs="宋体" w:eastAsia="宋体" w:hint="default"/>
                <w:sz w:val="18"/>
                <w:szCs w:val="18"/>
              </w:rPr>
            </w:pPr>
            <w:r>
              <w:rPr>
                <w:rFonts w:ascii="宋体" w:hAnsi="宋体" w:cs="宋体" w:eastAsia="宋体" w:hint="default"/>
                <w:sz w:val="18"/>
                <w:szCs w:val="18"/>
              </w:rPr>
              <w:t>中路</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号无锡苏宁广场</w:t>
            </w:r>
          </w:p>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pacing w:val="6"/>
                <w:sz w:val="18"/>
                <w:szCs w:val="18"/>
              </w:rPr>
              <w:t>大厦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23"/>
                <w:sz w:val="18"/>
                <w:szCs w:val="18"/>
              </w:rPr>
              <w:t> </w:t>
            </w:r>
            <w:r>
              <w:rPr>
                <w:rFonts w:ascii="宋体" w:hAnsi="宋体" w:cs="宋体" w:eastAsia="宋体" w:hint="default"/>
                <w:spacing w:val="10"/>
                <w:sz w:val="18"/>
                <w:szCs w:val="18"/>
              </w:rPr>
              <w:t>层用于店面经</w:t>
            </w:r>
          </w:p>
          <w:p>
            <w:pPr>
              <w:pStyle w:val="TableParagraph"/>
              <w:spacing w:line="230" w:lineRule="auto" w:before="1"/>
              <w:ind w:left="11"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营，租赁面积</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19,217.40 </w:t>
            </w:r>
            <w:r>
              <w:rPr>
                <w:rFonts w:ascii="宋体" w:hAnsi="宋体" w:cs="宋体" w:eastAsia="宋体" w:hint="default"/>
                <w:sz w:val="18"/>
                <w:szCs w:val="18"/>
              </w:rPr>
              <w:t>平方米，租赁期限 </w:t>
            </w:r>
            <w:r>
              <w:rPr>
                <w:rFonts w:ascii="Times New Roman" w:hAnsi="Times New Roman" w:cs="Times New Roman" w:eastAsia="Times New Roman" w:hint="default"/>
                <w:spacing w:val="-4"/>
                <w:sz w:val="18"/>
                <w:szCs w:val="18"/>
              </w:rPr>
              <w:t>2013/9/30-2028/9/29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p>
          <w:p>
            <w:pPr>
              <w:pStyle w:val="TableParagraph"/>
              <w:spacing w:line="232" w:lineRule="auto"/>
              <w:ind w:left="11"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月，公司子公司与无 </w:t>
            </w:r>
            <w:r>
              <w:rPr>
                <w:rFonts w:ascii="宋体" w:hAnsi="宋体" w:cs="宋体" w:eastAsia="宋体" w:hint="default"/>
                <w:spacing w:val="16"/>
                <w:sz w:val="18"/>
                <w:szCs w:val="18"/>
              </w:rPr>
              <w:t>锡苏宁商管公司签订补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充协议，退租部分租赁区</w:t>
            </w:r>
            <w:r>
              <w:rPr>
                <w:rFonts w:ascii="宋体" w:hAnsi="宋体" w:cs="宋体" w:eastAsia="宋体" w:hint="default"/>
                <w:sz w:val="18"/>
                <w:szCs w:val="18"/>
              </w:rPr>
              <w:t> </w:t>
            </w:r>
            <w:r>
              <w:rPr>
                <w:rFonts w:ascii="宋体" w:hAnsi="宋体" w:cs="宋体" w:eastAsia="宋体" w:hint="default"/>
                <w:spacing w:val="-4"/>
                <w:sz w:val="18"/>
                <w:szCs w:val="18"/>
              </w:rPr>
              <w:t>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16"/>
                <w:sz w:val="18"/>
                <w:szCs w:val="18"/>
              </w:rPr>
              <w:t>起公司实际承租面积为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18,945.49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赁</w:t>
            </w:r>
            <w:r>
              <w:rPr>
                <w:rFonts w:ascii="宋体" w:hAnsi="宋体" w:cs="宋体" w:eastAsia="宋体" w:hint="default"/>
                <w:spacing w:val="-67"/>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7"/>
                <w:sz w:val="18"/>
                <w:szCs w:val="18"/>
              </w:rPr>
              <w:t> </w:t>
            </w:r>
            <w:r>
              <w:rPr>
                <w:rFonts w:ascii="宋体" w:hAnsi="宋体" w:cs="宋体" w:eastAsia="宋体" w:hint="default"/>
                <w:sz w:val="18"/>
                <w:szCs w:val="18"/>
              </w:rPr>
              <w:t>按</w:t>
            </w:r>
          </w:p>
          <w:p>
            <w:pPr>
              <w:pStyle w:val="TableParagraph"/>
              <w:spacing w:line="228" w:lineRule="auto" w:before="9"/>
              <w:ind w:left="22" w:right="12"/>
              <w:jc w:val="both"/>
              <w:rPr>
                <w:rFonts w:ascii="宋体" w:hAnsi="宋体" w:cs="宋体" w:eastAsia="宋体" w:hint="default"/>
                <w:sz w:val="18"/>
                <w:szCs w:val="18"/>
              </w:rPr>
            </w:pPr>
            <w:r>
              <w:rPr>
                <w:rFonts w:ascii="宋体" w:hAnsi="宋体" w:cs="宋体" w:eastAsia="宋体" w:hint="default"/>
                <w:sz w:val="18"/>
                <w:szCs w:val="18"/>
              </w:rPr>
              <w:t>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 </w:t>
            </w:r>
            <w:r>
              <w:rPr>
                <w:rFonts w:ascii="宋体" w:hAnsi="宋体" w:cs="宋体" w:eastAsia="宋体" w:hint="default"/>
                <w:spacing w:val="9"/>
                <w:sz w:val="18"/>
                <w:szCs w:val="18"/>
              </w:rPr>
              <w:t>米</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天计算， </w:t>
            </w:r>
            <w:r>
              <w:rPr>
                <w:rFonts w:ascii="宋体" w:hAnsi="宋体" w:cs="宋体" w:eastAsia="宋体" w:hint="default"/>
                <w:sz w:val="18"/>
                <w:szCs w:val="18"/>
              </w:rPr>
              <w:t>自</w:t>
            </w:r>
            <w:r>
              <w:rPr>
                <w:rFonts w:ascii="宋体" w:hAnsi="宋体" w:cs="宋体" w:eastAsia="宋体" w:hint="default"/>
                <w:spacing w:val="-67"/>
                <w:sz w:val="18"/>
                <w:szCs w:val="18"/>
              </w:rPr>
              <w:t> </w:t>
            </w:r>
            <w:r>
              <w:rPr>
                <w:rFonts w:ascii="宋体" w:hAnsi="宋体" w:cs="宋体" w:eastAsia="宋体" w:hint="default"/>
                <w:sz w:val="18"/>
                <w:szCs w:val="18"/>
              </w:rPr>
              <w:t>第</w:t>
            </w:r>
            <w:r>
              <w:rPr>
                <w:rFonts w:ascii="宋体" w:hAnsi="宋体" w:cs="宋体" w:eastAsia="宋体" w:hint="default"/>
                <w:spacing w:val="-67"/>
                <w:sz w:val="18"/>
                <w:szCs w:val="18"/>
              </w:rPr>
              <w:t> </w:t>
            </w:r>
            <w:r>
              <w:rPr>
                <w:rFonts w:ascii="宋体" w:hAnsi="宋体" w:cs="宋体" w:eastAsia="宋体" w:hint="default"/>
                <w:sz w:val="18"/>
                <w:szCs w:val="18"/>
              </w:rPr>
              <w:t>三</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起</w:t>
            </w:r>
            <w:r>
              <w:rPr>
                <w:rFonts w:ascii="宋体" w:hAnsi="宋体" w:cs="宋体" w:eastAsia="宋体" w:hint="default"/>
                <w:sz w:val="18"/>
                <w:szCs w:val="18"/>
              </w:rPr>
              <w:t> 每</w:t>
            </w:r>
            <w:r>
              <w:rPr>
                <w:rFonts w:ascii="宋体" w:hAnsi="宋体" w:cs="宋体" w:eastAsia="宋体" w:hint="default"/>
                <w:spacing w:val="-67"/>
                <w:sz w:val="18"/>
                <w:szCs w:val="18"/>
              </w:rPr>
              <w:t> </w:t>
            </w:r>
            <w:r>
              <w:rPr>
                <w:rFonts w:ascii="宋体" w:hAnsi="宋体" w:cs="宋体" w:eastAsia="宋体" w:hint="default"/>
                <w:sz w:val="18"/>
                <w:szCs w:val="18"/>
              </w:rPr>
              <w:t>三</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递</w:t>
            </w:r>
            <w:r>
              <w:rPr>
                <w:rFonts w:ascii="宋体" w:hAnsi="宋体" w:cs="宋体" w:eastAsia="宋体" w:hint="default"/>
                <w:spacing w:val="-67"/>
                <w:sz w:val="18"/>
                <w:szCs w:val="18"/>
              </w:rPr>
              <w:t> </w:t>
            </w:r>
            <w:r>
              <w:rPr>
                <w:rFonts w:ascii="宋体" w:hAnsi="宋体" w:cs="宋体" w:eastAsia="宋体" w:hint="default"/>
                <w:sz w:val="18"/>
                <w:szCs w:val="18"/>
              </w:rPr>
              <w:t>增</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；物业服</w:t>
            </w:r>
            <w:r>
              <w:rPr>
                <w:rFonts w:ascii="宋体" w:hAnsi="宋体" w:cs="宋体" w:eastAsia="宋体" w:hint="default"/>
                <w:spacing w:val="-88"/>
                <w:sz w:val="18"/>
                <w:szCs w:val="18"/>
              </w:rPr>
              <w:t> </w:t>
            </w:r>
            <w:r>
              <w:rPr>
                <w:rFonts w:ascii="宋体" w:hAnsi="宋体" w:cs="宋体" w:eastAsia="宋体" w:hint="default"/>
                <w:spacing w:val="6"/>
                <w:sz w:val="18"/>
                <w:szCs w:val="18"/>
              </w:rPr>
              <w:t>务费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7"/>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平米</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2,668.32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17.27%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45,831.11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按季度支付</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9</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195" w:lineRule="exact" w:before="22"/>
              <w:ind w:left="22" w:right="0"/>
              <w:jc w:val="both"/>
              <w:rPr>
                <w:rFonts w:ascii="Times New Roman" w:hAnsi="Times New Roman" w:cs="Times New Roman" w:eastAsia="Times New Roman" w:hint="default"/>
                <w:sz w:val="18"/>
                <w:szCs w:val="18"/>
              </w:rPr>
            </w:pPr>
            <w:r>
              <w:rPr>
                <w:rFonts w:ascii="Times New Roman"/>
                <w:sz w:val="18"/>
              </w:rPr>
              <w:t>2013-043</w:t>
            </w:r>
          </w:p>
          <w:p>
            <w:pPr>
              <w:pStyle w:val="TableParagraph"/>
              <w:spacing w:line="237" w:lineRule="auto"/>
              <w:ind w:left="22" w:right="-32"/>
              <w:jc w:val="both"/>
              <w:rPr>
                <w:rFonts w:ascii="宋体" w:hAnsi="宋体" w:cs="宋体" w:eastAsia="宋体" w:hint="default"/>
                <w:sz w:val="18"/>
                <w:szCs w:val="18"/>
              </w:rPr>
            </w:pPr>
            <w:r>
              <w:rPr>
                <w:rFonts w:ascii="宋体" w:hAnsi="宋体" w:cs="宋体" w:eastAsia="宋体" w:hint="default"/>
                <w:spacing w:val="41"/>
                <w:sz w:val="18"/>
                <w:szCs w:val="18"/>
              </w:rPr>
              <w:t>《关于向</w:t>
            </w:r>
            <w:r>
              <w:rPr>
                <w:rFonts w:ascii="宋体" w:hAnsi="宋体" w:cs="宋体" w:eastAsia="宋体" w:hint="default"/>
                <w:spacing w:val="-35"/>
                <w:sz w:val="18"/>
                <w:szCs w:val="18"/>
              </w:rPr>
              <w:t> </w:t>
            </w:r>
            <w:r>
              <w:rPr>
                <w:rFonts w:ascii="宋体" w:hAnsi="宋体" w:cs="宋体" w:eastAsia="宋体" w:hint="default"/>
                <w:spacing w:val="41"/>
                <w:sz w:val="18"/>
                <w:szCs w:val="18"/>
              </w:rPr>
              <w:t>关联方租</w:t>
            </w:r>
            <w:r>
              <w:rPr>
                <w:rFonts w:ascii="宋体" w:hAnsi="宋体" w:cs="宋体" w:eastAsia="宋体" w:hint="default"/>
                <w:spacing w:val="-35"/>
                <w:sz w:val="18"/>
                <w:szCs w:val="18"/>
              </w:rPr>
              <w:t> </w:t>
            </w:r>
            <w:r>
              <w:rPr>
                <w:rFonts w:ascii="宋体" w:hAnsi="宋体" w:cs="宋体" w:eastAsia="宋体" w:hint="default"/>
                <w:spacing w:val="41"/>
                <w:sz w:val="18"/>
                <w:szCs w:val="18"/>
              </w:rPr>
              <w:t>赁物业的</w:t>
            </w:r>
            <w:r>
              <w:rPr>
                <w:rFonts w:ascii="宋体" w:hAnsi="宋体" w:cs="宋体" w:eastAsia="宋体" w:hint="default"/>
                <w:spacing w:val="-35"/>
                <w:sz w:val="18"/>
                <w:szCs w:val="18"/>
              </w:rPr>
              <w:t> </w:t>
            </w: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t>公告》</w:t>
            </w:r>
          </w:p>
        </w:tc>
      </w:tr>
      <w:tr>
        <w:trPr>
          <w:trHeight w:val="2345" w:hRule="exact"/>
        </w:trPr>
        <w:tc>
          <w:tcPr>
            <w:tcW w:w="937" w:type="dxa"/>
            <w:tcBorders>
              <w:top w:val="single" w:sz="4" w:space="0" w:color="000000"/>
              <w:left w:val="single" w:sz="4" w:space="0" w:color="000000"/>
              <w:bottom w:val="single" w:sz="4" w:space="0" w:color="000000"/>
              <w:right w:val="single" w:sz="13" w:space="0" w:color="FFFFFF"/>
            </w:tcBorders>
          </w:tcPr>
          <w:p>
            <w:pPr>
              <w:pStyle w:val="TableParagraph"/>
              <w:spacing w:line="204" w:lineRule="exact"/>
              <w:ind w:left="22" w:right="0"/>
              <w:jc w:val="both"/>
              <w:rPr>
                <w:rFonts w:ascii="宋体" w:hAnsi="宋体" w:cs="宋体" w:eastAsia="宋体" w:hint="default"/>
                <w:sz w:val="18"/>
                <w:szCs w:val="18"/>
              </w:rPr>
            </w:pPr>
            <w:r>
              <w:rPr>
                <w:rFonts w:ascii="宋体" w:hAnsi="宋体" w:cs="宋体" w:eastAsia="宋体" w:hint="default"/>
                <w:spacing w:val="40"/>
                <w:sz w:val="18"/>
                <w:szCs w:val="18"/>
              </w:rPr>
              <w:t>福州苏宁</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40" w:lineRule="auto"/>
              <w:ind w:left="22" w:right="-44"/>
              <w:jc w:val="both"/>
              <w:rPr>
                <w:rFonts w:ascii="宋体" w:hAnsi="宋体" w:cs="宋体" w:eastAsia="宋体" w:hint="default"/>
                <w:sz w:val="18"/>
                <w:szCs w:val="18"/>
              </w:rPr>
            </w:pPr>
            <w:r>
              <w:rPr>
                <w:rFonts w:ascii="宋体" w:hAnsi="宋体" w:cs="宋体" w:eastAsia="宋体" w:hint="default"/>
                <w:spacing w:val="40"/>
                <w:sz w:val="18"/>
                <w:szCs w:val="18"/>
              </w:rPr>
              <w:t>置业有限</w:t>
            </w:r>
            <w:r>
              <w:rPr>
                <w:rFonts w:ascii="宋体" w:hAnsi="宋体" w:cs="宋体" w:eastAsia="宋体" w:hint="default"/>
                <w:spacing w:val="-36"/>
                <w:sz w:val="18"/>
                <w:szCs w:val="18"/>
              </w:rPr>
              <w:t> </w:t>
            </w:r>
            <w:r>
              <w:rPr>
                <w:rFonts w:ascii="宋体" w:hAnsi="宋体" w:cs="宋体" w:eastAsia="宋体" w:hint="default"/>
                <w:spacing w:val="40"/>
                <w:sz w:val="18"/>
                <w:szCs w:val="18"/>
              </w:rPr>
              <w:t>公司台江</w:t>
            </w:r>
            <w:r>
              <w:rPr>
                <w:rFonts w:ascii="宋体" w:hAnsi="宋体" w:cs="宋体" w:eastAsia="宋体" w:hint="default"/>
                <w:spacing w:val="-36"/>
                <w:sz w:val="18"/>
                <w:szCs w:val="18"/>
              </w:rPr>
              <w:t> </w:t>
            </w:r>
            <w:r>
              <w:rPr>
                <w:rFonts w:ascii="宋体" w:hAnsi="宋体" w:cs="宋体" w:eastAsia="宋体" w:hint="default"/>
                <w:sz w:val="18"/>
                <w:szCs w:val="18"/>
              </w:rPr>
              <w:t>分公司</w:t>
            </w:r>
          </w:p>
        </w:tc>
        <w:tc>
          <w:tcPr>
            <w:tcW w:w="942" w:type="dxa"/>
            <w:tcBorders>
              <w:top w:val="single" w:sz="4" w:space="0" w:color="000000"/>
              <w:left w:val="single" w:sz="13" w:space="0" w:color="FFFFFF"/>
              <w:bottom w:val="single" w:sz="4" w:space="0" w:color="000000"/>
              <w:right w:val="single" w:sz="9" w:space="0" w:color="FFFFFF"/>
            </w:tcBorders>
          </w:tcPr>
          <w:p>
            <w:pPr>
              <w:pStyle w:val="TableParagraph"/>
              <w:spacing w:line="204" w:lineRule="exact"/>
              <w:ind w:left="12" w:right="-39"/>
              <w:jc w:val="left"/>
              <w:rPr>
                <w:rFonts w:ascii="宋体" w:hAnsi="宋体" w:cs="宋体" w:eastAsia="宋体" w:hint="default"/>
                <w:sz w:val="18"/>
                <w:szCs w:val="18"/>
              </w:rPr>
            </w:pPr>
            <w:r>
              <w:rPr>
                <w:rFonts w:ascii="宋体" w:hAnsi="宋体" w:cs="宋体" w:eastAsia="宋体" w:hint="default"/>
                <w:spacing w:val="41"/>
                <w:sz w:val="18"/>
                <w:szCs w:val="18"/>
              </w:rPr>
              <w:t>苏宁置业</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2" w:right="-39"/>
              <w:jc w:val="left"/>
              <w:rPr>
                <w:rFonts w:ascii="宋体" w:hAnsi="宋体" w:cs="宋体" w:eastAsia="宋体" w:hint="default"/>
                <w:sz w:val="18"/>
                <w:szCs w:val="18"/>
              </w:rPr>
            </w:pPr>
            <w:r>
              <w:rPr>
                <w:rFonts w:ascii="宋体" w:hAnsi="宋体" w:cs="宋体" w:eastAsia="宋体" w:hint="default"/>
                <w:spacing w:val="41"/>
                <w:sz w:val="18"/>
                <w:szCs w:val="18"/>
              </w:rPr>
              <w:t>集团子公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42" w:type="dxa"/>
            <w:tcBorders>
              <w:top w:val="single" w:sz="4" w:space="0" w:color="000000"/>
              <w:left w:val="single" w:sz="9" w:space="0" w:color="FFFFFF"/>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pacing w:val="16"/>
                <w:sz w:val="18"/>
                <w:szCs w:val="18"/>
              </w:rPr>
              <w:t>租赁其位于福州市工业</w:t>
            </w:r>
          </w:p>
          <w:p>
            <w:pPr>
              <w:pStyle w:val="TableParagraph"/>
              <w:spacing w:line="240" w:lineRule="exact"/>
              <w:ind w:left="23" w:right="0"/>
              <w:jc w:val="both"/>
              <w:rPr>
                <w:rFonts w:ascii="宋体" w:hAnsi="宋体" w:cs="宋体" w:eastAsia="宋体" w:hint="default"/>
                <w:sz w:val="18"/>
                <w:szCs w:val="18"/>
              </w:rPr>
            </w:pPr>
            <w:r>
              <w:rPr>
                <w:rFonts w:ascii="宋体" w:hAnsi="宋体" w:cs="宋体" w:eastAsia="宋体" w:hint="default"/>
                <w:sz w:val="18"/>
                <w:szCs w:val="18"/>
              </w:rPr>
              <w:t>路 </w:t>
            </w:r>
            <w:r>
              <w:rPr>
                <w:rFonts w:ascii="Times New Roman" w:hAnsi="Times New Roman" w:cs="Times New Roman" w:eastAsia="Times New Roman" w:hint="default"/>
                <w:sz w:val="18"/>
                <w:szCs w:val="18"/>
              </w:rPr>
              <w:t>233 </w:t>
            </w:r>
            <w:r>
              <w:rPr>
                <w:rFonts w:ascii="Times New Roman" w:hAnsi="Times New Roman" w:cs="Times New Roman" w:eastAsia="Times New Roman" w:hint="default"/>
                <w:spacing w:val="17"/>
                <w:sz w:val="18"/>
                <w:szCs w:val="18"/>
              </w:rPr>
              <w:t> </w:t>
            </w:r>
            <w:r>
              <w:rPr>
                <w:rFonts w:ascii="宋体" w:hAnsi="宋体" w:cs="宋体" w:eastAsia="宋体" w:hint="default"/>
                <w:spacing w:val="8"/>
                <w:sz w:val="18"/>
                <w:szCs w:val="18"/>
              </w:rPr>
              <w:t>号福州苏宁广场</w:t>
            </w:r>
          </w:p>
          <w:p>
            <w:pPr>
              <w:pStyle w:val="TableParagraph"/>
              <w:spacing w:line="234"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层用于店面经营，租</w:t>
            </w:r>
          </w:p>
          <w:p>
            <w:pPr>
              <w:pStyle w:val="TableParagraph"/>
              <w:spacing w:line="230" w:lineRule="auto" w:before="1"/>
              <w:ind w:left="23" w:right="7"/>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赁面积共计 </w:t>
            </w:r>
            <w:r>
              <w:rPr>
                <w:rFonts w:ascii="Times New Roman" w:hAnsi="Times New Roman" w:cs="Times New Roman" w:eastAsia="Times New Roman" w:hint="default"/>
                <w:sz w:val="18"/>
                <w:szCs w:val="18"/>
              </w:rPr>
              <w:t>16132</w:t>
            </w:r>
            <w:r>
              <w:rPr>
                <w:rFonts w:ascii="Times New Roman" w:hAnsi="Times New Roman" w:cs="Times New Roman" w:eastAsia="Times New Roman" w:hint="default"/>
                <w:spacing w:val="16"/>
                <w:sz w:val="18"/>
                <w:szCs w:val="18"/>
              </w:rPr>
              <w:t> </w:t>
            </w:r>
            <w:r>
              <w:rPr>
                <w:rFonts w:ascii="宋体" w:hAnsi="宋体" w:cs="宋体" w:eastAsia="宋体" w:hint="default"/>
                <w:spacing w:val="12"/>
                <w:sz w:val="18"/>
                <w:szCs w:val="18"/>
              </w:rPr>
              <w:t>平方 </w:t>
            </w:r>
            <w:r>
              <w:rPr>
                <w:rFonts w:ascii="宋体" w:hAnsi="宋体" w:cs="宋体" w:eastAsia="宋体" w:hint="default"/>
                <w:sz w:val="18"/>
                <w:szCs w:val="18"/>
              </w:rPr>
              <w:t>米 ， 租 赁 期</w:t>
            </w:r>
            <w:r>
              <w:rPr>
                <w:rFonts w:ascii="宋体" w:hAnsi="宋体" w:cs="宋体" w:eastAsia="宋体" w:hint="default"/>
                <w:spacing w:val="76"/>
                <w:sz w:val="18"/>
                <w:szCs w:val="18"/>
              </w:rPr>
              <w:t> </w:t>
            </w:r>
            <w:r>
              <w:rPr>
                <w:rFonts w:ascii="宋体" w:hAnsi="宋体" w:cs="宋体" w:eastAsia="宋体" w:hint="default"/>
                <w:sz w:val="18"/>
                <w:szCs w:val="18"/>
              </w:rPr>
              <w:t>限</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2013/10/1-2028/9/30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p>
          <w:p>
            <w:pPr>
              <w:pStyle w:val="TableParagraph"/>
              <w:spacing w:line="232" w:lineRule="auto"/>
              <w:ind w:left="23"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月，公司子公司与福 </w:t>
            </w:r>
            <w:r>
              <w:rPr>
                <w:rFonts w:ascii="宋体" w:hAnsi="宋体" w:cs="宋体" w:eastAsia="宋体" w:hint="default"/>
                <w:spacing w:val="-1"/>
                <w:sz w:val="18"/>
                <w:szCs w:val="18"/>
              </w:rPr>
              <w:t>州苏宁置业签订《补充协</w:t>
            </w:r>
            <w:r>
              <w:rPr>
                <w:rFonts w:ascii="宋体" w:hAnsi="宋体" w:cs="宋体" w:eastAsia="宋体" w:hint="default"/>
                <w:sz w:val="18"/>
                <w:szCs w:val="18"/>
              </w:rPr>
              <w:t> </w:t>
            </w:r>
            <w:r>
              <w:rPr>
                <w:rFonts w:ascii="宋体" w:hAnsi="宋体" w:cs="宋体" w:eastAsia="宋体" w:hint="default"/>
                <w:spacing w:val="-2"/>
                <w:sz w:val="18"/>
                <w:szCs w:val="18"/>
              </w:rPr>
              <w:t>议》，公司退租部分经营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面积与重新进行店面面</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7"/>
                <w:sz w:val="18"/>
                <w:szCs w:val="18"/>
              </w:rPr>
              <w:t> </w:t>
            </w:r>
            <w:r>
              <w:rPr>
                <w:rFonts w:ascii="宋体" w:hAnsi="宋体" w:cs="宋体" w:eastAsia="宋体" w:hint="default"/>
                <w:sz w:val="18"/>
                <w:szCs w:val="18"/>
              </w:rPr>
              <w:t>首</w:t>
            </w:r>
            <w:r>
              <w:rPr>
                <w:rFonts w:ascii="宋体" w:hAnsi="宋体" w:cs="宋体" w:eastAsia="宋体" w:hint="default"/>
                <w:spacing w:val="-67"/>
                <w:sz w:val="18"/>
                <w:szCs w:val="18"/>
              </w:rPr>
              <w:t> </w:t>
            </w:r>
            <w:r>
              <w:rPr>
                <w:rFonts w:ascii="宋体" w:hAnsi="宋体" w:cs="宋体" w:eastAsia="宋体" w:hint="default"/>
                <w:sz w:val="18"/>
                <w:szCs w:val="18"/>
              </w:rPr>
              <w:t>个</w:t>
            </w:r>
            <w:r>
              <w:rPr>
                <w:rFonts w:ascii="宋体" w:hAnsi="宋体" w:cs="宋体" w:eastAsia="宋体" w:hint="default"/>
                <w:spacing w:val="-65"/>
                <w:sz w:val="18"/>
                <w:szCs w:val="18"/>
              </w:rPr>
              <w:t> </w:t>
            </w: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赁</w:t>
            </w:r>
          </w:p>
          <w:p>
            <w:pPr>
              <w:pStyle w:val="TableParagraph"/>
              <w:spacing w:line="232" w:lineRule="auto" w:before="5"/>
              <w:ind w:left="22" w:right="1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度</w:t>
            </w:r>
            <w:r>
              <w:rPr>
                <w:rFonts w:ascii="宋体" w:hAnsi="宋体" w:cs="宋体" w:eastAsia="宋体" w:hint="default"/>
                <w:spacing w:val="-67"/>
                <w:sz w:val="18"/>
                <w:szCs w:val="18"/>
              </w:rPr>
              <w:t> </w:t>
            </w:r>
            <w:r>
              <w:rPr>
                <w:rFonts w:ascii="宋体" w:hAnsi="宋体" w:cs="宋体" w:eastAsia="宋体" w:hint="default"/>
                <w:sz w:val="18"/>
                <w:szCs w:val="18"/>
              </w:rPr>
              <w:t>起</w:t>
            </w:r>
            <w:r>
              <w:rPr>
                <w:rFonts w:ascii="宋体" w:hAnsi="宋体" w:cs="宋体" w:eastAsia="宋体" w:hint="default"/>
                <w:spacing w:val="-65"/>
                <w:sz w:val="18"/>
                <w:szCs w:val="18"/>
              </w:rPr>
              <w:t> </w:t>
            </w:r>
            <w:r>
              <w:rPr>
                <w:rFonts w:ascii="宋体" w:hAnsi="宋体" w:cs="宋体" w:eastAsia="宋体" w:hint="default"/>
                <w:sz w:val="18"/>
                <w:szCs w:val="18"/>
              </w:rPr>
              <w:t>前</w:t>
            </w:r>
            <w:r>
              <w:rPr>
                <w:rFonts w:ascii="宋体" w:hAnsi="宋体" w:cs="宋体" w:eastAsia="宋体" w:hint="default"/>
                <w:spacing w:val="-67"/>
                <w:sz w:val="18"/>
                <w:szCs w:val="18"/>
              </w:rPr>
              <w:t> </w:t>
            </w:r>
            <w:r>
              <w:rPr>
                <w:rFonts w:ascii="宋体" w:hAnsi="宋体" w:cs="宋体" w:eastAsia="宋体" w:hint="default"/>
                <w:sz w:val="18"/>
                <w:szCs w:val="18"/>
              </w:rPr>
              <w:t>三</w:t>
            </w:r>
            <w:r>
              <w:rPr>
                <w:rFonts w:ascii="宋体" w:hAnsi="宋体" w:cs="宋体" w:eastAsia="宋体" w:hint="default"/>
                <w:sz w:val="18"/>
                <w:szCs w:val="18"/>
              </w:rPr>
              <w:t> 年</w:t>
            </w:r>
            <w:r>
              <w:rPr>
                <w:rFonts w:ascii="宋体" w:hAnsi="宋体" w:cs="宋体" w:eastAsia="宋体" w:hint="default"/>
                <w:spacing w:val="-67"/>
                <w:sz w:val="18"/>
                <w:szCs w:val="18"/>
              </w:rPr>
              <w:t> </w:t>
            </w:r>
            <w:r>
              <w:rPr>
                <w:rFonts w:ascii="宋体" w:hAnsi="宋体" w:cs="宋体" w:eastAsia="宋体" w:hint="default"/>
                <w:sz w:val="18"/>
                <w:szCs w:val="18"/>
              </w:rPr>
              <w:t>每</w:t>
            </w:r>
            <w:r>
              <w:rPr>
                <w:rFonts w:ascii="宋体" w:hAnsi="宋体" w:cs="宋体" w:eastAsia="宋体" w:hint="default"/>
                <w:spacing w:val="-67"/>
                <w:sz w:val="18"/>
                <w:szCs w:val="18"/>
              </w:rPr>
              <w:t> </w:t>
            </w:r>
            <w:r>
              <w:rPr>
                <w:rFonts w:ascii="宋体" w:hAnsi="宋体" w:cs="宋体" w:eastAsia="宋体" w:hint="default"/>
                <w:sz w:val="18"/>
                <w:szCs w:val="18"/>
              </w:rPr>
              <w:t>平</w:t>
            </w:r>
            <w:r>
              <w:rPr>
                <w:rFonts w:ascii="宋体" w:hAnsi="宋体" w:cs="宋体" w:eastAsia="宋体" w:hint="default"/>
                <w:spacing w:val="-65"/>
                <w:sz w:val="18"/>
                <w:szCs w:val="18"/>
              </w:rPr>
              <w:t> </w:t>
            </w:r>
            <w:r>
              <w:rPr>
                <w:rFonts w:ascii="宋体" w:hAnsi="宋体" w:cs="宋体" w:eastAsia="宋体" w:hint="default"/>
                <w:sz w:val="18"/>
                <w:szCs w:val="18"/>
              </w:rPr>
              <w:t>米</w:t>
            </w:r>
            <w:r>
              <w:rPr>
                <w:rFonts w:ascii="宋体" w:hAnsi="宋体" w:cs="宋体" w:eastAsia="宋体" w:hint="default"/>
                <w:spacing w:val="-67"/>
                <w:sz w:val="18"/>
                <w:szCs w:val="18"/>
              </w:rPr>
              <w:t> </w:t>
            </w:r>
            <w:r>
              <w:rPr>
                <w:rFonts w:ascii="宋体" w:hAnsi="宋体" w:cs="宋体" w:eastAsia="宋体" w:hint="default"/>
                <w:sz w:val="18"/>
                <w:szCs w:val="18"/>
              </w:rPr>
              <w:t>租</w:t>
            </w:r>
            <w:r>
              <w:rPr>
                <w:rFonts w:ascii="宋体" w:hAnsi="宋体" w:cs="宋体" w:eastAsia="宋体" w:hint="default"/>
                <w:sz w:val="18"/>
                <w:szCs w:val="18"/>
              </w:rPr>
              <w:t> 金</w:t>
            </w:r>
            <w:r>
              <w:rPr>
                <w:rFonts w:ascii="宋体" w:hAnsi="宋体" w:cs="宋体" w:eastAsia="宋体" w:hint="default"/>
                <w:spacing w:val="-67"/>
                <w:sz w:val="18"/>
                <w:szCs w:val="18"/>
              </w:rPr>
              <w:t> </w:t>
            </w:r>
            <w:r>
              <w:rPr>
                <w:rFonts w:ascii="宋体" w:hAnsi="宋体" w:cs="宋体" w:eastAsia="宋体" w:hint="default"/>
                <w:sz w:val="18"/>
                <w:szCs w:val="18"/>
              </w:rPr>
              <w:t>单</w:t>
            </w:r>
            <w:r>
              <w:rPr>
                <w:rFonts w:ascii="宋体" w:hAnsi="宋体" w:cs="宋体" w:eastAsia="宋体" w:hint="default"/>
                <w:spacing w:val="-67"/>
                <w:sz w:val="18"/>
                <w:szCs w:val="18"/>
              </w:rPr>
              <w:t> </w:t>
            </w:r>
            <w:r>
              <w:rPr>
                <w:rFonts w:ascii="宋体" w:hAnsi="宋体" w:cs="宋体" w:eastAsia="宋体" w:hint="default"/>
                <w:sz w:val="18"/>
                <w:szCs w:val="18"/>
              </w:rPr>
              <w:t>价</w:t>
            </w:r>
            <w:r>
              <w:rPr>
                <w:rFonts w:ascii="宋体" w:hAnsi="宋体" w:cs="宋体" w:eastAsia="宋体" w:hint="default"/>
                <w:spacing w:val="-65"/>
                <w:sz w:val="18"/>
                <w:szCs w:val="18"/>
              </w:rPr>
              <w:t> </w:t>
            </w:r>
            <w:r>
              <w:rPr>
                <w:rFonts w:ascii="宋体" w:hAnsi="宋体" w:cs="宋体" w:eastAsia="宋体" w:hint="default"/>
                <w:sz w:val="18"/>
                <w:szCs w:val="18"/>
              </w:rPr>
              <w:t>为</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天，自第 </w:t>
            </w: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个</w:t>
            </w:r>
            <w:r>
              <w:rPr>
                <w:rFonts w:ascii="宋体" w:hAnsi="宋体" w:cs="宋体" w:eastAsia="宋体" w:hint="default"/>
                <w:spacing w:val="-67"/>
                <w:sz w:val="18"/>
                <w:szCs w:val="18"/>
              </w:rPr>
              <w:t> </w:t>
            </w:r>
            <w:r>
              <w:rPr>
                <w:rFonts w:ascii="宋体" w:hAnsi="宋体" w:cs="宋体" w:eastAsia="宋体" w:hint="default"/>
                <w:sz w:val="18"/>
                <w:szCs w:val="18"/>
              </w:rPr>
              <w:t>租</w:t>
            </w:r>
            <w:r>
              <w:rPr>
                <w:rFonts w:ascii="宋体" w:hAnsi="宋体" w:cs="宋体" w:eastAsia="宋体" w:hint="default"/>
                <w:spacing w:val="-65"/>
                <w:sz w:val="18"/>
                <w:szCs w:val="18"/>
              </w:rPr>
              <w:t> </w:t>
            </w:r>
            <w:r>
              <w:rPr>
                <w:rFonts w:ascii="宋体" w:hAnsi="宋体" w:cs="宋体" w:eastAsia="宋体" w:hint="default"/>
                <w:sz w:val="18"/>
                <w:szCs w:val="18"/>
              </w:rPr>
              <w:t>赁</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z w:val="18"/>
                <w:szCs w:val="18"/>
              </w:rPr>
              <w:t> 度</w:t>
            </w:r>
            <w:r>
              <w:rPr>
                <w:rFonts w:ascii="宋体" w:hAnsi="宋体" w:cs="宋体" w:eastAsia="宋体" w:hint="default"/>
                <w:spacing w:val="-67"/>
                <w:sz w:val="18"/>
                <w:szCs w:val="18"/>
              </w:rPr>
              <w:t> </w:t>
            </w:r>
            <w:r>
              <w:rPr>
                <w:rFonts w:ascii="宋体" w:hAnsi="宋体" w:cs="宋体" w:eastAsia="宋体" w:hint="default"/>
                <w:sz w:val="18"/>
                <w:szCs w:val="18"/>
              </w:rPr>
              <w:t>起</w:t>
            </w:r>
            <w:r>
              <w:rPr>
                <w:rFonts w:ascii="宋体" w:hAnsi="宋体" w:cs="宋体" w:eastAsia="宋体" w:hint="default"/>
                <w:spacing w:val="-67"/>
                <w:sz w:val="18"/>
                <w:szCs w:val="18"/>
              </w:rPr>
              <w:t> </w:t>
            </w:r>
            <w:r>
              <w:rPr>
                <w:rFonts w:ascii="宋体" w:hAnsi="宋体" w:cs="宋体" w:eastAsia="宋体" w:hint="default"/>
                <w:sz w:val="18"/>
                <w:szCs w:val="18"/>
              </w:rPr>
              <w:t>每</w:t>
            </w:r>
            <w:r>
              <w:rPr>
                <w:rFonts w:ascii="宋体" w:hAnsi="宋体" w:cs="宋体" w:eastAsia="宋体" w:hint="default"/>
                <w:spacing w:val="-65"/>
                <w:sz w:val="18"/>
                <w:szCs w:val="18"/>
              </w:rPr>
              <w:t> </w:t>
            </w:r>
            <w:r>
              <w:rPr>
                <w:rFonts w:ascii="宋体" w:hAnsi="宋体" w:cs="宋体" w:eastAsia="宋体" w:hint="default"/>
                <w:sz w:val="18"/>
                <w:szCs w:val="18"/>
              </w:rPr>
              <w:t>平</w:t>
            </w:r>
            <w:r>
              <w:rPr>
                <w:rFonts w:ascii="宋体" w:hAnsi="宋体" w:cs="宋体" w:eastAsia="宋体" w:hint="default"/>
                <w:spacing w:val="-67"/>
                <w:sz w:val="18"/>
                <w:szCs w:val="18"/>
              </w:rPr>
              <w:t> </w:t>
            </w:r>
            <w:r>
              <w:rPr>
                <w:rFonts w:ascii="宋体" w:hAnsi="宋体" w:cs="宋体" w:eastAsia="宋体" w:hint="default"/>
                <w:sz w:val="18"/>
                <w:szCs w:val="18"/>
              </w:rPr>
              <w:t>米</w:t>
            </w:r>
            <w:r>
              <w:rPr>
                <w:rFonts w:ascii="宋体" w:hAnsi="宋体" w:cs="宋体" w:eastAsia="宋体" w:hint="default"/>
                <w:sz w:val="18"/>
                <w:szCs w:val="18"/>
              </w:rPr>
              <w:t> 租</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单</w:t>
            </w:r>
            <w:r>
              <w:rPr>
                <w:rFonts w:ascii="宋体" w:hAnsi="宋体" w:cs="宋体" w:eastAsia="宋体" w:hint="default"/>
                <w:spacing w:val="-65"/>
                <w:sz w:val="18"/>
                <w:szCs w:val="18"/>
              </w:rPr>
              <w:t> </w:t>
            </w:r>
            <w:r>
              <w:rPr>
                <w:rFonts w:ascii="宋体" w:hAnsi="宋体" w:cs="宋体" w:eastAsia="宋体" w:hint="default"/>
                <w:sz w:val="18"/>
                <w:szCs w:val="18"/>
              </w:rPr>
              <w:t>价</w:t>
            </w:r>
            <w:r>
              <w:rPr>
                <w:rFonts w:ascii="宋体" w:hAnsi="宋体" w:cs="宋体" w:eastAsia="宋体" w:hint="default"/>
                <w:spacing w:val="-67"/>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天，且</w:t>
            </w:r>
            <w:r>
              <w:rPr>
                <w:rFonts w:ascii="宋体" w:hAnsi="宋体" w:cs="宋体" w:eastAsia="宋体" w:hint="default"/>
                <w:sz w:val="18"/>
                <w:szCs w:val="18"/>
              </w:rPr>
              <w:t> 以</w:t>
            </w:r>
            <w:r>
              <w:rPr>
                <w:rFonts w:ascii="宋体" w:hAnsi="宋体" w:cs="宋体" w:eastAsia="宋体" w:hint="default"/>
                <w:spacing w:val="-67"/>
                <w:sz w:val="18"/>
                <w:szCs w:val="18"/>
              </w:rPr>
              <w:t> </w:t>
            </w:r>
            <w:r>
              <w:rPr>
                <w:rFonts w:ascii="宋体" w:hAnsi="宋体" w:cs="宋体" w:eastAsia="宋体" w:hint="default"/>
                <w:sz w:val="18"/>
                <w:szCs w:val="18"/>
              </w:rPr>
              <w:t>后</w:t>
            </w:r>
            <w:r>
              <w:rPr>
                <w:rFonts w:ascii="宋体" w:hAnsi="宋体" w:cs="宋体" w:eastAsia="宋体" w:hint="default"/>
                <w:spacing w:val="-67"/>
                <w:sz w:val="18"/>
                <w:szCs w:val="18"/>
              </w:rPr>
              <w:t> </w:t>
            </w:r>
            <w:r>
              <w:rPr>
                <w:rFonts w:ascii="宋体" w:hAnsi="宋体" w:cs="宋体" w:eastAsia="宋体" w:hint="default"/>
                <w:sz w:val="18"/>
                <w:szCs w:val="18"/>
              </w:rPr>
              <w:t>每</w:t>
            </w:r>
            <w:r>
              <w:rPr>
                <w:rFonts w:ascii="宋体" w:hAnsi="宋体" w:cs="宋体" w:eastAsia="宋体" w:hint="default"/>
                <w:spacing w:val="-65"/>
                <w:sz w:val="18"/>
                <w:szCs w:val="18"/>
              </w:rPr>
              <w:t> </w:t>
            </w:r>
            <w:r>
              <w:rPr>
                <w:rFonts w:ascii="宋体" w:hAnsi="宋体" w:cs="宋体" w:eastAsia="宋体" w:hint="default"/>
                <w:sz w:val="18"/>
                <w:szCs w:val="18"/>
              </w:rPr>
              <w:t>两</w:t>
            </w:r>
            <w:r>
              <w:rPr>
                <w:rFonts w:ascii="宋体" w:hAnsi="宋体" w:cs="宋体" w:eastAsia="宋体" w:hint="default"/>
                <w:spacing w:val="-67"/>
                <w:sz w:val="18"/>
                <w:szCs w:val="18"/>
              </w:rPr>
              <w:t> </w:t>
            </w:r>
            <w:r>
              <w:rPr>
                <w:rFonts w:ascii="宋体" w:hAnsi="宋体" w:cs="宋体" w:eastAsia="宋体" w:hint="default"/>
                <w:sz w:val="18"/>
                <w:szCs w:val="18"/>
              </w:rPr>
              <w:t>年</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815.63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5.28%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22,969.53</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按季度支付</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32"/>
              <w:jc w:val="left"/>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194" w:lineRule="exact" w:before="24"/>
              <w:ind w:left="22" w:right="0"/>
              <w:jc w:val="left"/>
              <w:rPr>
                <w:rFonts w:ascii="Times New Roman" w:hAnsi="Times New Roman" w:cs="Times New Roman" w:eastAsia="Times New Roman" w:hint="default"/>
                <w:sz w:val="18"/>
                <w:szCs w:val="18"/>
              </w:rPr>
            </w:pPr>
            <w:r>
              <w:rPr>
                <w:rFonts w:ascii="Times New Roman"/>
                <w:sz w:val="18"/>
              </w:rPr>
              <w:t>2013-063</w:t>
            </w:r>
          </w:p>
          <w:p>
            <w:pPr>
              <w:pStyle w:val="TableParagraph"/>
              <w:spacing w:line="234" w:lineRule="exact" w:before="10"/>
              <w:ind w:left="22" w:right="-32"/>
              <w:jc w:val="left"/>
              <w:rPr>
                <w:rFonts w:ascii="宋体" w:hAnsi="宋体" w:cs="宋体" w:eastAsia="宋体" w:hint="default"/>
                <w:sz w:val="18"/>
                <w:szCs w:val="18"/>
              </w:rPr>
            </w:pPr>
            <w:r>
              <w:rPr>
                <w:rFonts w:ascii="宋体" w:hAnsi="宋体" w:cs="宋体" w:eastAsia="宋体" w:hint="default"/>
                <w:spacing w:val="41"/>
                <w:sz w:val="18"/>
                <w:szCs w:val="18"/>
              </w:rPr>
              <w:t>《关于向</w:t>
            </w:r>
            <w:r>
              <w:rPr>
                <w:rFonts w:ascii="宋体" w:hAnsi="宋体" w:cs="宋体" w:eastAsia="宋体" w:hint="default"/>
                <w:spacing w:val="-35"/>
                <w:sz w:val="18"/>
                <w:szCs w:val="18"/>
              </w:rPr>
              <w:t> </w:t>
            </w:r>
            <w:r>
              <w:rPr>
                <w:rFonts w:ascii="宋体" w:hAnsi="宋体" w:cs="宋体" w:eastAsia="宋体" w:hint="default"/>
                <w:spacing w:val="41"/>
                <w:sz w:val="18"/>
                <w:szCs w:val="18"/>
              </w:rPr>
              <w:t>关联方租</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1"/>
              <w:ind w:left="22" w:right="-32"/>
              <w:jc w:val="left"/>
              <w:rPr>
                <w:rFonts w:ascii="宋体" w:hAnsi="宋体" w:cs="宋体" w:eastAsia="宋体" w:hint="default"/>
                <w:sz w:val="18"/>
                <w:szCs w:val="18"/>
              </w:rPr>
            </w:pPr>
            <w:r>
              <w:rPr>
                <w:rFonts w:ascii="宋体" w:hAnsi="宋体" w:cs="宋体" w:eastAsia="宋体" w:hint="default"/>
                <w:spacing w:val="41"/>
                <w:sz w:val="18"/>
                <w:szCs w:val="18"/>
              </w:rPr>
              <w:t>赁物业的</w:t>
            </w:r>
            <w:r>
              <w:rPr>
                <w:rFonts w:ascii="宋体" w:hAnsi="宋体" w:cs="宋体" w:eastAsia="宋体" w:hint="default"/>
                <w:spacing w:val="-35"/>
                <w:sz w:val="18"/>
                <w:szCs w:val="18"/>
              </w:rPr>
              <w:t> </w:t>
            </w: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spacing w:after="0" w:line="213" w:lineRule="exact"/>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18.919998pt;margin-top:186.140015pt;width:92.55pt;height:80.4pt;mso-position-horizontal-relative:page;mso-position-vertical-relative:page;z-index:-1831648" coordorigin="2378,3723" coordsize="1851,1608">
            <v:group style="position:absolute;left:2378;top:3956;width:886;height:234" coordorigin="2378,3956" coordsize="886,234">
              <v:shape style="position:absolute;left:2378;top:3956;width:886;height:234" coordorigin="2378,3956" coordsize="886,234" path="m2378,4190l3264,4190,3264,3956,2378,3956,2378,4190xe" filled="true" fillcolor="#ffffff" stroked="false">
                <v:path arrowok="t"/>
                <v:fill type="solid"/>
              </v:shape>
            </v:group>
            <v:group style="position:absolute;left:3298;top:3723;width:932;height:1608" coordorigin="3298,3723" coordsize="932,1608">
              <v:shape style="position:absolute;left:3298;top:3723;width:932;height:1608" coordorigin="3298,3723" coordsize="932,1608" path="m3298,5330l4229,5330,4229,3723,3298,3723,3298,5330xe" filled="true" fillcolor="#ffffff" stroked="false">
                <v:path arrowok="t"/>
                <v:fill type="solid"/>
              </v:shape>
            </v:group>
            <w10:wrap type="none"/>
          </v:group>
        </w:pict>
      </w:r>
      <w:r>
        <w:rPr/>
        <w:pict>
          <v:group style="position:absolute;margin-left:164.899994pt;margin-top:278.679993pt;width:46.6pt;height:80.4pt;mso-position-horizontal-relative:page;mso-position-vertical-relative:page;z-index:-1831624" coordorigin="3298,5574" coordsize="932,1608">
            <v:shape style="position:absolute;left:3298;top:5574;width:932;height:1608" coordorigin="3298,5574" coordsize="932,1608" path="m3298,7182l4229,7182,4229,5574,3298,5574,3298,7182xe" filled="true" fillcolor="#ffffff" stroked="false">
              <v:path arrowok="t"/>
              <v:fill type="solid"/>
            </v:shape>
            <w10:wrap type="none"/>
          </v:group>
        </w:pict>
      </w:r>
      <w:r>
        <w:rPr/>
        <w:pict>
          <v:group style="position:absolute;margin-left:164.899994pt;margin-top:371.26001pt;width:46.6pt;height:80.4pt;mso-position-horizontal-relative:page;mso-position-vertical-relative:page;z-index:-1831600" coordorigin="3298,7425" coordsize="932,1608">
            <v:shape style="position:absolute;left:3298;top:7425;width:932;height:1608" coordorigin="3298,7425" coordsize="932,1608" path="m3298,9032l4229,9032,4229,7425,3298,7425,3298,9032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832"/>
        <w:gridCol w:w="944"/>
        <w:gridCol w:w="1313"/>
        <w:gridCol w:w="577"/>
        <w:gridCol w:w="1104"/>
        <w:gridCol w:w="785"/>
        <w:gridCol w:w="760"/>
        <w:gridCol w:w="942"/>
      </w:tblGrid>
      <w:tr>
        <w:trPr>
          <w:trHeight w:val="2360" w:hRule="exact"/>
        </w:trPr>
        <w:tc>
          <w:tcPr>
            <w:tcW w:w="937" w:type="dxa"/>
            <w:tcBorders>
              <w:top w:val="single" w:sz="15" w:space="0" w:color="000000"/>
              <w:left w:val="single" w:sz="4" w:space="0" w:color="000000"/>
              <w:bottom w:val="single" w:sz="4" w:space="0" w:color="000000"/>
              <w:right w:val="single" w:sz="4" w:space="0" w:color="000000"/>
            </w:tcBorders>
          </w:tcPr>
          <w:p>
            <w:pPr/>
          </w:p>
        </w:tc>
        <w:tc>
          <w:tcPr>
            <w:tcW w:w="942" w:type="dxa"/>
            <w:tcBorders>
              <w:top w:val="single" w:sz="15" w:space="0" w:color="000000"/>
              <w:left w:val="single" w:sz="4" w:space="0" w:color="000000"/>
              <w:bottom w:val="single" w:sz="4" w:space="0" w:color="000000"/>
              <w:right w:val="single" w:sz="4" w:space="0" w:color="000000"/>
            </w:tcBorders>
          </w:tcPr>
          <w:p>
            <w:pPr/>
          </w:p>
        </w:tc>
        <w:tc>
          <w:tcPr>
            <w:tcW w:w="942" w:type="dxa"/>
            <w:tcBorders>
              <w:top w:val="single" w:sz="15" w:space="0" w:color="000000"/>
              <w:left w:val="single" w:sz="4" w:space="0" w:color="000000"/>
              <w:bottom w:val="single" w:sz="4" w:space="0" w:color="000000"/>
              <w:right w:val="single" w:sz="4" w:space="0" w:color="000000"/>
            </w:tcBorders>
          </w:tcPr>
          <w:p>
            <w:pPr/>
          </w:p>
        </w:tc>
        <w:tc>
          <w:tcPr>
            <w:tcW w:w="2027" w:type="dxa"/>
            <w:tcBorders>
              <w:top w:val="single" w:sz="15" w:space="0" w:color="000000"/>
              <w:left w:val="single" w:sz="4" w:space="0" w:color="000000"/>
              <w:bottom w:val="single" w:sz="4" w:space="0" w:color="000000"/>
              <w:right w:val="single" w:sz="4" w:space="0" w:color="000000"/>
            </w:tcBorders>
          </w:tcPr>
          <w:p>
            <w:pPr>
              <w:pStyle w:val="TableParagraph"/>
              <w:spacing w:line="211"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pacing w:val="-12"/>
                <w:sz w:val="18"/>
                <w:szCs w:val="18"/>
              </w:rPr>
              <w:t>积调整，自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34" w:lineRule="exact" w:before="15"/>
              <w:ind w:left="23" w:right="23"/>
              <w:jc w:val="both"/>
              <w:rPr>
                <w:rFonts w:ascii="宋体" w:hAnsi="宋体" w:cs="宋体" w:eastAsia="宋体" w:hint="default"/>
                <w:sz w:val="18"/>
                <w:szCs w:val="18"/>
              </w:rPr>
            </w:pPr>
            <w:r>
              <w:rPr>
                <w:rFonts w:ascii="宋体" w:hAnsi="宋体" w:cs="宋体" w:eastAsia="宋体" w:hint="default"/>
                <w:spacing w:val="16"/>
                <w:sz w:val="18"/>
                <w:szCs w:val="18"/>
              </w:rPr>
              <w:t>日起公司实际承租面积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14047.66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w:t>
            </w:r>
          </w:p>
          <w:p>
            <w:pPr>
              <w:pStyle w:val="TableParagraph"/>
              <w:spacing w:line="232" w:lineRule="exact" w:before="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月，公司与福州</w:t>
            </w:r>
            <w:r>
              <w:rPr>
                <w:rFonts w:ascii="宋体" w:hAnsi="宋体" w:cs="宋体" w:eastAsia="宋体" w:hint="default"/>
                <w:sz w:val="18"/>
                <w:szCs w:val="18"/>
              </w:rPr>
              <w:t> </w:t>
            </w:r>
            <w:r>
              <w:rPr>
                <w:rFonts w:ascii="宋体" w:hAnsi="宋体" w:cs="宋体" w:eastAsia="宋体" w:hint="default"/>
                <w:spacing w:val="16"/>
                <w:sz w:val="18"/>
                <w:szCs w:val="18"/>
              </w:rPr>
              <w:t>苏宁置业签订物业服务</w:t>
            </w:r>
          </w:p>
          <w:p>
            <w:pPr>
              <w:pStyle w:val="TableParagraph"/>
              <w:spacing w:line="212" w:lineRule="exact"/>
              <w:ind w:left="23" w:right="0"/>
              <w:jc w:val="both"/>
              <w:rPr>
                <w:rFonts w:ascii="宋体" w:hAnsi="宋体" w:cs="宋体" w:eastAsia="宋体" w:hint="default"/>
                <w:sz w:val="18"/>
                <w:szCs w:val="18"/>
              </w:rPr>
            </w:pPr>
            <w:r>
              <w:rPr>
                <w:rFonts w:ascii="宋体" w:hAnsi="宋体" w:cs="宋体" w:eastAsia="宋体" w:hint="default"/>
                <w:sz w:val="18"/>
                <w:szCs w:val="18"/>
              </w:rPr>
              <w:t>合同，预定福州苏宁置业</w:t>
            </w:r>
          </w:p>
          <w:p>
            <w:pPr>
              <w:pStyle w:val="TableParagraph"/>
              <w:spacing w:line="237" w:lineRule="auto" w:before="1"/>
              <w:ind w:left="23" w:right="20"/>
              <w:jc w:val="both"/>
              <w:rPr>
                <w:rFonts w:ascii="宋体" w:hAnsi="宋体" w:cs="宋体" w:eastAsia="宋体" w:hint="default"/>
                <w:sz w:val="18"/>
                <w:szCs w:val="18"/>
              </w:rPr>
            </w:pPr>
            <w:r>
              <w:rPr>
                <w:rFonts w:ascii="宋体" w:hAnsi="宋体" w:cs="宋体" w:eastAsia="宋体" w:hint="default"/>
                <w:spacing w:val="16"/>
                <w:sz w:val="18"/>
                <w:szCs w:val="18"/>
              </w:rPr>
              <w:t>为公司店面提供物业服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4"/>
                <w:sz w:val="18"/>
                <w:szCs w:val="18"/>
              </w:rPr>
              <w:t>务，物业服务面</w:t>
            </w:r>
            <w:r>
              <w:rPr>
                <w:rFonts w:ascii="宋体" w:hAnsi="宋体" w:cs="宋体" w:eastAsia="宋体" w:hint="default"/>
                <w:spacing w:val="-14"/>
                <w:sz w:val="18"/>
                <w:szCs w:val="18"/>
              </w:rPr>
              <w:t> </w:t>
            </w:r>
            <w:r>
              <w:rPr>
                <w:rFonts w:ascii="宋体" w:hAnsi="宋体" w:cs="宋体" w:eastAsia="宋体" w:hint="default"/>
                <w:sz w:val="18"/>
                <w:szCs w:val="18"/>
              </w:rPr>
              <w:t>积</w:t>
            </w:r>
            <w:r>
              <w:rPr>
                <w:rFonts w:ascii="宋体" w:hAnsi="宋体" w:cs="宋体" w:eastAsia="宋体" w:hint="default"/>
                <w:sz w:val="18"/>
                <w:szCs w:val="18"/>
              </w:rPr>
              <w:t> </w:t>
            </w:r>
            <w:r>
              <w:rPr>
                <w:rFonts w:ascii="Times New Roman" w:hAnsi="Times New Roman" w:cs="Times New Roman" w:eastAsia="Times New Roman" w:hint="default"/>
                <w:sz w:val="18"/>
                <w:szCs w:val="18"/>
              </w:rPr>
              <w:t>9,706.60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平方米，物业服</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务价格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平米</w:t>
            </w:r>
          </w:p>
        </w:tc>
        <w:tc>
          <w:tcPr>
            <w:tcW w:w="854" w:type="dxa"/>
            <w:tcBorders>
              <w:top w:val="single" w:sz="15" w:space="0" w:color="000000"/>
              <w:left w:val="single" w:sz="4" w:space="0" w:color="000000"/>
              <w:bottom w:val="single" w:sz="4" w:space="0" w:color="000000"/>
              <w:right w:val="single" w:sz="4" w:space="0" w:color="000000"/>
            </w:tcBorders>
          </w:tcPr>
          <w:p>
            <w:pPr/>
          </w:p>
        </w:tc>
        <w:tc>
          <w:tcPr>
            <w:tcW w:w="1055" w:type="dxa"/>
            <w:tcBorders>
              <w:top w:val="single" w:sz="15"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递增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32" w:type="dxa"/>
            <w:tcBorders>
              <w:top w:val="single" w:sz="15" w:space="0" w:color="000000"/>
              <w:left w:val="single" w:sz="4" w:space="0" w:color="000000"/>
              <w:bottom w:val="single" w:sz="4" w:space="0" w:color="000000"/>
              <w:right w:val="single" w:sz="4" w:space="0" w:color="000000"/>
            </w:tcBorders>
          </w:tcPr>
          <w:p>
            <w:pPr/>
          </w:p>
        </w:tc>
        <w:tc>
          <w:tcPr>
            <w:tcW w:w="944" w:type="dxa"/>
            <w:tcBorders>
              <w:top w:val="single" w:sz="15" w:space="0" w:color="000000"/>
              <w:left w:val="single" w:sz="4" w:space="0" w:color="000000"/>
              <w:bottom w:val="single" w:sz="4" w:space="0" w:color="000000"/>
              <w:right w:val="single" w:sz="4" w:space="0" w:color="000000"/>
            </w:tcBorders>
          </w:tcPr>
          <w:p>
            <w:pPr/>
          </w:p>
        </w:tc>
        <w:tc>
          <w:tcPr>
            <w:tcW w:w="1313" w:type="dxa"/>
            <w:tcBorders>
              <w:top w:val="single" w:sz="15" w:space="0" w:color="000000"/>
              <w:left w:val="single" w:sz="4" w:space="0" w:color="000000"/>
              <w:bottom w:val="single" w:sz="4" w:space="0" w:color="000000"/>
              <w:right w:val="single" w:sz="4" w:space="0" w:color="000000"/>
            </w:tcBorders>
          </w:tcPr>
          <w:p>
            <w:pPr/>
          </w:p>
        </w:tc>
        <w:tc>
          <w:tcPr>
            <w:tcW w:w="577" w:type="dxa"/>
            <w:tcBorders>
              <w:top w:val="single" w:sz="15" w:space="0" w:color="000000"/>
              <w:left w:val="single" w:sz="4" w:space="0" w:color="000000"/>
              <w:bottom w:val="single" w:sz="4" w:space="0" w:color="000000"/>
              <w:right w:val="single" w:sz="4" w:space="0" w:color="000000"/>
            </w:tcBorders>
          </w:tcPr>
          <w:p>
            <w:pPr/>
          </w:p>
        </w:tc>
        <w:tc>
          <w:tcPr>
            <w:tcW w:w="1104"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
        </w:tc>
        <w:tc>
          <w:tcPr>
            <w:tcW w:w="760" w:type="dxa"/>
            <w:tcBorders>
              <w:top w:val="single" w:sz="15" w:space="0" w:color="000000"/>
              <w:left w:val="single" w:sz="4" w:space="0" w:color="000000"/>
              <w:bottom w:val="single" w:sz="4" w:space="0" w:color="000000"/>
              <w:right w:val="single" w:sz="4" w:space="0" w:color="000000"/>
            </w:tcBorders>
          </w:tcPr>
          <w:p>
            <w:pPr/>
          </w:p>
        </w:tc>
        <w:tc>
          <w:tcPr>
            <w:tcW w:w="942" w:type="dxa"/>
            <w:tcBorders>
              <w:top w:val="single" w:sz="15" w:space="0" w:color="000000"/>
              <w:left w:val="single" w:sz="4" w:space="0" w:color="000000"/>
              <w:bottom w:val="single" w:sz="4" w:space="0" w:color="000000"/>
              <w:right w:val="single" w:sz="4" w:space="0" w:color="000000"/>
            </w:tcBorders>
          </w:tcPr>
          <w:p>
            <w:pPr/>
          </w:p>
        </w:tc>
      </w:tr>
      <w:tr>
        <w:trPr>
          <w:trHeight w:val="1851" w:hRule="exact"/>
        </w:trPr>
        <w:tc>
          <w:tcPr>
            <w:tcW w:w="937" w:type="dxa"/>
            <w:tcBorders>
              <w:top w:val="single" w:sz="4" w:space="0" w:color="000000"/>
              <w:left w:val="single" w:sz="4" w:space="0" w:color="000000"/>
              <w:bottom w:val="single" w:sz="4" w:space="0" w:color="000000"/>
              <w:right w:val="single" w:sz="13" w:space="0" w:color="FFFFFF"/>
            </w:tcBorders>
          </w:tcPr>
          <w:p>
            <w:pPr>
              <w:pStyle w:val="TableParagraph"/>
              <w:spacing w:line="205" w:lineRule="exact"/>
              <w:ind w:left="22" w:right="-44"/>
              <w:jc w:val="left"/>
              <w:rPr>
                <w:rFonts w:ascii="宋体" w:hAnsi="宋体" w:cs="宋体" w:eastAsia="宋体" w:hint="default"/>
                <w:sz w:val="18"/>
                <w:szCs w:val="18"/>
              </w:rPr>
            </w:pPr>
            <w:r>
              <w:rPr>
                <w:rFonts w:ascii="宋体" w:hAnsi="宋体" w:cs="宋体" w:eastAsia="宋体" w:hint="default"/>
                <w:spacing w:val="36"/>
                <w:sz w:val="18"/>
                <w:szCs w:val="18"/>
              </w:rPr>
              <w:t>宿迁苏</w:t>
            </w:r>
            <w:r>
              <w:rPr>
                <w:rFonts w:ascii="宋体" w:hAnsi="宋体" w:cs="宋体" w:eastAsia="宋体" w:hint="default"/>
                <w:spacing w:val="-37"/>
                <w:sz w:val="18"/>
                <w:szCs w:val="18"/>
              </w:rPr>
              <w:t> </w:t>
            </w:r>
            <w:r>
              <w:rPr>
                <w:rFonts w:ascii="宋体" w:hAnsi="宋体" w:cs="宋体" w:eastAsia="宋体" w:hint="default"/>
                <w:sz w:val="18"/>
                <w:szCs w:val="18"/>
              </w:rPr>
              <w:t>宁</w:t>
            </w:r>
          </w:p>
          <w:p>
            <w:pPr>
              <w:pStyle w:val="TableParagraph"/>
              <w:spacing w:line="232" w:lineRule="exact" w:before="24"/>
              <w:ind w:left="22" w:right="-46"/>
              <w:jc w:val="left"/>
              <w:rPr>
                <w:rFonts w:ascii="宋体" w:hAnsi="宋体" w:cs="宋体" w:eastAsia="宋体" w:hint="default"/>
                <w:sz w:val="18"/>
                <w:szCs w:val="18"/>
              </w:rPr>
            </w:pPr>
            <w:r>
              <w:rPr>
                <w:rFonts w:ascii="宋体" w:hAnsi="宋体" w:cs="宋体" w:eastAsia="宋体" w:hint="default"/>
                <w:spacing w:val="40"/>
                <w:sz w:val="18"/>
                <w:szCs w:val="18"/>
              </w:rPr>
              <w:t>置业有限</w:t>
            </w:r>
            <w:r>
              <w:rPr>
                <w:rFonts w:ascii="宋体" w:hAnsi="宋体" w:cs="宋体" w:eastAsia="宋体" w:hint="default"/>
                <w:spacing w:val="-36"/>
                <w:sz w:val="18"/>
                <w:szCs w:val="18"/>
              </w:rPr>
              <w:t> </w:t>
            </w:r>
            <w:r>
              <w:rPr>
                <w:rFonts w:ascii="宋体" w:hAnsi="宋体" w:cs="宋体" w:eastAsia="宋体" w:hint="default"/>
                <w:spacing w:val="-16"/>
                <w:sz w:val="18"/>
                <w:szCs w:val="18"/>
              </w:rPr>
              <w:t>公司（注</w:t>
            </w:r>
            <w:r>
              <w:rPr>
                <w:rFonts w:ascii="宋体" w:hAnsi="宋体" w:cs="宋体" w:eastAsia="宋体" w:hint="default"/>
                <w:spacing w:val="-45"/>
                <w:sz w:val="18"/>
                <w:szCs w:val="18"/>
              </w:rPr>
              <w:t> </w:t>
            </w:r>
            <w:r>
              <w:rPr>
                <w:rFonts w:ascii="Times New Roman" w:hAnsi="Times New Roman" w:cs="Times New Roman" w:eastAsia="Times New Roman" w:hint="default"/>
                <w:spacing w:val="-17"/>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r>
          </w:p>
        </w:tc>
        <w:tc>
          <w:tcPr>
            <w:tcW w:w="942" w:type="dxa"/>
            <w:tcBorders>
              <w:top w:val="single" w:sz="4" w:space="0" w:color="000000"/>
              <w:left w:val="single" w:sz="13" w:space="0" w:color="FFFFFF"/>
              <w:bottom w:val="single" w:sz="4" w:space="0" w:color="000000"/>
              <w:right w:val="single" w:sz="9" w:space="0" w:color="FFFFFF"/>
            </w:tcBorders>
          </w:tcPr>
          <w:p>
            <w:pPr>
              <w:pStyle w:val="TableParagraph"/>
              <w:spacing w:line="205" w:lineRule="exact"/>
              <w:ind w:left="12" w:right="-39"/>
              <w:jc w:val="left"/>
              <w:rPr>
                <w:rFonts w:ascii="宋体" w:hAnsi="宋体" w:cs="宋体" w:eastAsia="宋体" w:hint="default"/>
                <w:sz w:val="18"/>
                <w:szCs w:val="18"/>
              </w:rPr>
            </w:pPr>
            <w:r>
              <w:rPr>
                <w:rFonts w:ascii="宋体" w:hAnsi="宋体" w:cs="宋体" w:eastAsia="宋体" w:hint="default"/>
                <w:spacing w:val="41"/>
                <w:sz w:val="18"/>
                <w:szCs w:val="18"/>
              </w:rPr>
              <w:t>苏宁置业</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2" w:right="-39"/>
              <w:jc w:val="left"/>
              <w:rPr>
                <w:rFonts w:ascii="宋体" w:hAnsi="宋体" w:cs="宋体" w:eastAsia="宋体" w:hint="default"/>
                <w:sz w:val="18"/>
                <w:szCs w:val="18"/>
              </w:rPr>
            </w:pPr>
            <w:r>
              <w:rPr>
                <w:rFonts w:ascii="宋体" w:hAnsi="宋体" w:cs="宋体" w:eastAsia="宋体" w:hint="default"/>
                <w:spacing w:val="41"/>
                <w:sz w:val="18"/>
                <w:szCs w:val="18"/>
              </w:rPr>
              <w:t>集团子公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42" w:type="dxa"/>
            <w:tcBorders>
              <w:top w:val="single" w:sz="4" w:space="0" w:color="000000"/>
              <w:left w:val="single" w:sz="9" w:space="0" w:color="FFFFFF"/>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pacing w:val="16"/>
                <w:sz w:val="18"/>
                <w:szCs w:val="18"/>
              </w:rPr>
              <w:t>租赁其位于宿迁市幸福</w:t>
            </w:r>
          </w:p>
          <w:p>
            <w:pPr>
              <w:pStyle w:val="TableParagraph"/>
              <w:spacing w:line="230" w:lineRule="auto" w:before="7"/>
              <w:ind w:left="23" w:right="20"/>
              <w:jc w:val="both"/>
              <w:rPr>
                <w:rFonts w:ascii="宋体" w:hAnsi="宋体" w:cs="宋体" w:eastAsia="宋体" w:hint="default"/>
                <w:sz w:val="18"/>
                <w:szCs w:val="18"/>
              </w:rPr>
            </w:pPr>
            <w:r>
              <w:rPr>
                <w:rFonts w:ascii="宋体" w:hAnsi="宋体" w:cs="宋体" w:eastAsia="宋体" w:hint="default"/>
                <w:sz w:val="18"/>
                <w:szCs w:val="18"/>
              </w:rPr>
              <w:t>路宿迁苏宁广场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层用 </w:t>
            </w:r>
            <w:r>
              <w:rPr>
                <w:rFonts w:ascii="宋体" w:hAnsi="宋体" w:cs="宋体" w:eastAsia="宋体" w:hint="default"/>
                <w:spacing w:val="15"/>
                <w:sz w:val="18"/>
                <w:szCs w:val="18"/>
              </w:rPr>
              <w:t>于店面经营，</w:t>
            </w:r>
            <w:r>
              <w:rPr>
                <w:rFonts w:ascii="宋体" w:hAnsi="宋体" w:cs="宋体" w:eastAsia="宋体" w:hint="default"/>
                <w:spacing w:val="-72"/>
                <w:sz w:val="18"/>
                <w:szCs w:val="18"/>
              </w:rPr>
              <w:t> </w:t>
            </w:r>
            <w:r>
              <w:rPr>
                <w:rFonts w:ascii="宋体" w:hAnsi="宋体" w:cs="宋体" w:eastAsia="宋体" w:hint="default"/>
                <w:spacing w:val="14"/>
                <w:sz w:val="18"/>
                <w:szCs w:val="18"/>
              </w:rPr>
              <w:t>租赁面积</w:t>
            </w:r>
            <w:r>
              <w:rPr>
                <w:rFonts w:ascii="宋体" w:hAnsi="宋体" w:cs="宋体" w:eastAsia="宋体" w:hint="default"/>
                <w:sz w:val="18"/>
                <w:szCs w:val="18"/>
              </w:rPr>
              <w:t> </w:t>
            </w:r>
            <w:r>
              <w:rPr>
                <w:rFonts w:ascii="Times New Roman" w:hAnsi="Times New Roman" w:cs="Times New Roman" w:eastAsia="Times New Roman" w:hint="default"/>
                <w:sz w:val="18"/>
                <w:szCs w:val="18"/>
              </w:rPr>
              <w:t>10,020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平方米，租赁期限</w:t>
            </w:r>
          </w:p>
          <w:p>
            <w:pPr>
              <w:pStyle w:val="TableParagraph"/>
              <w:spacing w:line="234"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2013/12/28-2028/12/27</w:t>
            </w:r>
            <w:r>
              <w:rPr>
                <w:rFonts w:ascii="宋体" w:hAnsi="宋体" w:cs="宋体" w:eastAsia="宋体" w:hint="default"/>
                <w:sz w:val="18"/>
                <w:szCs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pacing w:val="-67"/>
                <w:sz w:val="18"/>
                <w:szCs w:val="18"/>
              </w:rPr>
              <w:t> </w:t>
            </w:r>
            <w:r>
              <w:rPr>
                <w:rFonts w:ascii="宋体" w:hAnsi="宋体" w:cs="宋体" w:eastAsia="宋体" w:hint="default"/>
                <w:sz w:val="18"/>
                <w:szCs w:val="18"/>
              </w:rPr>
              <w:t>个</w:t>
            </w:r>
            <w:r>
              <w:rPr>
                <w:rFonts w:ascii="宋体" w:hAnsi="宋体" w:cs="宋体" w:eastAsia="宋体" w:hint="default"/>
                <w:spacing w:val="-67"/>
                <w:sz w:val="18"/>
                <w:szCs w:val="18"/>
              </w:rPr>
              <w:t> </w:t>
            </w:r>
            <w:r>
              <w:rPr>
                <w:rFonts w:ascii="宋体" w:hAnsi="宋体" w:cs="宋体" w:eastAsia="宋体" w:hint="default"/>
                <w:sz w:val="18"/>
                <w:szCs w:val="18"/>
              </w:rPr>
              <w:t>租</w:t>
            </w:r>
            <w:r>
              <w:rPr>
                <w:rFonts w:ascii="宋体" w:hAnsi="宋体" w:cs="宋体" w:eastAsia="宋体" w:hint="default"/>
                <w:spacing w:val="-65"/>
                <w:sz w:val="18"/>
                <w:szCs w:val="18"/>
              </w:rPr>
              <w:t> </w:t>
            </w:r>
            <w:r>
              <w:rPr>
                <w:rFonts w:ascii="宋体" w:hAnsi="宋体" w:cs="宋体" w:eastAsia="宋体" w:hint="default"/>
                <w:sz w:val="18"/>
                <w:szCs w:val="18"/>
              </w:rPr>
              <w:t>赁</w:t>
            </w:r>
            <w:r>
              <w:rPr>
                <w:rFonts w:ascii="宋体" w:hAnsi="宋体" w:cs="宋体" w:eastAsia="宋体" w:hint="default"/>
                <w:spacing w:val="-67"/>
                <w:sz w:val="18"/>
                <w:szCs w:val="18"/>
              </w:rPr>
              <w:t> </w:t>
            </w:r>
            <w:r>
              <w:rPr>
                <w:rFonts w:ascii="宋体" w:hAnsi="宋体" w:cs="宋体" w:eastAsia="宋体" w:hint="default"/>
                <w:sz w:val="18"/>
                <w:szCs w:val="18"/>
              </w:rPr>
              <w:t>年</w:t>
            </w:r>
          </w:p>
          <w:p>
            <w:pPr>
              <w:pStyle w:val="TableParagraph"/>
              <w:spacing w:line="232" w:lineRule="auto" w:before="5"/>
              <w:ind w:left="22" w:right="12"/>
              <w:jc w:val="both"/>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67"/>
                <w:sz w:val="18"/>
                <w:szCs w:val="18"/>
              </w:rPr>
              <w:t> </w:t>
            </w:r>
            <w:r>
              <w:rPr>
                <w:rFonts w:ascii="宋体" w:hAnsi="宋体" w:cs="宋体" w:eastAsia="宋体" w:hint="default"/>
                <w:sz w:val="18"/>
                <w:szCs w:val="18"/>
              </w:rPr>
              <w:t>起</w:t>
            </w:r>
            <w:r>
              <w:rPr>
                <w:rFonts w:ascii="宋体" w:hAnsi="宋体" w:cs="宋体" w:eastAsia="宋体" w:hint="default"/>
                <w:spacing w:val="-67"/>
                <w:sz w:val="18"/>
                <w:szCs w:val="18"/>
              </w:rPr>
              <w:t> </w:t>
            </w:r>
            <w:r>
              <w:rPr>
                <w:rFonts w:ascii="宋体" w:hAnsi="宋体" w:cs="宋体" w:eastAsia="宋体" w:hint="default"/>
                <w:sz w:val="18"/>
                <w:szCs w:val="18"/>
              </w:rPr>
              <w:t>前</w:t>
            </w:r>
            <w:r>
              <w:rPr>
                <w:rFonts w:ascii="宋体" w:hAnsi="宋体" w:cs="宋体" w:eastAsia="宋体" w:hint="default"/>
                <w:spacing w:val="-65"/>
                <w:sz w:val="18"/>
                <w:szCs w:val="18"/>
              </w:rPr>
              <w:t> </w:t>
            </w:r>
            <w:r>
              <w:rPr>
                <w:rFonts w:ascii="宋体" w:hAnsi="宋体" w:cs="宋体" w:eastAsia="宋体" w:hint="default"/>
                <w:sz w:val="18"/>
                <w:szCs w:val="18"/>
              </w:rPr>
              <w:t>两</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z w:val="18"/>
                <w:szCs w:val="18"/>
              </w:rPr>
              <w:t> 每</w:t>
            </w:r>
            <w:r>
              <w:rPr>
                <w:rFonts w:ascii="宋体" w:hAnsi="宋体" w:cs="宋体" w:eastAsia="宋体" w:hint="default"/>
                <w:spacing w:val="-67"/>
                <w:sz w:val="18"/>
                <w:szCs w:val="18"/>
              </w:rPr>
              <w:t> </w:t>
            </w:r>
            <w:r>
              <w:rPr>
                <w:rFonts w:ascii="宋体" w:hAnsi="宋体" w:cs="宋体" w:eastAsia="宋体" w:hint="default"/>
                <w:sz w:val="18"/>
                <w:szCs w:val="18"/>
              </w:rPr>
              <w:t>平</w:t>
            </w:r>
            <w:r>
              <w:rPr>
                <w:rFonts w:ascii="宋体" w:hAnsi="宋体" w:cs="宋体" w:eastAsia="宋体" w:hint="default"/>
                <w:spacing w:val="-67"/>
                <w:sz w:val="18"/>
                <w:szCs w:val="18"/>
              </w:rPr>
              <w:t> </w:t>
            </w:r>
            <w:r>
              <w:rPr>
                <w:rFonts w:ascii="宋体" w:hAnsi="宋体" w:cs="宋体" w:eastAsia="宋体" w:hint="default"/>
                <w:sz w:val="18"/>
                <w:szCs w:val="18"/>
              </w:rPr>
              <w:t>米</w:t>
            </w:r>
            <w:r>
              <w:rPr>
                <w:rFonts w:ascii="宋体" w:hAnsi="宋体" w:cs="宋体" w:eastAsia="宋体" w:hint="default"/>
                <w:spacing w:val="-65"/>
                <w:sz w:val="18"/>
                <w:szCs w:val="18"/>
              </w:rPr>
              <w:t> </w:t>
            </w: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z w:val="18"/>
                <w:szCs w:val="18"/>
              </w:rPr>
              <w:t> </w:t>
            </w:r>
            <w:r>
              <w:rPr>
                <w:rFonts w:ascii="宋体" w:hAnsi="宋体" w:cs="宋体" w:eastAsia="宋体" w:hint="default"/>
                <w:spacing w:val="12"/>
                <w:sz w:val="18"/>
                <w:szCs w:val="18"/>
              </w:rPr>
              <w:t>单价为</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1.80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天，以后 </w:t>
            </w:r>
            <w:r>
              <w:rPr>
                <w:rFonts w:ascii="宋体" w:hAnsi="宋体" w:cs="宋体" w:eastAsia="宋体" w:hint="default"/>
                <w:sz w:val="18"/>
                <w:szCs w:val="18"/>
              </w:rPr>
              <w:t>每</w:t>
            </w:r>
            <w:r>
              <w:rPr>
                <w:rFonts w:ascii="宋体" w:hAnsi="宋体" w:cs="宋体" w:eastAsia="宋体" w:hint="default"/>
                <w:spacing w:val="-67"/>
                <w:sz w:val="18"/>
                <w:szCs w:val="18"/>
              </w:rPr>
              <w:t> </w:t>
            </w:r>
            <w:r>
              <w:rPr>
                <w:rFonts w:ascii="宋体" w:hAnsi="宋体" w:cs="宋体" w:eastAsia="宋体" w:hint="default"/>
                <w:sz w:val="18"/>
                <w:szCs w:val="18"/>
              </w:rPr>
              <w:t>两</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递</w:t>
            </w:r>
            <w:r>
              <w:rPr>
                <w:rFonts w:ascii="宋体" w:hAnsi="宋体" w:cs="宋体" w:eastAsia="宋体" w:hint="default"/>
                <w:spacing w:val="-67"/>
                <w:sz w:val="18"/>
                <w:szCs w:val="18"/>
              </w:rPr>
              <w:t> </w:t>
            </w:r>
            <w:r>
              <w:rPr>
                <w:rFonts w:ascii="宋体" w:hAnsi="宋体" w:cs="宋体" w:eastAsia="宋体" w:hint="default"/>
                <w:sz w:val="18"/>
                <w:szCs w:val="18"/>
              </w:rPr>
              <w:t>增</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507.87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3.29%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10,733.68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按季度支付</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195" w:lineRule="exact" w:before="22"/>
              <w:ind w:left="22" w:right="0"/>
              <w:jc w:val="both"/>
              <w:rPr>
                <w:rFonts w:ascii="Times New Roman" w:hAnsi="Times New Roman" w:cs="Times New Roman" w:eastAsia="Times New Roman" w:hint="default"/>
                <w:sz w:val="18"/>
                <w:szCs w:val="18"/>
              </w:rPr>
            </w:pPr>
            <w:r>
              <w:rPr>
                <w:rFonts w:ascii="Times New Roman"/>
                <w:sz w:val="18"/>
              </w:rPr>
              <w:t>2014-007</w:t>
            </w:r>
          </w:p>
          <w:p>
            <w:pPr>
              <w:pStyle w:val="TableParagraph"/>
              <w:spacing w:line="237" w:lineRule="auto"/>
              <w:ind w:left="22" w:right="-32"/>
              <w:jc w:val="both"/>
              <w:rPr>
                <w:rFonts w:ascii="宋体" w:hAnsi="宋体" w:cs="宋体" w:eastAsia="宋体" w:hint="default"/>
                <w:sz w:val="18"/>
                <w:szCs w:val="18"/>
              </w:rPr>
            </w:pPr>
            <w:r>
              <w:rPr>
                <w:rFonts w:ascii="宋体" w:hAnsi="宋体" w:cs="宋体" w:eastAsia="宋体" w:hint="default"/>
                <w:spacing w:val="41"/>
                <w:sz w:val="18"/>
                <w:szCs w:val="18"/>
              </w:rPr>
              <w:t>《关于向</w:t>
            </w:r>
            <w:r>
              <w:rPr>
                <w:rFonts w:ascii="宋体" w:hAnsi="宋体" w:cs="宋体" w:eastAsia="宋体" w:hint="default"/>
                <w:spacing w:val="-35"/>
                <w:sz w:val="18"/>
                <w:szCs w:val="18"/>
              </w:rPr>
              <w:t> </w:t>
            </w:r>
            <w:r>
              <w:rPr>
                <w:rFonts w:ascii="宋体" w:hAnsi="宋体" w:cs="宋体" w:eastAsia="宋体" w:hint="default"/>
                <w:spacing w:val="41"/>
                <w:sz w:val="18"/>
                <w:szCs w:val="18"/>
              </w:rPr>
              <w:t>关联方租</w:t>
            </w:r>
            <w:r>
              <w:rPr>
                <w:rFonts w:ascii="宋体" w:hAnsi="宋体" w:cs="宋体" w:eastAsia="宋体" w:hint="default"/>
                <w:spacing w:val="-35"/>
                <w:sz w:val="18"/>
                <w:szCs w:val="18"/>
              </w:rPr>
              <w:t> </w:t>
            </w:r>
            <w:r>
              <w:rPr>
                <w:rFonts w:ascii="宋体" w:hAnsi="宋体" w:cs="宋体" w:eastAsia="宋体" w:hint="default"/>
                <w:spacing w:val="41"/>
                <w:sz w:val="18"/>
                <w:szCs w:val="18"/>
              </w:rPr>
              <w:t>赁物业的</w:t>
            </w:r>
            <w:r>
              <w:rPr>
                <w:rFonts w:ascii="宋体" w:hAnsi="宋体" w:cs="宋体" w:eastAsia="宋体" w:hint="default"/>
                <w:spacing w:val="-35"/>
                <w:sz w:val="18"/>
                <w:szCs w:val="18"/>
              </w:rPr>
              <w:t> </w:t>
            </w: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t>公告》</w:t>
            </w:r>
          </w:p>
        </w:tc>
      </w:tr>
      <w:tr>
        <w:trPr>
          <w:trHeight w:val="1852" w:hRule="exact"/>
        </w:trPr>
        <w:tc>
          <w:tcPr>
            <w:tcW w:w="937" w:type="dxa"/>
            <w:tcBorders>
              <w:top w:val="single" w:sz="4" w:space="0" w:color="000000"/>
              <w:left w:val="single" w:sz="4" w:space="0" w:color="000000"/>
              <w:bottom w:val="single" w:sz="4" w:space="0" w:color="000000"/>
              <w:right w:val="single" w:sz="13" w:space="0" w:color="FFFFFF"/>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36"/>
                <w:sz w:val="18"/>
                <w:szCs w:val="18"/>
              </w:rPr>
              <w:t>石家庄</w:t>
            </w:r>
            <w:r>
              <w:rPr>
                <w:rFonts w:ascii="宋体" w:hAnsi="宋体" w:cs="宋体" w:eastAsia="宋体" w:hint="default"/>
                <w:spacing w:val="-37"/>
                <w:sz w:val="18"/>
                <w:szCs w:val="18"/>
              </w:rPr>
              <w:t> </w:t>
            </w:r>
            <w:r>
              <w:rPr>
                <w:rFonts w:ascii="宋体" w:hAnsi="宋体" w:cs="宋体" w:eastAsia="宋体" w:hint="default"/>
                <w:sz w:val="18"/>
                <w:szCs w:val="18"/>
              </w:rPr>
              <w:t>苏</w:t>
            </w:r>
          </w:p>
          <w:p>
            <w:pPr>
              <w:pStyle w:val="TableParagraph"/>
              <w:spacing w:line="237" w:lineRule="auto"/>
              <w:ind w:left="22" w:right="-44"/>
              <w:jc w:val="both"/>
              <w:rPr>
                <w:rFonts w:ascii="宋体" w:hAnsi="宋体" w:cs="宋体" w:eastAsia="宋体" w:hint="default"/>
                <w:sz w:val="18"/>
                <w:szCs w:val="18"/>
              </w:rPr>
            </w:pPr>
            <w:r>
              <w:rPr>
                <w:rFonts w:ascii="宋体" w:hAnsi="宋体" w:cs="宋体" w:eastAsia="宋体" w:hint="default"/>
                <w:spacing w:val="40"/>
                <w:sz w:val="18"/>
                <w:szCs w:val="18"/>
              </w:rPr>
              <w:t>宁房地产</w:t>
            </w:r>
            <w:r>
              <w:rPr>
                <w:rFonts w:ascii="宋体" w:hAnsi="宋体" w:cs="宋体" w:eastAsia="宋体" w:hint="default"/>
                <w:spacing w:val="-36"/>
                <w:sz w:val="18"/>
                <w:szCs w:val="18"/>
              </w:rPr>
              <w:t> </w:t>
            </w:r>
            <w:r>
              <w:rPr>
                <w:rFonts w:ascii="宋体" w:hAnsi="宋体" w:cs="宋体" w:eastAsia="宋体" w:hint="default"/>
                <w:spacing w:val="40"/>
                <w:sz w:val="18"/>
                <w:szCs w:val="18"/>
              </w:rPr>
              <w:t>开发有限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942" w:type="dxa"/>
            <w:tcBorders>
              <w:top w:val="single" w:sz="4" w:space="0" w:color="000000"/>
              <w:left w:val="single" w:sz="13" w:space="0" w:color="FFFFFF"/>
              <w:bottom w:val="single" w:sz="4" w:space="0" w:color="000000"/>
              <w:right w:val="single" w:sz="9" w:space="0" w:color="FFFFFF"/>
            </w:tcBorders>
          </w:tcPr>
          <w:p>
            <w:pPr>
              <w:pStyle w:val="TableParagraph"/>
              <w:spacing w:line="205" w:lineRule="exact"/>
              <w:ind w:left="12" w:right="-39"/>
              <w:jc w:val="left"/>
              <w:rPr>
                <w:rFonts w:ascii="宋体" w:hAnsi="宋体" w:cs="宋体" w:eastAsia="宋体" w:hint="default"/>
                <w:sz w:val="18"/>
                <w:szCs w:val="18"/>
              </w:rPr>
            </w:pPr>
            <w:r>
              <w:rPr>
                <w:rFonts w:ascii="宋体" w:hAnsi="宋体" w:cs="宋体" w:eastAsia="宋体" w:hint="default"/>
                <w:spacing w:val="41"/>
                <w:sz w:val="18"/>
                <w:szCs w:val="18"/>
              </w:rPr>
              <w:t>苏宁置业</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2" w:right="-39"/>
              <w:jc w:val="left"/>
              <w:rPr>
                <w:rFonts w:ascii="宋体" w:hAnsi="宋体" w:cs="宋体" w:eastAsia="宋体" w:hint="default"/>
                <w:sz w:val="18"/>
                <w:szCs w:val="18"/>
              </w:rPr>
            </w:pPr>
            <w:r>
              <w:rPr>
                <w:rFonts w:ascii="宋体" w:hAnsi="宋体" w:cs="宋体" w:eastAsia="宋体" w:hint="default"/>
                <w:spacing w:val="41"/>
                <w:sz w:val="18"/>
                <w:szCs w:val="18"/>
              </w:rPr>
              <w:t>集团子公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42" w:type="dxa"/>
            <w:tcBorders>
              <w:top w:val="single" w:sz="4" w:space="0" w:color="000000"/>
              <w:left w:val="single" w:sz="9" w:space="0" w:color="FFFFFF"/>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pacing w:val="16"/>
                <w:sz w:val="18"/>
                <w:szCs w:val="18"/>
              </w:rPr>
              <w:t>租赁其位于石家庄市中</w:t>
            </w:r>
          </w:p>
          <w:p>
            <w:pPr>
              <w:pStyle w:val="TableParagraph"/>
              <w:tabs>
                <w:tab w:pos="1814" w:val="left" w:leader="none"/>
              </w:tabs>
              <w:spacing w:line="230" w:lineRule="auto" w:before="7"/>
              <w:ind w:left="23" w:right="20"/>
              <w:jc w:val="both"/>
              <w:rPr>
                <w:rFonts w:ascii="宋体" w:hAnsi="宋体" w:cs="宋体" w:eastAsia="宋体" w:hint="default"/>
                <w:sz w:val="18"/>
                <w:szCs w:val="18"/>
              </w:rPr>
            </w:pPr>
            <w:r>
              <w:rPr>
                <w:rFonts w:ascii="宋体" w:hAnsi="宋体" w:cs="宋体" w:eastAsia="宋体" w:hint="default"/>
                <w:sz w:val="18"/>
                <w:szCs w:val="18"/>
              </w:rPr>
              <w:t>山西路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号苏宁广场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1"/>
                <w:sz w:val="18"/>
                <w:szCs w:val="18"/>
              </w:rPr>
              <w:t>层用于店面经营，租赁面</w:t>
            </w:r>
            <w:r>
              <w:rPr>
                <w:rFonts w:ascii="宋体" w:hAnsi="宋体" w:cs="宋体" w:eastAsia="宋体" w:hint="default"/>
                <w:sz w:val="18"/>
                <w:szCs w:val="18"/>
              </w:rPr>
              <w:t> 积 </w:t>
            </w:r>
            <w:r>
              <w:rPr>
                <w:rFonts w:ascii="Times New Roman" w:hAnsi="Times New Roman" w:cs="Times New Roman" w:eastAsia="Times New Roman" w:hint="default"/>
                <w:sz w:val="18"/>
                <w:szCs w:val="18"/>
              </w:rPr>
              <w:t>13197.2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平方米，租赁 期</w:t>
              <w:tab/>
              <w:t>限</w:t>
            </w:r>
          </w:p>
          <w:p>
            <w:pPr>
              <w:pStyle w:val="TableParagraph"/>
              <w:spacing w:line="247"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2014/3/15-2024/3/14</w:t>
            </w:r>
            <w:r>
              <w:rPr>
                <w:rFonts w:ascii="宋体" w:hAnsi="宋体" w:cs="宋体" w:eastAsia="宋体" w:hint="default"/>
                <w:sz w:val="18"/>
                <w:szCs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赁</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度</w:t>
            </w:r>
            <w:r>
              <w:rPr>
                <w:rFonts w:ascii="宋体" w:hAnsi="宋体" w:cs="宋体" w:eastAsia="宋体" w:hint="default"/>
                <w:spacing w:val="-67"/>
                <w:sz w:val="18"/>
                <w:szCs w:val="18"/>
              </w:rPr>
              <w:t> </w:t>
            </w:r>
            <w:r>
              <w:rPr>
                <w:rFonts w:ascii="宋体" w:hAnsi="宋体" w:cs="宋体" w:eastAsia="宋体" w:hint="default"/>
                <w:sz w:val="18"/>
                <w:szCs w:val="18"/>
              </w:rPr>
              <w:t>起</w:t>
            </w:r>
          </w:p>
          <w:p>
            <w:pPr>
              <w:pStyle w:val="TableParagraph"/>
              <w:spacing w:line="240" w:lineRule="auto"/>
              <w:ind w:left="22" w:right="23"/>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67"/>
                <w:sz w:val="18"/>
                <w:szCs w:val="18"/>
              </w:rPr>
              <w:t> </w:t>
            </w:r>
            <w:r>
              <w:rPr>
                <w:rFonts w:ascii="宋体" w:hAnsi="宋体" w:cs="宋体" w:eastAsia="宋体" w:hint="default"/>
                <w:sz w:val="18"/>
                <w:szCs w:val="18"/>
              </w:rPr>
              <w:t>平</w:t>
            </w:r>
            <w:r>
              <w:rPr>
                <w:rFonts w:ascii="宋体" w:hAnsi="宋体" w:cs="宋体" w:eastAsia="宋体" w:hint="default"/>
                <w:spacing w:val="-67"/>
                <w:sz w:val="18"/>
                <w:szCs w:val="18"/>
              </w:rPr>
              <w:t> </w:t>
            </w:r>
            <w:r>
              <w:rPr>
                <w:rFonts w:ascii="宋体" w:hAnsi="宋体" w:cs="宋体" w:eastAsia="宋体" w:hint="default"/>
                <w:sz w:val="18"/>
                <w:szCs w:val="18"/>
              </w:rPr>
              <w:t>米</w:t>
            </w:r>
            <w:r>
              <w:rPr>
                <w:rFonts w:ascii="宋体" w:hAnsi="宋体" w:cs="宋体" w:eastAsia="宋体" w:hint="default"/>
                <w:spacing w:val="-65"/>
                <w:sz w:val="18"/>
                <w:szCs w:val="18"/>
              </w:rPr>
              <w:t> </w:t>
            </w: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z w:val="18"/>
                <w:szCs w:val="18"/>
              </w:rPr>
              <w:t> 单价为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w:t>
            </w:r>
          </w:p>
          <w:p>
            <w:pPr>
              <w:pStyle w:val="TableParagraph"/>
              <w:spacing w:line="234" w:lineRule="exact" w:before="6"/>
              <w:ind w:left="22" w:right="1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天，以后每 </w:t>
            </w:r>
            <w:r>
              <w:rPr>
                <w:rFonts w:ascii="宋体" w:hAnsi="宋体" w:cs="宋体" w:eastAsia="宋体" w:hint="default"/>
                <w:sz w:val="18"/>
                <w:szCs w:val="18"/>
              </w:rPr>
              <w:t>年递增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
              <w:jc w:val="right"/>
              <w:rPr>
                <w:rFonts w:ascii="Times New Roman" w:hAnsi="Times New Roman" w:cs="Times New Roman" w:eastAsia="Times New Roman" w:hint="default"/>
                <w:sz w:val="18"/>
                <w:szCs w:val="18"/>
              </w:rPr>
            </w:pPr>
            <w:r>
              <w:rPr>
                <w:rFonts w:ascii="Times New Roman"/>
                <w:sz w:val="18"/>
              </w:rPr>
              <w:t>1,240.37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z w:val="18"/>
              </w:rPr>
              <w:t>8.03%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
              <w:jc w:val="right"/>
              <w:rPr>
                <w:rFonts w:ascii="Times New Roman" w:hAnsi="Times New Roman" w:cs="Times New Roman" w:eastAsia="Times New Roman" w:hint="default"/>
                <w:sz w:val="18"/>
                <w:szCs w:val="18"/>
              </w:rPr>
            </w:pPr>
            <w:r>
              <w:rPr>
                <w:rFonts w:ascii="Times New Roman"/>
                <w:sz w:val="18"/>
              </w:rPr>
              <w:t>16,528.55</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按季度支付</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194" w:lineRule="exact" w:before="24"/>
              <w:ind w:left="22" w:right="0"/>
              <w:jc w:val="both"/>
              <w:rPr>
                <w:rFonts w:ascii="Times New Roman" w:hAnsi="Times New Roman" w:cs="Times New Roman" w:eastAsia="Times New Roman" w:hint="default"/>
                <w:sz w:val="18"/>
                <w:szCs w:val="18"/>
              </w:rPr>
            </w:pPr>
            <w:r>
              <w:rPr>
                <w:rFonts w:ascii="Times New Roman"/>
                <w:sz w:val="18"/>
              </w:rPr>
              <w:t>2014-028</w:t>
            </w:r>
          </w:p>
          <w:p>
            <w:pPr>
              <w:pStyle w:val="TableParagraph"/>
              <w:spacing w:line="237" w:lineRule="auto"/>
              <w:ind w:left="22" w:right="-32"/>
              <w:jc w:val="both"/>
              <w:rPr>
                <w:rFonts w:ascii="宋体" w:hAnsi="宋体" w:cs="宋体" w:eastAsia="宋体" w:hint="default"/>
                <w:sz w:val="18"/>
                <w:szCs w:val="18"/>
              </w:rPr>
            </w:pPr>
            <w:r>
              <w:rPr>
                <w:rFonts w:ascii="宋体" w:hAnsi="宋体" w:cs="宋体" w:eastAsia="宋体" w:hint="default"/>
                <w:spacing w:val="41"/>
                <w:sz w:val="18"/>
                <w:szCs w:val="18"/>
              </w:rPr>
              <w:t>《关于向</w:t>
            </w:r>
            <w:r>
              <w:rPr>
                <w:rFonts w:ascii="宋体" w:hAnsi="宋体" w:cs="宋体" w:eastAsia="宋体" w:hint="default"/>
                <w:spacing w:val="-35"/>
                <w:sz w:val="18"/>
                <w:szCs w:val="18"/>
              </w:rPr>
              <w:t> </w:t>
            </w:r>
            <w:r>
              <w:rPr>
                <w:rFonts w:ascii="宋体" w:hAnsi="宋体" w:cs="宋体" w:eastAsia="宋体" w:hint="default"/>
                <w:spacing w:val="41"/>
                <w:sz w:val="18"/>
                <w:szCs w:val="18"/>
              </w:rPr>
              <w:t>关联方租</w:t>
            </w:r>
            <w:r>
              <w:rPr>
                <w:rFonts w:ascii="宋体" w:hAnsi="宋体" w:cs="宋体" w:eastAsia="宋体" w:hint="default"/>
                <w:spacing w:val="-35"/>
                <w:sz w:val="18"/>
                <w:szCs w:val="18"/>
              </w:rPr>
              <w:t> </w:t>
            </w:r>
            <w:r>
              <w:rPr>
                <w:rFonts w:ascii="宋体" w:hAnsi="宋体" w:cs="宋体" w:eastAsia="宋体" w:hint="default"/>
                <w:spacing w:val="41"/>
                <w:sz w:val="18"/>
                <w:szCs w:val="18"/>
              </w:rPr>
              <w:t>赁物业的</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3"/>
              <w:ind w:left="22" w:right="-32"/>
              <w:jc w:val="both"/>
              <w:rPr>
                <w:rFonts w:ascii="宋体" w:hAnsi="宋体" w:cs="宋体" w:eastAsia="宋体" w:hint="default"/>
                <w:sz w:val="18"/>
                <w:szCs w:val="18"/>
              </w:rPr>
            </w:pP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t>公告》</w:t>
            </w:r>
          </w:p>
        </w:tc>
      </w:tr>
      <w:tr>
        <w:trPr>
          <w:trHeight w:val="1851" w:hRule="exact"/>
        </w:trPr>
        <w:tc>
          <w:tcPr>
            <w:tcW w:w="937" w:type="dxa"/>
            <w:tcBorders>
              <w:top w:val="single" w:sz="4" w:space="0" w:color="000000"/>
              <w:left w:val="single" w:sz="4" w:space="0" w:color="000000"/>
              <w:bottom w:val="single" w:sz="4" w:space="0" w:color="000000"/>
              <w:right w:val="single" w:sz="13" w:space="0" w:color="FFFFFF"/>
            </w:tcBorders>
          </w:tcPr>
          <w:p>
            <w:pPr>
              <w:pStyle w:val="TableParagraph"/>
              <w:spacing w:line="205" w:lineRule="exact"/>
              <w:ind w:left="22" w:right="-44"/>
              <w:jc w:val="left"/>
              <w:rPr>
                <w:rFonts w:ascii="宋体" w:hAnsi="宋体" w:cs="宋体" w:eastAsia="宋体" w:hint="default"/>
                <w:sz w:val="18"/>
                <w:szCs w:val="18"/>
              </w:rPr>
            </w:pPr>
            <w:r>
              <w:rPr>
                <w:rFonts w:ascii="宋体" w:hAnsi="宋体" w:cs="宋体" w:eastAsia="宋体" w:hint="default"/>
                <w:spacing w:val="36"/>
                <w:sz w:val="18"/>
                <w:szCs w:val="18"/>
              </w:rPr>
              <w:t>淮安苏</w:t>
            </w:r>
            <w:r>
              <w:rPr>
                <w:rFonts w:ascii="宋体" w:hAnsi="宋体" w:cs="宋体" w:eastAsia="宋体" w:hint="default"/>
                <w:spacing w:val="-37"/>
                <w:sz w:val="18"/>
                <w:szCs w:val="18"/>
              </w:rPr>
              <w:t> </w:t>
            </w:r>
            <w:r>
              <w:rPr>
                <w:rFonts w:ascii="宋体" w:hAnsi="宋体" w:cs="宋体" w:eastAsia="宋体" w:hint="default"/>
                <w:sz w:val="18"/>
                <w:szCs w:val="18"/>
              </w:rPr>
              <w:t>宁</w:t>
            </w:r>
          </w:p>
          <w:p>
            <w:pPr>
              <w:pStyle w:val="TableParagraph"/>
              <w:spacing w:line="232" w:lineRule="exact" w:before="24"/>
              <w:ind w:left="22" w:right="-44"/>
              <w:jc w:val="left"/>
              <w:rPr>
                <w:rFonts w:ascii="宋体" w:hAnsi="宋体" w:cs="宋体" w:eastAsia="宋体" w:hint="default"/>
                <w:sz w:val="18"/>
                <w:szCs w:val="18"/>
              </w:rPr>
            </w:pPr>
            <w:r>
              <w:rPr>
                <w:rFonts w:ascii="宋体" w:hAnsi="宋体" w:cs="宋体" w:eastAsia="宋体" w:hint="default"/>
                <w:spacing w:val="40"/>
                <w:sz w:val="18"/>
                <w:szCs w:val="18"/>
              </w:rPr>
              <w:t>置业有限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942" w:type="dxa"/>
            <w:tcBorders>
              <w:top w:val="single" w:sz="4" w:space="0" w:color="000000"/>
              <w:left w:val="single" w:sz="13" w:space="0" w:color="FFFFFF"/>
              <w:bottom w:val="single" w:sz="4" w:space="0" w:color="000000"/>
              <w:right w:val="single" w:sz="9" w:space="0" w:color="FFFFFF"/>
            </w:tcBorders>
          </w:tcPr>
          <w:p>
            <w:pPr>
              <w:pStyle w:val="TableParagraph"/>
              <w:spacing w:line="205" w:lineRule="exact"/>
              <w:ind w:left="12" w:right="-39"/>
              <w:jc w:val="left"/>
              <w:rPr>
                <w:rFonts w:ascii="宋体" w:hAnsi="宋体" w:cs="宋体" w:eastAsia="宋体" w:hint="default"/>
                <w:sz w:val="18"/>
                <w:szCs w:val="18"/>
              </w:rPr>
            </w:pPr>
            <w:r>
              <w:rPr>
                <w:rFonts w:ascii="宋体" w:hAnsi="宋体" w:cs="宋体" w:eastAsia="宋体" w:hint="default"/>
                <w:spacing w:val="41"/>
                <w:sz w:val="18"/>
                <w:szCs w:val="18"/>
              </w:rPr>
              <w:t>苏宁置业</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2" w:right="-39"/>
              <w:jc w:val="left"/>
              <w:rPr>
                <w:rFonts w:ascii="宋体" w:hAnsi="宋体" w:cs="宋体" w:eastAsia="宋体" w:hint="default"/>
                <w:sz w:val="18"/>
                <w:szCs w:val="18"/>
              </w:rPr>
            </w:pPr>
            <w:r>
              <w:rPr>
                <w:rFonts w:ascii="宋体" w:hAnsi="宋体" w:cs="宋体" w:eastAsia="宋体" w:hint="default"/>
                <w:spacing w:val="41"/>
                <w:sz w:val="18"/>
                <w:szCs w:val="18"/>
              </w:rPr>
              <w:t>集团子公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42" w:type="dxa"/>
            <w:tcBorders>
              <w:top w:val="single" w:sz="4" w:space="0" w:color="000000"/>
              <w:left w:val="single" w:sz="9" w:space="0" w:color="FFFFFF"/>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pacing w:val="16"/>
                <w:sz w:val="18"/>
                <w:szCs w:val="18"/>
              </w:rPr>
              <w:t>租赁其位于淮安市淮海</w:t>
            </w:r>
          </w:p>
          <w:p>
            <w:pPr>
              <w:pStyle w:val="TableParagraph"/>
              <w:spacing w:line="240" w:lineRule="exact"/>
              <w:ind w:left="23" w:right="0"/>
              <w:jc w:val="both"/>
              <w:rPr>
                <w:rFonts w:ascii="宋体" w:hAnsi="宋体" w:cs="宋体" w:eastAsia="宋体" w:hint="default"/>
                <w:sz w:val="18"/>
                <w:szCs w:val="18"/>
              </w:rPr>
            </w:pPr>
            <w:r>
              <w:rPr>
                <w:rFonts w:ascii="宋体" w:hAnsi="宋体" w:cs="宋体" w:eastAsia="宋体" w:hint="default"/>
                <w:sz w:val="18"/>
                <w:szCs w:val="18"/>
              </w:rPr>
              <w:t>东路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号苏宁生活广场</w:t>
            </w:r>
          </w:p>
          <w:p>
            <w:pPr>
              <w:pStyle w:val="TableParagraph"/>
              <w:spacing w:line="23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层用于店面经营，租</w:t>
            </w:r>
          </w:p>
          <w:p>
            <w:pPr>
              <w:pStyle w:val="TableParagraph"/>
              <w:spacing w:line="230" w:lineRule="auto" w:before="1"/>
              <w:ind w:left="23" w:right="20"/>
              <w:jc w:val="both"/>
              <w:rPr>
                <w:rFonts w:ascii="宋体" w:hAnsi="宋体" w:cs="宋体" w:eastAsia="宋体" w:hint="default"/>
                <w:sz w:val="18"/>
                <w:szCs w:val="18"/>
              </w:rPr>
            </w:pPr>
            <w:r>
              <w:rPr>
                <w:rFonts w:ascii="宋体" w:hAnsi="宋体" w:cs="宋体" w:eastAsia="宋体" w:hint="default"/>
                <w:sz w:val="18"/>
                <w:szCs w:val="18"/>
              </w:rPr>
              <w:t>赁面积 </w:t>
            </w:r>
            <w:r>
              <w:rPr>
                <w:rFonts w:ascii="Times New Roman" w:hAnsi="Times New Roman" w:cs="Times New Roman" w:eastAsia="Times New Roman" w:hint="default"/>
                <w:sz w:val="18"/>
                <w:szCs w:val="18"/>
              </w:rPr>
              <w:t>12391.9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平方米， 租 赁 期</w:t>
            </w:r>
            <w:r>
              <w:rPr>
                <w:rFonts w:ascii="宋体" w:hAnsi="宋体" w:cs="宋体" w:eastAsia="宋体" w:hint="default"/>
                <w:spacing w:val="78"/>
                <w:sz w:val="18"/>
                <w:szCs w:val="18"/>
              </w:rPr>
              <w:t> </w:t>
            </w:r>
            <w:r>
              <w:rPr>
                <w:rFonts w:ascii="宋体" w:hAnsi="宋体" w:cs="宋体" w:eastAsia="宋体" w:hint="default"/>
                <w:sz w:val="18"/>
                <w:szCs w:val="18"/>
              </w:rPr>
              <w:t>限</w:t>
            </w:r>
            <w:r>
              <w:rPr>
                <w:rFonts w:ascii="宋体" w:hAnsi="宋体" w:cs="宋体" w:eastAsia="宋体" w:hint="default"/>
                <w:sz w:val="18"/>
                <w:szCs w:val="18"/>
              </w:rPr>
              <w:t> </w:t>
            </w:r>
            <w:r>
              <w:rPr>
                <w:rFonts w:ascii="Times New Roman" w:hAnsi="Times New Roman" w:cs="Times New Roman" w:eastAsia="Times New Roman" w:hint="default"/>
                <w:sz w:val="18"/>
                <w:szCs w:val="18"/>
              </w:rPr>
              <w:t>2014/4/26-2024/4/25</w:t>
            </w:r>
            <w:r>
              <w:rPr>
                <w:rFonts w:ascii="宋体" w:hAnsi="宋体" w:cs="宋体" w:eastAsia="宋体" w:hint="default"/>
                <w:sz w:val="18"/>
                <w:szCs w:val="18"/>
              </w:rPr>
              <w:t>。</w:t>
            </w:r>
          </w:p>
        </w:tc>
        <w:tc>
          <w:tcPr>
            <w:tcW w:w="854" w:type="dxa"/>
            <w:tcBorders>
              <w:top w:val="single" w:sz="4" w:space="0" w:color="000000"/>
              <w:left w:val="single" w:sz="4" w:space="0" w:color="000000"/>
              <w:bottom w:val="single" w:sz="10" w:space="0" w:color="D2D2D2"/>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5" w:type="dxa"/>
            <w:tcBorders>
              <w:top w:val="single" w:sz="4" w:space="0" w:color="000000"/>
              <w:left w:val="single" w:sz="4" w:space="0" w:color="000000"/>
              <w:bottom w:val="single" w:sz="10" w:space="0" w:color="D2D2D2"/>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7"/>
                <w:sz w:val="18"/>
                <w:szCs w:val="18"/>
              </w:rPr>
              <w:t> </w:t>
            </w:r>
            <w:r>
              <w:rPr>
                <w:rFonts w:ascii="宋体" w:hAnsi="宋体" w:cs="宋体" w:eastAsia="宋体" w:hint="default"/>
                <w:sz w:val="18"/>
                <w:szCs w:val="18"/>
              </w:rPr>
              <w:t>首</w:t>
            </w:r>
            <w:r>
              <w:rPr>
                <w:rFonts w:ascii="宋体" w:hAnsi="宋体" w:cs="宋体" w:eastAsia="宋体" w:hint="default"/>
                <w:spacing w:val="-67"/>
                <w:sz w:val="18"/>
                <w:szCs w:val="18"/>
              </w:rPr>
              <w:t> </w:t>
            </w:r>
            <w:r>
              <w:rPr>
                <w:rFonts w:ascii="宋体" w:hAnsi="宋体" w:cs="宋体" w:eastAsia="宋体" w:hint="default"/>
                <w:sz w:val="18"/>
                <w:szCs w:val="18"/>
              </w:rPr>
              <w:t>个</w:t>
            </w:r>
            <w:r>
              <w:rPr>
                <w:rFonts w:ascii="宋体" w:hAnsi="宋体" w:cs="宋体" w:eastAsia="宋体" w:hint="default"/>
                <w:spacing w:val="-65"/>
                <w:sz w:val="18"/>
                <w:szCs w:val="18"/>
              </w:rPr>
              <w:t> </w:t>
            </w: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赁</w:t>
            </w:r>
          </w:p>
          <w:p>
            <w:pPr>
              <w:pStyle w:val="TableParagraph"/>
              <w:spacing w:line="232" w:lineRule="auto" w:before="5"/>
              <w:ind w:left="22" w:right="1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度</w:t>
            </w:r>
            <w:r>
              <w:rPr>
                <w:rFonts w:ascii="宋体" w:hAnsi="宋体" w:cs="宋体" w:eastAsia="宋体" w:hint="default"/>
                <w:spacing w:val="-67"/>
                <w:sz w:val="18"/>
                <w:szCs w:val="18"/>
              </w:rPr>
              <w:t> </w:t>
            </w:r>
            <w:r>
              <w:rPr>
                <w:rFonts w:ascii="宋体" w:hAnsi="宋体" w:cs="宋体" w:eastAsia="宋体" w:hint="default"/>
                <w:sz w:val="18"/>
                <w:szCs w:val="18"/>
              </w:rPr>
              <w:t>起</w:t>
            </w:r>
            <w:r>
              <w:rPr>
                <w:rFonts w:ascii="宋体" w:hAnsi="宋体" w:cs="宋体" w:eastAsia="宋体" w:hint="default"/>
                <w:spacing w:val="-65"/>
                <w:sz w:val="18"/>
                <w:szCs w:val="18"/>
              </w:rPr>
              <w:t> </w:t>
            </w:r>
            <w:r>
              <w:rPr>
                <w:rFonts w:ascii="宋体" w:hAnsi="宋体" w:cs="宋体" w:eastAsia="宋体" w:hint="default"/>
                <w:sz w:val="18"/>
                <w:szCs w:val="18"/>
              </w:rPr>
              <w:t>前</w:t>
            </w:r>
            <w:r>
              <w:rPr>
                <w:rFonts w:ascii="宋体" w:hAnsi="宋体" w:cs="宋体" w:eastAsia="宋体" w:hint="default"/>
                <w:spacing w:val="-67"/>
                <w:sz w:val="18"/>
                <w:szCs w:val="18"/>
              </w:rPr>
              <w:t> </w:t>
            </w:r>
            <w:r>
              <w:rPr>
                <w:rFonts w:ascii="宋体" w:hAnsi="宋体" w:cs="宋体" w:eastAsia="宋体" w:hint="default"/>
                <w:sz w:val="18"/>
                <w:szCs w:val="18"/>
              </w:rPr>
              <w:t>两</w:t>
            </w:r>
            <w:r>
              <w:rPr>
                <w:rFonts w:ascii="宋体" w:hAnsi="宋体" w:cs="宋体" w:eastAsia="宋体" w:hint="default"/>
                <w:sz w:val="18"/>
                <w:szCs w:val="18"/>
              </w:rPr>
              <w:t> 年</w:t>
            </w:r>
            <w:r>
              <w:rPr>
                <w:rFonts w:ascii="宋体" w:hAnsi="宋体" w:cs="宋体" w:eastAsia="宋体" w:hint="default"/>
                <w:spacing w:val="-67"/>
                <w:sz w:val="18"/>
                <w:szCs w:val="18"/>
              </w:rPr>
              <w:t> </w:t>
            </w:r>
            <w:r>
              <w:rPr>
                <w:rFonts w:ascii="宋体" w:hAnsi="宋体" w:cs="宋体" w:eastAsia="宋体" w:hint="default"/>
                <w:sz w:val="18"/>
                <w:szCs w:val="18"/>
              </w:rPr>
              <w:t>每</w:t>
            </w:r>
            <w:r>
              <w:rPr>
                <w:rFonts w:ascii="宋体" w:hAnsi="宋体" w:cs="宋体" w:eastAsia="宋体" w:hint="default"/>
                <w:spacing w:val="-67"/>
                <w:sz w:val="18"/>
                <w:szCs w:val="18"/>
              </w:rPr>
              <w:t> </w:t>
            </w:r>
            <w:r>
              <w:rPr>
                <w:rFonts w:ascii="宋体" w:hAnsi="宋体" w:cs="宋体" w:eastAsia="宋体" w:hint="default"/>
                <w:sz w:val="18"/>
                <w:szCs w:val="18"/>
              </w:rPr>
              <w:t>平</w:t>
            </w:r>
            <w:r>
              <w:rPr>
                <w:rFonts w:ascii="宋体" w:hAnsi="宋体" w:cs="宋体" w:eastAsia="宋体" w:hint="default"/>
                <w:spacing w:val="-65"/>
                <w:sz w:val="18"/>
                <w:szCs w:val="18"/>
              </w:rPr>
              <w:t> </w:t>
            </w:r>
            <w:r>
              <w:rPr>
                <w:rFonts w:ascii="宋体" w:hAnsi="宋体" w:cs="宋体" w:eastAsia="宋体" w:hint="default"/>
                <w:sz w:val="18"/>
                <w:szCs w:val="18"/>
              </w:rPr>
              <w:t>米</w:t>
            </w:r>
            <w:r>
              <w:rPr>
                <w:rFonts w:ascii="宋体" w:hAnsi="宋体" w:cs="宋体" w:eastAsia="宋体" w:hint="default"/>
                <w:spacing w:val="-67"/>
                <w:sz w:val="18"/>
                <w:szCs w:val="18"/>
              </w:rPr>
              <w:t> </w:t>
            </w:r>
            <w:r>
              <w:rPr>
                <w:rFonts w:ascii="宋体" w:hAnsi="宋体" w:cs="宋体" w:eastAsia="宋体" w:hint="default"/>
                <w:sz w:val="18"/>
                <w:szCs w:val="18"/>
              </w:rPr>
              <w:t>租</w:t>
            </w:r>
            <w:r>
              <w:rPr>
                <w:rFonts w:ascii="宋体" w:hAnsi="宋体" w:cs="宋体" w:eastAsia="宋体" w:hint="default"/>
                <w:sz w:val="18"/>
                <w:szCs w:val="18"/>
              </w:rPr>
              <w:t> 金单价为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天，从第 </w:t>
            </w:r>
            <w:r>
              <w:rPr>
                <w:rFonts w:ascii="宋体" w:hAnsi="宋体" w:cs="宋体" w:eastAsia="宋体" w:hint="default"/>
                <w:sz w:val="18"/>
                <w:szCs w:val="18"/>
              </w:rPr>
              <w:t>三</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起</w:t>
            </w:r>
            <w:r>
              <w:rPr>
                <w:rFonts w:ascii="宋体" w:hAnsi="宋体" w:cs="宋体" w:eastAsia="宋体" w:hint="default"/>
                <w:spacing w:val="-65"/>
                <w:sz w:val="18"/>
                <w:szCs w:val="18"/>
              </w:rPr>
              <w:t> </w:t>
            </w:r>
            <w:r>
              <w:rPr>
                <w:rFonts w:ascii="宋体" w:hAnsi="宋体" w:cs="宋体" w:eastAsia="宋体" w:hint="default"/>
                <w:sz w:val="18"/>
                <w:szCs w:val="18"/>
              </w:rPr>
              <w:t>每</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z w:val="18"/>
                <w:szCs w:val="18"/>
              </w:rPr>
              <w:t> 递增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428.72</w:t>
            </w:r>
          </w:p>
        </w:tc>
        <w:tc>
          <w:tcPr>
            <w:tcW w:w="944" w:type="dxa"/>
            <w:tcBorders>
              <w:top w:val="single" w:sz="4" w:space="0" w:color="000000"/>
              <w:left w:val="single" w:sz="4" w:space="0" w:color="000000"/>
              <w:bottom w:val="single" w:sz="10" w:space="0" w:color="D2D2D2"/>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2.77%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9,944.40</w:t>
            </w:r>
          </w:p>
        </w:tc>
        <w:tc>
          <w:tcPr>
            <w:tcW w:w="577" w:type="dxa"/>
            <w:tcBorders>
              <w:top w:val="single" w:sz="4" w:space="0" w:color="000000"/>
              <w:left w:val="single" w:sz="4" w:space="0" w:color="000000"/>
              <w:bottom w:val="single" w:sz="10" w:space="0" w:color="D2D2D2"/>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10" w:space="0" w:color="D2D2D2"/>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按季度支付</w:t>
            </w:r>
          </w:p>
        </w:tc>
        <w:tc>
          <w:tcPr>
            <w:tcW w:w="785" w:type="dxa"/>
            <w:tcBorders>
              <w:top w:val="single" w:sz="4" w:space="0" w:color="000000"/>
              <w:left w:val="single" w:sz="4" w:space="0" w:color="000000"/>
              <w:bottom w:val="single" w:sz="10" w:space="0" w:color="D2D2D2"/>
              <w:right w:val="single" w:sz="4" w:space="0" w:color="000000"/>
            </w:tcBorders>
          </w:tcPr>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0" w:type="dxa"/>
            <w:tcBorders>
              <w:top w:val="single" w:sz="4" w:space="0" w:color="000000"/>
              <w:left w:val="single" w:sz="4" w:space="0" w:color="000000"/>
              <w:bottom w:val="single" w:sz="10" w:space="0" w:color="D2D2D2"/>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10" w:space="0" w:color="D2D2D2"/>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41"/>
                <w:sz w:val="18"/>
                <w:szCs w:val="18"/>
              </w:rPr>
              <w:t>巨潮资讯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195" w:lineRule="exact" w:before="22"/>
              <w:ind w:left="22" w:right="0"/>
              <w:jc w:val="both"/>
              <w:rPr>
                <w:rFonts w:ascii="Times New Roman" w:hAnsi="Times New Roman" w:cs="Times New Roman" w:eastAsia="Times New Roman" w:hint="default"/>
                <w:sz w:val="18"/>
                <w:szCs w:val="18"/>
              </w:rPr>
            </w:pPr>
            <w:r>
              <w:rPr>
                <w:rFonts w:ascii="Times New Roman"/>
                <w:sz w:val="18"/>
              </w:rPr>
              <w:t>2014-028</w:t>
            </w:r>
          </w:p>
          <w:p>
            <w:pPr>
              <w:pStyle w:val="TableParagraph"/>
              <w:spacing w:line="237" w:lineRule="auto"/>
              <w:ind w:left="22" w:right="-32"/>
              <w:jc w:val="both"/>
              <w:rPr>
                <w:rFonts w:ascii="宋体" w:hAnsi="宋体" w:cs="宋体" w:eastAsia="宋体" w:hint="default"/>
                <w:sz w:val="18"/>
                <w:szCs w:val="18"/>
              </w:rPr>
            </w:pPr>
            <w:r>
              <w:rPr>
                <w:rFonts w:ascii="宋体" w:hAnsi="宋体" w:cs="宋体" w:eastAsia="宋体" w:hint="default"/>
                <w:spacing w:val="41"/>
                <w:sz w:val="18"/>
                <w:szCs w:val="18"/>
              </w:rPr>
              <w:t>《关于向</w:t>
            </w:r>
            <w:r>
              <w:rPr>
                <w:rFonts w:ascii="宋体" w:hAnsi="宋体" w:cs="宋体" w:eastAsia="宋体" w:hint="default"/>
                <w:spacing w:val="-35"/>
                <w:sz w:val="18"/>
                <w:szCs w:val="18"/>
              </w:rPr>
              <w:t> </w:t>
            </w:r>
            <w:r>
              <w:rPr>
                <w:rFonts w:ascii="宋体" w:hAnsi="宋体" w:cs="宋体" w:eastAsia="宋体" w:hint="default"/>
                <w:spacing w:val="41"/>
                <w:sz w:val="18"/>
                <w:szCs w:val="18"/>
              </w:rPr>
              <w:t>关联方租</w:t>
            </w:r>
            <w:r>
              <w:rPr>
                <w:rFonts w:ascii="宋体" w:hAnsi="宋体" w:cs="宋体" w:eastAsia="宋体" w:hint="default"/>
                <w:spacing w:val="-35"/>
                <w:sz w:val="18"/>
                <w:szCs w:val="18"/>
              </w:rPr>
              <w:t> </w:t>
            </w:r>
            <w:r>
              <w:rPr>
                <w:rFonts w:ascii="宋体" w:hAnsi="宋体" w:cs="宋体" w:eastAsia="宋体" w:hint="default"/>
                <w:spacing w:val="41"/>
                <w:sz w:val="18"/>
                <w:szCs w:val="18"/>
              </w:rPr>
              <w:t>赁物业的</w:t>
            </w:r>
            <w:r>
              <w:rPr>
                <w:rFonts w:ascii="宋体" w:hAnsi="宋体" w:cs="宋体" w:eastAsia="宋体" w:hint="default"/>
                <w:spacing w:val="-35"/>
                <w:sz w:val="18"/>
                <w:szCs w:val="18"/>
              </w:rPr>
              <w:t> </w:t>
            </w:r>
            <w:r>
              <w:rPr>
                <w:rFonts w:ascii="宋体" w:hAnsi="宋体" w:cs="宋体" w:eastAsia="宋体" w:hint="default"/>
                <w:spacing w:val="41"/>
                <w:sz w:val="18"/>
                <w:szCs w:val="18"/>
              </w:rPr>
              <w:t>关联交易</w:t>
            </w:r>
            <w:r>
              <w:rPr>
                <w:rFonts w:ascii="宋体" w:hAnsi="宋体" w:cs="宋体" w:eastAsia="宋体" w:hint="default"/>
                <w:spacing w:val="-35"/>
                <w:sz w:val="18"/>
                <w:szCs w:val="18"/>
              </w:rPr>
              <w:t> </w:t>
            </w:r>
            <w:r>
              <w:rPr>
                <w:rFonts w:ascii="宋体" w:hAnsi="宋体" w:cs="宋体" w:eastAsia="宋体" w:hint="default"/>
                <w:sz w:val="18"/>
                <w:szCs w:val="18"/>
              </w:rPr>
              <w:t>公告》</w:t>
            </w:r>
          </w:p>
        </w:tc>
      </w:tr>
      <w:tr>
        <w:trPr>
          <w:trHeight w:val="244"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83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
              <w:ind w:right="13"/>
              <w:jc w:val="right"/>
              <w:rPr>
                <w:rFonts w:ascii="Times New Roman" w:hAnsi="Times New Roman" w:cs="Times New Roman" w:eastAsia="Times New Roman" w:hint="default"/>
                <w:sz w:val="18"/>
                <w:szCs w:val="18"/>
              </w:rPr>
            </w:pPr>
            <w:r>
              <w:rPr>
                <w:rFonts w:ascii="Times New Roman"/>
                <w:sz w:val="18"/>
              </w:rPr>
              <w:t>15,449.61</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w:t>
            </w:r>
          </w:p>
        </w:tc>
        <w:tc>
          <w:tcPr>
            <w:tcW w:w="13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
              <w:ind w:right="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9166" w:type="dxa"/>
            <w:gridSpan w:val="10"/>
            <w:tcBorders>
              <w:top w:val="single" w:sz="9" w:space="0" w:color="D2D2D2"/>
              <w:left w:val="single" w:sz="10" w:space="0" w:color="D2D2D2"/>
              <w:bottom w:val="single" w:sz="4" w:space="0" w:color="000000"/>
              <w:right w:val="single" w:sz="4" w:space="0" w:color="000000"/>
            </w:tcBorders>
          </w:tcPr>
          <w:p>
            <w:pPr>
              <w:pStyle w:val="TableParagraph"/>
              <w:spacing w:line="199" w:lineRule="exact"/>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6"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按类别对本期将发生的日常关联交易进行总金额预计的，在报</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告期内的实际履行情况（如有）</w:t>
            </w:r>
          </w:p>
        </w:tc>
        <w:tc>
          <w:tcPr>
            <w:tcW w:w="9166"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left="15" w:right="0"/>
              <w:jc w:val="left"/>
              <w:rPr>
                <w:rFonts w:ascii="宋体" w:hAnsi="宋体" w:cs="宋体" w:eastAsia="宋体" w:hint="default"/>
                <w:sz w:val="18"/>
                <w:szCs w:val="18"/>
              </w:rPr>
            </w:pPr>
            <w:r>
              <w:rPr>
                <w:rFonts w:ascii="宋体" w:hAnsi="宋体" w:cs="宋体" w:eastAsia="宋体" w:hint="default"/>
                <w:sz w:val="18"/>
                <w:szCs w:val="18"/>
              </w:rPr>
              <w:t>报告期内，公司与关联方物业租赁事项均按照合同履约。</w:t>
            </w:r>
          </w:p>
        </w:tc>
      </w:tr>
      <w:tr>
        <w:trPr>
          <w:trHeight w:val="245"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9166"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07" w:lineRule="exact"/>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7" w:lineRule="exact"/>
        <w:jc w:val="left"/>
        <w:rPr>
          <w:rFonts w:ascii="宋体" w:hAnsi="宋体" w:cs="宋体" w:eastAsia="宋体" w:hint="default"/>
          <w:sz w:val="18"/>
          <w:szCs w:val="18"/>
        </w:rPr>
        <w:sectPr>
          <w:footerReference w:type="default" r:id="rId18"/>
          <w:pgSz w:w="16840" w:h="11910" w:orient="landscape"/>
          <w:pgMar w:footer="1188" w:header="867" w:top="1060" w:bottom="1380" w:left="1300" w:right="0"/>
          <w:pgNumType w:start="67"/>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4"/>
        <w:spacing w:line="240" w:lineRule="auto" w:before="31"/>
        <w:ind w:left="473" w:right="4592"/>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2"/>
          <w:szCs w:val="22"/>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38"/>
        <w:ind w:left="0" w:right="701" w:firstLine="0"/>
        <w:jc w:val="right"/>
        <w:rPr>
          <w:rFonts w:ascii="宋体" w:hAnsi="宋体" w:cs="宋体" w:eastAsia="宋体" w:hint="default"/>
          <w:sz w:val="20"/>
          <w:szCs w:val="20"/>
        </w:rPr>
      </w:pPr>
      <w:r>
        <w:rPr/>
        <w:pict>
          <v:shape style="position:absolute;margin-left:38.639999pt;margin-top:-363.800323pt;width:518.3pt;height:509.3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9"/>
                    <w:gridCol w:w="764"/>
                    <w:gridCol w:w="758"/>
                    <w:gridCol w:w="736"/>
                    <w:gridCol w:w="750"/>
                    <w:gridCol w:w="990"/>
                    <w:gridCol w:w="898"/>
                    <w:gridCol w:w="896"/>
                    <w:gridCol w:w="974"/>
                    <w:gridCol w:w="745"/>
                    <w:gridCol w:w="750"/>
                    <w:gridCol w:w="750"/>
                    <w:gridCol w:w="592"/>
                  </w:tblGrid>
                  <w:tr>
                    <w:trPr>
                      <w:trHeight w:val="789"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69" w:right="0"/>
                          <w:jc w:val="left"/>
                          <w:rPr>
                            <w:rFonts w:ascii="宋体" w:hAnsi="宋体" w:cs="宋体" w:eastAsia="宋体" w:hint="default"/>
                            <w:sz w:val="20"/>
                            <w:szCs w:val="20"/>
                          </w:rPr>
                        </w:pPr>
                        <w:r>
                          <w:rPr>
                            <w:rFonts w:ascii="宋体" w:hAnsi="宋体" w:cs="宋体" w:eastAsia="宋体" w:hint="default"/>
                            <w:sz w:val="20"/>
                            <w:szCs w:val="20"/>
                          </w:rPr>
                          <w:t>关联方</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76" w:right="75" w:hanging="201"/>
                          <w:jc w:val="left"/>
                          <w:rPr>
                            <w:rFonts w:ascii="宋体" w:hAnsi="宋体" w:cs="宋体" w:eastAsia="宋体" w:hint="default"/>
                            <w:sz w:val="20"/>
                            <w:szCs w:val="20"/>
                          </w:rPr>
                        </w:pPr>
                        <w:r>
                          <w:rPr>
                            <w:rFonts w:ascii="宋体" w:hAnsi="宋体" w:cs="宋体" w:eastAsia="宋体" w:hint="default"/>
                            <w:sz w:val="20"/>
                            <w:szCs w:val="20"/>
                          </w:rPr>
                          <w:t>关联关</w:t>
                        </w:r>
                        <w:r>
                          <w:rPr>
                            <w:rFonts w:ascii="宋体" w:hAnsi="宋体" w:cs="宋体" w:eastAsia="宋体" w:hint="default"/>
                            <w:w w:val="100"/>
                            <w:sz w:val="20"/>
                            <w:szCs w:val="20"/>
                          </w:rPr>
                          <w:t> </w:t>
                        </w:r>
                        <w:r>
                          <w:rPr>
                            <w:rFonts w:ascii="宋体" w:hAnsi="宋体" w:cs="宋体" w:eastAsia="宋体" w:hint="default"/>
                            <w:sz w:val="20"/>
                            <w:szCs w:val="20"/>
                          </w:rPr>
                          <w:t>系</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68" w:right="76"/>
                          <w:jc w:val="left"/>
                          <w:rPr>
                            <w:rFonts w:ascii="宋体" w:hAnsi="宋体" w:cs="宋体" w:eastAsia="宋体" w:hint="default"/>
                            <w:sz w:val="20"/>
                            <w:szCs w:val="20"/>
                          </w:rPr>
                        </w:pPr>
                        <w:r>
                          <w:rPr>
                            <w:rFonts w:ascii="宋体" w:hAnsi="宋体" w:cs="宋体" w:eastAsia="宋体" w:hint="default"/>
                            <w:sz w:val="20"/>
                            <w:szCs w:val="20"/>
                          </w:rPr>
                          <w:t>关联交</w:t>
                        </w:r>
                        <w:r>
                          <w:rPr>
                            <w:rFonts w:ascii="宋体" w:hAnsi="宋体" w:cs="宋体" w:eastAsia="宋体" w:hint="default"/>
                            <w:w w:val="100"/>
                            <w:sz w:val="20"/>
                            <w:szCs w:val="20"/>
                          </w:rPr>
                          <w:t> </w:t>
                        </w:r>
                        <w:r>
                          <w:rPr>
                            <w:rFonts w:ascii="宋体" w:hAnsi="宋体" w:cs="宋体" w:eastAsia="宋体" w:hint="default"/>
                            <w:sz w:val="20"/>
                            <w:szCs w:val="20"/>
                          </w:rPr>
                          <w:t>易类型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56" w:right="66"/>
                          <w:jc w:val="left"/>
                          <w:rPr>
                            <w:rFonts w:ascii="宋体" w:hAnsi="宋体" w:cs="宋体" w:eastAsia="宋体" w:hint="default"/>
                            <w:sz w:val="20"/>
                            <w:szCs w:val="20"/>
                          </w:rPr>
                        </w:pPr>
                        <w:r>
                          <w:rPr>
                            <w:rFonts w:ascii="宋体" w:hAnsi="宋体" w:cs="宋体" w:eastAsia="宋体" w:hint="default"/>
                            <w:sz w:val="20"/>
                            <w:szCs w:val="20"/>
                          </w:rPr>
                          <w:t>关联交</w:t>
                        </w:r>
                        <w:r>
                          <w:rPr>
                            <w:rFonts w:ascii="宋体" w:hAnsi="宋体" w:cs="宋体" w:eastAsia="宋体" w:hint="default"/>
                            <w:w w:val="100"/>
                            <w:sz w:val="20"/>
                            <w:szCs w:val="20"/>
                          </w:rPr>
                          <w:t> </w:t>
                        </w:r>
                        <w:r>
                          <w:rPr>
                            <w:rFonts w:ascii="宋体" w:hAnsi="宋体" w:cs="宋体" w:eastAsia="宋体" w:hint="default"/>
                            <w:sz w:val="20"/>
                            <w:szCs w:val="20"/>
                          </w:rPr>
                          <w:t>易内容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70" w:right="0"/>
                          <w:jc w:val="left"/>
                          <w:rPr>
                            <w:rFonts w:ascii="宋体" w:hAnsi="宋体" w:cs="宋体" w:eastAsia="宋体" w:hint="default"/>
                            <w:sz w:val="20"/>
                            <w:szCs w:val="20"/>
                          </w:rPr>
                        </w:pPr>
                        <w:r>
                          <w:rPr>
                            <w:rFonts w:ascii="宋体" w:hAnsi="宋体" w:cs="宋体" w:eastAsia="宋体" w:hint="default"/>
                            <w:sz w:val="20"/>
                            <w:szCs w:val="20"/>
                          </w:rPr>
                          <w:t>关联交</w:t>
                        </w:r>
                      </w:p>
                      <w:p>
                        <w:pPr>
                          <w:pStyle w:val="TableParagraph"/>
                          <w:spacing w:line="260" w:lineRule="exact" w:before="25"/>
                          <w:ind w:left="170" w:right="66" w:hanging="100"/>
                          <w:jc w:val="left"/>
                          <w:rPr>
                            <w:rFonts w:ascii="宋体" w:hAnsi="宋体" w:cs="宋体" w:eastAsia="宋体" w:hint="default"/>
                            <w:sz w:val="20"/>
                            <w:szCs w:val="20"/>
                          </w:rPr>
                        </w:pPr>
                        <w:r>
                          <w:rPr>
                            <w:rFonts w:ascii="宋体" w:hAnsi="宋体" w:cs="宋体" w:eastAsia="宋体" w:hint="default"/>
                            <w:sz w:val="20"/>
                            <w:szCs w:val="20"/>
                          </w:rPr>
                          <w:t>易定价</w:t>
                        </w:r>
                        <w:r>
                          <w:rPr>
                            <w:rFonts w:ascii="宋体" w:hAnsi="宋体" w:cs="宋体" w:eastAsia="宋体" w:hint="default"/>
                            <w:w w:val="100"/>
                            <w:sz w:val="20"/>
                            <w:szCs w:val="20"/>
                          </w:rPr>
                          <w:t> </w:t>
                        </w:r>
                        <w:r>
                          <w:rPr>
                            <w:rFonts w:ascii="宋体" w:hAnsi="宋体" w:cs="宋体" w:eastAsia="宋体" w:hint="default"/>
                            <w:sz w:val="20"/>
                            <w:szCs w:val="20"/>
                          </w:rPr>
                          <w:t>原则</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90" w:right="0"/>
                          <w:jc w:val="left"/>
                          <w:rPr>
                            <w:rFonts w:ascii="宋体" w:hAnsi="宋体" w:cs="宋体" w:eastAsia="宋体" w:hint="default"/>
                            <w:sz w:val="20"/>
                            <w:szCs w:val="20"/>
                          </w:rPr>
                        </w:pPr>
                        <w:r>
                          <w:rPr>
                            <w:rFonts w:ascii="宋体" w:hAnsi="宋体" w:cs="宋体" w:eastAsia="宋体" w:hint="default"/>
                            <w:sz w:val="20"/>
                            <w:szCs w:val="20"/>
                          </w:rPr>
                          <w:t>转让资产</w:t>
                        </w:r>
                      </w:p>
                      <w:p>
                        <w:pPr>
                          <w:pStyle w:val="TableParagraph"/>
                          <w:spacing w:line="260" w:lineRule="exact" w:before="25"/>
                          <w:ind w:left="390" w:right="87" w:hanging="301"/>
                          <w:jc w:val="left"/>
                          <w:rPr>
                            <w:rFonts w:ascii="宋体" w:hAnsi="宋体" w:cs="宋体" w:eastAsia="宋体" w:hint="default"/>
                            <w:sz w:val="20"/>
                            <w:szCs w:val="20"/>
                          </w:rPr>
                        </w:pPr>
                        <w:r>
                          <w:rPr>
                            <w:rFonts w:ascii="宋体" w:hAnsi="宋体" w:cs="宋体" w:eastAsia="宋体" w:hint="default"/>
                            <w:sz w:val="20"/>
                            <w:szCs w:val="20"/>
                          </w:rPr>
                          <w:t>的账面价</w:t>
                        </w:r>
                        <w:r>
                          <w:rPr>
                            <w:rFonts w:ascii="宋体" w:hAnsi="宋体" w:cs="宋体" w:eastAsia="宋体" w:hint="default"/>
                            <w:w w:val="100"/>
                            <w:sz w:val="20"/>
                            <w:szCs w:val="20"/>
                          </w:rPr>
                          <w:t> </w:t>
                        </w:r>
                        <w:r>
                          <w:rPr>
                            <w:rFonts w:ascii="宋体" w:hAnsi="宋体" w:cs="宋体" w:eastAsia="宋体" w:hint="default"/>
                            <w:sz w:val="20"/>
                            <w:szCs w:val="20"/>
                          </w:rPr>
                          <w:t>值</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4" w:right="0"/>
                          <w:jc w:val="left"/>
                          <w:rPr>
                            <w:rFonts w:ascii="宋体" w:hAnsi="宋体" w:cs="宋体" w:eastAsia="宋体" w:hint="default"/>
                            <w:sz w:val="20"/>
                            <w:szCs w:val="20"/>
                          </w:rPr>
                        </w:pPr>
                        <w:r>
                          <w:rPr>
                            <w:rFonts w:ascii="宋体" w:hAnsi="宋体" w:cs="宋体" w:eastAsia="宋体" w:hint="default"/>
                            <w:sz w:val="20"/>
                            <w:szCs w:val="20"/>
                          </w:rPr>
                          <w:t>转让资产</w:t>
                        </w:r>
                      </w:p>
                      <w:p>
                        <w:pPr>
                          <w:pStyle w:val="TableParagraph"/>
                          <w:spacing w:line="260" w:lineRule="exact" w:before="25"/>
                          <w:ind w:left="344" w:right="41" w:hanging="300"/>
                          <w:jc w:val="left"/>
                          <w:rPr>
                            <w:rFonts w:ascii="宋体" w:hAnsi="宋体" w:cs="宋体" w:eastAsia="宋体" w:hint="default"/>
                            <w:sz w:val="20"/>
                            <w:szCs w:val="20"/>
                          </w:rPr>
                        </w:pPr>
                        <w:r>
                          <w:rPr>
                            <w:rFonts w:ascii="宋体" w:hAnsi="宋体" w:cs="宋体" w:eastAsia="宋体" w:hint="default"/>
                            <w:sz w:val="20"/>
                            <w:szCs w:val="20"/>
                          </w:rPr>
                          <w:t>的评估价</w:t>
                        </w:r>
                        <w:r>
                          <w:rPr>
                            <w:rFonts w:ascii="宋体" w:hAnsi="宋体" w:cs="宋体" w:eastAsia="宋体" w:hint="default"/>
                            <w:w w:val="100"/>
                            <w:sz w:val="20"/>
                            <w:szCs w:val="20"/>
                          </w:rPr>
                          <w:t> </w:t>
                        </w:r>
                        <w:r>
                          <w:rPr>
                            <w:rFonts w:ascii="宋体" w:hAnsi="宋体" w:cs="宋体" w:eastAsia="宋体" w:hint="default"/>
                            <w:sz w:val="20"/>
                            <w:szCs w:val="20"/>
                          </w:rPr>
                          <w:t>值</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43" w:right="41" w:hanging="201"/>
                          <w:jc w:val="left"/>
                          <w:rPr>
                            <w:rFonts w:ascii="宋体" w:hAnsi="宋体" w:cs="宋体" w:eastAsia="宋体" w:hint="default"/>
                            <w:sz w:val="20"/>
                            <w:szCs w:val="20"/>
                          </w:rPr>
                        </w:pPr>
                        <w:r>
                          <w:rPr>
                            <w:rFonts w:ascii="宋体" w:hAnsi="宋体" w:cs="宋体" w:eastAsia="宋体" w:hint="default"/>
                            <w:sz w:val="20"/>
                            <w:szCs w:val="20"/>
                          </w:rPr>
                          <w:t>市场公允</w:t>
                        </w:r>
                        <w:r>
                          <w:rPr>
                            <w:rFonts w:ascii="宋体" w:hAnsi="宋体" w:cs="宋体" w:eastAsia="宋体" w:hint="default"/>
                            <w:w w:val="100"/>
                            <w:sz w:val="20"/>
                            <w:szCs w:val="20"/>
                          </w:rPr>
                          <w:t> </w:t>
                        </w:r>
                        <w:r>
                          <w:rPr>
                            <w:rFonts w:ascii="宋体" w:hAnsi="宋体" w:cs="宋体" w:eastAsia="宋体" w:hint="default"/>
                            <w:sz w:val="20"/>
                            <w:szCs w:val="20"/>
                          </w:rPr>
                          <w:t>价值</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before="98"/>
                          <w:ind w:right="0"/>
                          <w:jc w:val="center"/>
                          <w:rPr>
                            <w:rFonts w:ascii="宋体" w:hAnsi="宋体" w:cs="宋体" w:eastAsia="宋体" w:hint="default"/>
                            <w:sz w:val="20"/>
                            <w:szCs w:val="20"/>
                          </w:rPr>
                        </w:pPr>
                        <w:r>
                          <w:rPr>
                            <w:rFonts w:ascii="宋体" w:hAnsi="宋体" w:cs="宋体" w:eastAsia="宋体" w:hint="default"/>
                            <w:sz w:val="20"/>
                            <w:szCs w:val="20"/>
                          </w:rPr>
                          <w:t>转让价格</w:t>
                        </w:r>
                      </w:p>
                      <w:p>
                        <w:pPr>
                          <w:pStyle w:val="TableParagraph"/>
                          <w:spacing w:line="261" w:lineRule="exact"/>
                          <w:ind w:left="2" w:right="0"/>
                          <w:jc w:val="center"/>
                          <w:rPr>
                            <w:rFonts w:ascii="宋体" w:hAnsi="宋体" w:cs="宋体" w:eastAsia="宋体" w:hint="default"/>
                            <w:sz w:val="20"/>
                            <w:szCs w:val="20"/>
                          </w:rPr>
                        </w:pPr>
                        <w:r>
                          <w:rPr>
                            <w:rFonts w:ascii="宋体" w:hAnsi="宋体" w:cs="宋体" w:eastAsia="宋体" w:hint="default"/>
                            <w:sz w:val="20"/>
                            <w:szCs w:val="20"/>
                          </w:rPr>
                          <w:t>（注）</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67" w:right="0"/>
                          <w:jc w:val="left"/>
                          <w:rPr>
                            <w:rFonts w:ascii="宋体" w:hAnsi="宋体" w:cs="宋体" w:eastAsia="宋体" w:hint="default"/>
                            <w:sz w:val="20"/>
                            <w:szCs w:val="20"/>
                          </w:rPr>
                        </w:pPr>
                        <w:r>
                          <w:rPr>
                            <w:rFonts w:ascii="宋体" w:hAnsi="宋体" w:cs="宋体" w:eastAsia="宋体" w:hint="default"/>
                            <w:sz w:val="20"/>
                            <w:szCs w:val="20"/>
                          </w:rPr>
                          <w:t>关联交</w:t>
                        </w:r>
                      </w:p>
                      <w:p>
                        <w:pPr>
                          <w:pStyle w:val="TableParagraph"/>
                          <w:spacing w:line="260" w:lineRule="exact" w:before="25"/>
                          <w:ind w:left="166" w:right="65" w:hanging="100"/>
                          <w:jc w:val="left"/>
                          <w:rPr>
                            <w:rFonts w:ascii="宋体" w:hAnsi="宋体" w:cs="宋体" w:eastAsia="宋体" w:hint="default"/>
                            <w:sz w:val="20"/>
                            <w:szCs w:val="20"/>
                          </w:rPr>
                        </w:pPr>
                        <w:r>
                          <w:rPr>
                            <w:rFonts w:ascii="宋体" w:hAnsi="宋体" w:cs="宋体" w:eastAsia="宋体" w:hint="default"/>
                            <w:sz w:val="20"/>
                            <w:szCs w:val="20"/>
                          </w:rPr>
                          <w:t>易结算</w:t>
                        </w:r>
                        <w:r>
                          <w:rPr>
                            <w:rFonts w:ascii="宋体" w:hAnsi="宋体" w:cs="宋体" w:eastAsia="宋体" w:hint="default"/>
                            <w:w w:val="100"/>
                            <w:sz w:val="20"/>
                            <w:szCs w:val="20"/>
                          </w:rPr>
                          <w:t> </w:t>
                        </w:r>
                        <w:r>
                          <w:rPr>
                            <w:rFonts w:ascii="宋体" w:hAnsi="宋体" w:cs="宋体" w:eastAsia="宋体" w:hint="default"/>
                            <w:sz w:val="20"/>
                            <w:szCs w:val="20"/>
                          </w:rPr>
                          <w:t>方式</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68" w:right="67" w:hanging="200"/>
                          <w:jc w:val="left"/>
                          <w:rPr>
                            <w:rFonts w:ascii="宋体" w:hAnsi="宋体" w:cs="宋体" w:eastAsia="宋体" w:hint="default"/>
                            <w:sz w:val="20"/>
                            <w:szCs w:val="20"/>
                          </w:rPr>
                        </w:pPr>
                        <w:r>
                          <w:rPr>
                            <w:rFonts w:ascii="宋体" w:hAnsi="宋体" w:cs="宋体" w:eastAsia="宋体" w:hint="default"/>
                            <w:sz w:val="20"/>
                            <w:szCs w:val="20"/>
                          </w:rPr>
                          <w:t>交易损</w:t>
                        </w:r>
                        <w:r>
                          <w:rPr>
                            <w:rFonts w:ascii="宋体" w:hAnsi="宋体" w:cs="宋体" w:eastAsia="宋体" w:hint="default"/>
                            <w:w w:val="100"/>
                            <w:sz w:val="20"/>
                            <w:szCs w:val="20"/>
                          </w:rPr>
                          <w:t> </w:t>
                        </w:r>
                        <w:r>
                          <w:rPr>
                            <w:rFonts w:ascii="宋体" w:hAnsi="宋体" w:cs="宋体" w:eastAsia="宋体" w:hint="default"/>
                            <w:sz w:val="20"/>
                            <w:szCs w:val="20"/>
                          </w:rPr>
                          <w:t>益</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68" w:right="67" w:hanging="200"/>
                          <w:jc w:val="left"/>
                          <w:rPr>
                            <w:rFonts w:ascii="宋体" w:hAnsi="宋体" w:cs="宋体" w:eastAsia="宋体" w:hint="default"/>
                            <w:sz w:val="20"/>
                            <w:szCs w:val="20"/>
                          </w:rPr>
                        </w:pPr>
                        <w:r>
                          <w:rPr>
                            <w:rFonts w:ascii="宋体" w:hAnsi="宋体" w:cs="宋体" w:eastAsia="宋体" w:hint="default"/>
                            <w:sz w:val="20"/>
                            <w:szCs w:val="20"/>
                          </w:rPr>
                          <w:t>披露日</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91" w:right="89"/>
                          <w:jc w:val="left"/>
                          <w:rPr>
                            <w:rFonts w:ascii="宋体" w:hAnsi="宋体" w:cs="宋体" w:eastAsia="宋体" w:hint="default"/>
                            <w:sz w:val="20"/>
                            <w:szCs w:val="20"/>
                          </w:rPr>
                        </w:pPr>
                        <w:r>
                          <w:rPr>
                            <w:rFonts w:ascii="宋体" w:hAnsi="宋体" w:cs="宋体" w:eastAsia="宋体" w:hint="default"/>
                            <w:sz w:val="20"/>
                            <w:szCs w:val="20"/>
                          </w:rPr>
                          <w:t>披露</w:t>
                        </w:r>
                        <w:r>
                          <w:rPr>
                            <w:rFonts w:ascii="宋体" w:hAnsi="宋体" w:cs="宋体" w:eastAsia="宋体" w:hint="default"/>
                            <w:w w:val="100"/>
                            <w:sz w:val="20"/>
                            <w:szCs w:val="20"/>
                          </w:rPr>
                          <w:t> </w:t>
                        </w:r>
                        <w:r>
                          <w:rPr>
                            <w:rFonts w:ascii="宋体" w:hAnsi="宋体" w:cs="宋体" w:eastAsia="宋体" w:hint="default"/>
                            <w:sz w:val="20"/>
                            <w:szCs w:val="20"/>
                          </w:rPr>
                          <w:t>索引</w:t>
                        </w:r>
                      </w:p>
                    </w:tc>
                  </w:tr>
                  <w:tr>
                    <w:trPr>
                      <w:trHeight w:val="4703" w:hRule="exact"/>
                    </w:trPr>
                    <w:tc>
                      <w:tcPr>
                        <w:tcW w:w="749" w:type="dxa"/>
                        <w:tcBorders>
                          <w:top w:val="single" w:sz="4" w:space="0" w:color="000000"/>
                          <w:left w:val="single" w:sz="4" w:space="0" w:color="000000"/>
                          <w:bottom w:val="single" w:sz="4" w:space="0" w:color="000000"/>
                          <w:right w:val="single" w:sz="13" w:space="0" w:color="FFFFFF"/>
                        </w:tcBorders>
                      </w:tcPr>
                      <w:p>
                        <w:pPr>
                          <w:pStyle w:val="TableParagraph"/>
                          <w:spacing w:line="228" w:lineRule="exact"/>
                          <w:ind w:left="24" w:right="0"/>
                          <w:jc w:val="both"/>
                          <w:rPr>
                            <w:rFonts w:ascii="宋体" w:hAnsi="宋体" w:cs="宋体" w:eastAsia="宋体" w:hint="default"/>
                            <w:sz w:val="20"/>
                            <w:szCs w:val="20"/>
                          </w:rPr>
                        </w:pPr>
                        <w:r>
                          <w:rPr>
                            <w:rFonts w:ascii="宋体" w:hAnsi="宋体" w:cs="宋体" w:eastAsia="宋体" w:hint="default"/>
                            <w:spacing w:val="29"/>
                            <w:sz w:val="20"/>
                            <w:szCs w:val="20"/>
                          </w:rPr>
                          <w:t>苏宁文</w:t>
                        </w:r>
                        <w:r>
                          <w:rPr>
                            <w:rFonts w:ascii="宋体" w:hAnsi="宋体" w:cs="宋体" w:eastAsia="宋体" w:hint="default"/>
                            <w:spacing w:val="-55"/>
                            <w:sz w:val="20"/>
                            <w:szCs w:val="20"/>
                          </w:rPr>
                          <w:t> </w:t>
                        </w:r>
                        <w:r>
                          <w:rPr>
                            <w:rFonts w:ascii="宋体" w:hAnsi="宋体" w:cs="宋体" w:eastAsia="宋体" w:hint="default"/>
                            <w:sz w:val="20"/>
                            <w:szCs w:val="20"/>
                          </w:rPr>
                        </w:r>
                      </w:p>
                      <w:p>
                        <w:pPr>
                          <w:pStyle w:val="TableParagraph"/>
                          <w:spacing w:line="237" w:lineRule="auto" w:before="1"/>
                          <w:ind w:left="24" w:right="-35"/>
                          <w:jc w:val="both"/>
                          <w:rPr>
                            <w:rFonts w:ascii="宋体" w:hAnsi="宋体" w:cs="宋体" w:eastAsia="宋体" w:hint="default"/>
                            <w:sz w:val="20"/>
                            <w:szCs w:val="20"/>
                          </w:rPr>
                        </w:pPr>
                        <w:r>
                          <w:rPr>
                            <w:rFonts w:ascii="宋体" w:hAnsi="宋体" w:cs="宋体" w:eastAsia="宋体" w:hint="default"/>
                            <w:spacing w:val="29"/>
                            <w:sz w:val="20"/>
                            <w:szCs w:val="20"/>
                          </w:rPr>
                          <w:t>化投资</w:t>
                        </w:r>
                        <w:r>
                          <w:rPr>
                            <w:rFonts w:ascii="宋体" w:hAnsi="宋体" w:cs="宋体" w:eastAsia="宋体" w:hint="default"/>
                            <w:spacing w:val="-96"/>
                            <w:sz w:val="20"/>
                            <w:szCs w:val="20"/>
                          </w:rPr>
                          <w:t> </w:t>
                        </w:r>
                        <w:r>
                          <w:rPr>
                            <w:rFonts w:ascii="宋体" w:hAnsi="宋体" w:cs="宋体" w:eastAsia="宋体" w:hint="default"/>
                            <w:spacing w:val="29"/>
                            <w:sz w:val="20"/>
                            <w:szCs w:val="20"/>
                          </w:rPr>
                          <w:t>管理有</w:t>
                        </w:r>
                        <w:r>
                          <w:rPr>
                            <w:rFonts w:ascii="宋体" w:hAnsi="宋体" w:cs="宋体" w:eastAsia="宋体" w:hint="default"/>
                            <w:spacing w:val="-96"/>
                            <w:sz w:val="20"/>
                            <w:szCs w:val="20"/>
                          </w:rPr>
                          <w:t> </w:t>
                        </w:r>
                        <w:r>
                          <w:rPr>
                            <w:rFonts w:ascii="宋体" w:hAnsi="宋体" w:cs="宋体" w:eastAsia="宋体" w:hint="default"/>
                            <w:sz w:val="20"/>
                            <w:szCs w:val="20"/>
                          </w:rPr>
                          <w:t>限公司</w:t>
                        </w:r>
                      </w:p>
                    </w:tc>
                    <w:tc>
                      <w:tcPr>
                        <w:tcW w:w="764" w:type="dxa"/>
                        <w:tcBorders>
                          <w:top w:val="single" w:sz="4" w:space="0" w:color="000000"/>
                          <w:left w:val="single" w:sz="13" w:space="0" w:color="FFFFFF"/>
                          <w:bottom w:val="single" w:sz="4" w:space="0" w:color="000000"/>
                          <w:right w:val="single" w:sz="4" w:space="0" w:color="000000"/>
                        </w:tcBorders>
                      </w:tcPr>
                      <w:p>
                        <w:pPr>
                          <w:pStyle w:val="TableParagraph"/>
                          <w:spacing w:line="228" w:lineRule="exact"/>
                          <w:ind w:left="11" w:right="0"/>
                          <w:jc w:val="both"/>
                          <w:rPr>
                            <w:rFonts w:ascii="宋体" w:hAnsi="宋体" w:cs="宋体" w:eastAsia="宋体" w:hint="default"/>
                            <w:sz w:val="20"/>
                            <w:szCs w:val="20"/>
                          </w:rPr>
                        </w:pPr>
                        <w:r>
                          <w:rPr>
                            <w:rFonts w:ascii="宋体" w:hAnsi="宋体" w:cs="宋体" w:eastAsia="宋体" w:hint="default"/>
                            <w:sz w:val="20"/>
                            <w:szCs w:val="20"/>
                          </w:rPr>
                          <w:t>公</w:t>
                        </w:r>
                        <w:r>
                          <w:rPr>
                            <w:rFonts w:ascii="宋体" w:hAnsi="宋体" w:cs="宋体" w:eastAsia="宋体" w:hint="default"/>
                            <w:spacing w:val="-48"/>
                            <w:sz w:val="20"/>
                            <w:szCs w:val="20"/>
                          </w:rPr>
                          <w:t> </w:t>
                        </w:r>
                        <w:r>
                          <w:rPr>
                            <w:rFonts w:ascii="宋体" w:hAnsi="宋体" w:cs="宋体" w:eastAsia="宋体" w:hint="default"/>
                            <w:sz w:val="20"/>
                            <w:szCs w:val="20"/>
                          </w:rPr>
                          <w:t>司</w:t>
                        </w:r>
                        <w:r>
                          <w:rPr>
                            <w:rFonts w:ascii="宋体" w:hAnsi="宋体" w:cs="宋体" w:eastAsia="宋体" w:hint="default"/>
                            <w:spacing w:val="-47"/>
                            <w:sz w:val="20"/>
                            <w:szCs w:val="20"/>
                          </w:rPr>
                          <w:t> </w:t>
                        </w:r>
                        <w:r>
                          <w:rPr>
                            <w:rFonts w:ascii="宋体" w:hAnsi="宋体" w:cs="宋体" w:eastAsia="宋体" w:hint="default"/>
                            <w:sz w:val="20"/>
                            <w:szCs w:val="20"/>
                          </w:rPr>
                          <w:t>实</w:t>
                        </w:r>
                      </w:p>
                      <w:p>
                        <w:pPr>
                          <w:pStyle w:val="TableParagraph"/>
                          <w:spacing w:line="237" w:lineRule="auto" w:before="1"/>
                          <w:ind w:left="11" w:right="21"/>
                          <w:jc w:val="both"/>
                          <w:rPr>
                            <w:rFonts w:ascii="宋体" w:hAnsi="宋体" w:cs="宋体" w:eastAsia="宋体" w:hint="default"/>
                            <w:sz w:val="20"/>
                            <w:szCs w:val="20"/>
                          </w:rPr>
                        </w:pPr>
                        <w:r>
                          <w:rPr>
                            <w:rFonts w:ascii="宋体" w:hAnsi="宋体" w:cs="宋体" w:eastAsia="宋体" w:hint="default"/>
                            <w:sz w:val="20"/>
                            <w:szCs w:val="20"/>
                          </w:rPr>
                          <w:t>际</w:t>
                        </w:r>
                        <w:r>
                          <w:rPr>
                            <w:rFonts w:ascii="宋体" w:hAnsi="宋体" w:cs="宋体" w:eastAsia="宋体" w:hint="default"/>
                            <w:spacing w:val="-48"/>
                            <w:sz w:val="20"/>
                            <w:szCs w:val="20"/>
                          </w:rPr>
                          <w:t> </w:t>
                        </w:r>
                        <w:r>
                          <w:rPr>
                            <w:rFonts w:ascii="宋体" w:hAnsi="宋体" w:cs="宋体" w:eastAsia="宋体" w:hint="default"/>
                            <w:sz w:val="20"/>
                            <w:szCs w:val="20"/>
                          </w:rPr>
                          <w:t>控</w:t>
                        </w:r>
                        <w:r>
                          <w:rPr>
                            <w:rFonts w:ascii="宋体" w:hAnsi="宋体" w:cs="宋体" w:eastAsia="宋体" w:hint="default"/>
                            <w:spacing w:val="-47"/>
                            <w:sz w:val="20"/>
                            <w:szCs w:val="20"/>
                          </w:rPr>
                          <w:t> </w:t>
                        </w:r>
                        <w:r>
                          <w:rPr>
                            <w:rFonts w:ascii="宋体" w:hAnsi="宋体" w:cs="宋体" w:eastAsia="宋体" w:hint="default"/>
                            <w:sz w:val="20"/>
                            <w:szCs w:val="20"/>
                          </w:rPr>
                          <w:t>制</w:t>
                        </w:r>
                        <w:r>
                          <w:rPr>
                            <w:rFonts w:ascii="宋体" w:hAnsi="宋体" w:cs="宋体" w:eastAsia="宋体" w:hint="default"/>
                            <w:w w:val="100"/>
                            <w:sz w:val="20"/>
                            <w:szCs w:val="20"/>
                          </w:rPr>
                          <w:t> </w:t>
                        </w:r>
                        <w:r>
                          <w:rPr>
                            <w:rFonts w:ascii="宋体" w:hAnsi="宋体" w:cs="宋体" w:eastAsia="宋体" w:hint="default"/>
                            <w:sz w:val="20"/>
                            <w:szCs w:val="20"/>
                          </w:rPr>
                          <w:t>人</w:t>
                        </w:r>
                        <w:r>
                          <w:rPr>
                            <w:rFonts w:ascii="宋体" w:hAnsi="宋体" w:cs="宋体" w:eastAsia="宋体" w:hint="default"/>
                            <w:spacing w:val="-48"/>
                            <w:sz w:val="20"/>
                            <w:szCs w:val="20"/>
                          </w:rPr>
                          <w:t> </w:t>
                        </w:r>
                        <w:r>
                          <w:rPr>
                            <w:rFonts w:ascii="宋体" w:hAnsi="宋体" w:cs="宋体" w:eastAsia="宋体" w:hint="default"/>
                            <w:sz w:val="20"/>
                            <w:szCs w:val="20"/>
                          </w:rPr>
                          <w:t>张</w:t>
                        </w:r>
                        <w:r>
                          <w:rPr>
                            <w:rFonts w:ascii="宋体" w:hAnsi="宋体" w:cs="宋体" w:eastAsia="宋体" w:hint="default"/>
                            <w:spacing w:val="-47"/>
                            <w:sz w:val="20"/>
                            <w:szCs w:val="20"/>
                          </w:rPr>
                          <w:t> </w:t>
                        </w:r>
                        <w:r>
                          <w:rPr>
                            <w:rFonts w:ascii="宋体" w:hAnsi="宋体" w:cs="宋体" w:eastAsia="宋体" w:hint="default"/>
                            <w:sz w:val="20"/>
                            <w:szCs w:val="20"/>
                          </w:rPr>
                          <w:t>近</w:t>
                        </w:r>
                        <w:r>
                          <w:rPr>
                            <w:rFonts w:ascii="宋体" w:hAnsi="宋体" w:cs="宋体" w:eastAsia="宋体" w:hint="default"/>
                            <w:w w:val="100"/>
                            <w:sz w:val="20"/>
                            <w:szCs w:val="20"/>
                          </w:rPr>
                          <w:t> </w:t>
                        </w:r>
                        <w:r>
                          <w:rPr>
                            <w:rFonts w:ascii="宋体" w:hAnsi="宋体" w:cs="宋体" w:eastAsia="宋体" w:hint="default"/>
                            <w:sz w:val="20"/>
                            <w:szCs w:val="20"/>
                          </w:rPr>
                          <w:t>东</w:t>
                        </w:r>
                        <w:r>
                          <w:rPr>
                            <w:rFonts w:ascii="宋体" w:hAnsi="宋体" w:cs="宋体" w:eastAsia="宋体" w:hint="default"/>
                            <w:spacing w:val="-48"/>
                            <w:sz w:val="20"/>
                            <w:szCs w:val="20"/>
                          </w:rPr>
                          <w:t> </w:t>
                        </w:r>
                        <w:r>
                          <w:rPr>
                            <w:rFonts w:ascii="宋体" w:hAnsi="宋体" w:cs="宋体" w:eastAsia="宋体" w:hint="default"/>
                            <w:sz w:val="20"/>
                            <w:szCs w:val="20"/>
                          </w:rPr>
                          <w:t>先</w:t>
                        </w:r>
                        <w:r>
                          <w:rPr>
                            <w:rFonts w:ascii="宋体" w:hAnsi="宋体" w:cs="宋体" w:eastAsia="宋体" w:hint="default"/>
                            <w:spacing w:val="-47"/>
                            <w:sz w:val="20"/>
                            <w:szCs w:val="20"/>
                          </w:rPr>
                          <w:t> </w:t>
                        </w:r>
                        <w:r>
                          <w:rPr>
                            <w:rFonts w:ascii="宋体" w:hAnsi="宋体" w:cs="宋体" w:eastAsia="宋体" w:hint="default"/>
                            <w:sz w:val="20"/>
                            <w:szCs w:val="20"/>
                          </w:rPr>
                          <w:t>生</w:t>
                        </w:r>
                        <w:r>
                          <w:rPr>
                            <w:rFonts w:ascii="宋体" w:hAnsi="宋体" w:cs="宋体" w:eastAsia="宋体" w:hint="default"/>
                            <w:w w:val="100"/>
                            <w:sz w:val="20"/>
                            <w:szCs w:val="20"/>
                          </w:rPr>
                          <w:t> </w:t>
                        </w:r>
                        <w:r>
                          <w:rPr>
                            <w:rFonts w:ascii="宋体" w:hAnsi="宋体" w:cs="宋体" w:eastAsia="宋体" w:hint="default"/>
                            <w:sz w:val="20"/>
                            <w:szCs w:val="20"/>
                          </w:rPr>
                          <w:t>控</w:t>
                        </w:r>
                        <w:r>
                          <w:rPr>
                            <w:rFonts w:ascii="宋体" w:hAnsi="宋体" w:cs="宋体" w:eastAsia="宋体" w:hint="default"/>
                            <w:spacing w:val="-48"/>
                            <w:sz w:val="20"/>
                            <w:szCs w:val="20"/>
                          </w:rPr>
                          <w:t> </w:t>
                        </w:r>
                        <w:r>
                          <w:rPr>
                            <w:rFonts w:ascii="宋体" w:hAnsi="宋体" w:cs="宋体" w:eastAsia="宋体" w:hint="default"/>
                            <w:sz w:val="20"/>
                            <w:szCs w:val="20"/>
                          </w:rPr>
                          <w:t>股</w:t>
                        </w:r>
                        <w:r>
                          <w:rPr>
                            <w:rFonts w:ascii="宋体" w:hAnsi="宋体" w:cs="宋体" w:eastAsia="宋体" w:hint="default"/>
                            <w:spacing w:val="-47"/>
                            <w:sz w:val="20"/>
                            <w:szCs w:val="20"/>
                          </w:rPr>
                          <w:t> </w:t>
                        </w:r>
                        <w:r>
                          <w:rPr>
                            <w:rFonts w:ascii="宋体" w:hAnsi="宋体" w:cs="宋体" w:eastAsia="宋体" w:hint="default"/>
                            <w:sz w:val="20"/>
                            <w:szCs w:val="20"/>
                          </w:rPr>
                          <w:t>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58" w:type="dxa"/>
                        <w:tcBorders>
                          <w:top w:val="single" w:sz="4" w:space="0" w:color="000000"/>
                          <w:left w:val="single" w:sz="4" w:space="0" w:color="000000"/>
                          <w:bottom w:val="single" w:sz="4" w:space="0" w:color="000000"/>
                          <w:right w:val="single" w:sz="13" w:space="0" w:color="FFFFFF"/>
                        </w:tcBorders>
                      </w:tcPr>
                      <w:p>
                        <w:pPr>
                          <w:pStyle w:val="TableParagraph"/>
                          <w:spacing w:line="228" w:lineRule="exact"/>
                          <w:ind w:left="22" w:right="-25"/>
                          <w:jc w:val="left"/>
                          <w:rPr>
                            <w:rFonts w:ascii="宋体" w:hAnsi="宋体" w:cs="宋体" w:eastAsia="宋体" w:hint="default"/>
                            <w:sz w:val="20"/>
                            <w:szCs w:val="20"/>
                          </w:rPr>
                        </w:pPr>
                        <w:r>
                          <w:rPr>
                            <w:rFonts w:ascii="宋体" w:hAnsi="宋体" w:cs="宋体" w:eastAsia="宋体" w:hint="default"/>
                            <w:spacing w:val="29"/>
                            <w:sz w:val="20"/>
                            <w:szCs w:val="20"/>
                          </w:rPr>
                          <w:t>受让股</w:t>
                        </w:r>
                        <w:r>
                          <w:rPr>
                            <w:rFonts w:ascii="宋体" w:hAnsi="宋体" w:cs="宋体" w:eastAsia="宋体" w:hint="default"/>
                            <w:spacing w:val="-55"/>
                            <w:sz w:val="20"/>
                            <w:szCs w:val="20"/>
                          </w:rPr>
                          <w:t> </w:t>
                        </w:r>
                        <w:r>
                          <w:rPr>
                            <w:rFonts w:ascii="宋体" w:hAnsi="宋体" w:cs="宋体" w:eastAsia="宋体" w:hint="default"/>
                            <w:sz w:val="20"/>
                            <w:szCs w:val="20"/>
                          </w:rPr>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权</w:t>
                        </w:r>
                      </w:p>
                    </w:tc>
                    <w:tc>
                      <w:tcPr>
                        <w:tcW w:w="736" w:type="dxa"/>
                        <w:tcBorders>
                          <w:top w:val="single" w:sz="4" w:space="0" w:color="000000"/>
                          <w:left w:val="single" w:sz="13" w:space="0" w:color="FFFFFF"/>
                          <w:bottom w:val="single" w:sz="4" w:space="0" w:color="000000"/>
                          <w:right w:val="single" w:sz="10" w:space="0" w:color="FFFFFF"/>
                        </w:tcBorders>
                      </w:tcPr>
                      <w:p>
                        <w:pPr>
                          <w:pStyle w:val="TableParagraph"/>
                          <w:spacing w:line="228" w:lineRule="exact"/>
                          <w:ind w:right="-31"/>
                          <w:jc w:val="left"/>
                          <w:rPr>
                            <w:rFonts w:ascii="宋体" w:hAnsi="宋体" w:cs="宋体" w:eastAsia="宋体" w:hint="default"/>
                            <w:sz w:val="20"/>
                            <w:szCs w:val="20"/>
                          </w:rPr>
                        </w:pPr>
                        <w:r>
                          <w:rPr>
                            <w:rFonts w:ascii="宋体" w:hAnsi="宋体" w:cs="宋体" w:eastAsia="宋体" w:hint="default"/>
                            <w:spacing w:val="29"/>
                            <w:sz w:val="20"/>
                            <w:szCs w:val="20"/>
                          </w:rPr>
                          <w:t>公司下</w:t>
                        </w:r>
                        <w:r>
                          <w:rPr>
                            <w:rFonts w:ascii="宋体" w:hAnsi="宋体" w:cs="宋体" w:eastAsia="宋体" w:hint="default"/>
                            <w:spacing w:val="-55"/>
                            <w:sz w:val="20"/>
                            <w:szCs w:val="20"/>
                          </w:rPr>
                          <w:t> </w:t>
                        </w:r>
                        <w:r>
                          <w:rPr>
                            <w:rFonts w:ascii="宋体" w:hAnsi="宋体" w:cs="宋体" w:eastAsia="宋体" w:hint="default"/>
                            <w:sz w:val="20"/>
                            <w:szCs w:val="20"/>
                          </w:rPr>
                        </w:r>
                      </w:p>
                      <w:p>
                        <w:pPr>
                          <w:pStyle w:val="TableParagraph"/>
                          <w:spacing w:line="244" w:lineRule="auto"/>
                          <w:ind w:right="-31"/>
                          <w:jc w:val="left"/>
                          <w:rPr>
                            <w:rFonts w:ascii="Times New Roman" w:hAnsi="Times New Roman" w:cs="Times New Roman" w:eastAsia="Times New Roman" w:hint="default"/>
                            <w:sz w:val="20"/>
                            <w:szCs w:val="20"/>
                          </w:rPr>
                        </w:pPr>
                        <w:r>
                          <w:rPr>
                            <w:rFonts w:ascii="宋体" w:hAnsi="宋体" w:cs="宋体" w:eastAsia="宋体" w:hint="default"/>
                            <w:spacing w:val="29"/>
                            <w:sz w:val="20"/>
                            <w:szCs w:val="20"/>
                          </w:rPr>
                          <w:t>属境外</w:t>
                        </w:r>
                        <w:r>
                          <w:rPr>
                            <w:rFonts w:ascii="宋体" w:hAnsi="宋体" w:cs="宋体" w:eastAsia="宋体" w:hint="default"/>
                            <w:spacing w:val="-96"/>
                            <w:sz w:val="20"/>
                            <w:szCs w:val="20"/>
                          </w:rPr>
                          <w:t> </w:t>
                        </w:r>
                        <w:r>
                          <w:rPr>
                            <w:rFonts w:ascii="宋体" w:hAnsi="宋体" w:cs="宋体" w:eastAsia="宋体" w:hint="default"/>
                            <w:spacing w:val="29"/>
                            <w:sz w:val="20"/>
                            <w:szCs w:val="20"/>
                          </w:rPr>
                          <w:t>子公司</w:t>
                        </w:r>
                        <w:r>
                          <w:rPr>
                            <w:rFonts w:ascii="宋体" w:hAnsi="宋体" w:cs="宋体" w:eastAsia="宋体" w:hint="default"/>
                            <w:spacing w:val="-96"/>
                            <w:sz w:val="20"/>
                            <w:szCs w:val="20"/>
                          </w:rPr>
                          <w:t> </w:t>
                        </w:r>
                        <w:r>
                          <w:rPr>
                            <w:rFonts w:ascii="Times New Roman" w:hAnsi="Times New Roman" w:cs="Times New Roman" w:eastAsia="Times New Roman" w:hint="default"/>
                            <w:sz w:val="20"/>
                            <w:szCs w:val="20"/>
                          </w:rPr>
                          <w:t>Great</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Univers</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e</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Limited</w:t>
                        </w:r>
                      </w:p>
                      <w:p>
                        <w:pPr>
                          <w:pStyle w:val="TableParagraph"/>
                          <w:spacing w:line="226" w:lineRule="exact"/>
                          <w:ind w:right="-31"/>
                          <w:jc w:val="left"/>
                          <w:rPr>
                            <w:rFonts w:ascii="宋体" w:hAnsi="宋体" w:cs="宋体" w:eastAsia="宋体" w:hint="default"/>
                            <w:sz w:val="20"/>
                            <w:szCs w:val="20"/>
                          </w:rPr>
                        </w:pPr>
                        <w:r>
                          <w:rPr>
                            <w:rFonts w:ascii="宋体" w:hAnsi="宋体" w:cs="宋体" w:eastAsia="宋体" w:hint="default"/>
                            <w:spacing w:val="29"/>
                            <w:sz w:val="20"/>
                            <w:szCs w:val="20"/>
                          </w:rPr>
                          <w:t>将其持</w:t>
                        </w:r>
                        <w:r>
                          <w:rPr>
                            <w:rFonts w:ascii="宋体" w:hAnsi="宋体" w:cs="宋体" w:eastAsia="宋体" w:hint="default"/>
                            <w:spacing w:val="-55"/>
                            <w:sz w:val="20"/>
                            <w:szCs w:val="20"/>
                          </w:rPr>
                          <w:t> </w:t>
                        </w:r>
                        <w:r>
                          <w:rPr>
                            <w:rFonts w:ascii="宋体" w:hAnsi="宋体" w:cs="宋体" w:eastAsia="宋体" w:hint="default"/>
                            <w:sz w:val="20"/>
                            <w:szCs w:val="20"/>
                          </w:rPr>
                        </w:r>
                      </w:p>
                      <w:p>
                        <w:pPr>
                          <w:pStyle w:val="TableParagraph"/>
                          <w:tabs>
                            <w:tab w:pos="491" w:val="left" w:leader="none"/>
                          </w:tabs>
                          <w:spacing w:line="247" w:lineRule="auto"/>
                          <w:ind w:right="13"/>
                          <w:jc w:val="left"/>
                          <w:rPr>
                            <w:rFonts w:ascii="Times New Roman" w:hAnsi="Times New Roman" w:cs="Times New Roman" w:eastAsia="Times New Roman" w:hint="default"/>
                            <w:sz w:val="20"/>
                            <w:szCs w:val="20"/>
                          </w:rPr>
                        </w:pPr>
                        <w:r>
                          <w:rPr>
                            <w:rFonts w:ascii="宋体" w:hAnsi="宋体" w:cs="宋体" w:eastAsia="宋体" w:hint="default"/>
                            <w:sz w:val="20"/>
                            <w:szCs w:val="20"/>
                          </w:rPr>
                          <w:t>有</w:t>
                          <w:tab/>
                          <w:t>的</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PPLive</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Corpora</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tion</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68.08%</w:t>
                        </w:r>
                      </w:p>
                      <w:p>
                        <w:pPr>
                          <w:pStyle w:val="TableParagraph"/>
                          <w:spacing w:line="225" w:lineRule="exact"/>
                          <w:ind w:right="-31"/>
                          <w:jc w:val="left"/>
                          <w:rPr>
                            <w:rFonts w:ascii="宋体" w:hAnsi="宋体" w:cs="宋体" w:eastAsia="宋体" w:hint="default"/>
                            <w:sz w:val="20"/>
                            <w:szCs w:val="20"/>
                          </w:rPr>
                        </w:pPr>
                        <w:r>
                          <w:rPr>
                            <w:rFonts w:ascii="宋体" w:hAnsi="宋体" w:cs="宋体" w:eastAsia="宋体" w:hint="default"/>
                            <w:spacing w:val="29"/>
                            <w:sz w:val="20"/>
                            <w:szCs w:val="20"/>
                          </w:rPr>
                          <w:t>的股权</w:t>
                        </w:r>
                        <w:r>
                          <w:rPr>
                            <w:rFonts w:ascii="宋体" w:hAnsi="宋体" w:cs="宋体" w:eastAsia="宋体" w:hint="default"/>
                            <w:spacing w:val="-55"/>
                            <w:sz w:val="20"/>
                            <w:szCs w:val="20"/>
                          </w:rPr>
                          <w:t> </w:t>
                        </w:r>
                        <w:r>
                          <w:rPr>
                            <w:rFonts w:ascii="宋体" w:hAnsi="宋体" w:cs="宋体" w:eastAsia="宋体" w:hint="default"/>
                            <w:sz w:val="20"/>
                            <w:szCs w:val="20"/>
                          </w:rPr>
                        </w:r>
                      </w:p>
                      <w:p>
                        <w:pPr>
                          <w:pStyle w:val="TableParagraph"/>
                          <w:spacing w:line="237" w:lineRule="auto" w:before="1"/>
                          <w:ind w:right="-31"/>
                          <w:jc w:val="both"/>
                          <w:rPr>
                            <w:rFonts w:ascii="宋体" w:hAnsi="宋体" w:cs="宋体" w:eastAsia="宋体" w:hint="default"/>
                            <w:sz w:val="20"/>
                            <w:szCs w:val="20"/>
                          </w:rPr>
                        </w:pPr>
                        <w:r>
                          <w:rPr>
                            <w:rFonts w:ascii="宋体" w:hAnsi="宋体" w:cs="宋体" w:eastAsia="宋体" w:hint="default"/>
                            <w:spacing w:val="29"/>
                            <w:sz w:val="20"/>
                            <w:szCs w:val="20"/>
                          </w:rPr>
                          <w:t>转让给</w:t>
                        </w:r>
                        <w:r>
                          <w:rPr>
                            <w:rFonts w:ascii="宋体" w:hAnsi="宋体" w:cs="宋体" w:eastAsia="宋体" w:hint="default"/>
                            <w:spacing w:val="-96"/>
                            <w:sz w:val="20"/>
                            <w:szCs w:val="20"/>
                          </w:rPr>
                          <w:t> </w:t>
                        </w:r>
                        <w:r>
                          <w:rPr>
                            <w:rFonts w:ascii="宋体" w:hAnsi="宋体" w:cs="宋体" w:eastAsia="宋体" w:hint="default"/>
                            <w:spacing w:val="29"/>
                            <w:sz w:val="20"/>
                            <w:szCs w:val="20"/>
                          </w:rPr>
                          <w:t>苏宁文</w:t>
                        </w:r>
                        <w:r>
                          <w:rPr>
                            <w:rFonts w:ascii="宋体" w:hAnsi="宋体" w:cs="宋体" w:eastAsia="宋体" w:hint="default"/>
                            <w:spacing w:val="-96"/>
                            <w:sz w:val="20"/>
                            <w:szCs w:val="20"/>
                          </w:rPr>
                          <w:t> </w:t>
                        </w:r>
                        <w:r>
                          <w:rPr>
                            <w:rFonts w:ascii="宋体" w:hAnsi="宋体" w:cs="宋体" w:eastAsia="宋体" w:hint="default"/>
                            <w:spacing w:val="29"/>
                            <w:sz w:val="20"/>
                            <w:szCs w:val="20"/>
                          </w:rPr>
                          <w:t>化或其</w:t>
                        </w:r>
                        <w:r>
                          <w:rPr>
                            <w:rFonts w:ascii="宋体" w:hAnsi="宋体" w:cs="宋体" w:eastAsia="宋体" w:hint="default"/>
                            <w:spacing w:val="-96"/>
                            <w:sz w:val="20"/>
                            <w:szCs w:val="20"/>
                          </w:rPr>
                          <w:t> </w:t>
                        </w:r>
                        <w:r>
                          <w:rPr>
                            <w:rFonts w:ascii="宋体" w:hAnsi="宋体" w:cs="宋体" w:eastAsia="宋体" w:hint="default"/>
                            <w:spacing w:val="29"/>
                            <w:sz w:val="20"/>
                            <w:szCs w:val="20"/>
                          </w:rPr>
                          <w:t>指定的</w:t>
                        </w:r>
                        <w:r>
                          <w:rPr>
                            <w:rFonts w:ascii="宋体" w:hAnsi="宋体" w:cs="宋体" w:eastAsia="宋体" w:hint="default"/>
                            <w:spacing w:val="-96"/>
                            <w:sz w:val="20"/>
                            <w:szCs w:val="20"/>
                          </w:rPr>
                          <w:t> </w:t>
                        </w:r>
                        <w:r>
                          <w:rPr>
                            <w:rFonts w:ascii="宋体" w:hAnsi="宋体" w:cs="宋体" w:eastAsia="宋体" w:hint="default"/>
                            <w:sz w:val="20"/>
                            <w:szCs w:val="20"/>
                          </w:rPr>
                          <w:t>子公司</w:t>
                        </w:r>
                      </w:p>
                    </w:tc>
                    <w:tc>
                      <w:tcPr>
                        <w:tcW w:w="750" w:type="dxa"/>
                        <w:tcBorders>
                          <w:top w:val="single" w:sz="4" w:space="0" w:color="000000"/>
                          <w:left w:val="single" w:sz="10" w:space="0" w:color="FFFFFF"/>
                          <w:bottom w:val="single" w:sz="4" w:space="0" w:color="000000"/>
                          <w:right w:val="single" w:sz="10" w:space="0" w:color="FFFFFF"/>
                        </w:tcBorders>
                      </w:tcPr>
                      <w:p>
                        <w:pPr>
                          <w:pStyle w:val="TableParagraph"/>
                          <w:spacing w:line="228" w:lineRule="exact"/>
                          <w:ind w:left="16" w:right="-33"/>
                          <w:jc w:val="left"/>
                          <w:rPr>
                            <w:rFonts w:ascii="宋体" w:hAnsi="宋体" w:cs="宋体" w:eastAsia="宋体" w:hint="default"/>
                            <w:sz w:val="20"/>
                            <w:szCs w:val="20"/>
                          </w:rPr>
                        </w:pPr>
                        <w:r>
                          <w:rPr>
                            <w:rFonts w:ascii="宋体" w:hAnsi="宋体" w:cs="宋体" w:eastAsia="宋体" w:hint="default"/>
                            <w:spacing w:val="30"/>
                            <w:sz w:val="20"/>
                            <w:szCs w:val="20"/>
                          </w:rPr>
                          <w:t>按照评</w:t>
                        </w:r>
                        <w:r>
                          <w:rPr>
                            <w:rFonts w:ascii="宋体" w:hAnsi="宋体" w:cs="宋体" w:eastAsia="宋体" w:hint="default"/>
                            <w:spacing w:val="-54"/>
                            <w:sz w:val="20"/>
                            <w:szCs w:val="20"/>
                          </w:rPr>
                          <w:t> </w:t>
                        </w:r>
                        <w:r>
                          <w:rPr>
                            <w:rFonts w:ascii="宋体" w:hAnsi="宋体" w:cs="宋体" w:eastAsia="宋体" w:hint="default"/>
                            <w:sz w:val="20"/>
                            <w:szCs w:val="20"/>
                          </w:rPr>
                        </w:r>
                      </w:p>
                      <w:p>
                        <w:pPr>
                          <w:pStyle w:val="TableParagraph"/>
                          <w:spacing w:line="260" w:lineRule="exact" w:before="24"/>
                          <w:ind w:left="16" w:right="-33"/>
                          <w:jc w:val="left"/>
                          <w:rPr>
                            <w:rFonts w:ascii="宋体" w:hAnsi="宋体" w:cs="宋体" w:eastAsia="宋体" w:hint="default"/>
                            <w:sz w:val="20"/>
                            <w:szCs w:val="20"/>
                          </w:rPr>
                        </w:pPr>
                        <w:r>
                          <w:rPr>
                            <w:rFonts w:ascii="宋体" w:hAnsi="宋体" w:cs="宋体" w:eastAsia="宋体" w:hint="default"/>
                            <w:spacing w:val="30"/>
                            <w:sz w:val="20"/>
                            <w:szCs w:val="20"/>
                          </w:rPr>
                          <w:t>估价值</w:t>
                        </w:r>
                        <w:r>
                          <w:rPr>
                            <w:rFonts w:ascii="宋体" w:hAnsi="宋体" w:cs="宋体" w:eastAsia="宋体" w:hint="default"/>
                            <w:spacing w:val="-97"/>
                            <w:sz w:val="20"/>
                            <w:szCs w:val="20"/>
                          </w:rPr>
                          <w:t> </w:t>
                        </w:r>
                        <w:r>
                          <w:rPr>
                            <w:rFonts w:ascii="宋体" w:hAnsi="宋体" w:cs="宋体" w:eastAsia="宋体" w:hint="default"/>
                            <w:sz w:val="20"/>
                            <w:szCs w:val="20"/>
                          </w:rPr>
                          <w:t>确定</w:t>
                        </w:r>
                      </w:p>
                    </w:tc>
                    <w:tc>
                      <w:tcPr>
                        <w:tcW w:w="990" w:type="dxa"/>
                        <w:tcBorders>
                          <w:top w:val="single" w:sz="4" w:space="0" w:color="000000"/>
                          <w:left w:val="single" w:sz="10" w:space="0" w:color="FFFFFF"/>
                          <w:bottom w:val="single" w:sz="4" w:space="0" w:color="000000"/>
                          <w:right w:val="single" w:sz="4" w:space="0" w:color="000000"/>
                        </w:tcBorders>
                      </w:tcPr>
                      <w:p>
                        <w:pPr>
                          <w:pStyle w:val="TableParagraph"/>
                          <w:spacing w:line="227" w:lineRule="exact"/>
                          <w:ind w:left="84" w:right="0"/>
                          <w:jc w:val="left"/>
                          <w:rPr>
                            <w:rFonts w:ascii="Times New Roman" w:hAnsi="Times New Roman" w:cs="Times New Roman" w:eastAsia="Times New Roman" w:hint="default"/>
                            <w:sz w:val="20"/>
                            <w:szCs w:val="20"/>
                          </w:rPr>
                        </w:pPr>
                        <w:r>
                          <w:rPr>
                            <w:rFonts w:ascii="Times New Roman"/>
                            <w:sz w:val="20"/>
                          </w:rPr>
                          <w:t>-65,282.63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14" w:right="0"/>
                          <w:jc w:val="left"/>
                          <w:rPr>
                            <w:rFonts w:ascii="Times New Roman" w:hAnsi="Times New Roman" w:cs="Times New Roman" w:eastAsia="Times New Roman" w:hint="default"/>
                            <w:sz w:val="20"/>
                            <w:szCs w:val="20"/>
                          </w:rPr>
                        </w:pPr>
                        <w:r>
                          <w:rPr>
                            <w:rFonts w:ascii="Times New Roman"/>
                            <w:sz w:val="20"/>
                          </w:rPr>
                          <w:t>380,140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13" w:right="0"/>
                          <w:jc w:val="left"/>
                          <w:rPr>
                            <w:rFonts w:ascii="Times New Roman" w:hAnsi="Times New Roman" w:cs="Times New Roman" w:eastAsia="Times New Roman" w:hint="default"/>
                            <w:sz w:val="20"/>
                            <w:szCs w:val="20"/>
                          </w:rPr>
                        </w:pPr>
                        <w:r>
                          <w:rPr>
                            <w:rFonts w:ascii="Times New Roman"/>
                            <w:sz w:val="20"/>
                          </w:rPr>
                          <w:t>380,140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0" w:right="0"/>
                          <w:jc w:val="left"/>
                          <w:rPr>
                            <w:rFonts w:ascii="Times New Roman" w:hAnsi="Times New Roman" w:cs="Times New Roman" w:eastAsia="Times New Roman" w:hint="default"/>
                            <w:sz w:val="20"/>
                            <w:szCs w:val="20"/>
                          </w:rPr>
                        </w:pPr>
                        <w:r>
                          <w:rPr>
                            <w:rFonts w:ascii="Times New Roman"/>
                            <w:sz w:val="20"/>
                          </w:rPr>
                          <w:t>258,799.31</w:t>
                        </w:r>
                      </w:p>
                    </w:tc>
                    <w:tc>
                      <w:tcPr>
                        <w:tcW w:w="745" w:type="dxa"/>
                        <w:tcBorders>
                          <w:top w:val="single" w:sz="4" w:space="0" w:color="000000"/>
                          <w:left w:val="single" w:sz="4" w:space="0" w:color="000000"/>
                          <w:bottom w:val="single" w:sz="4" w:space="0" w:color="000000"/>
                          <w:right w:val="single" w:sz="9" w:space="0" w:color="FFFFFF"/>
                        </w:tcBorders>
                      </w:tcPr>
                      <w:p>
                        <w:pPr>
                          <w:pStyle w:val="TableParagraph"/>
                          <w:spacing w:line="228" w:lineRule="exact"/>
                          <w:ind w:left="22" w:right="-29"/>
                          <w:jc w:val="left"/>
                          <w:rPr>
                            <w:rFonts w:ascii="宋体" w:hAnsi="宋体" w:cs="宋体" w:eastAsia="宋体" w:hint="default"/>
                            <w:sz w:val="20"/>
                            <w:szCs w:val="20"/>
                          </w:rPr>
                        </w:pPr>
                        <w:r>
                          <w:rPr>
                            <w:rFonts w:ascii="宋体" w:hAnsi="宋体" w:cs="宋体" w:eastAsia="宋体" w:hint="default"/>
                            <w:spacing w:val="28"/>
                            <w:sz w:val="20"/>
                            <w:szCs w:val="20"/>
                          </w:rPr>
                          <w:t>现金结</w:t>
                        </w:r>
                        <w:r>
                          <w:rPr>
                            <w:rFonts w:ascii="宋体" w:hAnsi="宋体" w:cs="宋体" w:eastAsia="宋体" w:hint="default"/>
                            <w:spacing w:val="-56"/>
                            <w:sz w:val="20"/>
                            <w:szCs w:val="20"/>
                          </w:rPr>
                          <w:t> </w:t>
                        </w:r>
                        <w:r>
                          <w:rPr>
                            <w:rFonts w:ascii="宋体" w:hAnsi="宋体" w:cs="宋体" w:eastAsia="宋体" w:hint="default"/>
                            <w:sz w:val="20"/>
                            <w:szCs w:val="20"/>
                          </w:rPr>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算</w:t>
                        </w:r>
                      </w:p>
                    </w:tc>
                    <w:tc>
                      <w:tcPr>
                        <w:tcW w:w="750" w:type="dxa"/>
                        <w:tcBorders>
                          <w:top w:val="single" w:sz="4" w:space="0" w:color="000000"/>
                          <w:left w:val="single" w:sz="9" w:space="0" w:color="FFFFFF"/>
                          <w:bottom w:val="single" w:sz="4" w:space="0" w:color="000000"/>
                          <w:right w:val="single" w:sz="4" w:space="0" w:color="000000"/>
                        </w:tcBorders>
                      </w:tcPr>
                      <w:p>
                        <w:pPr>
                          <w:pStyle w:val="TableParagraph"/>
                          <w:spacing w:line="227" w:lineRule="exact"/>
                          <w:ind w:left="16" w:right="0"/>
                          <w:jc w:val="left"/>
                          <w:rPr>
                            <w:rFonts w:ascii="Times New Roman" w:hAnsi="Times New Roman" w:cs="Times New Roman" w:eastAsia="Times New Roman" w:hint="default"/>
                            <w:sz w:val="20"/>
                            <w:szCs w:val="20"/>
                          </w:rPr>
                        </w:pPr>
                        <w:r>
                          <w:rPr>
                            <w:rFonts w:ascii="Times New Roman"/>
                            <w:sz w:val="20"/>
                          </w:rPr>
                          <w:t>135,471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44"/>
                            <w:sz w:val="20"/>
                            <w:szCs w:val="20"/>
                          </w:rPr>
                          <w:t> </w:t>
                        </w:r>
                        <w:r>
                          <w:rPr>
                            <w:rFonts w:ascii="宋体" w:hAnsi="宋体" w:cs="宋体" w:eastAsia="宋体" w:hint="default"/>
                            <w:sz w:val="20"/>
                            <w:szCs w:val="20"/>
                          </w:rPr>
                          <w:t>年</w:t>
                        </w:r>
                      </w:p>
                      <w:p>
                        <w:pPr>
                          <w:pStyle w:val="TableParagraph"/>
                          <w:spacing w:line="259"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31</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日</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/2015</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p>
                      <w:p>
                        <w:pPr>
                          <w:pStyle w:val="TableParagraph"/>
                          <w:tabs>
                            <w:tab w:pos="517" w:val="left" w:leader="none"/>
                          </w:tabs>
                          <w:spacing w:line="25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18</w:t>
                          <w:tab/>
                        </w:r>
                        <w:r>
                          <w:rPr>
                            <w:rFonts w:ascii="宋体" w:hAnsi="宋体" w:cs="宋体" w:eastAsia="宋体" w:hint="default"/>
                            <w:sz w:val="20"/>
                            <w:szCs w:val="20"/>
                          </w:rPr>
                          <w:t>日</w:t>
                        </w:r>
                      </w:p>
                      <w:p>
                        <w:pPr>
                          <w:pStyle w:val="TableParagraph"/>
                          <w:spacing w:line="25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p>
                      <w:p>
                        <w:pPr>
                          <w:pStyle w:val="TableParagraph"/>
                          <w:spacing w:line="268"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z w:val="20"/>
                            <w:szCs w:val="20"/>
                          </w:rPr>
                          <w:t>巨</w:t>
                        </w:r>
                        <w:r>
                          <w:rPr>
                            <w:rFonts w:ascii="宋体" w:hAnsi="宋体" w:cs="宋体" w:eastAsia="宋体" w:hint="default"/>
                            <w:spacing w:val="35"/>
                            <w:sz w:val="20"/>
                            <w:szCs w:val="20"/>
                          </w:rPr>
                          <w:t> </w:t>
                        </w:r>
                        <w:r>
                          <w:rPr>
                            <w:rFonts w:ascii="宋体" w:hAnsi="宋体" w:cs="宋体" w:eastAsia="宋体" w:hint="default"/>
                            <w:sz w:val="20"/>
                            <w:szCs w:val="20"/>
                          </w:rPr>
                          <w:t>潮</w:t>
                        </w:r>
                      </w:p>
                      <w:p>
                        <w:pPr>
                          <w:pStyle w:val="TableParagraph"/>
                          <w:spacing w:line="252" w:lineRule="auto"/>
                          <w:ind w:left="22" w:right="20"/>
                          <w:jc w:val="left"/>
                          <w:rPr>
                            <w:rFonts w:ascii="Times New Roman" w:hAnsi="Times New Roman" w:cs="Times New Roman" w:eastAsia="Times New Roman" w:hint="default"/>
                            <w:sz w:val="20"/>
                            <w:szCs w:val="20"/>
                          </w:rPr>
                        </w:pPr>
                        <w:r>
                          <w:rPr>
                            <w:rFonts w:ascii="宋体" w:hAnsi="宋体" w:cs="宋体" w:eastAsia="宋体" w:hint="default"/>
                            <w:sz w:val="20"/>
                            <w:szCs w:val="20"/>
                          </w:rPr>
                          <w:t>资</w:t>
                        </w:r>
                        <w:r>
                          <w:rPr>
                            <w:rFonts w:ascii="宋体" w:hAnsi="宋体" w:cs="宋体" w:eastAsia="宋体" w:hint="default"/>
                            <w:spacing w:val="35"/>
                            <w:sz w:val="20"/>
                            <w:szCs w:val="20"/>
                          </w:rPr>
                          <w:t> </w:t>
                        </w:r>
                        <w:r>
                          <w:rPr>
                            <w:rFonts w:ascii="宋体" w:hAnsi="宋体" w:cs="宋体" w:eastAsia="宋体" w:hint="default"/>
                            <w:sz w:val="20"/>
                            <w:szCs w:val="20"/>
                          </w:rPr>
                          <w:t>讯</w:t>
                        </w:r>
                        <w:r>
                          <w:rPr>
                            <w:rFonts w:ascii="宋体" w:hAnsi="宋体" w:cs="宋体" w:eastAsia="宋体" w:hint="default"/>
                            <w:w w:val="100"/>
                            <w:sz w:val="20"/>
                            <w:szCs w:val="20"/>
                          </w:rPr>
                          <w:t> </w:t>
                        </w:r>
                        <w:r>
                          <w:rPr>
                            <w:rFonts w:ascii="宋体" w:hAnsi="宋体" w:cs="宋体" w:eastAsia="宋体" w:hint="default"/>
                            <w:sz w:val="20"/>
                            <w:szCs w:val="20"/>
                          </w:rPr>
                          <w:t>网</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2015-</w:t>
                        </w:r>
                      </w:p>
                      <w:p>
                        <w:pPr>
                          <w:pStyle w:val="TableParagraph"/>
                          <w:spacing w:line="218" w:lineRule="exact"/>
                          <w:ind w:left="22" w:right="0"/>
                          <w:jc w:val="left"/>
                          <w:rPr>
                            <w:rFonts w:ascii="Times New Roman" w:hAnsi="Times New Roman" w:cs="Times New Roman" w:eastAsia="Times New Roman" w:hint="default"/>
                            <w:sz w:val="20"/>
                            <w:szCs w:val="20"/>
                          </w:rPr>
                        </w:pPr>
                        <w:r>
                          <w:rPr>
                            <w:rFonts w:ascii="Times New Roman"/>
                            <w:sz w:val="20"/>
                          </w:rPr>
                          <w:t>068/2</w:t>
                        </w: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015-0</w:t>
                        </w: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71/20</w:t>
                        </w:r>
                      </w:p>
                      <w:p>
                        <w:pPr>
                          <w:pStyle w:val="TableParagraph"/>
                          <w:spacing w:line="215" w:lineRule="exact"/>
                          <w:ind w:left="22" w:right="0"/>
                          <w:jc w:val="left"/>
                          <w:rPr>
                            <w:rFonts w:ascii="Times New Roman" w:hAnsi="Times New Roman" w:cs="Times New Roman" w:eastAsia="Times New Roman" w:hint="default"/>
                            <w:sz w:val="20"/>
                            <w:szCs w:val="20"/>
                          </w:rPr>
                        </w:pPr>
                        <w:r>
                          <w:rPr>
                            <w:rFonts w:ascii="Times New Roman"/>
                            <w:sz w:val="20"/>
                          </w:rPr>
                          <w:t>16-00</w:t>
                        </w:r>
                      </w:p>
                      <w:p>
                        <w:pPr>
                          <w:pStyle w:val="TableParagraph"/>
                          <w:spacing w:line="260" w:lineRule="exact" w:before="11"/>
                          <w:ind w:left="22" w:right="19"/>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号公</w:t>
                        </w:r>
                        <w:r>
                          <w:rPr>
                            <w:rFonts w:ascii="宋体" w:hAnsi="宋体" w:cs="宋体" w:eastAsia="宋体" w:hint="default"/>
                            <w:w w:val="100"/>
                            <w:sz w:val="20"/>
                            <w:szCs w:val="20"/>
                          </w:rPr>
                          <w:t> </w:t>
                        </w:r>
                        <w:r>
                          <w:rPr>
                            <w:rFonts w:ascii="宋体" w:hAnsi="宋体" w:cs="宋体" w:eastAsia="宋体" w:hint="default"/>
                            <w:sz w:val="20"/>
                            <w:szCs w:val="20"/>
                          </w:rPr>
                          <w:t>告</w:t>
                        </w:r>
                      </w:p>
                    </w:tc>
                  </w:tr>
                  <w:tr>
                    <w:trPr>
                      <w:trHeight w:val="3598" w:hRule="exact"/>
                    </w:trPr>
                    <w:tc>
                      <w:tcPr>
                        <w:tcW w:w="30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24" w:right="170"/>
                          <w:jc w:val="left"/>
                          <w:rPr>
                            <w:rFonts w:ascii="宋体" w:hAnsi="宋体" w:cs="宋体" w:eastAsia="宋体" w:hint="default"/>
                            <w:sz w:val="20"/>
                            <w:szCs w:val="20"/>
                          </w:rPr>
                        </w:pPr>
                        <w:r>
                          <w:rPr>
                            <w:rFonts w:ascii="宋体" w:hAnsi="宋体" w:cs="宋体" w:eastAsia="宋体" w:hint="default"/>
                            <w:sz w:val="20"/>
                            <w:szCs w:val="20"/>
                          </w:rPr>
                          <w:t>转让价格与账面价值或评估价值</w:t>
                        </w:r>
                        <w:r>
                          <w:rPr>
                            <w:rFonts w:ascii="宋体" w:hAnsi="宋体" w:cs="宋体" w:eastAsia="宋体" w:hint="default"/>
                            <w:w w:val="100"/>
                            <w:sz w:val="20"/>
                            <w:szCs w:val="20"/>
                          </w:rPr>
                          <w:t> </w:t>
                        </w:r>
                        <w:r>
                          <w:rPr>
                            <w:rFonts w:ascii="宋体" w:hAnsi="宋体" w:cs="宋体" w:eastAsia="宋体" w:hint="default"/>
                            <w:sz w:val="20"/>
                            <w:szCs w:val="20"/>
                          </w:rPr>
                          <w:t>差异较大的原因（如有）</w:t>
                        </w:r>
                      </w:p>
                    </w:tc>
                    <w:tc>
                      <w:tcPr>
                        <w:tcW w:w="7345" w:type="dxa"/>
                        <w:gridSpan w:val="9"/>
                        <w:tcBorders>
                          <w:top w:val="single" w:sz="4" w:space="0" w:color="000000"/>
                          <w:left w:val="single" w:sz="4" w:space="0" w:color="000000"/>
                          <w:bottom w:val="single" w:sz="4" w:space="0" w:color="000000"/>
                          <w:right w:val="single" w:sz="4" w:space="0" w:color="000000"/>
                        </w:tcBorders>
                      </w:tcPr>
                      <w:p>
                        <w:pPr>
                          <w:pStyle w:val="TableParagraph"/>
                          <w:spacing w:line="328" w:lineRule="auto" w:before="19"/>
                          <w:ind w:left="23" w:right="21" w:firstLine="399"/>
                          <w:jc w:val="both"/>
                          <w:rPr>
                            <w:rFonts w:ascii="宋体" w:hAnsi="宋体" w:cs="宋体" w:eastAsia="宋体" w:hint="default"/>
                            <w:sz w:val="20"/>
                            <w:szCs w:val="20"/>
                          </w:rPr>
                        </w:pPr>
                        <w:r>
                          <w:rPr>
                            <w:rFonts w:ascii="宋体" w:hAnsi="宋体" w:cs="宋体" w:eastAsia="宋体" w:hint="default"/>
                            <w:sz w:val="20"/>
                            <w:szCs w:val="20"/>
                          </w:rPr>
                          <w:t>本次关联交易转让价格确定，公司委托具有执行证券、期货相关业务资格的审</w:t>
                        </w:r>
                        <w:r>
                          <w:rPr>
                            <w:rFonts w:ascii="宋体" w:hAnsi="宋体" w:cs="宋体" w:eastAsia="宋体" w:hint="default"/>
                            <w:w w:val="100"/>
                            <w:sz w:val="20"/>
                            <w:szCs w:val="20"/>
                          </w:rPr>
                          <w:t> </w:t>
                        </w:r>
                        <w:r>
                          <w:rPr>
                            <w:rFonts w:ascii="宋体" w:hAnsi="宋体" w:cs="宋体" w:eastAsia="宋体" w:hint="default"/>
                            <w:sz w:val="20"/>
                            <w:szCs w:val="20"/>
                          </w:rPr>
                          <w:t>计机构江苏天衡会计师事务所有限公司对标的公司的财务报表进行审计，并委托具</w:t>
                        </w:r>
                        <w:r>
                          <w:rPr>
                            <w:rFonts w:ascii="宋体" w:hAnsi="宋体" w:cs="宋体" w:eastAsia="宋体" w:hint="default"/>
                            <w:w w:val="100"/>
                            <w:sz w:val="20"/>
                            <w:szCs w:val="20"/>
                          </w:rPr>
                          <w:t> </w:t>
                        </w:r>
                        <w:r>
                          <w:rPr>
                            <w:rFonts w:ascii="宋体" w:hAnsi="宋体" w:cs="宋体" w:eastAsia="宋体" w:hint="default"/>
                            <w:sz w:val="20"/>
                            <w:szCs w:val="20"/>
                          </w:rPr>
                          <w:t>有执行证券、期货相关业务资格的资产评估机构北京天健兴业资产评估有限公司对</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的全部股东权益以</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3"/>
                            <w:sz w:val="20"/>
                            <w:szCs w:val="20"/>
                          </w:rPr>
                          <w:t> </w:t>
                        </w:r>
                        <w:r>
                          <w:rPr>
                            <w:rFonts w:ascii="宋体" w:hAnsi="宋体" w:cs="宋体" w:eastAsia="宋体" w:hint="default"/>
                            <w:spacing w:val="-4"/>
                            <w:sz w:val="20"/>
                            <w:szCs w:val="20"/>
                          </w:rPr>
                          <w:t>日为评估基准日的市场价值进行了评估，并</w:t>
                        </w: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100"/>
                            <w:sz w:val="20"/>
                            <w:szCs w:val="20"/>
                          </w:rPr>
                          <w:t>出具了</w:t>
                        </w:r>
                        <w:r>
                          <w:rPr>
                            <w:rFonts w:ascii="宋体" w:hAnsi="宋体" w:cs="宋体" w:eastAsia="宋体" w:hint="default"/>
                            <w:spacing w:val="-2"/>
                            <w:w w:val="100"/>
                            <w:sz w:val="20"/>
                            <w:szCs w:val="20"/>
                          </w:rPr>
                          <w:t>天</w:t>
                        </w:r>
                        <w:r>
                          <w:rPr>
                            <w:rFonts w:ascii="宋体" w:hAnsi="宋体" w:cs="宋体" w:eastAsia="宋体" w:hint="default"/>
                            <w:w w:val="100"/>
                            <w:sz w:val="20"/>
                            <w:szCs w:val="20"/>
                          </w:rPr>
                          <w:t>兴</w:t>
                        </w:r>
                        <w:r>
                          <w:rPr>
                            <w:rFonts w:ascii="宋体" w:hAnsi="宋体" w:cs="宋体" w:eastAsia="宋体" w:hint="default"/>
                            <w:spacing w:val="-2"/>
                            <w:w w:val="100"/>
                            <w:sz w:val="20"/>
                            <w:szCs w:val="20"/>
                          </w:rPr>
                          <w:t>评</w:t>
                        </w:r>
                        <w:r>
                          <w:rPr>
                            <w:rFonts w:ascii="宋体" w:hAnsi="宋体" w:cs="宋体" w:eastAsia="宋体" w:hint="default"/>
                            <w:w w:val="100"/>
                            <w:sz w:val="20"/>
                            <w:szCs w:val="20"/>
                          </w:rPr>
                          <w:t>报字</w:t>
                        </w:r>
                        <w:r>
                          <w:rPr>
                            <w:rFonts w:ascii="宋体" w:hAnsi="宋体" w:cs="宋体" w:eastAsia="宋体" w:hint="default"/>
                            <w:spacing w:val="-1"/>
                            <w:w w:val="100"/>
                            <w:sz w:val="20"/>
                            <w:szCs w:val="20"/>
                          </w:rPr>
                          <w:t>（</w:t>
                        </w:r>
                        <w:r>
                          <w:rPr>
                            <w:rFonts w:ascii="Times New Roman" w:hAnsi="Times New Roman" w:cs="Times New Roman" w:eastAsia="Times New Roman" w:hint="default"/>
                            <w:w w:val="100"/>
                            <w:sz w:val="20"/>
                            <w:szCs w:val="20"/>
                          </w:rPr>
                          <w:t>2015</w:t>
                        </w:r>
                        <w:r>
                          <w:rPr>
                            <w:rFonts w:ascii="宋体" w:hAnsi="宋体" w:cs="宋体" w:eastAsia="宋体" w:hint="default"/>
                            <w:spacing w:val="-2"/>
                            <w:w w:val="100"/>
                            <w:sz w:val="20"/>
                            <w:szCs w:val="20"/>
                          </w:rPr>
                          <w:t>）</w:t>
                        </w:r>
                        <w:r>
                          <w:rPr>
                            <w:rFonts w:ascii="宋体" w:hAnsi="宋体" w:cs="宋体" w:eastAsia="宋体" w:hint="default"/>
                            <w:w w:val="100"/>
                            <w:sz w:val="20"/>
                            <w:szCs w:val="20"/>
                          </w:rPr>
                          <w:t>第</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0"/>
                            <w:sz w:val="20"/>
                            <w:szCs w:val="20"/>
                          </w:rPr>
                          <w:t>100</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100"/>
                            <w:sz w:val="20"/>
                            <w:szCs w:val="20"/>
                          </w:rPr>
                          <w:t>号</w:t>
                        </w:r>
                        <w:r>
                          <w:rPr>
                            <w:rFonts w:ascii="宋体" w:hAnsi="宋体" w:cs="宋体" w:eastAsia="宋体" w:hint="default"/>
                            <w:spacing w:val="-2"/>
                            <w:w w:val="100"/>
                            <w:sz w:val="20"/>
                            <w:szCs w:val="20"/>
                          </w:rPr>
                          <w:t>《</w:t>
                        </w:r>
                        <w:r>
                          <w:rPr>
                            <w:rFonts w:ascii="宋体" w:hAnsi="宋体" w:cs="宋体" w:eastAsia="宋体" w:hint="default"/>
                            <w:w w:val="100"/>
                            <w:sz w:val="20"/>
                            <w:szCs w:val="20"/>
                          </w:rPr>
                          <w:t>资产评</w:t>
                        </w:r>
                        <w:r>
                          <w:rPr>
                            <w:rFonts w:ascii="宋体" w:hAnsi="宋体" w:cs="宋体" w:eastAsia="宋体" w:hint="default"/>
                            <w:spacing w:val="-2"/>
                            <w:w w:val="100"/>
                            <w:sz w:val="20"/>
                            <w:szCs w:val="20"/>
                          </w:rPr>
                          <w:t>估</w:t>
                        </w:r>
                        <w:r>
                          <w:rPr>
                            <w:rFonts w:ascii="宋体" w:hAnsi="宋体" w:cs="宋体" w:eastAsia="宋体" w:hint="default"/>
                            <w:w w:val="100"/>
                            <w:sz w:val="20"/>
                            <w:szCs w:val="20"/>
                          </w:rPr>
                          <w:t>报</w:t>
                        </w:r>
                        <w:r>
                          <w:rPr>
                            <w:rFonts w:ascii="宋体" w:hAnsi="宋体" w:cs="宋体" w:eastAsia="宋体" w:hint="default"/>
                            <w:spacing w:val="-2"/>
                            <w:w w:val="100"/>
                            <w:sz w:val="20"/>
                            <w:szCs w:val="20"/>
                          </w:rPr>
                          <w:t>告</w:t>
                        </w:r>
                        <w:r>
                          <w:rPr>
                            <w:rFonts w:ascii="宋体" w:hAnsi="宋体" w:cs="宋体" w:eastAsia="宋体" w:hint="default"/>
                            <w:spacing w:val="-100"/>
                            <w:w w:val="100"/>
                            <w:sz w:val="20"/>
                            <w:szCs w:val="20"/>
                          </w:rPr>
                          <w:t>》</w:t>
                        </w:r>
                        <w:r>
                          <w:rPr>
                            <w:rFonts w:ascii="宋体" w:hAnsi="宋体" w:cs="宋体" w:eastAsia="宋体" w:hint="default"/>
                            <w:w w:val="100"/>
                            <w:sz w:val="20"/>
                            <w:szCs w:val="20"/>
                          </w:rPr>
                          <w:t>。</w:t>
                        </w:r>
                      </w:p>
                      <w:p>
                        <w:pPr>
                          <w:pStyle w:val="TableParagraph"/>
                          <w:spacing w:line="312" w:lineRule="auto" w:before="82"/>
                          <w:ind w:left="23" w:right="102" w:firstLine="399"/>
                          <w:jc w:val="both"/>
                          <w:rPr>
                            <w:rFonts w:ascii="宋体" w:hAnsi="宋体" w:cs="宋体" w:eastAsia="宋体" w:hint="default"/>
                            <w:sz w:val="20"/>
                            <w:szCs w:val="20"/>
                          </w:rPr>
                        </w:pPr>
                        <w:r>
                          <w:rPr>
                            <w:rFonts w:ascii="宋体" w:hAnsi="宋体" w:cs="宋体" w:eastAsia="宋体" w:hint="default"/>
                            <w:sz w:val="20"/>
                            <w:szCs w:val="20"/>
                          </w:rPr>
                          <w:t>截至评估基准日</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日，经市场法评估，与可比交易案例进行比较</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PPLive</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Corporation</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的股东全部权益在持续经营条件下评估价值为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380,140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万元，较</w:t>
                        </w:r>
                        <w:r>
                          <w:rPr>
                            <w:rFonts w:ascii="宋体" w:hAnsi="宋体" w:cs="宋体" w:eastAsia="宋体" w:hint="default"/>
                            <w:w w:val="100"/>
                            <w:sz w:val="20"/>
                            <w:szCs w:val="20"/>
                          </w:rPr>
                          <w:t> </w:t>
                        </w:r>
                        <w:r>
                          <w:rPr>
                            <w:rFonts w:ascii="宋体" w:hAnsi="宋体" w:cs="宋体" w:eastAsia="宋体" w:hint="default"/>
                            <w:sz w:val="20"/>
                            <w:szCs w:val="20"/>
                          </w:rPr>
                          <w:t>账面价值（合并口径）评估增值</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445,422.63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p>
                        <w:pPr>
                          <w:pStyle w:val="TableParagraph"/>
                          <w:spacing w:line="240" w:lineRule="auto" w:before="15"/>
                          <w:ind w:left="423" w:right="0"/>
                          <w:jc w:val="left"/>
                          <w:rPr>
                            <w:rFonts w:ascii="宋体" w:hAnsi="宋体" w:cs="宋体" w:eastAsia="宋体" w:hint="default"/>
                            <w:sz w:val="20"/>
                            <w:szCs w:val="20"/>
                          </w:rPr>
                        </w:pPr>
                        <w:r>
                          <w:rPr>
                            <w:rFonts w:ascii="宋体" w:hAnsi="宋体" w:cs="宋体" w:eastAsia="宋体" w:hint="default"/>
                            <w:sz w:val="20"/>
                            <w:szCs w:val="20"/>
                          </w:rPr>
                          <w:t>具体评估内容详见公司</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日巨潮资讯网披露的《拟转让所持有的</w:t>
                        </w:r>
                      </w:p>
                      <w:p>
                        <w:pPr>
                          <w:pStyle w:val="TableParagraph"/>
                          <w:spacing w:line="240" w:lineRule="auto" w:before="82"/>
                          <w:ind w:left="23" w:right="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t>PPl</w:t>
                        </w:r>
                        <w:r>
                          <w:rPr>
                            <w:rFonts w:ascii="Times New Roman" w:hAnsi="Times New Roman" w:cs="Times New Roman" w:eastAsia="Times New Roman" w:hint="default"/>
                            <w:spacing w:val="-1"/>
                            <w:w w:val="100"/>
                            <w:sz w:val="20"/>
                            <w:szCs w:val="20"/>
                          </w:rPr>
                          <w:t>i</w:t>
                        </w:r>
                        <w:r>
                          <w:rPr>
                            <w:rFonts w:ascii="Times New Roman" w:hAnsi="Times New Roman" w:cs="Times New Roman" w:eastAsia="Times New Roman" w:hint="default"/>
                            <w:w w:val="100"/>
                            <w:sz w:val="20"/>
                            <w:szCs w:val="20"/>
                          </w:rPr>
                          <w:t>ve</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2"/>
                            <w:w w:val="100"/>
                            <w:sz w:val="20"/>
                            <w:szCs w:val="20"/>
                          </w:rPr>
                          <w:t>C</w:t>
                        </w:r>
                        <w:r>
                          <w:rPr>
                            <w:rFonts w:ascii="Times New Roman" w:hAnsi="Times New Roman" w:cs="Times New Roman" w:eastAsia="Times New Roman" w:hint="default"/>
                            <w:w w:val="100"/>
                            <w:sz w:val="20"/>
                            <w:szCs w:val="20"/>
                          </w:rPr>
                          <w:t>orpor</w:t>
                        </w:r>
                        <w:r>
                          <w:rPr>
                            <w:rFonts w:ascii="Times New Roman" w:hAnsi="Times New Roman" w:cs="Times New Roman" w:eastAsia="Times New Roman" w:hint="default"/>
                            <w:spacing w:val="-1"/>
                            <w:w w:val="100"/>
                            <w:sz w:val="20"/>
                            <w:szCs w:val="20"/>
                          </w:rPr>
                          <w:t>a</w:t>
                        </w:r>
                        <w:r>
                          <w:rPr>
                            <w:rFonts w:ascii="Times New Roman" w:hAnsi="Times New Roman" w:cs="Times New Roman" w:eastAsia="Times New Roman" w:hint="default"/>
                            <w:w w:val="100"/>
                            <w:sz w:val="20"/>
                            <w:szCs w:val="20"/>
                          </w:rPr>
                          <w:t>t</w:t>
                        </w:r>
                        <w:r>
                          <w:rPr>
                            <w:rFonts w:ascii="Times New Roman" w:hAnsi="Times New Roman" w:cs="Times New Roman" w:eastAsia="Times New Roman" w:hint="default"/>
                            <w:spacing w:val="-1"/>
                            <w:w w:val="100"/>
                            <w:sz w:val="20"/>
                            <w:szCs w:val="20"/>
                          </w:rPr>
                          <w:t>i</w:t>
                        </w:r>
                        <w:r>
                          <w:rPr>
                            <w:rFonts w:ascii="Times New Roman" w:hAnsi="Times New Roman" w:cs="Times New Roman" w:eastAsia="Times New Roman" w:hint="default"/>
                            <w:w w:val="100"/>
                            <w:sz w:val="20"/>
                            <w:szCs w:val="20"/>
                          </w:rPr>
                          <w:t>on</w:t>
                        </w:r>
                        <w:r>
                          <w:rPr>
                            <w:rFonts w:ascii="Times New Roman" w:hAnsi="Times New Roman" w:cs="Times New Roman" w:eastAsia="Times New Roman" w:hint="default"/>
                            <w:spacing w:val="1"/>
                            <w:sz w:val="20"/>
                            <w:szCs w:val="20"/>
                          </w:rPr>
                          <w:t> </w:t>
                        </w:r>
                        <w:r>
                          <w:rPr>
                            <w:rFonts w:ascii="宋体" w:hAnsi="宋体" w:cs="宋体" w:eastAsia="宋体" w:hint="default"/>
                            <w:spacing w:val="-2"/>
                            <w:w w:val="100"/>
                            <w:sz w:val="20"/>
                            <w:szCs w:val="20"/>
                          </w:rPr>
                          <w:t>股</w:t>
                        </w:r>
                        <w:r>
                          <w:rPr>
                            <w:rFonts w:ascii="宋体" w:hAnsi="宋体" w:cs="宋体" w:eastAsia="宋体" w:hint="default"/>
                            <w:w w:val="100"/>
                            <w:sz w:val="20"/>
                            <w:szCs w:val="20"/>
                          </w:rPr>
                          <w:t>权项</w:t>
                        </w:r>
                        <w:r>
                          <w:rPr>
                            <w:rFonts w:ascii="宋体" w:hAnsi="宋体" w:cs="宋体" w:eastAsia="宋体" w:hint="default"/>
                            <w:spacing w:val="-2"/>
                            <w:w w:val="100"/>
                            <w:sz w:val="20"/>
                            <w:szCs w:val="20"/>
                          </w:rPr>
                          <w:t>目</w:t>
                        </w:r>
                        <w:r>
                          <w:rPr>
                            <w:rFonts w:ascii="宋体" w:hAnsi="宋体" w:cs="宋体" w:eastAsia="宋体" w:hint="default"/>
                            <w:w w:val="100"/>
                            <w:sz w:val="20"/>
                            <w:szCs w:val="20"/>
                          </w:rPr>
                          <w:t>评估报</w:t>
                        </w:r>
                        <w:r>
                          <w:rPr>
                            <w:rFonts w:ascii="宋体" w:hAnsi="宋体" w:cs="宋体" w:eastAsia="宋体" w:hint="default"/>
                            <w:spacing w:val="-2"/>
                            <w:w w:val="100"/>
                            <w:sz w:val="20"/>
                            <w:szCs w:val="20"/>
                          </w:rPr>
                          <w:t>告</w:t>
                        </w:r>
                        <w:r>
                          <w:rPr>
                            <w:rFonts w:ascii="宋体" w:hAnsi="宋体" w:cs="宋体" w:eastAsia="宋体" w:hint="default"/>
                            <w:spacing w:val="-100"/>
                            <w:w w:val="100"/>
                            <w:sz w:val="20"/>
                            <w:szCs w:val="20"/>
                          </w:rPr>
                          <w:t>》</w:t>
                        </w:r>
                        <w:r>
                          <w:rPr>
                            <w:rFonts w:ascii="宋体" w:hAnsi="宋体" w:cs="宋体" w:eastAsia="宋体" w:hint="default"/>
                            <w:w w:val="100"/>
                            <w:sz w:val="20"/>
                            <w:szCs w:val="20"/>
                          </w:rPr>
                          <w:t>。</w:t>
                        </w:r>
                      </w:p>
                    </w:tc>
                  </w:tr>
                  <w:tr>
                    <w:trPr>
                      <w:trHeight w:val="1087" w:hRule="exact"/>
                    </w:trPr>
                    <w:tc>
                      <w:tcPr>
                        <w:tcW w:w="30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60" w:lineRule="exact"/>
                          <w:ind w:left="24" w:right="170"/>
                          <w:jc w:val="left"/>
                          <w:rPr>
                            <w:rFonts w:ascii="宋体" w:hAnsi="宋体" w:cs="宋体" w:eastAsia="宋体" w:hint="default"/>
                            <w:sz w:val="20"/>
                            <w:szCs w:val="20"/>
                          </w:rPr>
                        </w:pPr>
                        <w:r>
                          <w:rPr>
                            <w:rFonts w:ascii="宋体" w:hAnsi="宋体" w:cs="宋体" w:eastAsia="宋体" w:hint="default"/>
                            <w:sz w:val="20"/>
                            <w:szCs w:val="20"/>
                          </w:rPr>
                          <w:t>对公司经营成果与财务状况的影</w:t>
                        </w:r>
                        <w:r>
                          <w:rPr>
                            <w:rFonts w:ascii="宋体" w:hAnsi="宋体" w:cs="宋体" w:eastAsia="宋体" w:hint="default"/>
                            <w:w w:val="100"/>
                            <w:sz w:val="20"/>
                            <w:szCs w:val="20"/>
                          </w:rPr>
                          <w:t> </w:t>
                        </w:r>
                        <w:r>
                          <w:rPr>
                            <w:rFonts w:ascii="宋体" w:hAnsi="宋体" w:cs="宋体" w:eastAsia="宋体" w:hint="default"/>
                            <w:sz w:val="20"/>
                            <w:szCs w:val="20"/>
                          </w:rPr>
                          <w:t>响情况</w:t>
                        </w:r>
                      </w:p>
                    </w:tc>
                    <w:tc>
                      <w:tcPr>
                        <w:tcW w:w="734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pacing w:val="-9"/>
                            <w:sz w:val="20"/>
                            <w:szCs w:val="20"/>
                          </w:rPr>
                          <w:t>月，公司将持有的</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68.08%</w:t>
                        </w:r>
                        <w:r>
                          <w:rPr>
                            <w:rFonts w:ascii="宋体" w:hAnsi="宋体" w:cs="宋体" w:eastAsia="宋体" w:hint="default"/>
                            <w:sz w:val="20"/>
                            <w:szCs w:val="20"/>
                          </w:rPr>
                          <w:t>的股权全部转让于苏宁文化投资管理</w:t>
                        </w:r>
                      </w:p>
                      <w:p>
                        <w:pPr>
                          <w:pStyle w:val="TableParagraph"/>
                          <w:spacing w:line="240" w:lineRule="auto" w:before="82"/>
                          <w:ind w:left="23" w:right="0"/>
                          <w:jc w:val="left"/>
                          <w:rPr>
                            <w:rFonts w:ascii="Times New Roman" w:hAnsi="Times New Roman" w:cs="Times New Roman" w:eastAsia="Times New Roman" w:hint="default"/>
                            <w:sz w:val="20"/>
                            <w:szCs w:val="20"/>
                          </w:rPr>
                        </w:pPr>
                        <w:r>
                          <w:rPr>
                            <w:rFonts w:ascii="宋体" w:hAnsi="宋体" w:cs="宋体" w:eastAsia="宋体" w:hint="default"/>
                            <w:spacing w:val="-3"/>
                            <w:sz w:val="20"/>
                            <w:szCs w:val="20"/>
                          </w:rPr>
                          <w:t>有限公司的境外子公司，并收到全部转让价款 </w:t>
                        </w:r>
                        <w:r>
                          <w:rPr>
                            <w:rFonts w:ascii="Times New Roman" w:hAnsi="Times New Roman" w:cs="Times New Roman" w:eastAsia="Times New Roman" w:hint="default"/>
                            <w:sz w:val="20"/>
                            <w:szCs w:val="20"/>
                          </w:rPr>
                          <w:t>39,841.02 </w:t>
                        </w:r>
                        <w:r>
                          <w:rPr>
                            <w:rFonts w:ascii="宋体" w:hAnsi="宋体" w:cs="宋体" w:eastAsia="宋体" w:hint="default"/>
                            <w:spacing w:val="-4"/>
                            <w:sz w:val="20"/>
                            <w:szCs w:val="20"/>
                          </w:rPr>
                          <w:t>万美金。以实际交割日</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2015</w:t>
                        </w:r>
                      </w:p>
                      <w:p>
                        <w:pPr>
                          <w:pStyle w:val="TableParagraph"/>
                          <w:spacing w:line="240" w:lineRule="auto" w:before="82"/>
                          <w:ind w:left="23"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30 </w:t>
                        </w:r>
                        <w:r>
                          <w:rPr>
                            <w:rFonts w:ascii="宋体" w:hAnsi="宋体" w:cs="宋体" w:eastAsia="宋体" w:hint="default"/>
                            <w:sz w:val="20"/>
                            <w:szCs w:val="20"/>
                          </w:rPr>
                          <w:t>日测算，该交易增加公司</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 </w:t>
                        </w:r>
                        <w:r>
                          <w:rPr>
                            <w:rFonts w:ascii="宋体" w:hAnsi="宋体" w:cs="宋体" w:eastAsia="宋体" w:hint="default"/>
                            <w:sz w:val="20"/>
                            <w:szCs w:val="20"/>
                          </w:rPr>
                          <w:t>年度净利润</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13.55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亿元。</w:t>
                        </w:r>
                      </w:p>
                    </w:tc>
                  </w:tr>
                </w:tbl>
                <w:p>
                  <w:pPr/>
                </w:p>
              </w:txbxContent>
            </v:textbox>
            <w10:wrap type="none"/>
          </v:shape>
        </w:pict>
      </w: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8"/>
        <w:ind w:left="474" w:right="4592"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股权转让价格实际交割以美元计算。</w:t>
      </w:r>
    </w:p>
    <w:p>
      <w:pPr>
        <w:spacing w:line="240" w:lineRule="auto" w:before="2"/>
        <w:rPr>
          <w:rFonts w:ascii="宋体" w:hAnsi="宋体" w:cs="宋体" w:eastAsia="宋体" w:hint="default"/>
          <w:sz w:val="26"/>
          <w:szCs w:val="26"/>
        </w:rPr>
      </w:pPr>
    </w:p>
    <w:p>
      <w:pPr>
        <w:pStyle w:val="Heading4"/>
        <w:spacing w:line="240" w:lineRule="auto"/>
        <w:ind w:left="474" w:right="4592"/>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914" w:right="4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公司报告期未发生与关联方共同重大对外投资的关联交易。</w:t>
      </w:r>
    </w:p>
    <w:p>
      <w:pPr>
        <w:spacing w:after="0" w:line="369" w:lineRule="auto"/>
        <w:jc w:val="left"/>
        <w:sectPr>
          <w:headerReference w:type="default" r:id="rId19"/>
          <w:footerReference w:type="default" r:id="rId20"/>
          <w:pgSz w:w="11910" w:h="16840"/>
          <w:pgMar w:header="877" w:footer="979" w:top="1100" w:bottom="1160" w:left="660" w:right="0"/>
          <w:pgNumType w:start="68"/>
        </w:sectPr>
      </w:pPr>
    </w:p>
    <w:p>
      <w:pPr>
        <w:spacing w:line="240" w:lineRule="auto" w:before="5"/>
        <w:rPr>
          <w:rFonts w:ascii="宋体" w:hAnsi="宋体" w:cs="宋体" w:eastAsia="宋体" w:hint="default"/>
          <w:sz w:val="20"/>
          <w:szCs w:val="20"/>
        </w:rPr>
      </w:pPr>
    </w:p>
    <w:p>
      <w:pPr>
        <w:pStyle w:val="Heading4"/>
        <w:spacing w:line="240" w:lineRule="auto" w:before="31"/>
        <w:ind w:right="1082"/>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594" w:right="1082"/>
        <w:jc w:val="left"/>
      </w:pPr>
      <w:r>
        <w:rPr/>
        <w:t>是否存在非经营性关联债权债务往来</w:t>
      </w:r>
    </w:p>
    <w:p>
      <w:pPr>
        <w:pStyle w:val="BodyText"/>
        <w:spacing w:line="369" w:lineRule="auto" w:before="180"/>
        <w:ind w:left="594" w:right="5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公司报告期不存在非经营性关联债权债务往来。</w:t>
      </w:r>
    </w:p>
    <w:p>
      <w:pPr>
        <w:spacing w:line="240" w:lineRule="auto" w:before="10"/>
        <w:rPr>
          <w:rFonts w:ascii="宋体" w:hAnsi="宋体" w:cs="宋体" w:eastAsia="宋体" w:hint="default"/>
          <w:sz w:val="21"/>
          <w:szCs w:val="21"/>
        </w:rPr>
      </w:pPr>
    </w:p>
    <w:p>
      <w:pPr>
        <w:pStyle w:val="Heading4"/>
        <w:spacing w:line="240" w:lineRule="auto"/>
        <w:ind w:right="1082"/>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594" w:right="1082"/>
        <w:jc w:val="left"/>
      </w:pPr>
      <w:r>
        <w:rPr/>
        <w:t>商标使用许可协议</w:t>
      </w:r>
    </w:p>
    <w:p>
      <w:pPr>
        <w:pStyle w:val="BodyText"/>
        <w:spacing w:line="379" w:lineRule="auto" w:before="180"/>
        <w:ind w:right="1134" w:firstLine="440"/>
        <w:jc w:val="both"/>
      </w:pPr>
      <w:r>
        <w:rPr>
          <w:rFonts w:ascii="Times New Roman" w:hAnsi="Times New Roman" w:cs="Times New Roman" w:eastAsia="Times New Roman" w:hint="default"/>
          <w:w w:val="99"/>
        </w:rPr>
        <w:t>2008 </w:t>
      </w:r>
      <w:r>
        <w:rPr>
          <w:w w:val="99"/>
        </w:rPr>
        <w:t>年</w:t>
      </w:r>
      <w:r>
        <w:rPr>
          <w:spacing w:val="-55"/>
          <w:w w:val="99"/>
        </w:rPr>
        <w:t> </w:t>
      </w:r>
      <w:r>
        <w:rPr>
          <w:rFonts w:ascii="Times New Roman" w:hAnsi="Times New Roman" w:cs="Times New Roman" w:eastAsia="Times New Roman" w:hint="default"/>
          <w:w w:val="99"/>
        </w:rPr>
        <w:t>3 </w:t>
      </w:r>
      <w:r>
        <w:rPr>
          <w:w w:val="99"/>
        </w:rPr>
        <w:t>月</w:t>
      </w:r>
      <w:r>
        <w:rPr>
          <w:spacing w:val="-56"/>
          <w:w w:val="99"/>
        </w:rPr>
        <w:t> </w:t>
      </w:r>
      <w:r>
        <w:rPr>
          <w:rFonts w:ascii="Times New Roman" w:hAnsi="Times New Roman" w:cs="Times New Roman" w:eastAsia="Times New Roman" w:hint="default"/>
          <w:w w:val="99"/>
        </w:rPr>
        <w:t>20 </w:t>
      </w:r>
      <w:r>
        <w:rPr>
          <w:w w:val="99"/>
        </w:rPr>
        <w:t>日，经公司</w:t>
      </w:r>
      <w:r>
        <w:rPr>
          <w:spacing w:val="-55"/>
          <w:w w:val="99"/>
        </w:rPr>
        <w:t> </w:t>
      </w:r>
      <w:r>
        <w:rPr>
          <w:rFonts w:ascii="Times New Roman" w:hAnsi="Times New Roman" w:cs="Times New Roman" w:eastAsia="Times New Roman" w:hint="default"/>
          <w:w w:val="99"/>
        </w:rPr>
        <w:t>2007 </w:t>
      </w:r>
      <w:r>
        <w:rPr>
          <w:spacing w:val="-4"/>
          <w:w w:val="99"/>
        </w:rPr>
        <w:t>年年度股东大会审议通过了《关于商标使用许可的议案》，同意</w:t>
      </w:r>
      <w:r>
        <w:rPr>
          <w:w w:val="99"/>
        </w:rPr>
        <w:t> </w:t>
      </w:r>
      <w:r>
        <w:rPr>
          <w:spacing w:val="-1"/>
          <w:w w:val="95"/>
        </w:rPr>
        <w:t>许可公司第二大发起人股东苏宁电器集团有限公司及其全资、控股子公司和具有实际控制权的公司使</w:t>
      </w:r>
      <w:r>
        <w:rPr>
          <w:spacing w:val="48"/>
          <w:w w:val="95"/>
        </w:rPr>
        <w:t> </w:t>
      </w:r>
      <w:r>
        <w:rPr>
          <w:spacing w:val="48"/>
          <w:w w:val="95"/>
        </w:rPr>
      </w:r>
      <w:r>
        <w:rPr>
          <w:spacing w:val="-1"/>
        </w:rPr>
        <w:t>用公司已注册的部分</w:t>
      </w:r>
      <w:r>
        <w:rPr>
          <w:rFonts w:ascii="Times New Roman" w:hAnsi="Times New Roman" w:cs="Times New Roman" w:eastAsia="Times New Roman" w:hint="default"/>
          <w:spacing w:val="-1"/>
        </w:rPr>
        <w:t>“</w:t>
      </w:r>
      <w:r>
        <w:rPr>
          <w:spacing w:val="-1"/>
        </w:rPr>
        <w:t>蘇寧</w:t>
      </w:r>
      <w:r>
        <w:rPr>
          <w:rFonts w:ascii="Times New Roman" w:hAnsi="Times New Roman" w:cs="Times New Roman" w:eastAsia="Times New Roman" w:hint="default"/>
          <w:spacing w:val="-1"/>
        </w:rPr>
        <w:t>”</w:t>
      </w:r>
      <w:r>
        <w:rPr>
          <w:spacing w:val="-1"/>
        </w:rPr>
        <w:t>系列注册商标以及部分</w:t>
      </w:r>
      <w:r>
        <w:rPr>
          <w:rFonts w:ascii="Times New Roman" w:hAnsi="Times New Roman" w:cs="Times New Roman" w:eastAsia="Times New Roman" w:hint="default"/>
          <w:spacing w:val="-1"/>
        </w:rPr>
        <w:t>“</w:t>
      </w:r>
      <w:r>
        <w:rPr>
          <w:spacing w:val="-1"/>
        </w:rPr>
        <w:t>苏宁</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“NS”</w:t>
      </w:r>
      <w:r>
        <w:rPr>
          <w:spacing w:val="-1"/>
        </w:rPr>
        <w:t>组合的系列注册商标。若在后期的经</w:t>
      </w:r>
      <w:r>
        <w:rPr>
          <w:spacing w:val="-108"/>
        </w:rPr>
        <w:t> </w:t>
      </w:r>
      <w:r>
        <w:rPr>
          <w:spacing w:val="-108"/>
        </w:rPr>
      </w:r>
      <w:r>
        <w:rPr>
          <w:spacing w:val="-1"/>
          <w:w w:val="95"/>
        </w:rPr>
        <w:t>营活动中，苏宁电器集团有限公司及其全资、控股子公司和具有实际控制权的公司需要使用许可使用</w:t>
      </w:r>
      <w:r>
        <w:rPr>
          <w:spacing w:val="50"/>
          <w:w w:val="95"/>
        </w:rPr>
        <w:t> </w:t>
      </w:r>
      <w:r>
        <w:rPr>
          <w:spacing w:val="50"/>
          <w:w w:val="95"/>
        </w:rPr>
      </w:r>
      <w:r>
        <w:rPr/>
        <w:t>商标的延申商标，公司可代为申请注册，并许可其使用。</w:t>
      </w:r>
    </w:p>
    <w:p>
      <w:pPr>
        <w:pStyle w:val="BodyText"/>
        <w:spacing w:line="374" w:lineRule="auto" w:before="52"/>
        <w:ind w:right="1136" w:firstLine="440"/>
        <w:jc w:val="both"/>
      </w:pPr>
      <w:r>
        <w:rPr>
          <w:rFonts w:ascii="Times New Roman" w:hAnsi="Times New Roman" w:cs="Times New Roman" w:eastAsia="Times New Roman" w:hint="default"/>
          <w:w w:val="99"/>
        </w:rPr>
        <w:t>2009 </w:t>
      </w:r>
      <w:r>
        <w:rPr>
          <w:w w:val="99"/>
        </w:rPr>
        <w:t>年</w:t>
      </w:r>
      <w:r>
        <w:rPr>
          <w:spacing w:val="-55"/>
          <w:w w:val="99"/>
        </w:rPr>
        <w:t> </w:t>
      </w:r>
      <w:r>
        <w:rPr>
          <w:rFonts w:ascii="Times New Roman" w:hAnsi="Times New Roman" w:cs="Times New Roman" w:eastAsia="Times New Roman" w:hint="default"/>
          <w:w w:val="99"/>
        </w:rPr>
        <w:t>3 </w:t>
      </w:r>
      <w:r>
        <w:rPr>
          <w:w w:val="99"/>
        </w:rPr>
        <w:t>月</w:t>
      </w:r>
      <w:r>
        <w:rPr>
          <w:spacing w:val="-56"/>
          <w:w w:val="99"/>
        </w:rPr>
        <w:t> </w:t>
      </w:r>
      <w:r>
        <w:rPr>
          <w:rFonts w:ascii="Times New Roman" w:hAnsi="Times New Roman" w:cs="Times New Roman" w:eastAsia="Times New Roman" w:hint="default"/>
          <w:w w:val="99"/>
        </w:rPr>
        <w:t>31 </w:t>
      </w:r>
      <w:r>
        <w:rPr>
          <w:w w:val="99"/>
        </w:rPr>
        <w:t>日，经公司</w:t>
      </w:r>
      <w:r>
        <w:rPr>
          <w:spacing w:val="-55"/>
          <w:w w:val="99"/>
        </w:rPr>
        <w:t> </w:t>
      </w:r>
      <w:r>
        <w:rPr>
          <w:rFonts w:ascii="Times New Roman" w:hAnsi="Times New Roman" w:cs="Times New Roman" w:eastAsia="Times New Roman" w:hint="default"/>
          <w:w w:val="99"/>
        </w:rPr>
        <w:t>2008 </w:t>
      </w:r>
      <w:r>
        <w:rPr>
          <w:spacing w:val="-4"/>
          <w:w w:val="99"/>
        </w:rPr>
        <w:t>年年度股东大会审议通过了《关于商标使用许可的议案》，许可</w:t>
      </w:r>
      <w:r>
        <w:rPr>
          <w:w w:val="99"/>
        </w:rPr>
        <w:t> </w:t>
      </w:r>
      <w:r>
        <w:rPr/>
        <w:t>苏宁电器集团有限公司及其直接或间接持有</w:t>
      </w:r>
      <w:r>
        <w:rPr>
          <w:spacing w:val="-56"/>
        </w:rPr>
        <w:t> </w:t>
      </w:r>
      <w:r>
        <w:rPr>
          <w:rFonts w:ascii="Times New Roman" w:hAnsi="Times New Roman" w:cs="Times New Roman" w:eastAsia="Times New Roman" w:hint="default"/>
          <w:spacing w:val="-3"/>
        </w:rPr>
        <w:t>20%</w:t>
      </w:r>
      <w:r>
        <w:rPr>
          <w:spacing w:val="-3"/>
        </w:rPr>
        <w:t>以上（含</w:t>
      </w:r>
      <w:r>
        <w:rPr>
          <w:spacing w:val="-57"/>
        </w:rPr>
        <w:t> </w:t>
      </w:r>
      <w:r>
        <w:rPr>
          <w:rFonts w:ascii="Times New Roman" w:hAnsi="Times New Roman" w:cs="Times New Roman" w:eastAsia="Times New Roman" w:hint="default"/>
          <w:spacing w:val="-3"/>
        </w:rPr>
        <w:t>20%</w:t>
      </w:r>
      <w:r>
        <w:rPr>
          <w:spacing w:val="-3"/>
        </w:rPr>
        <w:t>）股份的公司（以下简称</w:t>
      </w:r>
      <w:r>
        <w:rPr>
          <w:rFonts w:ascii="Times New Roman" w:hAnsi="Times New Roman" w:cs="Times New Roman" w:eastAsia="Times New Roman" w:hint="default"/>
          <w:spacing w:val="-3"/>
        </w:rPr>
        <w:t>“</w:t>
      </w:r>
      <w:r>
        <w:rPr>
          <w:spacing w:val="-3"/>
        </w:rPr>
        <w:t>子公司</w:t>
      </w:r>
      <w:r>
        <w:rPr>
          <w:rFonts w:ascii="Times New Roman" w:hAnsi="Times New Roman" w:cs="Times New Roman" w:eastAsia="Times New Roman" w:hint="default"/>
          <w:spacing w:val="-3"/>
        </w:rPr>
        <w:t>”</w:t>
      </w:r>
      <w:r>
        <w:rPr>
          <w:spacing w:val="-3"/>
        </w:rPr>
        <w:t>）使</w:t>
      </w:r>
      <w:r>
        <w:rPr>
          <w:spacing w:val="-14"/>
          <w:w w:val="99"/>
        </w:rPr>
        <w:t> </w:t>
      </w:r>
      <w:r>
        <w:rPr/>
        <w:t>用公司已注册的部分</w:t>
      </w:r>
      <w:r>
        <w:rPr>
          <w:rFonts w:ascii="Times New Roman" w:hAnsi="Times New Roman" w:cs="Times New Roman" w:eastAsia="Times New Roman" w:hint="default"/>
        </w:rPr>
        <w:t>“</w:t>
      </w:r>
      <w:r>
        <w:rPr/>
        <w:t>苏宁</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苏宁</w:t>
      </w:r>
      <w:r>
        <w:rPr>
          <w:rFonts w:ascii="Times New Roman" w:hAnsi="Times New Roman" w:cs="Times New Roman" w:eastAsia="Times New Roman" w:hint="default"/>
        </w:rPr>
        <w:t>”</w:t>
      </w:r>
      <w:r>
        <w:rPr/>
        <w:t>的汉语拼音</w:t>
      </w:r>
      <w:r>
        <w:rPr>
          <w:rFonts w:ascii="Times New Roman" w:hAnsi="Times New Roman" w:cs="Times New Roman" w:eastAsia="Times New Roman" w:hint="default"/>
        </w:rPr>
        <w:t>“SUNING”</w:t>
      </w:r>
      <w:r>
        <w:rPr/>
        <w:t>系列商标。若在后期的经营活动中，苏</w:t>
      </w:r>
      <w:r>
        <w:rPr>
          <w:w w:val="99"/>
        </w:rPr>
        <w:t> </w:t>
      </w:r>
      <w:r>
        <w:rPr>
          <w:spacing w:val="-1"/>
          <w:w w:val="95"/>
        </w:rPr>
        <w:t>宁电器集团有限公司及其子公司需要使用许可使用商标的延申商标，公司可代为申请注册，并许可其</w:t>
      </w:r>
      <w:r>
        <w:rPr>
          <w:w w:val="95"/>
        </w:rPr>
        <w:t>  </w:t>
      </w:r>
      <w:r>
        <w:rPr>
          <w:spacing w:val="50"/>
          <w:w w:val="95"/>
        </w:rPr>
        <w:t> </w:t>
      </w:r>
      <w:r>
        <w:rPr>
          <w:spacing w:val="50"/>
          <w:w w:val="95"/>
        </w:rPr>
      </w:r>
      <w:r>
        <w:rPr/>
        <w:t>使用。</w:t>
      </w:r>
    </w:p>
    <w:p>
      <w:pPr>
        <w:pStyle w:val="BodyText"/>
        <w:spacing w:line="369" w:lineRule="auto" w:before="57"/>
        <w:ind w:left="594" w:right="2074"/>
        <w:jc w:val="left"/>
      </w:pPr>
      <w:r>
        <w:rPr/>
        <w:t>截至本报告披露日，苏宁电器集团有限公司支付</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年度商标使用许可费</w:t>
      </w:r>
      <w:r>
        <w:rPr>
          <w:spacing w:val="-58"/>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t>万元。</w:t>
      </w:r>
      <w:r>
        <w:rPr>
          <w:w w:val="99"/>
        </w:rPr>
        <w:t> </w:t>
      </w:r>
      <w:r>
        <w:rPr/>
        <w:t>其他重大关联交易临时报告披露网站相关查询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64" w:right="0"/>
              <w:jc w:val="left"/>
              <w:rPr>
                <w:rFonts w:ascii="宋体" w:hAnsi="宋体" w:cs="宋体" w:eastAsia="宋体" w:hint="default"/>
                <w:sz w:val="22"/>
                <w:szCs w:val="22"/>
              </w:rPr>
            </w:pPr>
            <w:r>
              <w:rPr>
                <w:rFonts w:ascii="宋体" w:hAnsi="宋体" w:cs="宋体" w:eastAsia="宋体" w:hint="default"/>
                <w:sz w:val="22"/>
                <w:szCs w:val="22"/>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临时公告披露网站名称</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关于商标使用许可的关联交易公告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关于商标使用许可的关联交易公告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巨潮资讯网</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before="26"/>
        <w:ind w:left="154" w:right="1082"/>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82"/>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082"/>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5"/>
          <w:szCs w:val="25"/>
        </w:rPr>
      </w:pPr>
    </w:p>
    <w:p>
      <w:pPr>
        <w:pStyle w:val="BodyText"/>
        <w:spacing w:line="314" w:lineRule="auto"/>
        <w:ind w:right="7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公司报告期不存在托管情况。</w:t>
      </w:r>
    </w:p>
    <w:p>
      <w:pPr>
        <w:spacing w:after="0" w:line="314" w:lineRule="auto"/>
        <w:jc w:val="left"/>
        <w:sectPr>
          <w:pgSz w:w="11910" w:h="16840"/>
          <w:pgMar w:header="877" w:footer="979" w:top="1100" w:bottom="1160" w:left="980" w:right="0"/>
        </w:sectPr>
      </w:pPr>
    </w:p>
    <w:p>
      <w:pPr>
        <w:spacing w:line="240" w:lineRule="auto" w:before="4"/>
        <w:rPr>
          <w:rFonts w:ascii="宋体" w:hAnsi="宋体" w:cs="宋体" w:eastAsia="宋体" w:hint="default"/>
          <w:sz w:val="20"/>
          <w:szCs w:val="20"/>
        </w:rPr>
      </w:pPr>
    </w:p>
    <w:p>
      <w:pPr>
        <w:pStyle w:val="Heading4"/>
        <w:spacing w:line="240" w:lineRule="auto" w:before="31"/>
        <w:ind w:right="1082"/>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5"/>
          <w:szCs w:val="25"/>
        </w:rPr>
      </w:pPr>
    </w:p>
    <w:p>
      <w:pPr>
        <w:pStyle w:val="BodyText"/>
        <w:spacing w:line="314" w:lineRule="auto"/>
        <w:ind w:right="7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公司报告期不存在承包情况。</w:t>
      </w:r>
    </w:p>
    <w:p>
      <w:pPr>
        <w:spacing w:line="240" w:lineRule="auto" w:before="4"/>
        <w:rPr>
          <w:rFonts w:ascii="宋体" w:hAnsi="宋体" w:cs="宋体" w:eastAsia="宋体" w:hint="default"/>
          <w:sz w:val="21"/>
          <w:szCs w:val="21"/>
        </w:rPr>
      </w:pPr>
    </w:p>
    <w:p>
      <w:pPr>
        <w:pStyle w:val="Heading4"/>
        <w:spacing w:line="240" w:lineRule="auto"/>
        <w:ind w:right="1082"/>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5"/>
          <w:szCs w:val="25"/>
        </w:rPr>
      </w:pPr>
    </w:p>
    <w:p>
      <w:pPr>
        <w:pStyle w:val="BodyText"/>
        <w:spacing w:line="326" w:lineRule="auto"/>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spacing w:val="-1"/>
          <w:w w:val="95"/>
        </w:rPr>
        <w:t>报告期内，公司除正常租赁房屋进行开设店面，以及提供物业用于其他公司经营外，未发生也未有以</w:t>
      </w:r>
      <w:r>
        <w:rPr>
          <w:spacing w:val="-1"/>
        </w:rPr>
      </w:r>
    </w:p>
    <w:p>
      <w:pPr>
        <w:pStyle w:val="BodyText"/>
        <w:spacing w:line="391" w:lineRule="auto" w:before="101"/>
        <w:ind w:right="2606"/>
        <w:jc w:val="left"/>
      </w:pPr>
      <w:r>
        <w:rPr/>
        <w:t>前期间发生但延续到报告期内的重大资产租赁事项。</w:t>
      </w:r>
      <w:r>
        <w:rPr>
          <w:w w:val="99"/>
        </w:rPr>
        <w:t> </w:t>
      </w:r>
      <w:r>
        <w:rPr/>
        <w:t>公司报告期不存在为公司带来的损益达到公司报告期利润总额</w:t>
      </w:r>
      <w:r>
        <w:rPr>
          <w:spacing w:val="-66"/>
        </w:rPr>
        <w:t> </w:t>
      </w:r>
      <w:r>
        <w:rPr>
          <w:rFonts w:ascii="Times New Roman" w:hAnsi="Times New Roman" w:cs="Times New Roman" w:eastAsia="Times New Roman" w:hint="default"/>
        </w:rPr>
        <w:t>10%</w:t>
      </w:r>
      <w:r>
        <w:rPr/>
        <w:t>以上的租赁项目。</w:t>
      </w:r>
    </w:p>
    <w:p>
      <w:pPr>
        <w:spacing w:line="240" w:lineRule="auto" w:before="11"/>
        <w:rPr>
          <w:rFonts w:ascii="宋体" w:hAnsi="宋体" w:cs="宋体" w:eastAsia="宋体" w:hint="default"/>
          <w:sz w:val="17"/>
          <w:szCs w:val="17"/>
        </w:rPr>
      </w:pPr>
    </w:p>
    <w:p>
      <w:pPr>
        <w:pStyle w:val="Heading4"/>
        <w:spacing w:line="240" w:lineRule="auto"/>
        <w:ind w:right="1082"/>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082"/>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2"/>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9"/>
          <w:szCs w:val="19"/>
        </w:rPr>
      </w:pPr>
      <w:r>
        <w:rPr>
          <w:rFonts w:ascii="宋体" w:hAnsi="宋体" w:cs="宋体" w:eastAsia="宋体" w:hint="default"/>
          <w:w w:val="95"/>
          <w:sz w:val="19"/>
          <w:szCs w:val="19"/>
        </w:rPr>
        <w:t>单位：万元</w:t>
      </w:r>
      <w:r>
        <w:rPr>
          <w:rFonts w:ascii="宋体" w:hAnsi="宋体" w:cs="宋体" w:eastAsia="宋体" w:hint="default"/>
          <w:sz w:val="19"/>
          <w:szCs w:val="19"/>
        </w:rPr>
      </w:r>
    </w:p>
    <w:p>
      <w:pPr>
        <w:spacing w:line="240" w:lineRule="auto" w:before="6"/>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31"/>
        <w:gridCol w:w="1296"/>
        <w:gridCol w:w="1063"/>
        <w:gridCol w:w="1034"/>
        <w:gridCol w:w="1049"/>
        <w:gridCol w:w="792"/>
        <w:gridCol w:w="780"/>
      </w:tblGrid>
      <w:tr>
        <w:trPr>
          <w:trHeight w:val="25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406" w:right="0"/>
              <w:jc w:val="left"/>
              <w:rPr>
                <w:rFonts w:ascii="宋体" w:hAnsi="宋体" w:cs="宋体" w:eastAsia="宋体" w:hint="default"/>
                <w:sz w:val="19"/>
                <w:szCs w:val="19"/>
              </w:rPr>
            </w:pPr>
            <w:r>
              <w:rPr>
                <w:rFonts w:ascii="宋体" w:hAnsi="宋体" w:cs="宋体" w:eastAsia="宋体" w:hint="default"/>
                <w:sz w:val="19"/>
                <w:szCs w:val="19"/>
              </w:rPr>
              <w:t>公司及其子公司对外担保情况（不包括对子公司的担保）</w:t>
            </w:r>
          </w:p>
        </w:tc>
      </w:tr>
      <w:tr>
        <w:trPr>
          <w:trHeight w:val="749"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9"/>
                <w:szCs w:val="19"/>
              </w:rPr>
            </w:pPr>
            <w:r>
              <w:rPr>
                <w:rFonts w:ascii="宋体" w:hAnsi="宋体" w:cs="宋体" w:eastAsia="宋体" w:hint="default"/>
                <w:sz w:val="19"/>
                <w:szCs w:val="19"/>
              </w:rPr>
              <w:t>担保对象名称</w:t>
            </w:r>
          </w:p>
        </w:tc>
        <w:tc>
          <w:tcPr>
            <w:tcW w:w="92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17" w:lineRule="exact"/>
              <w:ind w:left="79" w:right="0"/>
              <w:jc w:val="left"/>
              <w:rPr>
                <w:rFonts w:ascii="宋体" w:hAnsi="宋体" w:cs="宋体" w:eastAsia="宋体" w:hint="default"/>
                <w:sz w:val="19"/>
                <w:szCs w:val="19"/>
              </w:rPr>
            </w:pPr>
            <w:r>
              <w:rPr>
                <w:rFonts w:ascii="宋体" w:hAnsi="宋体" w:cs="宋体" w:eastAsia="宋体" w:hint="default"/>
                <w:sz w:val="19"/>
                <w:szCs w:val="19"/>
              </w:rPr>
              <w:t>担保额度</w:t>
            </w:r>
          </w:p>
          <w:p>
            <w:pPr>
              <w:pStyle w:val="TableParagraph"/>
              <w:spacing w:line="246" w:lineRule="exact" w:before="23"/>
              <w:ind w:left="79" w:right="69"/>
              <w:jc w:val="left"/>
              <w:rPr>
                <w:rFonts w:ascii="宋体" w:hAnsi="宋体" w:cs="宋体" w:eastAsia="宋体" w:hint="default"/>
                <w:sz w:val="19"/>
                <w:szCs w:val="19"/>
              </w:rPr>
            </w:pPr>
            <w:r>
              <w:rPr>
                <w:rFonts w:ascii="宋体" w:hAnsi="宋体" w:cs="宋体" w:eastAsia="宋体" w:hint="default"/>
                <w:sz w:val="19"/>
                <w:szCs w:val="19"/>
              </w:rPr>
              <w:t>相关公告</w:t>
            </w:r>
            <w:r>
              <w:rPr>
                <w:rFonts w:ascii="宋体" w:hAnsi="宋体" w:cs="宋体" w:eastAsia="宋体" w:hint="default"/>
                <w:w w:val="99"/>
                <w:sz w:val="19"/>
                <w:szCs w:val="19"/>
              </w:rPr>
              <w:t> </w:t>
            </w:r>
            <w:r>
              <w:rPr>
                <w:rFonts w:ascii="宋体" w:hAnsi="宋体" w:cs="宋体" w:eastAsia="宋体" w:hint="default"/>
                <w:sz w:val="19"/>
                <w:szCs w:val="19"/>
              </w:rPr>
              <w:t>披露日期</w:t>
            </w:r>
          </w:p>
        </w:tc>
        <w:tc>
          <w:tcPr>
            <w:tcW w:w="931"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77"/>
              <w:jc w:val="right"/>
              <w:rPr>
                <w:rFonts w:ascii="宋体" w:hAnsi="宋体" w:cs="宋体" w:eastAsia="宋体" w:hint="default"/>
                <w:sz w:val="19"/>
                <w:szCs w:val="19"/>
              </w:rPr>
            </w:pPr>
            <w:r>
              <w:rPr>
                <w:rFonts w:ascii="宋体" w:hAnsi="宋体" w:cs="宋体" w:eastAsia="宋体" w:hint="default"/>
                <w:w w:val="95"/>
                <w:sz w:val="19"/>
                <w:szCs w:val="19"/>
              </w:rPr>
              <w:t>担保额度</w:t>
            </w:r>
            <w:r>
              <w:rPr>
                <w:rFonts w:ascii="宋体" w:hAnsi="宋体" w:cs="宋体" w:eastAsia="宋体" w:hint="default"/>
                <w:sz w:val="19"/>
                <w:szCs w:val="19"/>
              </w:rPr>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before="92"/>
              <w:ind w:left="71" w:right="0"/>
              <w:jc w:val="left"/>
              <w:rPr>
                <w:rFonts w:ascii="宋体" w:hAnsi="宋体" w:cs="宋体" w:eastAsia="宋体" w:hint="default"/>
                <w:sz w:val="19"/>
                <w:szCs w:val="19"/>
              </w:rPr>
            </w:pPr>
            <w:r>
              <w:rPr>
                <w:rFonts w:ascii="宋体" w:hAnsi="宋体" w:cs="宋体" w:eastAsia="宋体" w:hint="default"/>
                <w:sz w:val="19"/>
                <w:szCs w:val="19"/>
              </w:rPr>
              <w:t>实际发生日期</w:t>
            </w:r>
          </w:p>
          <w:p>
            <w:pPr>
              <w:pStyle w:val="TableParagraph"/>
              <w:spacing w:line="248" w:lineRule="exact"/>
              <w:ind w:left="22" w:right="0"/>
              <w:jc w:val="left"/>
              <w:rPr>
                <w:rFonts w:ascii="宋体" w:hAnsi="宋体" w:cs="宋体" w:eastAsia="宋体" w:hint="default"/>
                <w:sz w:val="19"/>
                <w:szCs w:val="19"/>
              </w:rPr>
            </w:pPr>
            <w:r>
              <w:rPr>
                <w:rFonts w:ascii="宋体" w:hAnsi="宋体" w:cs="宋体" w:eastAsia="宋体" w:hint="default"/>
                <w:sz w:val="19"/>
                <w:szCs w:val="19"/>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before="92"/>
              <w:ind w:left="50" w:right="0"/>
              <w:jc w:val="left"/>
              <w:rPr>
                <w:rFonts w:ascii="宋体" w:hAnsi="宋体" w:cs="宋体" w:eastAsia="宋体" w:hint="default"/>
                <w:sz w:val="19"/>
                <w:szCs w:val="19"/>
              </w:rPr>
            </w:pPr>
            <w:r>
              <w:rPr>
                <w:rFonts w:ascii="宋体" w:hAnsi="宋体" w:cs="宋体" w:eastAsia="宋体" w:hint="default"/>
                <w:sz w:val="19"/>
                <w:szCs w:val="19"/>
              </w:rPr>
              <w:t>实际担保金</w:t>
            </w:r>
          </w:p>
          <w:p>
            <w:pPr>
              <w:pStyle w:val="TableParagraph"/>
              <w:tabs>
                <w:tab w:pos="430" w:val="left" w:leader="none"/>
              </w:tabs>
              <w:spacing w:line="248" w:lineRule="exact"/>
              <w:ind w:left="-135" w:right="0"/>
              <w:jc w:val="left"/>
              <w:rPr>
                <w:rFonts w:ascii="宋体" w:hAnsi="宋体" w:cs="宋体" w:eastAsia="宋体" w:hint="default"/>
                <w:sz w:val="19"/>
                <w:szCs w:val="19"/>
              </w:rPr>
            </w:pPr>
            <w:r>
              <w:rPr>
                <w:rFonts w:ascii="宋体" w:hAnsi="宋体" w:cs="宋体" w:eastAsia="宋体" w:hint="default"/>
                <w:w w:val="95"/>
                <w:sz w:val="19"/>
                <w:szCs w:val="19"/>
              </w:rPr>
              <w:t>）</w:t>
              <w:tab/>
            </w:r>
            <w:r>
              <w:rPr>
                <w:rFonts w:ascii="宋体" w:hAnsi="宋体" w:cs="宋体" w:eastAsia="宋体" w:hint="default"/>
                <w:sz w:val="19"/>
                <w:szCs w:val="19"/>
              </w:rPr>
              <w:t>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19"/>
                <w:szCs w:val="19"/>
              </w:rPr>
            </w:pPr>
            <w:r>
              <w:rPr>
                <w:rFonts w:ascii="宋体" w:hAnsi="宋体" w:cs="宋体" w:eastAsia="宋体" w:hint="default"/>
                <w:w w:val="95"/>
                <w:sz w:val="19"/>
                <w:szCs w:val="19"/>
              </w:rPr>
              <w:t>担保类型</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9"/>
                <w:szCs w:val="19"/>
              </w:rPr>
            </w:pPr>
            <w:r>
              <w:rPr>
                <w:rFonts w:ascii="宋体" w:hAnsi="宋体" w:cs="宋体" w:eastAsia="宋体" w:hint="default"/>
                <w:sz w:val="19"/>
                <w:szCs w:val="19"/>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 w:right="103"/>
              <w:jc w:val="left"/>
              <w:rPr>
                <w:rFonts w:ascii="宋体" w:hAnsi="宋体" w:cs="宋体" w:eastAsia="宋体" w:hint="default"/>
                <w:sz w:val="19"/>
                <w:szCs w:val="19"/>
              </w:rPr>
            </w:pPr>
            <w:r>
              <w:rPr>
                <w:rFonts w:ascii="宋体" w:hAnsi="宋体" w:cs="宋体" w:eastAsia="宋体" w:hint="default"/>
                <w:sz w:val="19"/>
                <w:szCs w:val="19"/>
              </w:rPr>
              <w:t>是否履</w:t>
            </w:r>
            <w:r>
              <w:rPr>
                <w:rFonts w:ascii="宋体" w:hAnsi="宋体" w:cs="宋体" w:eastAsia="宋体" w:hint="default"/>
                <w:w w:val="99"/>
                <w:sz w:val="19"/>
                <w:szCs w:val="19"/>
              </w:rPr>
              <w:t> </w:t>
            </w:r>
            <w:r>
              <w:rPr>
                <w:rFonts w:ascii="宋体" w:hAnsi="宋体" w:cs="宋体" w:eastAsia="宋体" w:hint="default"/>
                <w:sz w:val="19"/>
                <w:szCs w:val="19"/>
              </w:rPr>
              <w:t>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99" w:right="0"/>
              <w:jc w:val="left"/>
              <w:rPr>
                <w:rFonts w:ascii="宋体" w:hAnsi="宋体" w:cs="宋体" w:eastAsia="宋体" w:hint="default"/>
                <w:sz w:val="19"/>
                <w:szCs w:val="19"/>
              </w:rPr>
            </w:pPr>
            <w:r>
              <w:rPr>
                <w:rFonts w:ascii="宋体" w:hAnsi="宋体" w:cs="宋体" w:eastAsia="宋体" w:hint="default"/>
                <w:sz w:val="19"/>
                <w:szCs w:val="19"/>
              </w:rPr>
              <w:t>是否为</w:t>
            </w:r>
          </w:p>
          <w:p>
            <w:pPr>
              <w:pStyle w:val="TableParagraph"/>
              <w:spacing w:line="246" w:lineRule="exact" w:before="23"/>
              <w:ind w:left="194" w:right="101" w:hanging="95"/>
              <w:jc w:val="left"/>
              <w:rPr>
                <w:rFonts w:ascii="宋体" w:hAnsi="宋体" w:cs="宋体" w:eastAsia="宋体" w:hint="default"/>
                <w:sz w:val="19"/>
                <w:szCs w:val="19"/>
              </w:rPr>
            </w:pPr>
            <w:r>
              <w:rPr>
                <w:rFonts w:ascii="宋体" w:hAnsi="宋体" w:cs="宋体" w:eastAsia="宋体" w:hint="default"/>
                <w:sz w:val="19"/>
                <w:szCs w:val="19"/>
              </w:rPr>
              <w:t>关联方</w:t>
            </w:r>
            <w:r>
              <w:rPr>
                <w:rFonts w:ascii="宋体" w:hAnsi="宋体" w:cs="宋体" w:eastAsia="宋体" w:hint="default"/>
                <w:w w:val="99"/>
                <w:sz w:val="19"/>
                <w:szCs w:val="19"/>
              </w:rPr>
              <w:t> </w:t>
            </w:r>
            <w:r>
              <w:rPr>
                <w:rFonts w:ascii="宋体" w:hAnsi="宋体" w:cs="宋体" w:eastAsia="宋体" w:hint="default"/>
                <w:sz w:val="19"/>
                <w:szCs w:val="19"/>
              </w:rPr>
              <w:t>担保</w:t>
            </w:r>
          </w:p>
        </w:tc>
      </w:tr>
      <w:tr>
        <w:trPr>
          <w:trHeight w:val="2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920" w:type="dxa"/>
            <w:tcBorders>
              <w:top w:val="single" w:sz="4" w:space="0" w:color="000000"/>
              <w:left w:val="single" w:sz="4" w:space="0" w:color="000000"/>
              <w:bottom w:val="single" w:sz="4" w:space="0" w:color="000000"/>
              <w:right w:val="single" w:sz="5" w:space="0" w:color="000000"/>
            </w:tcBorders>
          </w:tcPr>
          <w:p>
            <w:pPr>
              <w:pStyle w:val="TableParagraph"/>
              <w:spacing w:line="217" w:lineRule="exact"/>
              <w:ind w:left="8" w:right="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931" w:type="dxa"/>
            <w:tcBorders>
              <w:top w:val="single" w:sz="4" w:space="0" w:color="000000"/>
              <w:left w:val="single" w:sz="5" w:space="0" w:color="000000"/>
              <w:bottom w:val="single" w:sz="4" w:space="0" w:color="000000"/>
              <w:right w:val="single" w:sz="4" w:space="0" w:color="000000"/>
            </w:tcBorders>
          </w:tcPr>
          <w:p>
            <w:pPr>
              <w:pStyle w:val="TableParagraph"/>
              <w:spacing w:line="217" w:lineRule="exact"/>
              <w:ind w:left="6" w:right="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 w:right="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503"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报告期内审批的对外担保额度</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合计（</w:t>
            </w:r>
            <w:r>
              <w:rPr>
                <w:rFonts w:ascii="Times New Roman" w:hAnsi="Times New Roman" w:cs="Times New Roman" w:eastAsia="Times New Roman" w:hint="default"/>
                <w:sz w:val="19"/>
                <w:szCs w:val="19"/>
              </w:rPr>
              <w:t>A1</w:t>
            </w:r>
            <w:r>
              <w:rPr>
                <w:rFonts w:ascii="宋体" w:hAnsi="宋体" w:cs="宋体" w:eastAsia="宋体" w:hint="default"/>
                <w:sz w:val="19"/>
                <w:szCs w:val="19"/>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6"/>
              <w:ind w:right="9"/>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报告期内对外担保实际</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发生额合计（</w:t>
            </w:r>
            <w:r>
              <w:rPr>
                <w:rFonts w:ascii="Times New Roman" w:hAnsi="Times New Roman" w:cs="Times New Roman" w:eastAsia="Times New Roman" w:hint="default"/>
                <w:sz w:val="19"/>
                <w:szCs w:val="19"/>
              </w:rPr>
              <w:t>A2</w:t>
            </w:r>
            <w:r>
              <w:rPr>
                <w:rFonts w:ascii="宋体" w:hAnsi="宋体" w:cs="宋体" w:eastAsia="宋体" w:hint="default"/>
                <w:sz w:val="19"/>
                <w:szCs w:val="19"/>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r>
        <w:trPr>
          <w:trHeight w:val="508"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报告期末已审批的对外担保额</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度合计（</w:t>
            </w:r>
            <w:r>
              <w:rPr>
                <w:rFonts w:ascii="Times New Roman" w:hAnsi="Times New Roman" w:cs="Times New Roman" w:eastAsia="Times New Roman" w:hint="default"/>
                <w:sz w:val="19"/>
                <w:szCs w:val="19"/>
              </w:rPr>
              <w:t>A3</w:t>
            </w:r>
            <w:r>
              <w:rPr>
                <w:rFonts w:ascii="宋体" w:hAnsi="宋体" w:cs="宋体" w:eastAsia="宋体" w:hint="default"/>
                <w:sz w:val="19"/>
                <w:szCs w:val="19"/>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6"/>
              <w:ind w:right="9"/>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报告期末实际对外担保</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余额合计（</w:t>
            </w:r>
            <w:r>
              <w:rPr>
                <w:rFonts w:ascii="Times New Roman" w:hAnsi="Times New Roman" w:cs="Times New Roman" w:eastAsia="Times New Roman" w:hint="default"/>
                <w:sz w:val="19"/>
                <w:szCs w:val="19"/>
              </w:rPr>
              <w:t>A4</w:t>
            </w:r>
            <w:r>
              <w:rPr>
                <w:rFonts w:ascii="宋体" w:hAnsi="宋体" w:cs="宋体" w:eastAsia="宋体" w:hint="default"/>
                <w:sz w:val="19"/>
                <w:szCs w:val="19"/>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r>
        <w:trPr>
          <w:trHeight w:val="24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right="2"/>
              <w:jc w:val="center"/>
              <w:rPr>
                <w:rFonts w:ascii="宋体" w:hAnsi="宋体" w:cs="宋体" w:eastAsia="宋体" w:hint="default"/>
                <w:sz w:val="19"/>
                <w:szCs w:val="19"/>
              </w:rPr>
            </w:pPr>
            <w:r>
              <w:rPr>
                <w:rFonts w:ascii="宋体" w:hAnsi="宋体" w:cs="宋体" w:eastAsia="宋体" w:hint="default"/>
                <w:sz w:val="19"/>
                <w:szCs w:val="19"/>
              </w:rPr>
              <w:t>公司与子公司之间担保情况</w:t>
            </w:r>
          </w:p>
        </w:tc>
      </w:tr>
      <w:tr>
        <w:trPr>
          <w:trHeight w:val="133"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21" w:lineRule="exact"/>
              <w:ind w:left="76" w:right="0"/>
              <w:jc w:val="left"/>
              <w:rPr>
                <w:rFonts w:ascii="宋体" w:hAnsi="宋体" w:cs="宋体" w:eastAsia="宋体" w:hint="default"/>
                <w:sz w:val="19"/>
                <w:szCs w:val="19"/>
              </w:rPr>
            </w:pPr>
            <w:r>
              <w:rPr>
                <w:rFonts w:ascii="宋体" w:hAnsi="宋体" w:cs="宋体" w:eastAsia="宋体" w:hint="default"/>
                <w:sz w:val="19"/>
                <w:szCs w:val="19"/>
              </w:rPr>
              <w:t>担保额度</w:t>
            </w:r>
          </w:p>
          <w:p>
            <w:pPr>
              <w:pStyle w:val="TableParagraph"/>
              <w:spacing w:line="240" w:lineRule="auto"/>
              <w:ind w:left="76" w:right="72"/>
              <w:jc w:val="left"/>
              <w:rPr>
                <w:rFonts w:ascii="宋体" w:hAnsi="宋体" w:cs="宋体" w:eastAsia="宋体" w:hint="default"/>
                <w:sz w:val="19"/>
                <w:szCs w:val="19"/>
              </w:rPr>
            </w:pPr>
            <w:r>
              <w:rPr>
                <w:rFonts w:ascii="宋体" w:hAnsi="宋体" w:cs="宋体" w:eastAsia="宋体" w:hint="default"/>
                <w:sz w:val="19"/>
                <w:szCs w:val="19"/>
              </w:rPr>
              <w:t>相关公告</w:t>
            </w:r>
            <w:r>
              <w:rPr>
                <w:rFonts w:ascii="宋体" w:hAnsi="宋体" w:cs="宋体" w:eastAsia="宋体" w:hint="default"/>
                <w:w w:val="99"/>
                <w:sz w:val="19"/>
                <w:szCs w:val="19"/>
              </w:rPr>
              <w:t> </w:t>
            </w:r>
            <w:r>
              <w:rPr>
                <w:rFonts w:ascii="宋体" w:hAnsi="宋体" w:cs="宋体" w:eastAsia="宋体" w:hint="default"/>
                <w:sz w:val="19"/>
                <w:szCs w:val="19"/>
              </w:rPr>
              <w:t>披露日期</w:t>
            </w:r>
          </w:p>
        </w:tc>
        <w:tc>
          <w:tcPr>
            <w:tcW w:w="931" w:type="dxa"/>
            <w:vMerge w:val="restart"/>
            <w:tcBorders>
              <w:top w:val="single" w:sz="4" w:space="0" w:color="000000"/>
              <w:left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21" w:lineRule="exact"/>
              <w:ind w:left="99" w:right="0"/>
              <w:jc w:val="left"/>
              <w:rPr>
                <w:rFonts w:ascii="宋体" w:hAnsi="宋体" w:cs="宋体" w:eastAsia="宋体" w:hint="default"/>
                <w:sz w:val="19"/>
                <w:szCs w:val="19"/>
              </w:rPr>
            </w:pPr>
            <w:r>
              <w:rPr>
                <w:rFonts w:ascii="宋体" w:hAnsi="宋体" w:cs="宋体" w:eastAsia="宋体" w:hint="default"/>
                <w:sz w:val="19"/>
                <w:szCs w:val="19"/>
              </w:rPr>
              <w:t>是否为</w:t>
            </w:r>
          </w:p>
          <w:p>
            <w:pPr>
              <w:pStyle w:val="TableParagraph"/>
              <w:spacing w:line="240" w:lineRule="auto"/>
              <w:ind w:left="194" w:right="101" w:hanging="95"/>
              <w:jc w:val="left"/>
              <w:rPr>
                <w:rFonts w:ascii="宋体" w:hAnsi="宋体" w:cs="宋体" w:eastAsia="宋体" w:hint="default"/>
                <w:sz w:val="19"/>
                <w:szCs w:val="19"/>
              </w:rPr>
            </w:pPr>
            <w:r>
              <w:rPr>
                <w:rFonts w:ascii="宋体" w:hAnsi="宋体" w:cs="宋体" w:eastAsia="宋体" w:hint="default"/>
                <w:sz w:val="19"/>
                <w:szCs w:val="19"/>
              </w:rPr>
              <w:t>关联方</w:t>
            </w:r>
            <w:r>
              <w:rPr>
                <w:rFonts w:ascii="宋体" w:hAnsi="宋体" w:cs="宋体" w:eastAsia="宋体" w:hint="default"/>
                <w:w w:val="99"/>
                <w:sz w:val="19"/>
                <w:szCs w:val="19"/>
              </w:rPr>
              <w:t> </w:t>
            </w:r>
            <w:r>
              <w:rPr>
                <w:rFonts w:ascii="宋体" w:hAnsi="宋体" w:cs="宋体" w:eastAsia="宋体" w:hint="default"/>
                <w:sz w:val="19"/>
                <w:szCs w:val="19"/>
              </w:rPr>
              <w:t>担保</w:t>
            </w:r>
          </w:p>
        </w:tc>
      </w:tr>
      <w:tr>
        <w:trPr>
          <w:trHeight w:val="122"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Style w:val="TableParagraph"/>
              <w:spacing w:line="216" w:lineRule="exact"/>
              <w:ind w:left="71" w:right="0"/>
              <w:jc w:val="left"/>
              <w:rPr>
                <w:rFonts w:ascii="宋体" w:hAnsi="宋体" w:cs="宋体" w:eastAsia="宋体" w:hint="default"/>
                <w:sz w:val="19"/>
                <w:szCs w:val="19"/>
              </w:rPr>
            </w:pPr>
            <w:r>
              <w:rPr>
                <w:rFonts w:ascii="宋体" w:hAnsi="宋体" w:cs="宋体" w:eastAsia="宋体" w:hint="default"/>
                <w:sz w:val="19"/>
                <w:szCs w:val="19"/>
              </w:rPr>
              <w:t>实际发生日期</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16" w:lineRule="exact"/>
              <w:ind w:left="50" w:right="0"/>
              <w:jc w:val="left"/>
              <w:rPr>
                <w:rFonts w:ascii="宋体" w:hAnsi="宋体" w:cs="宋体" w:eastAsia="宋体" w:hint="default"/>
                <w:sz w:val="19"/>
                <w:szCs w:val="19"/>
              </w:rPr>
            </w:pPr>
            <w:r>
              <w:rPr>
                <w:rFonts w:ascii="宋体" w:hAnsi="宋体" w:cs="宋体" w:eastAsia="宋体" w:hint="default"/>
                <w:sz w:val="19"/>
                <w:szCs w:val="19"/>
              </w:rPr>
              <w:t>实际担保金</w:t>
            </w:r>
          </w:p>
          <w:p>
            <w:pPr>
              <w:pStyle w:val="TableParagraph"/>
              <w:tabs>
                <w:tab w:pos="430" w:val="left" w:leader="none"/>
              </w:tabs>
              <w:spacing w:line="247" w:lineRule="exact"/>
              <w:ind w:left="-135" w:right="0"/>
              <w:jc w:val="left"/>
              <w:rPr>
                <w:rFonts w:ascii="宋体" w:hAnsi="宋体" w:cs="宋体" w:eastAsia="宋体" w:hint="default"/>
                <w:sz w:val="19"/>
                <w:szCs w:val="19"/>
              </w:rPr>
            </w:pPr>
            <w:r>
              <w:rPr>
                <w:rFonts w:ascii="宋体" w:hAnsi="宋体" w:cs="宋体" w:eastAsia="宋体" w:hint="default"/>
                <w:w w:val="95"/>
                <w:sz w:val="19"/>
                <w:szCs w:val="19"/>
              </w:rPr>
              <w:t>）</w:t>
              <w:tab/>
            </w:r>
            <w:r>
              <w:rPr>
                <w:rFonts w:ascii="宋体" w:hAnsi="宋体" w:cs="宋体" w:eastAsia="宋体" w:hint="default"/>
                <w:sz w:val="19"/>
                <w:szCs w:val="19"/>
              </w:rPr>
              <w:t>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16" w:lineRule="exact"/>
              <w:ind w:left="104" w:right="0"/>
              <w:jc w:val="left"/>
              <w:rPr>
                <w:rFonts w:ascii="宋体" w:hAnsi="宋体" w:cs="宋体" w:eastAsia="宋体" w:hint="default"/>
                <w:sz w:val="19"/>
                <w:szCs w:val="19"/>
              </w:rPr>
            </w:pPr>
            <w:r>
              <w:rPr>
                <w:rFonts w:ascii="宋体" w:hAnsi="宋体" w:cs="宋体" w:eastAsia="宋体" w:hint="default"/>
                <w:sz w:val="19"/>
                <w:szCs w:val="19"/>
              </w:rPr>
              <w:t>是否履</w:t>
            </w:r>
          </w:p>
          <w:p>
            <w:pPr>
              <w:pStyle w:val="TableParagraph"/>
              <w:spacing w:line="247" w:lineRule="exact"/>
              <w:ind w:left="104" w:right="0"/>
              <w:jc w:val="left"/>
              <w:rPr>
                <w:rFonts w:ascii="宋体" w:hAnsi="宋体" w:cs="宋体" w:eastAsia="宋体" w:hint="default"/>
                <w:sz w:val="19"/>
                <w:szCs w:val="19"/>
              </w:rPr>
            </w:pPr>
            <w:r>
              <w:rPr>
                <w:rFonts w:ascii="宋体" w:hAnsi="宋体" w:cs="宋体" w:eastAsia="宋体" w:hint="default"/>
                <w:sz w:val="19"/>
                <w:szCs w:val="19"/>
              </w:rPr>
              <w:t>行完毕</w:t>
            </w:r>
          </w:p>
        </w:tc>
        <w:tc>
          <w:tcPr>
            <w:tcW w:w="780" w:type="dxa"/>
            <w:vMerge/>
            <w:tcBorders>
              <w:left w:val="single" w:sz="4" w:space="0" w:color="000000"/>
              <w:right w:val="single" w:sz="4" w:space="0" w:color="000000"/>
            </w:tcBorders>
            <w:shd w:val="clear" w:color="auto" w:fill="D2D2D2"/>
          </w:tcPr>
          <w:p>
            <w:pPr/>
          </w:p>
        </w:tc>
      </w:tr>
      <w:tr>
        <w:trPr>
          <w:trHeight w:val="247"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right="2"/>
              <w:jc w:val="center"/>
              <w:rPr>
                <w:rFonts w:ascii="宋体" w:hAnsi="宋体" w:cs="宋体" w:eastAsia="宋体" w:hint="default"/>
                <w:sz w:val="19"/>
                <w:szCs w:val="19"/>
              </w:rPr>
            </w:pPr>
            <w:r>
              <w:rPr>
                <w:rFonts w:ascii="宋体" w:hAnsi="宋体" w:cs="宋体" w:eastAsia="宋体" w:hint="default"/>
                <w:sz w:val="19"/>
                <w:szCs w:val="19"/>
              </w:rPr>
              <w:t>担保对象名称</w:t>
            </w:r>
          </w:p>
        </w:tc>
        <w:tc>
          <w:tcPr>
            <w:tcW w:w="920" w:type="dxa"/>
            <w:vMerge/>
            <w:tcBorders>
              <w:left w:val="single" w:sz="4" w:space="0" w:color="000000"/>
              <w:right w:val="single" w:sz="4" w:space="0" w:color="000000"/>
            </w:tcBorders>
            <w:shd w:val="clear" w:color="auto" w:fill="D2D2D2"/>
          </w:tcPr>
          <w:p>
            <w:pPr/>
          </w:p>
        </w:tc>
        <w:tc>
          <w:tcPr>
            <w:tcW w:w="931" w:type="dxa"/>
            <w:tcBorders>
              <w:top w:val="nil" w:sz="6" w:space="0" w:color="auto"/>
              <w:left w:val="single" w:sz="9" w:space="0" w:color="D2D2D2"/>
              <w:bottom w:val="nil" w:sz="6" w:space="0" w:color="auto"/>
              <w:right w:val="single" w:sz="22" w:space="0" w:color="D2D2D2"/>
            </w:tcBorders>
          </w:tcPr>
          <w:p>
            <w:pPr>
              <w:pStyle w:val="TableParagraph"/>
              <w:spacing w:line="218" w:lineRule="exact"/>
              <w:ind w:right="55"/>
              <w:jc w:val="right"/>
              <w:rPr>
                <w:rFonts w:ascii="宋体" w:hAnsi="宋体" w:cs="宋体" w:eastAsia="宋体" w:hint="default"/>
                <w:sz w:val="19"/>
                <w:szCs w:val="19"/>
              </w:rPr>
            </w:pPr>
            <w:r>
              <w:rPr>
                <w:rFonts w:ascii="Times New Roman" w:hAnsi="Times New Roman" w:cs="Times New Roman" w:eastAsia="Times New Roman" w:hint="default"/>
                <w:w w:val="99"/>
                <w:sz w:val="19"/>
                <w:szCs w:val="19"/>
              </w:rPr>
            </w:r>
            <w:r>
              <w:rPr>
                <w:rFonts w:ascii="Times New Roman" w:hAnsi="Times New Roman" w:cs="Times New Roman" w:eastAsia="Times New Roman" w:hint="default"/>
                <w:spacing w:val="7"/>
                <w:w w:val="99"/>
                <w:sz w:val="19"/>
                <w:szCs w:val="19"/>
                <w:shd w:fill="D2D2D2" w:color="auto" w:val="clear"/>
              </w:rPr>
              <w:t> </w:t>
            </w:r>
            <w:r>
              <w:rPr>
                <w:rFonts w:ascii="宋体" w:hAnsi="宋体" w:cs="宋体" w:eastAsia="宋体" w:hint="default"/>
                <w:w w:val="95"/>
                <w:sz w:val="19"/>
                <w:szCs w:val="19"/>
                <w:shd w:fill="D2D2D2" w:color="auto" w:val="clear"/>
              </w:rPr>
              <w:t>担保额度</w:t>
            </w:r>
            <w:r>
              <w:rPr>
                <w:rFonts w:ascii="宋体" w:hAnsi="宋体" w:cs="宋体" w:eastAsia="宋体" w:hint="default"/>
                <w:w w:val="95"/>
                <w:sz w:val="19"/>
                <w:szCs w:val="19"/>
              </w:rPr>
            </w:r>
            <w:r>
              <w:rPr>
                <w:rFonts w:ascii="宋体" w:hAnsi="宋体" w:cs="宋体" w:eastAsia="宋体" w:hint="default"/>
                <w:sz w:val="19"/>
                <w:szCs w:val="19"/>
              </w:rPr>
            </w:r>
          </w:p>
        </w:tc>
        <w:tc>
          <w:tcPr>
            <w:tcW w:w="1296"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right="132"/>
              <w:jc w:val="right"/>
              <w:rPr>
                <w:rFonts w:ascii="宋体" w:hAnsi="宋体" w:cs="宋体" w:eastAsia="宋体" w:hint="default"/>
                <w:sz w:val="19"/>
                <w:szCs w:val="19"/>
              </w:rPr>
            </w:pPr>
            <w:r>
              <w:rPr>
                <w:rFonts w:ascii="宋体" w:hAnsi="宋体" w:cs="宋体" w:eastAsia="宋体" w:hint="default"/>
                <w:w w:val="95"/>
                <w:sz w:val="19"/>
                <w:szCs w:val="19"/>
              </w:rPr>
              <w:t>担保类型</w:t>
            </w:r>
            <w:r>
              <w:rPr>
                <w:rFonts w:ascii="宋体" w:hAnsi="宋体" w:cs="宋体" w:eastAsia="宋体" w:hint="default"/>
                <w:sz w:val="19"/>
                <w:szCs w:val="19"/>
              </w:rPr>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left="232" w:right="0"/>
              <w:jc w:val="left"/>
              <w:rPr>
                <w:rFonts w:ascii="宋体" w:hAnsi="宋体" w:cs="宋体" w:eastAsia="宋体" w:hint="default"/>
                <w:sz w:val="19"/>
                <w:szCs w:val="19"/>
              </w:rPr>
            </w:pPr>
            <w:r>
              <w:rPr>
                <w:rFonts w:ascii="宋体" w:hAnsi="宋体" w:cs="宋体" w:eastAsia="宋体" w:hint="default"/>
                <w:sz w:val="19"/>
                <w:szCs w:val="19"/>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51" w:hRule="exact"/>
        </w:trPr>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44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tabs>
                <w:tab w:pos="990" w:val="left" w:leader="none"/>
              </w:tabs>
              <w:spacing w:line="218" w:lineRule="exact"/>
              <w:ind w:left="22" w:right="22"/>
              <w:jc w:val="left"/>
              <w:rPr>
                <w:rFonts w:ascii="Times New Roman" w:hAnsi="Times New Roman" w:cs="Times New Roman" w:eastAsia="Times New Roman" w:hint="default"/>
                <w:sz w:val="19"/>
                <w:szCs w:val="19"/>
              </w:rPr>
            </w:pPr>
            <w:r>
              <w:rPr>
                <w:rFonts w:ascii="Times New Roman"/>
                <w:w w:val="95"/>
                <w:sz w:val="19"/>
              </w:rPr>
              <w:t>Great</w:t>
              <w:tab/>
            </w:r>
            <w:r>
              <w:rPr>
                <w:rFonts w:ascii="Times New Roman"/>
                <w:sz w:val="19"/>
              </w:rPr>
              <w:t>Universe</w:t>
            </w:r>
            <w:r>
              <w:rPr>
                <w:rFonts w:ascii="Times New Roman"/>
                <w:w w:val="99"/>
                <w:sz w:val="19"/>
              </w:rPr>
              <w:t> </w:t>
            </w:r>
            <w:r>
              <w:rPr>
                <w:rFonts w:ascii="Times New Roman"/>
                <w:sz w:val="19"/>
              </w:rPr>
              <w:t>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Times New Roman" w:hAnsi="Times New Roman" w:cs="Times New Roman" w:eastAsia="Times New Roman" w:hint="default"/>
                <w:sz w:val="19"/>
                <w:szCs w:val="19"/>
              </w:rPr>
            </w:pPr>
            <w:r>
              <w:rPr>
                <w:rFonts w:ascii="Times New Roman"/>
                <w:sz w:val="19"/>
              </w:rPr>
              <w:t>2013/12/25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Times New Roman" w:hAnsi="Times New Roman" w:cs="Times New Roman" w:eastAsia="Times New Roman" w:hint="default"/>
                <w:sz w:val="19"/>
                <w:szCs w:val="19"/>
              </w:rPr>
            </w:pPr>
            <w:r>
              <w:rPr>
                <w:rFonts w:ascii="Times New Roman"/>
                <w:w w:val="95"/>
                <w:sz w:val="19"/>
              </w:rPr>
              <w:t>67,277.10</w:t>
            </w:r>
            <w:r>
              <w:rPr>
                <w:rFonts w:ascii="Times New Roman"/>
                <w:sz w:val="19"/>
              </w:rPr>
            </w:r>
          </w:p>
        </w:tc>
        <w:tc>
          <w:tcPr>
            <w:tcW w:w="1296" w:type="dxa"/>
            <w:tcBorders>
              <w:top w:val="single" w:sz="53" w:space="0" w:color="D2D2D2"/>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9"/>
                <w:szCs w:val="19"/>
              </w:rPr>
            </w:pPr>
            <w:r>
              <w:rPr>
                <w:rFonts w:ascii="Times New Roman"/>
                <w:w w:val="95"/>
                <w:sz w:val="19"/>
              </w:rPr>
              <w:t>2013/12/27</w:t>
            </w:r>
            <w:r>
              <w:rPr>
                <w:rFonts w:ascii="Times New Roman"/>
                <w:sz w:val="19"/>
              </w:rPr>
            </w:r>
          </w:p>
        </w:tc>
        <w:tc>
          <w:tcPr>
            <w:tcW w:w="1063" w:type="dxa"/>
            <w:tcBorders>
              <w:top w:val="single" w:sz="53" w:space="0" w:color="D2D2D2"/>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9"/>
                <w:szCs w:val="19"/>
              </w:rPr>
            </w:pPr>
            <w:r>
              <w:rPr>
                <w:rFonts w:ascii="Times New Roman"/>
                <w:w w:val="95"/>
                <w:sz w:val="19"/>
              </w:rPr>
              <w:t>67,277.10</w:t>
            </w:r>
            <w:r>
              <w:rPr>
                <w:rFonts w:ascii="Times New Roman"/>
                <w:sz w:val="19"/>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9"/>
                <w:szCs w:val="19"/>
              </w:rPr>
            </w:pPr>
            <w:r>
              <w:rPr>
                <w:rFonts w:ascii="宋体" w:hAnsi="宋体" w:cs="宋体" w:eastAsia="宋体" w:hint="default"/>
                <w:sz w:val="19"/>
                <w:szCs w:val="19"/>
              </w:rPr>
              <w:t>抵押</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 w:right="0"/>
              <w:jc w:val="left"/>
              <w:rPr>
                <w:rFonts w:ascii="Times New Roman" w:hAnsi="Times New Roman" w:cs="Times New Roman" w:eastAsia="Times New Roman" w:hint="default"/>
                <w:sz w:val="19"/>
                <w:szCs w:val="19"/>
              </w:rPr>
            </w:pPr>
            <w:r>
              <w:rPr>
                <w:rFonts w:ascii="Times New Roman"/>
                <w:sz w:val="19"/>
              </w:rPr>
              <w:t>2013/12/27-</w:t>
            </w:r>
          </w:p>
          <w:p>
            <w:pPr>
              <w:pStyle w:val="TableParagraph"/>
              <w:spacing w:line="240" w:lineRule="auto"/>
              <w:ind w:left="22" w:right="0"/>
              <w:jc w:val="left"/>
              <w:rPr>
                <w:rFonts w:ascii="Times New Roman" w:hAnsi="Times New Roman" w:cs="Times New Roman" w:eastAsia="Times New Roman" w:hint="default"/>
                <w:sz w:val="19"/>
                <w:szCs w:val="19"/>
              </w:rPr>
            </w:pPr>
            <w:r>
              <w:rPr>
                <w:rFonts w:ascii="Times New Roman"/>
                <w:sz w:val="19"/>
              </w:rPr>
              <w:t>2018/12/30</w:t>
            </w:r>
          </w:p>
        </w:tc>
        <w:tc>
          <w:tcPr>
            <w:tcW w:w="792" w:type="dxa"/>
            <w:tcBorders>
              <w:top w:val="single" w:sz="53" w:space="0" w:color="D2D2D2"/>
              <w:left w:val="single" w:sz="4" w:space="0" w:color="000000"/>
              <w:bottom w:val="single" w:sz="4" w:space="0" w:color="000000"/>
              <w:right w:val="single" w:sz="4" w:space="0" w:color="000000"/>
            </w:tcBorders>
          </w:tcPr>
          <w:p>
            <w:pPr>
              <w:pStyle w:val="TableParagraph"/>
              <w:spacing w:line="240" w:lineRule="auto" w:before="3"/>
              <w:ind w:left="19"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173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23"/>
              <w:jc w:val="left"/>
              <w:rPr>
                <w:rFonts w:ascii="宋体" w:hAnsi="宋体" w:cs="宋体" w:eastAsia="宋体" w:hint="default"/>
                <w:sz w:val="19"/>
                <w:szCs w:val="19"/>
              </w:rPr>
            </w:pPr>
            <w:r>
              <w:rPr>
                <w:rFonts w:ascii="宋体" w:hAnsi="宋体" w:cs="宋体" w:eastAsia="宋体" w:hint="default"/>
                <w:spacing w:val="16"/>
                <w:sz w:val="19"/>
                <w:szCs w:val="19"/>
              </w:rPr>
              <w:t>苏宁商业保理有限</w:t>
            </w:r>
            <w:r>
              <w:rPr>
                <w:rFonts w:ascii="宋体" w:hAnsi="宋体" w:cs="宋体" w:eastAsia="宋体" w:hint="default"/>
                <w:w w:val="99"/>
                <w:sz w:val="19"/>
                <w:szCs w:val="19"/>
              </w:rPr>
              <w:t> </w:t>
            </w:r>
            <w:r>
              <w:rPr>
                <w:rFonts w:ascii="宋体" w:hAnsi="宋体" w:cs="宋体" w:eastAsia="宋体" w:hint="default"/>
                <w:sz w:val="19"/>
                <w:szCs w:val="19"/>
              </w:rPr>
              <w:t>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9"/>
                <w:szCs w:val="19"/>
              </w:rPr>
            </w:pPr>
            <w:r>
              <w:rPr>
                <w:rFonts w:ascii="Times New Roman"/>
                <w:sz w:val="19"/>
              </w:rPr>
              <w:t>2014/04/15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9"/>
                <w:szCs w:val="19"/>
              </w:rPr>
            </w:pPr>
            <w:r>
              <w:rPr>
                <w:rFonts w:ascii="Times New Roman"/>
                <w:w w:val="95"/>
                <w:sz w:val="19"/>
              </w:rPr>
              <w:t>40,000</w:t>
            </w:r>
            <w:r>
              <w:rPr>
                <w:rFonts w:ascii="Times New Roman"/>
                <w:sz w:val="19"/>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6"/>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9" w:right="0"/>
              <w:jc w:val="left"/>
              <w:rPr>
                <w:rFonts w:ascii="宋体" w:hAnsi="宋体" w:cs="宋体" w:eastAsia="宋体" w:hint="default"/>
                <w:sz w:val="19"/>
                <w:szCs w:val="19"/>
              </w:rPr>
            </w:pPr>
            <w:r>
              <w:rPr>
                <w:rFonts w:ascii="宋体" w:hAnsi="宋体" w:cs="宋体" w:eastAsia="宋体" w:hint="default"/>
                <w:sz w:val="19"/>
                <w:szCs w:val="19"/>
              </w:rPr>
              <w:t>其中</w:t>
            </w:r>
          </w:p>
          <w:p>
            <w:pPr>
              <w:pStyle w:val="TableParagraph"/>
              <w:spacing w:line="254" w:lineRule="exact"/>
              <w:ind w:left="19"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10700</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万</w:t>
            </w:r>
          </w:p>
          <w:p>
            <w:pPr>
              <w:pStyle w:val="TableParagraph"/>
              <w:spacing w:line="239" w:lineRule="exact"/>
              <w:ind w:left="19" w:right="0"/>
              <w:jc w:val="left"/>
              <w:rPr>
                <w:rFonts w:ascii="宋体" w:hAnsi="宋体" w:cs="宋体" w:eastAsia="宋体" w:hint="default"/>
                <w:sz w:val="19"/>
                <w:szCs w:val="19"/>
              </w:rPr>
            </w:pPr>
            <w:r>
              <w:rPr>
                <w:rFonts w:ascii="宋体" w:hAnsi="宋体" w:cs="宋体" w:eastAsia="宋体" w:hint="default"/>
                <w:sz w:val="19"/>
                <w:szCs w:val="19"/>
              </w:rPr>
              <w:t>元截至</w:t>
            </w:r>
          </w:p>
          <w:p>
            <w:pPr>
              <w:pStyle w:val="TableParagraph"/>
              <w:spacing w:line="253" w:lineRule="exact"/>
              <w:ind w:left="19" w:right="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z w:val="19"/>
                <w:szCs w:val="19"/>
              </w:rPr>
              <w:t>2014 </w:t>
            </w:r>
            <w:r>
              <w:rPr>
                <w:rFonts w:ascii="宋体" w:hAnsi="宋体" w:cs="宋体" w:eastAsia="宋体" w:hint="default"/>
                <w:sz w:val="19"/>
                <w:szCs w:val="19"/>
              </w:rPr>
              <w:t>年</w:t>
            </w:r>
            <w:r>
              <w:rPr>
                <w:rFonts w:ascii="宋体" w:hAnsi="宋体" w:cs="宋体" w:eastAsia="宋体" w:hint="default"/>
                <w:spacing w:val="-70"/>
                <w:sz w:val="19"/>
                <w:szCs w:val="19"/>
              </w:rPr>
              <w:t> </w:t>
            </w:r>
            <w:r>
              <w:rPr>
                <w:rFonts w:ascii="Times New Roman" w:hAnsi="Times New Roman" w:cs="Times New Roman" w:eastAsia="Times New Roman" w:hint="default"/>
                <w:sz w:val="19"/>
                <w:szCs w:val="19"/>
              </w:rPr>
              <w:t>7</w:t>
            </w:r>
          </w:p>
          <w:p>
            <w:pPr>
              <w:pStyle w:val="TableParagraph"/>
              <w:spacing w:line="230" w:lineRule="auto"/>
              <w:ind w:left="19" w:right="96"/>
              <w:jc w:val="left"/>
              <w:rPr>
                <w:rFonts w:ascii="宋体" w:hAnsi="宋体" w:cs="宋体" w:eastAsia="宋体" w:hint="default"/>
                <w:sz w:val="19"/>
                <w:szCs w:val="19"/>
              </w:rPr>
            </w:pPr>
            <w:r>
              <w:rPr>
                <w:rFonts w:ascii="宋体" w:hAnsi="宋体" w:cs="宋体" w:eastAsia="宋体" w:hint="default"/>
                <w:sz w:val="19"/>
                <w:szCs w:val="19"/>
              </w:rPr>
              <w:t>月</w:t>
            </w:r>
            <w:r>
              <w:rPr>
                <w:rFonts w:ascii="宋体" w:hAnsi="宋体" w:cs="宋体" w:eastAsia="宋体" w:hint="default"/>
                <w:spacing w:val="-48"/>
                <w:sz w:val="19"/>
                <w:szCs w:val="19"/>
              </w:rPr>
              <w:t> </w:t>
            </w:r>
            <w:r>
              <w:rPr>
                <w:rFonts w:ascii="Times New Roman" w:hAnsi="Times New Roman" w:cs="Times New Roman" w:eastAsia="Times New Roman" w:hint="default"/>
                <w:sz w:val="19"/>
                <w:szCs w:val="19"/>
              </w:rPr>
              <w:t>18</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日</w:t>
            </w:r>
            <w:r>
              <w:rPr>
                <w:rFonts w:ascii="宋体" w:hAnsi="宋体" w:cs="宋体" w:eastAsia="宋体" w:hint="default"/>
                <w:w w:val="99"/>
                <w:sz w:val="19"/>
                <w:szCs w:val="19"/>
              </w:rPr>
              <w:t> </w:t>
            </w:r>
            <w:r>
              <w:rPr>
                <w:rFonts w:ascii="宋体" w:hAnsi="宋体" w:cs="宋体" w:eastAsia="宋体" w:hint="default"/>
                <w:sz w:val="19"/>
                <w:szCs w:val="19"/>
              </w:rPr>
              <w:t>已履行</w:t>
            </w:r>
            <w:r>
              <w:rPr>
                <w:rFonts w:ascii="宋体" w:hAnsi="宋体" w:cs="宋体" w:eastAsia="宋体" w:hint="default"/>
                <w:w w:val="99"/>
                <w:sz w:val="19"/>
                <w:szCs w:val="19"/>
              </w:rPr>
              <w:t> </w:t>
            </w:r>
            <w:r>
              <w:rPr>
                <w:rFonts w:ascii="宋体" w:hAnsi="宋体" w:cs="宋体" w:eastAsia="宋体" w:hint="default"/>
                <w:sz w:val="19"/>
                <w:szCs w:val="19"/>
              </w:rPr>
              <w:t>完毕</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9"/>
                <w:szCs w:val="19"/>
              </w:rPr>
            </w:pPr>
            <w:r>
              <w:rPr>
                <w:rFonts w:ascii="Times New Roman"/>
                <w:sz w:val="19"/>
              </w:rPr>
              <w:t>2014/06/28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9"/>
                <w:szCs w:val="19"/>
              </w:rPr>
            </w:pPr>
            <w:r>
              <w:rPr>
                <w:rFonts w:ascii="Times New Roman"/>
                <w:w w:val="95"/>
                <w:sz w:val="19"/>
              </w:rPr>
              <w:t>30,000</w:t>
            </w:r>
            <w:r>
              <w:rPr>
                <w:rFonts w:ascii="Times New Roman"/>
                <w:sz w:val="19"/>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w w:val="95"/>
                <w:sz w:val="19"/>
              </w:rPr>
              <w:t>2014/07/01</w:t>
            </w:r>
            <w:r>
              <w:rPr>
                <w:rFonts w:ascii="Times New Roman"/>
                <w:sz w:val="19"/>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9"/>
                <w:szCs w:val="19"/>
              </w:rPr>
            </w:pPr>
            <w:r>
              <w:rPr>
                <w:rFonts w:ascii="Times New Roman"/>
                <w:w w:val="95"/>
                <w:sz w:val="19"/>
              </w:rPr>
              <w:t>30,000</w:t>
            </w:r>
            <w:r>
              <w:rPr>
                <w:rFonts w:ascii="Times New Roman"/>
                <w:sz w:val="19"/>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连带责任保</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19"/>
                <w:szCs w:val="19"/>
              </w:rPr>
            </w:pPr>
            <w:r>
              <w:rPr>
                <w:rFonts w:ascii="Times New Roman"/>
                <w:sz w:val="19"/>
              </w:rPr>
              <w:t>2014/7/14-2</w:t>
            </w:r>
          </w:p>
          <w:p>
            <w:pPr>
              <w:pStyle w:val="TableParagraph"/>
              <w:spacing w:line="240" w:lineRule="auto"/>
              <w:ind w:left="22" w:right="0"/>
              <w:jc w:val="left"/>
              <w:rPr>
                <w:rFonts w:ascii="Times New Roman" w:hAnsi="Times New Roman" w:cs="Times New Roman" w:eastAsia="Times New Roman" w:hint="default"/>
                <w:sz w:val="19"/>
                <w:szCs w:val="19"/>
              </w:rPr>
            </w:pPr>
            <w:r>
              <w:rPr>
                <w:rFonts w:ascii="Times New Roman"/>
                <w:sz w:val="19"/>
              </w:rPr>
              <w:t>015/7/10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left"/>
              <w:rPr>
                <w:rFonts w:ascii="宋体" w:hAnsi="宋体" w:cs="宋体" w:eastAsia="宋体" w:hint="default"/>
                <w:sz w:val="19"/>
                <w:szCs w:val="19"/>
              </w:rPr>
            </w:pPr>
            <w:r>
              <w:rPr>
                <w:rFonts w:ascii="宋体" w:hAnsi="宋体" w:cs="宋体" w:eastAsia="宋体" w:hint="default"/>
                <w:w w:val="99"/>
                <w:sz w:val="19"/>
                <w:szCs w:val="19"/>
              </w:rPr>
              <w:t>是</w:t>
            </w:r>
            <w:r>
              <w:rPr>
                <w:rFonts w:ascii="宋体" w:hAnsi="宋体" w:cs="宋体" w:eastAsia="宋体" w:hint="default"/>
                <w:sz w:val="19"/>
                <w:szCs w:val="19"/>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9"/>
                <w:szCs w:val="19"/>
              </w:rPr>
            </w:pPr>
            <w:r>
              <w:rPr>
                <w:rFonts w:ascii="Times New Roman"/>
                <w:sz w:val="19"/>
              </w:rPr>
              <w:t>2014/06/28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w w:val="95"/>
                <w:sz w:val="19"/>
              </w:rPr>
              <w:t>2014/07/02</w:t>
            </w:r>
            <w:r>
              <w:rPr>
                <w:rFonts w:ascii="Times New Roman"/>
                <w:sz w:val="19"/>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连带责任保</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19"/>
                <w:szCs w:val="19"/>
              </w:rPr>
            </w:pPr>
            <w:r>
              <w:rPr>
                <w:rFonts w:ascii="Times New Roman"/>
                <w:sz w:val="19"/>
              </w:rPr>
              <w:t>2014/7/9-20</w:t>
            </w:r>
          </w:p>
          <w:p>
            <w:pPr>
              <w:pStyle w:val="TableParagraph"/>
              <w:spacing w:line="240" w:lineRule="auto"/>
              <w:ind w:left="22" w:right="0"/>
              <w:jc w:val="left"/>
              <w:rPr>
                <w:rFonts w:ascii="Times New Roman" w:hAnsi="Times New Roman" w:cs="Times New Roman" w:eastAsia="Times New Roman" w:hint="default"/>
                <w:sz w:val="19"/>
                <w:szCs w:val="19"/>
              </w:rPr>
            </w:pPr>
            <w:r>
              <w:rPr>
                <w:rFonts w:ascii="Times New Roman"/>
                <w:sz w:val="19"/>
              </w:rPr>
              <w:t>15/8/7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left"/>
              <w:rPr>
                <w:rFonts w:ascii="宋体" w:hAnsi="宋体" w:cs="宋体" w:eastAsia="宋体" w:hint="default"/>
                <w:sz w:val="19"/>
                <w:szCs w:val="19"/>
              </w:rPr>
            </w:pPr>
            <w:r>
              <w:rPr>
                <w:rFonts w:ascii="宋体" w:hAnsi="宋体" w:cs="宋体" w:eastAsia="宋体" w:hint="default"/>
                <w:w w:val="99"/>
                <w:sz w:val="19"/>
                <w:szCs w:val="19"/>
              </w:rPr>
              <w:t>是</w:t>
            </w:r>
            <w:r>
              <w:rPr>
                <w:rFonts w:ascii="宋体" w:hAnsi="宋体" w:cs="宋体" w:eastAsia="宋体" w:hint="default"/>
                <w:sz w:val="19"/>
                <w:szCs w:val="19"/>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8"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9"/>
                <w:szCs w:val="19"/>
              </w:rPr>
            </w:pPr>
            <w:r>
              <w:rPr>
                <w:rFonts w:ascii="Times New Roman"/>
                <w:sz w:val="19"/>
              </w:rPr>
              <w:t>2014/06/28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spacing w:val="-1"/>
                <w:sz w:val="19"/>
              </w:rPr>
              <w:t>2014/08/11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sz w:val="19"/>
                <w:szCs w:val="19"/>
              </w:rPr>
              <w:t>连带责任保</w:t>
            </w:r>
          </w:p>
          <w:p>
            <w:pPr>
              <w:pStyle w:val="TableParagraph"/>
              <w:spacing w:line="24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19"/>
                <w:szCs w:val="19"/>
              </w:rPr>
            </w:pPr>
            <w:r>
              <w:rPr>
                <w:rFonts w:ascii="Times New Roman"/>
                <w:sz w:val="19"/>
              </w:rPr>
              <w:t>2014/8/15-2</w:t>
            </w:r>
          </w:p>
          <w:p>
            <w:pPr>
              <w:pStyle w:val="TableParagraph"/>
              <w:spacing w:line="240" w:lineRule="auto"/>
              <w:ind w:left="22" w:right="0"/>
              <w:jc w:val="left"/>
              <w:rPr>
                <w:rFonts w:ascii="Times New Roman" w:hAnsi="Times New Roman" w:cs="Times New Roman" w:eastAsia="Times New Roman" w:hint="default"/>
                <w:sz w:val="19"/>
                <w:szCs w:val="19"/>
              </w:rPr>
            </w:pPr>
            <w:r>
              <w:rPr>
                <w:rFonts w:ascii="Times New Roman"/>
                <w:sz w:val="19"/>
              </w:rPr>
              <w:t>015/11/30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left"/>
              <w:rPr>
                <w:rFonts w:ascii="宋体" w:hAnsi="宋体" w:cs="宋体" w:eastAsia="宋体" w:hint="default"/>
                <w:sz w:val="19"/>
                <w:szCs w:val="19"/>
              </w:rPr>
            </w:pPr>
            <w:r>
              <w:rPr>
                <w:rFonts w:ascii="宋体" w:hAnsi="宋体" w:cs="宋体" w:eastAsia="宋体" w:hint="default"/>
                <w:w w:val="99"/>
                <w:sz w:val="19"/>
                <w:szCs w:val="19"/>
              </w:rPr>
              <w:t>是</w:t>
            </w:r>
            <w:r>
              <w:rPr>
                <w:rFonts w:ascii="宋体" w:hAnsi="宋体" w:cs="宋体" w:eastAsia="宋体" w:hint="default"/>
                <w:sz w:val="19"/>
                <w:szCs w:val="19"/>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9"/>
                <w:szCs w:val="19"/>
              </w:rPr>
            </w:pPr>
            <w:r>
              <w:rPr>
                <w:rFonts w:ascii="Times New Roman"/>
                <w:sz w:val="19"/>
              </w:rPr>
              <w:t>2014/06/28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9"/>
                <w:szCs w:val="19"/>
              </w:rPr>
            </w:pPr>
            <w:r>
              <w:rPr>
                <w:rFonts w:ascii="Times New Roman"/>
                <w:w w:val="95"/>
                <w:sz w:val="19"/>
              </w:rPr>
              <w:t>30,000</w:t>
            </w:r>
            <w:r>
              <w:rPr>
                <w:rFonts w:ascii="Times New Roman"/>
                <w:sz w:val="19"/>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w w:val="95"/>
                <w:sz w:val="19"/>
              </w:rPr>
              <w:t>2014/08/20</w:t>
            </w:r>
            <w:r>
              <w:rPr>
                <w:rFonts w:ascii="Times New Roman"/>
                <w:sz w:val="19"/>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9"/>
                <w:szCs w:val="19"/>
              </w:rPr>
            </w:pPr>
            <w:r>
              <w:rPr>
                <w:rFonts w:ascii="Times New Roman"/>
                <w:w w:val="95"/>
                <w:sz w:val="19"/>
              </w:rPr>
              <w:t>30,000</w:t>
            </w:r>
            <w:r>
              <w:rPr>
                <w:rFonts w:ascii="Times New Roman"/>
                <w:sz w:val="19"/>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连带责任保</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19"/>
                <w:szCs w:val="19"/>
              </w:rPr>
            </w:pPr>
            <w:r>
              <w:rPr>
                <w:rFonts w:ascii="Times New Roman"/>
                <w:sz w:val="19"/>
              </w:rPr>
              <w:t>2014/8/25-2</w:t>
            </w:r>
          </w:p>
          <w:p>
            <w:pPr>
              <w:pStyle w:val="TableParagraph"/>
              <w:spacing w:line="240" w:lineRule="auto"/>
              <w:ind w:left="22" w:right="0"/>
              <w:jc w:val="left"/>
              <w:rPr>
                <w:rFonts w:ascii="Times New Roman" w:hAnsi="Times New Roman" w:cs="Times New Roman" w:eastAsia="Times New Roman" w:hint="default"/>
                <w:sz w:val="19"/>
                <w:szCs w:val="19"/>
              </w:rPr>
            </w:pPr>
            <w:r>
              <w:rPr>
                <w:rFonts w:ascii="Times New Roman"/>
                <w:sz w:val="19"/>
              </w:rPr>
              <w:t>015/9/9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left"/>
              <w:rPr>
                <w:rFonts w:ascii="宋体" w:hAnsi="宋体" w:cs="宋体" w:eastAsia="宋体" w:hint="default"/>
                <w:sz w:val="19"/>
                <w:szCs w:val="19"/>
              </w:rPr>
            </w:pPr>
            <w:r>
              <w:rPr>
                <w:rFonts w:ascii="宋体" w:hAnsi="宋体" w:cs="宋体" w:eastAsia="宋体" w:hint="default"/>
                <w:w w:val="99"/>
                <w:sz w:val="19"/>
                <w:szCs w:val="19"/>
              </w:rPr>
              <w:t>是</w:t>
            </w:r>
            <w:r>
              <w:rPr>
                <w:rFonts w:ascii="宋体" w:hAnsi="宋体" w:cs="宋体" w:eastAsia="宋体" w:hint="default"/>
                <w:sz w:val="19"/>
                <w:szCs w:val="19"/>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9"/>
                <w:szCs w:val="19"/>
              </w:rPr>
            </w:pPr>
            <w:r>
              <w:rPr>
                <w:rFonts w:ascii="Times New Roman"/>
                <w:sz w:val="19"/>
              </w:rPr>
              <w:t>2014/06/28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w w:val="95"/>
                <w:sz w:val="19"/>
              </w:rPr>
              <w:t>2014/12/17</w:t>
            </w:r>
            <w:r>
              <w:rPr>
                <w:rFonts w:ascii="Times New Roman"/>
                <w:sz w:val="19"/>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连带责任保</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19"/>
                <w:szCs w:val="19"/>
              </w:rPr>
            </w:pPr>
            <w:r>
              <w:rPr>
                <w:rFonts w:ascii="Times New Roman"/>
                <w:sz w:val="19"/>
              </w:rPr>
              <w:t>2014/12/18-</w:t>
            </w:r>
          </w:p>
          <w:p>
            <w:pPr>
              <w:pStyle w:val="TableParagraph"/>
              <w:spacing w:line="240" w:lineRule="auto"/>
              <w:ind w:left="22" w:right="0"/>
              <w:jc w:val="left"/>
              <w:rPr>
                <w:rFonts w:ascii="Times New Roman" w:hAnsi="Times New Roman" w:cs="Times New Roman" w:eastAsia="Times New Roman" w:hint="default"/>
                <w:sz w:val="19"/>
                <w:szCs w:val="19"/>
              </w:rPr>
            </w:pPr>
            <w:r>
              <w:rPr>
                <w:rFonts w:ascii="Times New Roman"/>
                <w:sz w:val="19"/>
              </w:rPr>
              <w:t>2015/12/22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left"/>
              <w:rPr>
                <w:rFonts w:ascii="宋体" w:hAnsi="宋体" w:cs="宋体" w:eastAsia="宋体" w:hint="default"/>
                <w:sz w:val="19"/>
                <w:szCs w:val="19"/>
              </w:rPr>
            </w:pPr>
            <w:r>
              <w:rPr>
                <w:rFonts w:ascii="宋体" w:hAnsi="宋体" w:cs="宋体" w:eastAsia="宋体" w:hint="default"/>
                <w:w w:val="99"/>
                <w:sz w:val="19"/>
                <w:szCs w:val="19"/>
              </w:rPr>
              <w:t>是</w:t>
            </w:r>
            <w:r>
              <w:rPr>
                <w:rFonts w:ascii="宋体" w:hAnsi="宋体" w:cs="宋体" w:eastAsia="宋体" w:hint="default"/>
                <w:sz w:val="19"/>
                <w:szCs w:val="19"/>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bl>
    <w:p>
      <w:pPr>
        <w:spacing w:after="0" w:line="240" w:lineRule="auto"/>
        <w:jc w:val="left"/>
        <w:rPr>
          <w:rFonts w:ascii="宋体" w:hAnsi="宋体" w:cs="宋体" w:eastAsia="宋体" w:hint="default"/>
          <w:sz w:val="19"/>
          <w:szCs w:val="19"/>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15"/>
        <w:gridCol w:w="912"/>
        <w:gridCol w:w="930"/>
        <w:gridCol w:w="1299"/>
        <w:gridCol w:w="1054"/>
        <w:gridCol w:w="1040"/>
        <w:gridCol w:w="1049"/>
        <w:gridCol w:w="791"/>
        <w:gridCol w:w="785"/>
      </w:tblGrid>
      <w:tr>
        <w:trPr>
          <w:trHeight w:val="5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8"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9" w:right="0"/>
              <w:jc w:val="left"/>
              <w:rPr>
                <w:rFonts w:ascii="Times New Roman" w:hAnsi="Times New Roman" w:cs="Times New Roman" w:eastAsia="Times New Roman" w:hint="default"/>
                <w:sz w:val="19"/>
                <w:szCs w:val="19"/>
              </w:rPr>
            </w:pPr>
            <w:r>
              <w:rPr>
                <w:rFonts w:ascii="Times New Roman"/>
                <w:sz w:val="19"/>
              </w:rPr>
              <w:t>2014/06/28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spacing w:val="-1"/>
                <w:sz w:val="19"/>
              </w:rPr>
              <w:t>2014/08/11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 w:right="0"/>
              <w:jc w:val="left"/>
              <w:rPr>
                <w:rFonts w:ascii="宋体" w:hAnsi="宋体" w:cs="宋体" w:eastAsia="宋体" w:hint="default"/>
                <w:sz w:val="19"/>
                <w:szCs w:val="19"/>
              </w:rPr>
            </w:pPr>
            <w:r>
              <w:rPr>
                <w:rFonts w:ascii="宋体" w:hAnsi="宋体" w:cs="宋体" w:eastAsia="宋体" w:hint="default"/>
                <w:sz w:val="19"/>
                <w:szCs w:val="19"/>
              </w:rPr>
              <w:t>连带责任保</w:t>
            </w:r>
          </w:p>
          <w:p>
            <w:pPr>
              <w:pStyle w:val="TableParagraph"/>
              <w:spacing w:line="248"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 w:right="0"/>
              <w:jc w:val="left"/>
              <w:rPr>
                <w:rFonts w:ascii="Times New Roman" w:hAnsi="Times New Roman" w:cs="Times New Roman" w:eastAsia="Times New Roman" w:hint="default"/>
                <w:sz w:val="19"/>
                <w:szCs w:val="19"/>
              </w:rPr>
            </w:pPr>
            <w:r>
              <w:rPr>
                <w:rFonts w:ascii="Times New Roman"/>
                <w:sz w:val="19"/>
              </w:rPr>
              <w:t>2014/8/13-2</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015/8/20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9"/>
                <w:szCs w:val="19"/>
              </w:rPr>
            </w:pPr>
            <w:r>
              <w:rPr>
                <w:rFonts w:ascii="宋体" w:hAnsi="宋体" w:cs="宋体" w:eastAsia="宋体" w:hint="default"/>
                <w:w w:val="99"/>
                <w:sz w:val="19"/>
                <w:szCs w:val="19"/>
              </w:rPr>
              <w:t>是</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8"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9" w:right="0"/>
              <w:jc w:val="left"/>
              <w:rPr>
                <w:rFonts w:ascii="Times New Roman" w:hAnsi="Times New Roman" w:cs="Times New Roman" w:eastAsia="Times New Roman" w:hint="default"/>
                <w:sz w:val="19"/>
                <w:szCs w:val="19"/>
              </w:rPr>
            </w:pPr>
            <w:r>
              <w:rPr>
                <w:rFonts w:ascii="Times New Roman"/>
                <w:sz w:val="19"/>
              </w:rPr>
              <w:t>2014/06/28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w w:val="95"/>
                <w:sz w:val="19"/>
              </w:rPr>
              <w:t>2014/08/27</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 w:right="0"/>
              <w:jc w:val="left"/>
              <w:rPr>
                <w:rFonts w:ascii="宋体" w:hAnsi="宋体" w:cs="宋体" w:eastAsia="宋体" w:hint="default"/>
                <w:sz w:val="19"/>
                <w:szCs w:val="19"/>
              </w:rPr>
            </w:pPr>
            <w:r>
              <w:rPr>
                <w:rFonts w:ascii="宋体" w:hAnsi="宋体" w:cs="宋体" w:eastAsia="宋体" w:hint="default"/>
                <w:sz w:val="19"/>
                <w:szCs w:val="19"/>
              </w:rPr>
              <w:t>连带责任保</w:t>
            </w:r>
          </w:p>
          <w:p>
            <w:pPr>
              <w:pStyle w:val="TableParagraph"/>
              <w:spacing w:line="248"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 w:right="0"/>
              <w:jc w:val="left"/>
              <w:rPr>
                <w:rFonts w:ascii="Times New Roman" w:hAnsi="Times New Roman" w:cs="Times New Roman" w:eastAsia="Times New Roman" w:hint="default"/>
                <w:sz w:val="19"/>
                <w:szCs w:val="19"/>
              </w:rPr>
            </w:pPr>
            <w:r>
              <w:rPr>
                <w:rFonts w:ascii="Times New Roman"/>
                <w:sz w:val="19"/>
              </w:rPr>
              <w:t>2014/9/3-20</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15/8/31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9"/>
                <w:szCs w:val="19"/>
              </w:rPr>
            </w:pPr>
            <w:r>
              <w:rPr>
                <w:rFonts w:ascii="宋体" w:hAnsi="宋体" w:cs="宋体" w:eastAsia="宋体" w:hint="default"/>
                <w:w w:val="99"/>
                <w:sz w:val="19"/>
                <w:szCs w:val="19"/>
              </w:rPr>
              <w:t>是</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749"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香港苏宁采购有限</w:t>
            </w:r>
          </w:p>
          <w:p>
            <w:pPr>
              <w:pStyle w:val="TableParagraph"/>
              <w:spacing w:line="246" w:lineRule="exact" w:before="24"/>
              <w:ind w:left="22" w:right="29"/>
              <w:jc w:val="left"/>
              <w:rPr>
                <w:rFonts w:ascii="宋体" w:hAnsi="宋体" w:cs="宋体" w:eastAsia="宋体" w:hint="default"/>
                <w:sz w:val="19"/>
                <w:szCs w:val="19"/>
              </w:rPr>
            </w:pPr>
            <w:r>
              <w:rPr>
                <w:rFonts w:ascii="宋体" w:hAnsi="宋体" w:cs="宋体" w:eastAsia="宋体" w:hint="default"/>
                <w:spacing w:val="16"/>
                <w:sz w:val="19"/>
                <w:szCs w:val="19"/>
              </w:rPr>
              <w:t>公司和香港苏宁云</w:t>
            </w:r>
            <w:r>
              <w:rPr>
                <w:rFonts w:ascii="宋体" w:hAnsi="宋体" w:cs="宋体" w:eastAsia="宋体" w:hint="default"/>
                <w:w w:val="99"/>
                <w:sz w:val="19"/>
                <w:szCs w:val="19"/>
              </w:rPr>
              <w:t> </w:t>
            </w:r>
            <w:r>
              <w:rPr>
                <w:rFonts w:ascii="宋体" w:hAnsi="宋体" w:cs="宋体" w:eastAsia="宋体" w:hint="default"/>
                <w:sz w:val="19"/>
                <w:szCs w:val="19"/>
              </w:rPr>
              <w:t>商有限公司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Times New Roman" w:hAnsi="Times New Roman" w:cs="Times New Roman" w:eastAsia="Times New Roman" w:hint="default"/>
                <w:sz w:val="19"/>
                <w:szCs w:val="19"/>
              </w:rPr>
            </w:pPr>
            <w:r>
              <w:rPr>
                <w:rFonts w:ascii="Times New Roman"/>
                <w:sz w:val="19"/>
              </w:rPr>
              <w:t>2014/09/05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9"/>
                <w:szCs w:val="19"/>
              </w:rPr>
            </w:pPr>
            <w:r>
              <w:rPr>
                <w:rFonts w:ascii="Times New Roman"/>
                <w:w w:val="95"/>
                <w:sz w:val="19"/>
              </w:rPr>
              <w:t>2014/10/04</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117"/>
              <w:ind w:left="32" w:right="47"/>
              <w:jc w:val="left"/>
              <w:rPr>
                <w:rFonts w:ascii="宋体" w:hAnsi="宋体" w:cs="宋体" w:eastAsia="宋体" w:hint="default"/>
                <w:sz w:val="19"/>
                <w:szCs w:val="19"/>
              </w:rPr>
            </w:pPr>
            <w:r>
              <w:rPr>
                <w:rFonts w:ascii="宋体" w:hAnsi="宋体" w:cs="宋体" w:eastAsia="宋体" w:hint="default"/>
                <w:sz w:val="19"/>
                <w:szCs w:val="19"/>
              </w:rPr>
              <w:t>连带责任保</w:t>
            </w:r>
            <w:r>
              <w:rPr>
                <w:rFonts w:ascii="宋体" w:hAnsi="宋体" w:cs="宋体" w:eastAsia="宋体" w:hint="default"/>
                <w:w w:val="99"/>
                <w:sz w:val="19"/>
                <w:szCs w:val="19"/>
              </w:rPr>
              <w:t> </w:t>
            </w:r>
            <w:r>
              <w:rPr>
                <w:rFonts w:ascii="宋体" w:hAnsi="宋体" w:cs="宋体" w:eastAsia="宋体" w:hint="default"/>
                <w:sz w:val="19"/>
                <w:szCs w:val="19"/>
              </w:rPr>
              <w:t>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6" w:right="0"/>
              <w:jc w:val="left"/>
              <w:rPr>
                <w:rFonts w:ascii="Times New Roman" w:hAnsi="Times New Roman" w:cs="Times New Roman" w:eastAsia="Times New Roman" w:hint="default"/>
                <w:sz w:val="19"/>
                <w:szCs w:val="19"/>
              </w:rPr>
            </w:pPr>
            <w:r>
              <w:rPr>
                <w:rFonts w:ascii="Times New Roman"/>
                <w:sz w:val="19"/>
              </w:rPr>
              <w:t>2014/10/4-2</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015/9/4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9"/>
                <w:szCs w:val="19"/>
              </w:rPr>
            </w:pPr>
            <w:r>
              <w:rPr>
                <w:rFonts w:ascii="宋体" w:hAnsi="宋体" w:cs="宋体" w:eastAsia="宋体" w:hint="default"/>
                <w:w w:val="99"/>
                <w:sz w:val="19"/>
                <w:szCs w:val="19"/>
              </w:rPr>
              <w:t>是</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44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tabs>
                <w:tab w:pos="989" w:val="left" w:leader="none"/>
              </w:tabs>
              <w:spacing w:line="240" w:lineRule="auto"/>
              <w:ind w:left="22" w:right="29"/>
              <w:jc w:val="left"/>
              <w:rPr>
                <w:rFonts w:ascii="Times New Roman" w:hAnsi="Times New Roman" w:cs="Times New Roman" w:eastAsia="Times New Roman" w:hint="default"/>
                <w:sz w:val="19"/>
                <w:szCs w:val="19"/>
              </w:rPr>
            </w:pPr>
            <w:r>
              <w:rPr>
                <w:rFonts w:ascii="Times New Roman"/>
                <w:w w:val="95"/>
                <w:sz w:val="19"/>
              </w:rPr>
              <w:t>Great</w:t>
              <w:tab/>
            </w:r>
            <w:r>
              <w:rPr>
                <w:rFonts w:ascii="Times New Roman"/>
                <w:sz w:val="19"/>
              </w:rPr>
              <w:t>Universe</w:t>
            </w:r>
            <w:r>
              <w:rPr>
                <w:rFonts w:ascii="Times New Roman"/>
                <w:w w:val="99"/>
                <w:sz w:val="19"/>
              </w:rPr>
              <w:t> </w:t>
            </w:r>
            <w:r>
              <w:rPr>
                <w:rFonts w:ascii="Times New Roman"/>
                <w:sz w:val="19"/>
              </w:rPr>
              <w:t>Limited</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6" w:right="0"/>
              <w:jc w:val="left"/>
              <w:rPr>
                <w:rFonts w:ascii="Times New Roman" w:hAnsi="Times New Roman" w:cs="Times New Roman" w:eastAsia="Times New Roman" w:hint="default"/>
                <w:sz w:val="19"/>
                <w:szCs w:val="19"/>
              </w:rPr>
            </w:pPr>
            <w:r>
              <w:rPr>
                <w:rFonts w:ascii="Times New Roman"/>
                <w:sz w:val="19"/>
              </w:rPr>
              <w:t>2014/12/11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8"/>
              <w:jc w:val="right"/>
              <w:rPr>
                <w:rFonts w:ascii="Times New Roman" w:hAnsi="Times New Roman" w:cs="Times New Roman" w:eastAsia="Times New Roman" w:hint="default"/>
                <w:sz w:val="19"/>
                <w:szCs w:val="19"/>
              </w:rPr>
            </w:pPr>
            <w:r>
              <w:rPr>
                <w:rFonts w:ascii="Times New Roman"/>
                <w:w w:val="95"/>
                <w:sz w:val="19"/>
              </w:rPr>
              <w:t>36,000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9"/>
                <w:szCs w:val="19"/>
              </w:rPr>
            </w:pPr>
            <w:r>
              <w:rPr>
                <w:rFonts w:ascii="Times New Roman"/>
                <w:w w:val="95"/>
                <w:sz w:val="19"/>
              </w:rPr>
              <w:t>2014/12/10</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2"/>
              <w:jc w:val="right"/>
              <w:rPr>
                <w:rFonts w:ascii="Times New Roman" w:hAnsi="Times New Roman" w:cs="Times New Roman" w:eastAsia="Times New Roman" w:hint="default"/>
                <w:sz w:val="19"/>
                <w:szCs w:val="19"/>
              </w:rPr>
            </w:pPr>
            <w:r>
              <w:rPr>
                <w:rFonts w:ascii="Times New Roman"/>
                <w:w w:val="95"/>
                <w:sz w:val="19"/>
              </w:rPr>
              <w:t>36,000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2" w:right="0"/>
              <w:jc w:val="left"/>
              <w:rPr>
                <w:rFonts w:ascii="宋体" w:hAnsi="宋体" w:cs="宋体" w:eastAsia="宋体" w:hint="default"/>
                <w:sz w:val="19"/>
                <w:szCs w:val="19"/>
              </w:rPr>
            </w:pPr>
            <w:r>
              <w:rPr>
                <w:rFonts w:ascii="宋体" w:hAnsi="宋体" w:cs="宋体" w:eastAsia="宋体" w:hint="default"/>
                <w:sz w:val="19"/>
                <w:szCs w:val="19"/>
              </w:rPr>
              <w:t>抵押</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6" w:right="0"/>
              <w:jc w:val="left"/>
              <w:rPr>
                <w:rFonts w:ascii="Times New Roman" w:hAnsi="Times New Roman" w:cs="Times New Roman" w:eastAsia="Times New Roman" w:hint="default"/>
                <w:sz w:val="19"/>
                <w:szCs w:val="19"/>
              </w:rPr>
            </w:pPr>
            <w:r>
              <w:rPr>
                <w:rFonts w:ascii="Times New Roman"/>
                <w:sz w:val="19"/>
              </w:rPr>
              <w:t>2014/12/3-2</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019/12/2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66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1"/>
              <w:ind w:left="22" w:right="17"/>
              <w:jc w:val="both"/>
              <w:rPr>
                <w:rFonts w:ascii="Times New Roman" w:hAnsi="Times New Roman" w:cs="Times New Roman" w:eastAsia="Times New Roman" w:hint="default"/>
                <w:sz w:val="19"/>
                <w:szCs w:val="19"/>
              </w:rPr>
            </w:pPr>
            <w:r>
              <w:rPr>
                <w:rFonts w:ascii="Times New Roman"/>
                <w:sz w:val="19"/>
              </w:rPr>
              <w:t>Suning</w:t>
            </w:r>
            <w:r>
              <w:rPr>
                <w:rFonts w:ascii="Times New Roman"/>
                <w:spacing w:val="41"/>
                <w:sz w:val="19"/>
              </w:rPr>
              <w:t> </w:t>
            </w:r>
            <w:r>
              <w:rPr>
                <w:rFonts w:ascii="Times New Roman"/>
                <w:sz w:val="19"/>
              </w:rPr>
              <w:t>Commerce</w:t>
            </w:r>
            <w:r>
              <w:rPr>
                <w:rFonts w:ascii="Times New Roman"/>
                <w:w w:val="99"/>
                <w:sz w:val="19"/>
              </w:rPr>
              <w:t> </w:t>
            </w:r>
            <w:r>
              <w:rPr>
                <w:rFonts w:ascii="Times New Roman"/>
                <w:sz w:val="19"/>
              </w:rPr>
              <w:t>R&amp;D Center </w:t>
            </w:r>
            <w:r>
              <w:rPr>
                <w:rFonts w:ascii="Times New Roman"/>
                <w:spacing w:val="30"/>
                <w:sz w:val="19"/>
              </w:rPr>
              <w:t> </w:t>
            </w:r>
            <w:r>
              <w:rPr>
                <w:rFonts w:ascii="Times New Roman"/>
                <w:sz w:val="19"/>
              </w:rPr>
              <w:t>USA</w:t>
            </w:r>
            <w:r>
              <w:rPr>
                <w:rFonts w:ascii="Times New Roman"/>
                <w:w w:val="99"/>
                <w:sz w:val="19"/>
              </w:rPr>
              <w:t> </w:t>
            </w:r>
            <w:r>
              <w:rPr>
                <w:rFonts w:ascii="Times New Roman"/>
                <w:sz w:val="19"/>
              </w:rPr>
              <w:t>Inc</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 w:right="0"/>
              <w:jc w:val="left"/>
              <w:rPr>
                <w:rFonts w:ascii="Times New Roman" w:hAnsi="Times New Roman" w:cs="Times New Roman" w:eastAsia="Times New Roman" w:hint="default"/>
                <w:sz w:val="19"/>
                <w:szCs w:val="19"/>
              </w:rPr>
            </w:pPr>
            <w:r>
              <w:rPr>
                <w:rFonts w:ascii="Times New Roman"/>
                <w:sz w:val="19"/>
              </w:rPr>
              <w:t>2015/1/30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8"/>
              <w:jc w:val="right"/>
              <w:rPr>
                <w:rFonts w:ascii="Times New Roman" w:hAnsi="Times New Roman" w:cs="Times New Roman" w:eastAsia="Times New Roman" w:hint="default"/>
                <w:sz w:val="19"/>
                <w:szCs w:val="19"/>
              </w:rPr>
            </w:pPr>
            <w:r>
              <w:rPr>
                <w:rFonts w:ascii="Times New Roman"/>
                <w:w w:val="95"/>
                <w:sz w:val="19"/>
              </w:rPr>
              <w:t>5,523.30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3"/>
              <w:jc w:val="right"/>
              <w:rPr>
                <w:rFonts w:ascii="Times New Roman" w:hAnsi="Times New Roman" w:cs="Times New Roman" w:eastAsia="Times New Roman" w:hint="default"/>
                <w:sz w:val="19"/>
                <w:szCs w:val="19"/>
              </w:rPr>
            </w:pPr>
            <w:r>
              <w:rPr>
                <w:rFonts w:ascii="Times New Roman"/>
                <w:spacing w:val="-1"/>
                <w:sz w:val="19"/>
              </w:rPr>
              <w:t>2015/5/11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Times New Roman" w:hAnsi="Times New Roman" w:cs="Times New Roman" w:eastAsia="Times New Roman" w:hint="default"/>
                <w:sz w:val="19"/>
                <w:szCs w:val="19"/>
              </w:rPr>
            </w:pPr>
            <w:r>
              <w:rPr>
                <w:rFonts w:ascii="Times New Roman"/>
                <w:w w:val="95"/>
                <w:sz w:val="19"/>
              </w:rPr>
              <w:t>2,567.71</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 w:right="0"/>
              <w:jc w:val="left"/>
              <w:rPr>
                <w:rFonts w:ascii="宋体" w:hAnsi="宋体" w:cs="宋体" w:eastAsia="宋体" w:hint="default"/>
                <w:sz w:val="19"/>
                <w:szCs w:val="19"/>
              </w:rPr>
            </w:pPr>
            <w:r>
              <w:rPr>
                <w:rFonts w:ascii="宋体" w:hAnsi="宋体" w:cs="宋体" w:eastAsia="宋体" w:hint="default"/>
                <w:spacing w:val="5"/>
                <w:sz w:val="19"/>
                <w:szCs w:val="19"/>
              </w:rPr>
              <w:t>连带责任保</w:t>
            </w:r>
          </w:p>
          <w:p>
            <w:pPr>
              <w:pStyle w:val="TableParagraph"/>
              <w:spacing w:line="248"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6" w:right="0"/>
              <w:jc w:val="left"/>
              <w:rPr>
                <w:rFonts w:ascii="Times New Roman" w:hAnsi="Times New Roman" w:cs="Times New Roman" w:eastAsia="Times New Roman" w:hint="default"/>
                <w:sz w:val="19"/>
                <w:szCs w:val="19"/>
              </w:rPr>
            </w:pPr>
            <w:r>
              <w:rPr>
                <w:rFonts w:ascii="Times New Roman"/>
                <w:sz w:val="19"/>
              </w:rPr>
              <w:t>2015/5/11-2</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017/5/10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229"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Times New Roman" w:hAnsi="Times New Roman" w:cs="Times New Roman" w:eastAsia="Times New Roman" w:hint="default"/>
                <w:sz w:val="19"/>
                <w:szCs w:val="19"/>
              </w:rPr>
            </w:pPr>
            <w:r>
              <w:rPr>
                <w:rFonts w:ascii="Times New Roman"/>
                <w:sz w:val="19"/>
              </w:rPr>
              <w:t>Suning.com</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7" w:right="0"/>
              <w:jc w:val="left"/>
              <w:rPr>
                <w:rFonts w:ascii="Times New Roman" w:hAnsi="Times New Roman" w:cs="Times New Roman" w:eastAsia="Times New Roman" w:hint="default"/>
                <w:sz w:val="19"/>
                <w:szCs w:val="19"/>
              </w:rPr>
            </w:pPr>
            <w:r>
              <w:rPr>
                <w:rFonts w:ascii="Times New Roman"/>
                <w:sz w:val="19"/>
              </w:rPr>
              <w:t>2015/1/30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
              <w:jc w:val="right"/>
              <w:rPr>
                <w:rFonts w:ascii="Times New Roman" w:hAnsi="Times New Roman" w:cs="Times New Roman" w:eastAsia="Times New Roman" w:hint="default"/>
                <w:sz w:val="19"/>
                <w:szCs w:val="19"/>
              </w:rPr>
            </w:pPr>
            <w:r>
              <w:rPr>
                <w:rFonts w:ascii="Times New Roman"/>
                <w:w w:val="95"/>
                <w:sz w:val="19"/>
              </w:rPr>
              <w:t>1,841.10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2"/>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2"/>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7"/>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2"/>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6"/>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2"/>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5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 w:right="0"/>
              <w:jc w:val="left"/>
              <w:rPr>
                <w:rFonts w:ascii="Times New Roman" w:hAnsi="Times New Roman" w:cs="Times New Roman" w:eastAsia="Times New Roman" w:hint="default"/>
                <w:sz w:val="19"/>
                <w:szCs w:val="19"/>
              </w:rPr>
            </w:pPr>
            <w:r>
              <w:rPr>
                <w:rFonts w:ascii="Times New Roman"/>
                <w:sz w:val="19"/>
              </w:rPr>
              <w:t>2015/7/2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8"/>
              <w:jc w:val="right"/>
              <w:rPr>
                <w:rFonts w:ascii="Times New Roman" w:hAnsi="Times New Roman" w:cs="Times New Roman" w:eastAsia="Times New Roman" w:hint="default"/>
                <w:sz w:val="19"/>
                <w:szCs w:val="19"/>
              </w:rPr>
            </w:pPr>
            <w:r>
              <w:rPr>
                <w:rFonts w:ascii="Times New Roman"/>
                <w:w w:val="95"/>
                <w:sz w:val="19"/>
              </w:rPr>
              <w:t>30,000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3"/>
              <w:jc w:val="right"/>
              <w:rPr>
                <w:rFonts w:ascii="Times New Roman" w:hAnsi="Times New Roman" w:cs="Times New Roman" w:eastAsia="Times New Roman" w:hint="default"/>
                <w:sz w:val="19"/>
                <w:szCs w:val="19"/>
              </w:rPr>
            </w:pPr>
            <w:r>
              <w:rPr>
                <w:rFonts w:ascii="Times New Roman"/>
                <w:w w:val="95"/>
                <w:sz w:val="19"/>
              </w:rPr>
              <w:t>2015/7/6</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Times New Roman" w:hAnsi="Times New Roman" w:cs="Times New Roman" w:eastAsia="Times New Roman" w:hint="default"/>
                <w:sz w:val="19"/>
                <w:szCs w:val="19"/>
              </w:rPr>
            </w:pPr>
            <w:r>
              <w:rPr>
                <w:rFonts w:ascii="Times New Roman"/>
                <w:w w:val="95"/>
                <w:sz w:val="19"/>
              </w:rPr>
              <w:t>30,000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2" w:right="0"/>
              <w:jc w:val="left"/>
              <w:rPr>
                <w:rFonts w:ascii="宋体" w:hAnsi="宋体" w:cs="宋体" w:eastAsia="宋体" w:hint="default"/>
                <w:sz w:val="19"/>
                <w:szCs w:val="19"/>
              </w:rPr>
            </w:pPr>
            <w:r>
              <w:rPr>
                <w:rFonts w:ascii="宋体" w:hAnsi="宋体" w:cs="宋体" w:eastAsia="宋体" w:hint="default"/>
                <w:spacing w:val="5"/>
                <w:sz w:val="19"/>
                <w:szCs w:val="19"/>
              </w:rPr>
              <w:t>连带责任保</w:t>
            </w:r>
          </w:p>
          <w:p>
            <w:pPr>
              <w:pStyle w:val="TableParagraph"/>
              <w:spacing w:line="247"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6" w:right="0"/>
              <w:jc w:val="left"/>
              <w:rPr>
                <w:rFonts w:ascii="Times New Roman" w:hAnsi="Times New Roman" w:cs="Times New Roman" w:eastAsia="Times New Roman" w:hint="default"/>
                <w:sz w:val="19"/>
                <w:szCs w:val="19"/>
              </w:rPr>
            </w:pPr>
            <w:r>
              <w:rPr>
                <w:rFonts w:ascii="Times New Roman"/>
                <w:sz w:val="19"/>
              </w:rPr>
              <w:t>2015/7/6-20</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16/7/14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 w:right="0"/>
              <w:jc w:val="left"/>
              <w:rPr>
                <w:rFonts w:ascii="Times New Roman" w:hAnsi="Times New Roman" w:cs="Times New Roman" w:eastAsia="Times New Roman" w:hint="default"/>
                <w:sz w:val="19"/>
                <w:szCs w:val="19"/>
              </w:rPr>
            </w:pPr>
            <w:r>
              <w:rPr>
                <w:rFonts w:ascii="Times New Roman"/>
                <w:sz w:val="19"/>
              </w:rPr>
              <w:t>2015/7/2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8"/>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3"/>
              <w:jc w:val="right"/>
              <w:rPr>
                <w:rFonts w:ascii="Times New Roman" w:hAnsi="Times New Roman" w:cs="Times New Roman" w:eastAsia="Times New Roman" w:hint="default"/>
                <w:sz w:val="19"/>
                <w:szCs w:val="19"/>
              </w:rPr>
            </w:pPr>
            <w:r>
              <w:rPr>
                <w:rFonts w:ascii="Times New Roman"/>
                <w:w w:val="95"/>
                <w:sz w:val="19"/>
              </w:rPr>
              <w:t>2015/7/9</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2" w:right="0"/>
              <w:jc w:val="left"/>
              <w:rPr>
                <w:rFonts w:ascii="宋体" w:hAnsi="宋体" w:cs="宋体" w:eastAsia="宋体" w:hint="default"/>
                <w:sz w:val="19"/>
                <w:szCs w:val="19"/>
              </w:rPr>
            </w:pPr>
            <w:r>
              <w:rPr>
                <w:rFonts w:ascii="宋体" w:hAnsi="宋体" w:cs="宋体" w:eastAsia="宋体" w:hint="default"/>
                <w:spacing w:val="5"/>
                <w:sz w:val="19"/>
                <w:szCs w:val="19"/>
              </w:rPr>
              <w:t>连带责任保</w:t>
            </w:r>
          </w:p>
          <w:p>
            <w:pPr>
              <w:pStyle w:val="TableParagraph"/>
              <w:spacing w:line="247"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6" w:right="0"/>
              <w:jc w:val="left"/>
              <w:rPr>
                <w:rFonts w:ascii="Times New Roman" w:hAnsi="Times New Roman" w:cs="Times New Roman" w:eastAsia="Times New Roman" w:hint="default"/>
                <w:sz w:val="19"/>
                <w:szCs w:val="19"/>
              </w:rPr>
            </w:pPr>
            <w:r>
              <w:rPr>
                <w:rFonts w:ascii="Times New Roman"/>
                <w:sz w:val="19"/>
              </w:rPr>
              <w:t>2015/7/21-2</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016/9/7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 w:right="0"/>
              <w:jc w:val="left"/>
              <w:rPr>
                <w:rFonts w:ascii="Times New Roman" w:hAnsi="Times New Roman" w:cs="Times New Roman" w:eastAsia="Times New Roman" w:hint="default"/>
                <w:sz w:val="19"/>
                <w:szCs w:val="19"/>
              </w:rPr>
            </w:pPr>
            <w:r>
              <w:rPr>
                <w:rFonts w:ascii="Times New Roman"/>
                <w:sz w:val="19"/>
              </w:rPr>
              <w:t>2015/7/2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8"/>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3"/>
              <w:jc w:val="right"/>
              <w:rPr>
                <w:rFonts w:ascii="Times New Roman" w:hAnsi="Times New Roman" w:cs="Times New Roman" w:eastAsia="Times New Roman" w:hint="default"/>
                <w:sz w:val="19"/>
                <w:szCs w:val="19"/>
              </w:rPr>
            </w:pPr>
            <w:r>
              <w:rPr>
                <w:rFonts w:ascii="Times New Roman"/>
                <w:w w:val="95"/>
                <w:sz w:val="19"/>
              </w:rPr>
              <w:t>2015/7/7</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2" w:right="0"/>
              <w:jc w:val="left"/>
              <w:rPr>
                <w:rFonts w:ascii="宋体" w:hAnsi="宋体" w:cs="宋体" w:eastAsia="宋体" w:hint="default"/>
                <w:sz w:val="19"/>
                <w:szCs w:val="19"/>
              </w:rPr>
            </w:pPr>
            <w:r>
              <w:rPr>
                <w:rFonts w:ascii="宋体" w:hAnsi="宋体" w:cs="宋体" w:eastAsia="宋体" w:hint="default"/>
                <w:spacing w:val="5"/>
                <w:sz w:val="19"/>
                <w:szCs w:val="19"/>
              </w:rPr>
              <w:t>连带责任保</w:t>
            </w:r>
          </w:p>
          <w:p>
            <w:pPr>
              <w:pStyle w:val="TableParagraph"/>
              <w:spacing w:line="247"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6" w:right="0"/>
              <w:jc w:val="left"/>
              <w:rPr>
                <w:rFonts w:ascii="Times New Roman" w:hAnsi="Times New Roman" w:cs="Times New Roman" w:eastAsia="Times New Roman" w:hint="default"/>
                <w:sz w:val="19"/>
                <w:szCs w:val="19"/>
              </w:rPr>
            </w:pPr>
            <w:r>
              <w:rPr>
                <w:rFonts w:ascii="Times New Roman"/>
                <w:sz w:val="19"/>
              </w:rPr>
              <w:t>2015/11/4-2</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016/12/31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 w:right="0"/>
              <w:jc w:val="left"/>
              <w:rPr>
                <w:rFonts w:ascii="Times New Roman" w:hAnsi="Times New Roman" w:cs="Times New Roman" w:eastAsia="Times New Roman" w:hint="default"/>
                <w:sz w:val="19"/>
                <w:szCs w:val="19"/>
              </w:rPr>
            </w:pPr>
            <w:r>
              <w:rPr>
                <w:rFonts w:ascii="Times New Roman"/>
                <w:sz w:val="19"/>
              </w:rPr>
              <w:t>2015/7/2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8"/>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3"/>
              <w:jc w:val="right"/>
              <w:rPr>
                <w:rFonts w:ascii="Times New Roman" w:hAnsi="Times New Roman" w:cs="Times New Roman" w:eastAsia="Times New Roman" w:hint="default"/>
                <w:sz w:val="19"/>
                <w:szCs w:val="19"/>
              </w:rPr>
            </w:pPr>
            <w:r>
              <w:rPr>
                <w:rFonts w:ascii="Times New Roman"/>
                <w:w w:val="95"/>
                <w:sz w:val="19"/>
              </w:rPr>
              <w:t>2015/8/19</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2" w:right="0"/>
              <w:jc w:val="left"/>
              <w:rPr>
                <w:rFonts w:ascii="宋体" w:hAnsi="宋体" w:cs="宋体" w:eastAsia="宋体" w:hint="default"/>
                <w:sz w:val="19"/>
                <w:szCs w:val="19"/>
              </w:rPr>
            </w:pPr>
            <w:r>
              <w:rPr>
                <w:rFonts w:ascii="宋体" w:hAnsi="宋体" w:cs="宋体" w:eastAsia="宋体" w:hint="default"/>
                <w:spacing w:val="5"/>
                <w:sz w:val="19"/>
                <w:szCs w:val="19"/>
              </w:rPr>
              <w:t>连带责任保</w:t>
            </w:r>
          </w:p>
          <w:p>
            <w:pPr>
              <w:pStyle w:val="TableParagraph"/>
              <w:spacing w:line="247"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6" w:right="0"/>
              <w:jc w:val="left"/>
              <w:rPr>
                <w:rFonts w:ascii="Times New Roman" w:hAnsi="Times New Roman" w:cs="Times New Roman" w:eastAsia="Times New Roman" w:hint="default"/>
                <w:sz w:val="19"/>
                <w:szCs w:val="19"/>
              </w:rPr>
            </w:pPr>
            <w:r>
              <w:rPr>
                <w:rFonts w:ascii="Times New Roman"/>
                <w:sz w:val="19"/>
              </w:rPr>
              <w:t>2015/8/20-2</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016/2/20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7"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 w:right="0"/>
              <w:jc w:val="left"/>
              <w:rPr>
                <w:rFonts w:ascii="Times New Roman" w:hAnsi="Times New Roman" w:cs="Times New Roman" w:eastAsia="Times New Roman" w:hint="default"/>
                <w:sz w:val="19"/>
                <w:szCs w:val="19"/>
              </w:rPr>
            </w:pPr>
            <w:r>
              <w:rPr>
                <w:rFonts w:ascii="Times New Roman"/>
                <w:sz w:val="19"/>
              </w:rPr>
              <w:t>2015/7/2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8"/>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3"/>
              <w:jc w:val="right"/>
              <w:rPr>
                <w:rFonts w:ascii="Times New Roman" w:hAnsi="Times New Roman" w:cs="Times New Roman" w:eastAsia="Times New Roman" w:hint="default"/>
                <w:sz w:val="19"/>
                <w:szCs w:val="19"/>
              </w:rPr>
            </w:pPr>
            <w:r>
              <w:rPr>
                <w:rFonts w:ascii="Times New Roman"/>
                <w:w w:val="95"/>
                <w:sz w:val="19"/>
              </w:rPr>
              <w:t>2015/8/27</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2" w:right="0"/>
              <w:jc w:val="left"/>
              <w:rPr>
                <w:rFonts w:ascii="宋体" w:hAnsi="宋体" w:cs="宋体" w:eastAsia="宋体" w:hint="default"/>
                <w:sz w:val="19"/>
                <w:szCs w:val="19"/>
              </w:rPr>
            </w:pPr>
            <w:r>
              <w:rPr>
                <w:rFonts w:ascii="宋体" w:hAnsi="宋体" w:cs="宋体" w:eastAsia="宋体" w:hint="default"/>
                <w:spacing w:val="5"/>
                <w:sz w:val="19"/>
                <w:szCs w:val="19"/>
              </w:rPr>
              <w:t>连带责任保</w:t>
            </w:r>
          </w:p>
          <w:p>
            <w:pPr>
              <w:pStyle w:val="TableParagraph"/>
              <w:spacing w:line="247"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6" w:right="0"/>
              <w:jc w:val="left"/>
              <w:rPr>
                <w:rFonts w:ascii="Times New Roman" w:hAnsi="Times New Roman" w:cs="Times New Roman" w:eastAsia="Times New Roman" w:hint="default"/>
                <w:sz w:val="19"/>
                <w:szCs w:val="19"/>
              </w:rPr>
            </w:pPr>
            <w:r>
              <w:rPr>
                <w:rFonts w:ascii="Times New Roman"/>
                <w:sz w:val="19"/>
              </w:rPr>
              <w:t>2015/8/28-2</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016/8/28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8"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 w:right="0"/>
              <w:jc w:val="left"/>
              <w:rPr>
                <w:rFonts w:ascii="Times New Roman" w:hAnsi="Times New Roman" w:cs="Times New Roman" w:eastAsia="Times New Roman" w:hint="default"/>
                <w:sz w:val="19"/>
                <w:szCs w:val="19"/>
              </w:rPr>
            </w:pPr>
            <w:r>
              <w:rPr>
                <w:rFonts w:ascii="Times New Roman"/>
                <w:sz w:val="19"/>
              </w:rPr>
              <w:t>2015/7/2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8"/>
              <w:jc w:val="right"/>
              <w:rPr>
                <w:rFonts w:ascii="Times New Roman" w:hAnsi="Times New Roman" w:cs="Times New Roman" w:eastAsia="Times New Roman" w:hint="default"/>
                <w:sz w:val="19"/>
                <w:szCs w:val="19"/>
              </w:rPr>
            </w:pPr>
            <w:r>
              <w:rPr>
                <w:rFonts w:ascii="Times New Roman"/>
                <w:w w:val="95"/>
                <w:sz w:val="19"/>
              </w:rPr>
              <w:t>30,000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3"/>
              <w:jc w:val="right"/>
              <w:rPr>
                <w:rFonts w:ascii="Times New Roman" w:hAnsi="Times New Roman" w:cs="Times New Roman" w:eastAsia="Times New Roman" w:hint="default"/>
                <w:sz w:val="19"/>
                <w:szCs w:val="19"/>
              </w:rPr>
            </w:pPr>
            <w:r>
              <w:rPr>
                <w:rFonts w:ascii="Times New Roman"/>
                <w:w w:val="95"/>
                <w:sz w:val="19"/>
              </w:rPr>
              <w:t>2015/8/17</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Times New Roman" w:hAnsi="Times New Roman" w:cs="Times New Roman" w:eastAsia="Times New Roman" w:hint="default"/>
                <w:sz w:val="19"/>
                <w:szCs w:val="19"/>
              </w:rPr>
            </w:pPr>
            <w:r>
              <w:rPr>
                <w:rFonts w:ascii="Times New Roman"/>
                <w:w w:val="95"/>
                <w:sz w:val="19"/>
              </w:rPr>
              <w:t>30,000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 w:right="0"/>
              <w:jc w:val="left"/>
              <w:rPr>
                <w:rFonts w:ascii="宋体" w:hAnsi="宋体" w:cs="宋体" w:eastAsia="宋体" w:hint="default"/>
                <w:sz w:val="19"/>
                <w:szCs w:val="19"/>
              </w:rPr>
            </w:pPr>
            <w:r>
              <w:rPr>
                <w:rFonts w:ascii="宋体" w:hAnsi="宋体" w:cs="宋体" w:eastAsia="宋体" w:hint="default"/>
                <w:spacing w:val="5"/>
                <w:sz w:val="19"/>
                <w:szCs w:val="19"/>
              </w:rPr>
              <w:t>连带责任保</w:t>
            </w:r>
          </w:p>
          <w:p>
            <w:pPr>
              <w:pStyle w:val="TableParagraph"/>
              <w:spacing w:line="248"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6" w:right="0"/>
              <w:jc w:val="left"/>
              <w:rPr>
                <w:rFonts w:ascii="Times New Roman" w:hAnsi="Times New Roman" w:cs="Times New Roman" w:eastAsia="Times New Roman" w:hint="default"/>
                <w:sz w:val="19"/>
                <w:szCs w:val="19"/>
              </w:rPr>
            </w:pPr>
            <w:r>
              <w:rPr>
                <w:rFonts w:ascii="Times New Roman"/>
                <w:sz w:val="19"/>
              </w:rPr>
              <w:t>2015/8/19-2</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016/8/17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5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香港苏宁电器有限</w:t>
            </w:r>
          </w:p>
          <w:p>
            <w:pPr>
              <w:pStyle w:val="TableParagraph"/>
              <w:spacing w:line="248"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 w:right="0"/>
              <w:jc w:val="left"/>
              <w:rPr>
                <w:rFonts w:ascii="Times New Roman" w:hAnsi="Times New Roman" w:cs="Times New Roman" w:eastAsia="Times New Roman" w:hint="default"/>
                <w:sz w:val="19"/>
                <w:szCs w:val="19"/>
              </w:rPr>
            </w:pPr>
            <w:r>
              <w:rPr>
                <w:rFonts w:ascii="Times New Roman"/>
                <w:sz w:val="19"/>
              </w:rPr>
              <w:t>2015/7/2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8"/>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3"/>
              <w:jc w:val="right"/>
              <w:rPr>
                <w:rFonts w:ascii="Times New Roman" w:hAnsi="Times New Roman" w:cs="Times New Roman" w:eastAsia="Times New Roman" w:hint="default"/>
                <w:sz w:val="19"/>
                <w:szCs w:val="19"/>
              </w:rPr>
            </w:pPr>
            <w:r>
              <w:rPr>
                <w:rFonts w:ascii="Times New Roman"/>
                <w:w w:val="95"/>
                <w:sz w:val="19"/>
              </w:rPr>
              <w:t>2015/12/14</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 w:right="0"/>
              <w:jc w:val="left"/>
              <w:rPr>
                <w:rFonts w:ascii="宋体" w:hAnsi="宋体" w:cs="宋体" w:eastAsia="宋体" w:hint="default"/>
                <w:sz w:val="19"/>
                <w:szCs w:val="19"/>
              </w:rPr>
            </w:pPr>
            <w:r>
              <w:rPr>
                <w:rFonts w:ascii="宋体" w:hAnsi="宋体" w:cs="宋体" w:eastAsia="宋体" w:hint="default"/>
                <w:spacing w:val="5"/>
                <w:sz w:val="19"/>
                <w:szCs w:val="19"/>
              </w:rPr>
              <w:t>连带责任保</w:t>
            </w:r>
          </w:p>
          <w:p>
            <w:pPr>
              <w:pStyle w:val="TableParagraph"/>
              <w:spacing w:line="248"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6" w:right="0"/>
              <w:jc w:val="left"/>
              <w:rPr>
                <w:rFonts w:ascii="Times New Roman" w:hAnsi="Times New Roman" w:cs="Times New Roman" w:eastAsia="Times New Roman" w:hint="default"/>
                <w:sz w:val="19"/>
                <w:szCs w:val="19"/>
              </w:rPr>
            </w:pPr>
            <w:r>
              <w:rPr>
                <w:rFonts w:ascii="Times New Roman"/>
                <w:sz w:val="19"/>
              </w:rPr>
              <w:t>2015/12/15-</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2016/12/15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749"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pacing w:val="16"/>
                <w:sz w:val="19"/>
                <w:szCs w:val="19"/>
              </w:rPr>
              <w:t>香港苏宁采购有限</w:t>
            </w:r>
          </w:p>
          <w:p>
            <w:pPr>
              <w:pStyle w:val="TableParagraph"/>
              <w:spacing w:line="246" w:lineRule="exact" w:before="24"/>
              <w:ind w:left="22" w:right="29"/>
              <w:jc w:val="left"/>
              <w:rPr>
                <w:rFonts w:ascii="宋体" w:hAnsi="宋体" w:cs="宋体" w:eastAsia="宋体" w:hint="default"/>
                <w:sz w:val="19"/>
                <w:szCs w:val="19"/>
              </w:rPr>
            </w:pPr>
            <w:r>
              <w:rPr>
                <w:rFonts w:ascii="宋体" w:hAnsi="宋体" w:cs="宋体" w:eastAsia="宋体" w:hint="default"/>
                <w:spacing w:val="16"/>
                <w:sz w:val="19"/>
                <w:szCs w:val="19"/>
              </w:rPr>
              <w:t>公司和香港苏宁云</w:t>
            </w:r>
            <w:r>
              <w:rPr>
                <w:rFonts w:ascii="宋体" w:hAnsi="宋体" w:cs="宋体" w:eastAsia="宋体" w:hint="default"/>
                <w:w w:val="99"/>
                <w:sz w:val="19"/>
                <w:szCs w:val="19"/>
              </w:rPr>
              <w:t> </w:t>
            </w:r>
            <w:r>
              <w:rPr>
                <w:rFonts w:ascii="宋体" w:hAnsi="宋体" w:cs="宋体" w:eastAsia="宋体" w:hint="default"/>
                <w:sz w:val="19"/>
                <w:szCs w:val="19"/>
              </w:rPr>
              <w:t>商有限公司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 w:right="0"/>
              <w:jc w:val="left"/>
              <w:rPr>
                <w:rFonts w:ascii="Times New Roman" w:hAnsi="Times New Roman" w:cs="Times New Roman" w:eastAsia="Times New Roman" w:hint="default"/>
                <w:sz w:val="19"/>
                <w:szCs w:val="19"/>
              </w:rPr>
            </w:pPr>
            <w:r>
              <w:rPr>
                <w:rFonts w:ascii="Times New Roman"/>
                <w:sz w:val="19"/>
              </w:rPr>
              <w:t>2015/8/22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8"/>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2"/>
              <w:jc w:val="right"/>
              <w:rPr>
                <w:rFonts w:ascii="Times New Roman" w:hAnsi="Times New Roman" w:cs="Times New Roman" w:eastAsia="Times New Roman" w:hint="default"/>
                <w:sz w:val="19"/>
                <w:szCs w:val="19"/>
              </w:rPr>
            </w:pPr>
            <w:r>
              <w:rPr>
                <w:rFonts w:ascii="Times New Roman"/>
                <w:w w:val="95"/>
                <w:sz w:val="19"/>
              </w:rPr>
              <w:t>2015/9/5</w:t>
            </w:r>
            <w:r>
              <w:rPr>
                <w:rFonts w:ascii="Times New Roman"/>
                <w:sz w:val="19"/>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Times New Roman" w:hAnsi="Times New Roman" w:cs="Times New Roman" w:eastAsia="Times New Roman" w:hint="default"/>
                <w:sz w:val="19"/>
                <w:szCs w:val="19"/>
              </w:rPr>
            </w:pPr>
            <w:r>
              <w:rPr>
                <w:rFonts w:ascii="Times New Roman"/>
                <w:w w:val="95"/>
                <w:sz w:val="19"/>
              </w:rPr>
              <w:t>20,000</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 w:right="0"/>
              <w:jc w:val="left"/>
              <w:rPr>
                <w:rFonts w:ascii="宋体" w:hAnsi="宋体" w:cs="宋体" w:eastAsia="宋体" w:hint="default"/>
                <w:sz w:val="19"/>
                <w:szCs w:val="19"/>
              </w:rPr>
            </w:pPr>
            <w:r>
              <w:rPr>
                <w:rFonts w:ascii="宋体" w:hAnsi="宋体" w:cs="宋体" w:eastAsia="宋体" w:hint="default"/>
                <w:spacing w:val="5"/>
                <w:sz w:val="19"/>
                <w:szCs w:val="19"/>
              </w:rPr>
              <w:t>连带责任保</w:t>
            </w:r>
          </w:p>
          <w:p>
            <w:pPr>
              <w:pStyle w:val="TableParagraph"/>
              <w:spacing w:line="248" w:lineRule="exact"/>
              <w:ind w:left="32" w:right="0"/>
              <w:jc w:val="left"/>
              <w:rPr>
                <w:rFonts w:ascii="宋体" w:hAnsi="宋体" w:cs="宋体" w:eastAsia="宋体" w:hint="default"/>
                <w:sz w:val="19"/>
                <w:szCs w:val="19"/>
              </w:rPr>
            </w:pPr>
            <w:r>
              <w:rPr>
                <w:rFonts w:ascii="宋体" w:hAnsi="宋体" w:cs="宋体" w:eastAsia="宋体" w:hint="default"/>
                <w:w w:val="99"/>
                <w:sz w:val="19"/>
                <w:szCs w:val="19"/>
              </w:rPr>
              <w:t>证</w:t>
            </w:r>
            <w:r>
              <w:rPr>
                <w:rFonts w:ascii="宋体" w:hAnsi="宋体" w:cs="宋体" w:eastAsia="宋体" w:hint="default"/>
                <w:sz w:val="19"/>
                <w:szCs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6" w:right="0"/>
              <w:jc w:val="left"/>
              <w:rPr>
                <w:rFonts w:ascii="Times New Roman" w:hAnsi="Times New Roman" w:cs="Times New Roman" w:eastAsia="Times New Roman" w:hint="default"/>
                <w:sz w:val="19"/>
                <w:szCs w:val="19"/>
              </w:rPr>
            </w:pPr>
            <w:r>
              <w:rPr>
                <w:rFonts w:ascii="Times New Roman"/>
                <w:sz w:val="19"/>
              </w:rPr>
              <w:t>2015/9/5-20</w:t>
            </w:r>
          </w:p>
          <w:p>
            <w:pPr>
              <w:pStyle w:val="TableParagraph"/>
              <w:spacing w:line="240" w:lineRule="auto"/>
              <w:ind w:left="26" w:right="0"/>
              <w:jc w:val="left"/>
              <w:rPr>
                <w:rFonts w:ascii="Times New Roman" w:hAnsi="Times New Roman" w:cs="Times New Roman" w:eastAsia="Times New Roman" w:hint="default"/>
                <w:sz w:val="19"/>
                <w:szCs w:val="19"/>
              </w:rPr>
            </w:pPr>
            <w:r>
              <w:rPr>
                <w:rFonts w:ascii="Times New Roman"/>
                <w:sz w:val="19"/>
              </w:rPr>
              <w:t>16/9/4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8" w:right="0"/>
              <w:jc w:val="left"/>
              <w:rPr>
                <w:rFonts w:ascii="宋体" w:hAnsi="宋体" w:cs="宋体" w:eastAsia="宋体" w:hint="default"/>
                <w:sz w:val="19"/>
                <w:szCs w:val="19"/>
              </w:rPr>
            </w:pPr>
            <w:r>
              <w:rPr>
                <w:rFonts w:ascii="宋体" w:hAnsi="宋体" w:cs="宋体" w:eastAsia="宋体" w:hint="default"/>
                <w:w w:val="99"/>
                <w:sz w:val="19"/>
                <w:szCs w:val="19"/>
              </w:rPr>
              <w:t>否</w:t>
            </w:r>
            <w:r>
              <w:rPr>
                <w:rFonts w:ascii="宋体" w:hAnsi="宋体" w:cs="宋体" w:eastAsia="宋体" w:hint="default"/>
                <w:sz w:val="19"/>
                <w:szCs w:val="19"/>
              </w:rPr>
            </w:r>
          </w:p>
        </w:tc>
      </w:tr>
      <w:tr>
        <w:trPr>
          <w:trHeight w:val="478"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6"/>
              <w:ind w:left="1374" w:right="0"/>
              <w:jc w:val="left"/>
              <w:rPr>
                <w:rFonts w:ascii="Times New Roman" w:hAnsi="Times New Roman" w:cs="Times New Roman" w:eastAsia="Times New Roman" w:hint="default"/>
                <w:sz w:val="18"/>
                <w:szCs w:val="18"/>
              </w:rPr>
            </w:pPr>
            <w:r>
              <w:rPr>
                <w:rFonts w:ascii="Times New Roman"/>
                <w:sz w:val="18"/>
              </w:rPr>
              <w:t>157,364.40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325,844.81</w:t>
            </w:r>
          </w:p>
        </w:tc>
      </w:tr>
      <w:tr>
        <w:trPr>
          <w:trHeight w:val="481"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4"/>
              <w:ind w:left="1374" w:right="0"/>
              <w:jc w:val="left"/>
              <w:rPr>
                <w:rFonts w:ascii="Times New Roman" w:hAnsi="Times New Roman" w:cs="Times New Roman" w:eastAsia="Times New Roman" w:hint="default"/>
                <w:sz w:val="18"/>
                <w:szCs w:val="18"/>
              </w:rPr>
            </w:pPr>
            <w:r>
              <w:rPr>
                <w:rFonts w:ascii="Times New Roman"/>
                <w:sz w:val="18"/>
              </w:rPr>
              <w:t>300,641.50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报告期末对子公司实际担</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255,844.81</w:t>
            </w:r>
          </w:p>
        </w:tc>
      </w:tr>
      <w:tr>
        <w:trPr>
          <w:trHeight w:val="24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right="2"/>
              <w:jc w:val="center"/>
              <w:rPr>
                <w:rFonts w:ascii="宋体" w:hAnsi="宋体" w:cs="宋体" w:eastAsia="宋体" w:hint="default"/>
                <w:sz w:val="19"/>
                <w:szCs w:val="19"/>
              </w:rPr>
            </w:pPr>
            <w:r>
              <w:rPr>
                <w:rFonts w:ascii="宋体" w:hAnsi="宋体" w:cs="宋体" w:eastAsia="宋体" w:hint="default"/>
                <w:sz w:val="19"/>
                <w:szCs w:val="19"/>
              </w:rPr>
              <w:t>子公司对子公司的担保情况</w:t>
            </w:r>
          </w:p>
        </w:tc>
      </w:tr>
      <w:tr>
        <w:trPr>
          <w:trHeight w:val="133"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221" w:lineRule="exact"/>
              <w:ind w:left="67" w:right="0"/>
              <w:jc w:val="left"/>
              <w:rPr>
                <w:rFonts w:ascii="宋体" w:hAnsi="宋体" w:cs="宋体" w:eastAsia="宋体" w:hint="default"/>
                <w:sz w:val="19"/>
                <w:szCs w:val="19"/>
              </w:rPr>
            </w:pPr>
            <w:r>
              <w:rPr>
                <w:rFonts w:ascii="宋体" w:hAnsi="宋体" w:cs="宋体" w:eastAsia="宋体" w:hint="default"/>
                <w:sz w:val="19"/>
                <w:szCs w:val="19"/>
              </w:rPr>
              <w:t>担保额度</w:t>
            </w:r>
          </w:p>
          <w:p>
            <w:pPr>
              <w:pStyle w:val="TableParagraph"/>
              <w:spacing w:line="240" w:lineRule="auto"/>
              <w:ind w:left="67" w:right="74"/>
              <w:jc w:val="left"/>
              <w:rPr>
                <w:rFonts w:ascii="宋体" w:hAnsi="宋体" w:cs="宋体" w:eastAsia="宋体" w:hint="default"/>
                <w:sz w:val="19"/>
                <w:szCs w:val="19"/>
              </w:rPr>
            </w:pPr>
            <w:r>
              <w:rPr>
                <w:rFonts w:ascii="宋体" w:hAnsi="宋体" w:cs="宋体" w:eastAsia="宋体" w:hint="default"/>
                <w:sz w:val="19"/>
                <w:szCs w:val="19"/>
              </w:rPr>
              <w:t>相关公告</w:t>
            </w:r>
            <w:r>
              <w:rPr>
                <w:rFonts w:ascii="宋体" w:hAnsi="宋体" w:cs="宋体" w:eastAsia="宋体" w:hint="default"/>
                <w:w w:val="99"/>
                <w:sz w:val="19"/>
                <w:szCs w:val="19"/>
              </w:rPr>
              <w:t> </w:t>
            </w:r>
            <w:r>
              <w:rPr>
                <w:rFonts w:ascii="宋体" w:hAnsi="宋体" w:cs="宋体" w:eastAsia="宋体" w:hint="default"/>
                <w:sz w:val="19"/>
                <w:szCs w:val="19"/>
              </w:rPr>
              <w:t>披露日期</w:t>
            </w:r>
          </w:p>
        </w:tc>
        <w:tc>
          <w:tcPr>
            <w:tcW w:w="930"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21" w:lineRule="exact"/>
              <w:ind w:left="99" w:right="0"/>
              <w:jc w:val="left"/>
              <w:rPr>
                <w:rFonts w:ascii="宋体" w:hAnsi="宋体" w:cs="宋体" w:eastAsia="宋体" w:hint="default"/>
                <w:sz w:val="19"/>
                <w:szCs w:val="19"/>
              </w:rPr>
            </w:pPr>
            <w:r>
              <w:rPr>
                <w:rFonts w:ascii="宋体" w:hAnsi="宋体" w:cs="宋体" w:eastAsia="宋体" w:hint="default"/>
                <w:sz w:val="19"/>
                <w:szCs w:val="19"/>
              </w:rPr>
              <w:t>是否为</w:t>
            </w:r>
          </w:p>
          <w:p>
            <w:pPr>
              <w:pStyle w:val="TableParagraph"/>
              <w:spacing w:line="240" w:lineRule="auto"/>
              <w:ind w:left="194" w:right="104" w:hanging="95"/>
              <w:jc w:val="left"/>
              <w:rPr>
                <w:rFonts w:ascii="宋体" w:hAnsi="宋体" w:cs="宋体" w:eastAsia="宋体" w:hint="default"/>
                <w:sz w:val="19"/>
                <w:szCs w:val="19"/>
              </w:rPr>
            </w:pPr>
            <w:r>
              <w:rPr>
                <w:rFonts w:ascii="宋体" w:hAnsi="宋体" w:cs="宋体" w:eastAsia="宋体" w:hint="default"/>
                <w:sz w:val="19"/>
                <w:szCs w:val="19"/>
              </w:rPr>
              <w:t>关联方</w:t>
            </w:r>
            <w:r>
              <w:rPr>
                <w:rFonts w:ascii="宋体" w:hAnsi="宋体" w:cs="宋体" w:eastAsia="宋体" w:hint="default"/>
                <w:w w:val="99"/>
                <w:sz w:val="19"/>
                <w:szCs w:val="19"/>
              </w:rPr>
              <w:t> </w:t>
            </w:r>
            <w:r>
              <w:rPr>
                <w:rFonts w:ascii="宋体" w:hAnsi="宋体" w:cs="宋体" w:eastAsia="宋体" w:hint="default"/>
                <w:sz w:val="19"/>
                <w:szCs w:val="19"/>
              </w:rPr>
              <w:t>担保</w:t>
            </w:r>
          </w:p>
        </w:tc>
      </w:tr>
      <w:tr>
        <w:trPr>
          <w:trHeight w:val="122"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16" w:lineRule="exact"/>
              <w:ind w:left="67" w:right="0"/>
              <w:jc w:val="left"/>
              <w:rPr>
                <w:rFonts w:ascii="宋体" w:hAnsi="宋体" w:cs="宋体" w:eastAsia="宋体" w:hint="default"/>
                <w:sz w:val="19"/>
                <w:szCs w:val="19"/>
              </w:rPr>
            </w:pPr>
            <w:r>
              <w:rPr>
                <w:rFonts w:ascii="宋体" w:hAnsi="宋体" w:cs="宋体" w:eastAsia="宋体" w:hint="default"/>
                <w:sz w:val="19"/>
                <w:szCs w:val="19"/>
              </w:rPr>
              <w:t>实际发生日期</w:t>
            </w:r>
          </w:p>
          <w:p>
            <w:pPr>
              <w:pStyle w:val="TableParagraph"/>
              <w:spacing w:line="247" w:lineRule="exact"/>
              <w:ind w:left="8" w:right="-49"/>
              <w:jc w:val="left"/>
              <w:rPr>
                <w:rFonts w:ascii="宋体" w:hAnsi="宋体" w:cs="宋体" w:eastAsia="宋体" w:hint="default"/>
                <w:sz w:val="19"/>
                <w:szCs w:val="19"/>
              </w:rPr>
            </w:pPr>
            <w:r>
              <w:rPr>
                <w:rFonts w:ascii="宋体" w:hAnsi="宋体" w:cs="宋体" w:eastAsia="宋体" w:hint="default"/>
                <w:sz w:val="19"/>
                <w:szCs w:val="19"/>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216" w:lineRule="exact"/>
              <w:ind w:right="11"/>
              <w:jc w:val="center"/>
              <w:rPr>
                <w:rFonts w:ascii="宋体" w:hAnsi="宋体" w:cs="宋体" w:eastAsia="宋体" w:hint="default"/>
                <w:sz w:val="19"/>
                <w:szCs w:val="19"/>
              </w:rPr>
            </w:pPr>
            <w:r>
              <w:rPr>
                <w:rFonts w:ascii="宋体" w:hAnsi="宋体" w:cs="宋体" w:eastAsia="宋体" w:hint="default"/>
                <w:sz w:val="19"/>
                <w:szCs w:val="19"/>
              </w:rPr>
              <w:t>实际担保金</w:t>
            </w:r>
          </w:p>
          <w:p>
            <w:pPr>
              <w:pStyle w:val="TableParagraph"/>
              <w:spacing w:line="247" w:lineRule="exact"/>
              <w:ind w:right="9"/>
              <w:jc w:val="center"/>
              <w:rPr>
                <w:rFonts w:ascii="宋体" w:hAnsi="宋体" w:cs="宋体" w:eastAsia="宋体" w:hint="default"/>
                <w:sz w:val="19"/>
                <w:szCs w:val="19"/>
              </w:rPr>
            </w:pPr>
            <w:r>
              <w:rPr>
                <w:rFonts w:ascii="宋体" w:hAnsi="宋体" w:cs="宋体" w:eastAsia="宋体" w:hint="default"/>
                <w:w w:val="99"/>
                <w:sz w:val="19"/>
                <w:szCs w:val="19"/>
              </w:rPr>
              <w:t>额</w:t>
            </w:r>
            <w:r>
              <w:rPr>
                <w:rFonts w:ascii="宋体" w:hAnsi="宋体" w:cs="宋体" w:eastAsia="宋体" w:hint="default"/>
                <w:sz w:val="19"/>
                <w:szCs w:val="19"/>
              </w:rPr>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216" w:lineRule="exact"/>
              <w:ind w:left="102" w:right="0"/>
              <w:jc w:val="left"/>
              <w:rPr>
                <w:rFonts w:ascii="宋体" w:hAnsi="宋体" w:cs="宋体" w:eastAsia="宋体" w:hint="default"/>
                <w:sz w:val="19"/>
                <w:szCs w:val="19"/>
              </w:rPr>
            </w:pPr>
            <w:r>
              <w:rPr>
                <w:rFonts w:ascii="宋体" w:hAnsi="宋体" w:cs="宋体" w:eastAsia="宋体" w:hint="default"/>
                <w:sz w:val="19"/>
                <w:szCs w:val="19"/>
              </w:rPr>
              <w:t>是否履</w:t>
            </w:r>
          </w:p>
          <w:p>
            <w:pPr>
              <w:pStyle w:val="TableParagraph"/>
              <w:spacing w:line="247" w:lineRule="exact"/>
              <w:ind w:left="102" w:right="0"/>
              <w:jc w:val="left"/>
              <w:rPr>
                <w:rFonts w:ascii="宋体" w:hAnsi="宋体" w:cs="宋体" w:eastAsia="宋体" w:hint="default"/>
                <w:sz w:val="19"/>
                <w:szCs w:val="19"/>
              </w:rPr>
            </w:pPr>
            <w:r>
              <w:rPr>
                <w:rFonts w:ascii="宋体" w:hAnsi="宋体" w:cs="宋体" w:eastAsia="宋体" w:hint="default"/>
                <w:sz w:val="19"/>
                <w:szCs w:val="19"/>
              </w:rPr>
              <w:t>行完毕</w:t>
            </w:r>
          </w:p>
        </w:tc>
        <w:tc>
          <w:tcPr>
            <w:tcW w:w="785" w:type="dxa"/>
            <w:vMerge/>
            <w:tcBorders>
              <w:left w:val="single" w:sz="4" w:space="0" w:color="000000"/>
              <w:right w:val="single" w:sz="4" w:space="0" w:color="000000"/>
            </w:tcBorders>
            <w:shd w:val="clear" w:color="auto" w:fill="D2D2D2"/>
          </w:tcPr>
          <w:p>
            <w:pPr/>
          </w:p>
        </w:tc>
      </w:tr>
      <w:tr>
        <w:trPr>
          <w:trHeight w:val="247"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left="278" w:right="0"/>
              <w:jc w:val="left"/>
              <w:rPr>
                <w:rFonts w:ascii="宋体" w:hAnsi="宋体" w:cs="宋体" w:eastAsia="宋体" w:hint="default"/>
                <w:sz w:val="19"/>
                <w:szCs w:val="19"/>
              </w:rPr>
            </w:pPr>
            <w:r>
              <w:rPr>
                <w:rFonts w:ascii="宋体" w:hAnsi="宋体" w:cs="宋体" w:eastAsia="宋体" w:hint="default"/>
                <w:sz w:val="19"/>
                <w:szCs w:val="19"/>
              </w:rPr>
              <w:t>担保对象名称</w:t>
            </w:r>
          </w:p>
        </w:tc>
        <w:tc>
          <w:tcPr>
            <w:tcW w:w="912" w:type="dxa"/>
            <w:vMerge/>
            <w:tcBorders>
              <w:left w:val="single" w:sz="4" w:space="0" w:color="000000"/>
              <w:right w:val="single" w:sz="4" w:space="0" w:color="000000"/>
            </w:tcBorders>
            <w:shd w:val="clear" w:color="auto" w:fill="D2D2D2"/>
          </w:tcPr>
          <w:p>
            <w:pPr/>
          </w:p>
        </w:tc>
        <w:tc>
          <w:tcPr>
            <w:tcW w:w="930" w:type="dxa"/>
            <w:tcBorders>
              <w:top w:val="nil" w:sz="6" w:space="0" w:color="auto"/>
              <w:left w:val="single" w:sz="9" w:space="0" w:color="D2D2D2"/>
              <w:bottom w:val="nil" w:sz="6" w:space="0" w:color="auto"/>
              <w:right w:val="single" w:sz="23" w:space="0" w:color="D2D2D2"/>
            </w:tcBorders>
          </w:tcPr>
          <w:p>
            <w:pPr>
              <w:pStyle w:val="TableParagraph"/>
              <w:spacing w:line="218" w:lineRule="exact"/>
              <w:ind w:left="14" w:right="0"/>
              <w:jc w:val="left"/>
              <w:rPr>
                <w:rFonts w:ascii="宋体" w:hAnsi="宋体" w:cs="宋体" w:eastAsia="宋体" w:hint="default"/>
                <w:sz w:val="19"/>
                <w:szCs w:val="19"/>
              </w:rPr>
            </w:pPr>
            <w:r>
              <w:rPr>
                <w:rFonts w:ascii="Times New Roman" w:hAnsi="Times New Roman" w:cs="Times New Roman" w:eastAsia="Times New Roman" w:hint="default"/>
                <w:w w:val="99"/>
                <w:sz w:val="19"/>
                <w:szCs w:val="19"/>
              </w:rPr>
            </w:r>
            <w:r>
              <w:rPr>
                <w:rFonts w:ascii="Times New Roman" w:hAnsi="Times New Roman" w:cs="Times New Roman" w:eastAsia="Times New Roman" w:hint="default"/>
                <w:spacing w:val="3"/>
                <w:w w:val="99"/>
                <w:sz w:val="19"/>
                <w:szCs w:val="19"/>
                <w:shd w:fill="D2D2D2" w:color="auto" w:val="clear"/>
              </w:rPr>
              <w:t> </w:t>
            </w:r>
            <w:r>
              <w:rPr>
                <w:rFonts w:ascii="宋体" w:hAnsi="宋体" w:cs="宋体" w:eastAsia="宋体" w:hint="default"/>
                <w:sz w:val="19"/>
                <w:szCs w:val="19"/>
                <w:shd w:fill="D2D2D2" w:color="auto" w:val="clear"/>
              </w:rPr>
              <w:t>担保额度</w:t>
            </w:r>
            <w:r>
              <w:rPr>
                <w:rFonts w:ascii="宋体" w:hAnsi="宋体" w:cs="宋体" w:eastAsia="宋体" w:hint="default"/>
                <w:sz w:val="19"/>
                <w:szCs w:val="19"/>
              </w:rPr>
            </w:r>
          </w:p>
        </w:tc>
        <w:tc>
          <w:tcPr>
            <w:tcW w:w="1299"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left="131" w:right="0"/>
              <w:jc w:val="left"/>
              <w:rPr>
                <w:rFonts w:ascii="宋体" w:hAnsi="宋体" w:cs="宋体" w:eastAsia="宋体" w:hint="default"/>
                <w:sz w:val="19"/>
                <w:szCs w:val="19"/>
              </w:rPr>
            </w:pPr>
            <w:r>
              <w:rPr>
                <w:rFonts w:ascii="宋体" w:hAnsi="宋体" w:cs="宋体" w:eastAsia="宋体" w:hint="default"/>
                <w:sz w:val="19"/>
                <w:szCs w:val="19"/>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left="235" w:right="0"/>
              <w:jc w:val="left"/>
              <w:rPr>
                <w:rFonts w:ascii="宋体" w:hAnsi="宋体" w:cs="宋体" w:eastAsia="宋体" w:hint="default"/>
                <w:sz w:val="19"/>
                <w:szCs w:val="19"/>
              </w:rPr>
            </w:pPr>
            <w:r>
              <w:rPr>
                <w:rFonts w:ascii="宋体" w:hAnsi="宋体" w:cs="宋体" w:eastAsia="宋体" w:hint="default"/>
                <w:sz w:val="19"/>
                <w:szCs w:val="19"/>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251" w:hRule="exact"/>
        </w:trPr>
        <w:tc>
          <w:tcPr>
            <w:tcW w:w="1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9"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22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4"/>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6"/>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4"/>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299" w:type="dxa"/>
            <w:tcBorders>
              <w:top w:val="single" w:sz="53" w:space="0" w:color="D2D2D2"/>
              <w:left w:val="single" w:sz="4" w:space="0" w:color="000000"/>
              <w:bottom w:val="single" w:sz="4" w:space="0" w:color="000000"/>
              <w:right w:val="single" w:sz="4" w:space="0" w:color="000000"/>
            </w:tcBorders>
          </w:tcPr>
          <w:p>
            <w:pPr>
              <w:pStyle w:val="TableParagraph"/>
              <w:spacing w:line="154" w:lineRule="exact"/>
              <w:ind w:right="13"/>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54" w:type="dxa"/>
            <w:tcBorders>
              <w:top w:val="single" w:sz="53" w:space="0" w:color="D2D2D2"/>
              <w:left w:val="single" w:sz="4" w:space="0" w:color="000000"/>
              <w:bottom w:val="single" w:sz="4" w:space="0" w:color="000000"/>
              <w:right w:val="single" w:sz="4" w:space="0" w:color="000000"/>
            </w:tcBorders>
          </w:tcPr>
          <w:p>
            <w:pPr>
              <w:pStyle w:val="TableParagraph"/>
              <w:spacing w:line="154" w:lineRule="exact"/>
              <w:ind w:right="9"/>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5"/>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91" w:type="dxa"/>
            <w:tcBorders>
              <w:top w:val="single" w:sz="53" w:space="0" w:color="D2D2D2"/>
              <w:left w:val="single" w:sz="4" w:space="0" w:color="000000"/>
              <w:bottom w:val="single" w:sz="4" w:space="0" w:color="000000"/>
              <w:right w:val="single" w:sz="4" w:space="0" w:color="000000"/>
            </w:tcBorders>
          </w:tcPr>
          <w:p>
            <w:pPr>
              <w:pStyle w:val="TableParagraph"/>
              <w:spacing w:line="154" w:lineRule="exact"/>
              <w:ind w:right="5"/>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4"/>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503"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报告期内审批对子公司担保额</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度合计（</w:t>
            </w:r>
            <w:r>
              <w:rPr>
                <w:rFonts w:ascii="Times New Roman" w:hAnsi="Times New Roman" w:cs="Times New Roman" w:eastAsia="Times New Roman" w:hint="default"/>
                <w:sz w:val="19"/>
                <w:szCs w:val="19"/>
              </w:rPr>
              <w:t>C1</w:t>
            </w:r>
            <w:r>
              <w:rPr>
                <w:rFonts w:ascii="宋体" w:hAnsi="宋体" w:cs="宋体" w:eastAsia="宋体" w:hint="default"/>
                <w:sz w:val="19"/>
                <w:szCs w:val="19"/>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6"/>
              <w:ind w:right="9"/>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报告期内对子公司担保</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实际发生额合计（</w:t>
            </w:r>
            <w:r>
              <w:rPr>
                <w:rFonts w:ascii="Times New Roman" w:hAnsi="Times New Roman" w:cs="Times New Roman" w:eastAsia="Times New Roman" w:hint="default"/>
                <w:sz w:val="19"/>
                <w:szCs w:val="19"/>
              </w:rPr>
              <w:t>C2</w:t>
            </w:r>
            <w:r>
              <w:rPr>
                <w:rFonts w:ascii="宋体" w:hAnsi="宋体" w:cs="宋体" w:eastAsia="宋体" w:hint="default"/>
                <w:sz w:val="19"/>
                <w:szCs w:val="19"/>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r>
        <w:trPr>
          <w:trHeight w:val="508"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报告期末已审批的对子公司担</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保额度合计（</w:t>
            </w:r>
            <w:r>
              <w:rPr>
                <w:rFonts w:ascii="Times New Roman" w:hAnsi="Times New Roman" w:cs="Times New Roman" w:eastAsia="Times New Roman" w:hint="default"/>
                <w:sz w:val="19"/>
                <w:szCs w:val="19"/>
              </w:rPr>
              <w:t>C3</w:t>
            </w:r>
            <w:r>
              <w:rPr>
                <w:rFonts w:ascii="宋体" w:hAnsi="宋体" w:cs="宋体" w:eastAsia="宋体" w:hint="default"/>
                <w:sz w:val="19"/>
                <w:szCs w:val="19"/>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5"/>
              <w:ind w:right="9"/>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报告期末对子公司实际</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担保余额合计（</w:t>
            </w:r>
            <w:r>
              <w:rPr>
                <w:rFonts w:ascii="Times New Roman" w:hAnsi="Times New Roman" w:cs="Times New Roman" w:eastAsia="Times New Roman" w:hint="default"/>
                <w:sz w:val="19"/>
                <w:szCs w:val="19"/>
              </w:rPr>
              <w:t>C4</w:t>
            </w:r>
            <w:r>
              <w:rPr>
                <w:rFonts w:ascii="宋体" w:hAnsi="宋体" w:cs="宋体" w:eastAsia="宋体" w:hint="default"/>
                <w:sz w:val="19"/>
                <w:szCs w:val="19"/>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5"/>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r>
        <w:trPr>
          <w:trHeight w:val="24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22" w:right="0"/>
              <w:jc w:val="left"/>
              <w:rPr>
                <w:rFonts w:ascii="宋体" w:hAnsi="宋体" w:cs="宋体" w:eastAsia="宋体" w:hint="default"/>
                <w:sz w:val="19"/>
                <w:szCs w:val="19"/>
              </w:rPr>
            </w:pPr>
            <w:r>
              <w:rPr>
                <w:rFonts w:ascii="宋体" w:hAnsi="宋体" w:cs="宋体" w:eastAsia="宋体" w:hint="default"/>
                <w:sz w:val="19"/>
                <w:szCs w:val="19"/>
              </w:rPr>
              <w:t>公司担保总额（即前三大项的合计）</w:t>
            </w:r>
          </w:p>
        </w:tc>
      </w:tr>
      <w:tr>
        <w:trPr>
          <w:trHeight w:val="508"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报告期内审批担保额度合计</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A1+B1+C1</w:t>
            </w:r>
            <w:r>
              <w:rPr>
                <w:rFonts w:ascii="宋体" w:hAnsi="宋体" w:cs="宋体" w:eastAsia="宋体" w:hint="default"/>
                <w:sz w:val="19"/>
                <w:szCs w:val="19"/>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44"/>
              <w:ind w:left="1374" w:right="0"/>
              <w:jc w:val="left"/>
              <w:rPr>
                <w:rFonts w:ascii="Times New Roman" w:hAnsi="Times New Roman" w:cs="Times New Roman" w:eastAsia="Times New Roman" w:hint="default"/>
                <w:sz w:val="18"/>
                <w:szCs w:val="18"/>
              </w:rPr>
            </w:pPr>
            <w:r>
              <w:rPr>
                <w:rFonts w:ascii="Times New Roman"/>
                <w:sz w:val="18"/>
              </w:rPr>
              <w:t>157,364.40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报告期内担保实际发生</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额合计（</w:t>
            </w:r>
            <w:r>
              <w:rPr>
                <w:rFonts w:ascii="Times New Roman" w:hAnsi="Times New Roman" w:cs="Times New Roman" w:eastAsia="Times New Roman" w:hint="default"/>
                <w:sz w:val="19"/>
                <w:szCs w:val="19"/>
              </w:rPr>
              <w:t>A2+B2+C2</w:t>
            </w:r>
            <w:r>
              <w:rPr>
                <w:rFonts w:ascii="宋体" w:hAnsi="宋体" w:cs="宋体" w:eastAsia="宋体" w:hint="default"/>
                <w:sz w:val="19"/>
                <w:szCs w:val="19"/>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325,844.81</w:t>
            </w:r>
          </w:p>
        </w:tc>
      </w:tr>
      <w:tr>
        <w:trPr>
          <w:trHeight w:val="503"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报告期末已审批的担保额度合</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计（</w:t>
            </w:r>
            <w:r>
              <w:rPr>
                <w:rFonts w:ascii="Times New Roman" w:hAnsi="Times New Roman" w:cs="Times New Roman" w:eastAsia="Times New Roman" w:hint="default"/>
                <w:sz w:val="19"/>
                <w:szCs w:val="19"/>
              </w:rPr>
              <w:t>A3+B3+C3</w:t>
            </w:r>
            <w:r>
              <w:rPr>
                <w:rFonts w:ascii="宋体" w:hAnsi="宋体" w:cs="宋体" w:eastAsia="宋体" w:hint="default"/>
                <w:sz w:val="19"/>
                <w:szCs w:val="19"/>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9"/>
              <w:ind w:left="1374" w:right="0"/>
              <w:jc w:val="left"/>
              <w:rPr>
                <w:rFonts w:ascii="Times New Roman" w:hAnsi="Times New Roman" w:cs="Times New Roman" w:eastAsia="Times New Roman" w:hint="default"/>
                <w:sz w:val="18"/>
                <w:szCs w:val="18"/>
              </w:rPr>
            </w:pPr>
            <w:r>
              <w:rPr>
                <w:rFonts w:ascii="Times New Roman"/>
                <w:sz w:val="18"/>
              </w:rPr>
              <w:t>300,641.50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9"/>
                <w:szCs w:val="19"/>
              </w:rPr>
            </w:pPr>
            <w:r>
              <w:rPr>
                <w:rFonts w:ascii="宋体" w:hAnsi="宋体" w:cs="宋体" w:eastAsia="宋体" w:hint="default"/>
                <w:sz w:val="19"/>
                <w:szCs w:val="19"/>
              </w:rPr>
              <w:t>报告期末实际担保余额</w:t>
            </w:r>
          </w:p>
          <w:p>
            <w:pPr>
              <w:pStyle w:val="TableParagraph"/>
              <w:spacing w:line="262" w:lineRule="exact"/>
              <w:ind w:left="22" w:right="0"/>
              <w:jc w:val="left"/>
              <w:rPr>
                <w:rFonts w:ascii="宋体" w:hAnsi="宋体" w:cs="宋体" w:eastAsia="宋体" w:hint="default"/>
                <w:sz w:val="19"/>
                <w:szCs w:val="19"/>
              </w:rPr>
            </w:pPr>
            <w:r>
              <w:rPr>
                <w:rFonts w:ascii="宋体" w:hAnsi="宋体" w:cs="宋体" w:eastAsia="宋体" w:hint="default"/>
                <w:sz w:val="19"/>
                <w:szCs w:val="19"/>
              </w:rPr>
              <w:t>合计（</w:t>
            </w:r>
            <w:r>
              <w:rPr>
                <w:rFonts w:ascii="Times New Roman" w:hAnsi="Times New Roman" w:cs="Times New Roman" w:eastAsia="Times New Roman" w:hint="default"/>
                <w:sz w:val="19"/>
                <w:szCs w:val="19"/>
              </w:rPr>
              <w:t>A4+B4+C4</w:t>
            </w:r>
            <w:r>
              <w:rPr>
                <w:rFonts w:ascii="宋体" w:hAnsi="宋体" w:cs="宋体" w:eastAsia="宋体" w:hint="default"/>
                <w:sz w:val="19"/>
                <w:szCs w:val="19"/>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z w:val="18"/>
              </w:rPr>
              <w:t>255,844.81</w:t>
            </w:r>
          </w:p>
        </w:tc>
      </w:tr>
      <w:tr>
        <w:trPr>
          <w:trHeight w:val="26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9"/>
                <w:szCs w:val="19"/>
              </w:rPr>
            </w:pPr>
            <w:r>
              <w:rPr>
                <w:rFonts w:ascii="宋体" w:hAnsi="宋体" w:cs="宋体" w:eastAsia="宋体" w:hint="default"/>
                <w:sz w:val="19"/>
                <w:szCs w:val="19"/>
              </w:rPr>
              <w:t>实际担保总额（即</w:t>
            </w:r>
            <w:r>
              <w:rPr>
                <w:rFonts w:ascii="宋体" w:hAnsi="宋体" w:cs="宋体" w:eastAsia="宋体" w:hint="default"/>
                <w:spacing w:val="-57"/>
                <w:sz w:val="19"/>
                <w:szCs w:val="19"/>
              </w:rPr>
              <w:t> </w:t>
            </w:r>
            <w:r>
              <w:rPr>
                <w:rFonts w:ascii="Times New Roman" w:hAnsi="Times New Roman" w:cs="Times New Roman" w:eastAsia="Times New Roman" w:hint="default"/>
                <w:sz w:val="19"/>
                <w:szCs w:val="19"/>
              </w:rPr>
              <w:t>A4+B4+C4</w:t>
            </w:r>
            <w:r>
              <w:rPr>
                <w:rFonts w:ascii="宋体" w:hAnsi="宋体" w:cs="宋体" w:eastAsia="宋体" w:hint="default"/>
                <w:sz w:val="19"/>
                <w:szCs w:val="19"/>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9"/>
                <w:szCs w:val="19"/>
              </w:rPr>
            </w:pPr>
            <w:r>
              <w:rPr>
                <w:rFonts w:ascii="Times New Roman"/>
                <w:w w:val="95"/>
                <w:sz w:val="19"/>
              </w:rPr>
              <w:t>8.39%</w:t>
            </w:r>
            <w:r>
              <w:rPr>
                <w:rFonts w:ascii="Times New Roman"/>
                <w:sz w:val="19"/>
              </w:rPr>
            </w:r>
          </w:p>
        </w:tc>
      </w:tr>
      <w:tr>
        <w:trPr>
          <w:trHeight w:val="24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22" w:right="0"/>
              <w:jc w:val="left"/>
              <w:rPr>
                <w:rFonts w:ascii="宋体" w:hAnsi="宋体" w:cs="宋体" w:eastAsia="宋体" w:hint="default"/>
                <w:sz w:val="19"/>
                <w:szCs w:val="19"/>
              </w:rPr>
            </w:pPr>
            <w:r>
              <w:rPr>
                <w:rFonts w:ascii="宋体" w:hAnsi="宋体" w:cs="宋体" w:eastAsia="宋体" w:hint="default"/>
                <w:sz w:val="19"/>
                <w:szCs w:val="19"/>
              </w:rPr>
              <w:t>其中：</w:t>
            </w:r>
          </w:p>
        </w:tc>
      </w:tr>
      <w:tr>
        <w:trPr>
          <w:trHeight w:val="26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22" w:right="0"/>
              <w:jc w:val="left"/>
              <w:rPr>
                <w:rFonts w:ascii="宋体" w:hAnsi="宋体" w:cs="宋体" w:eastAsia="宋体" w:hint="default"/>
                <w:sz w:val="19"/>
                <w:szCs w:val="19"/>
              </w:rPr>
            </w:pPr>
            <w:r>
              <w:rPr>
                <w:rFonts w:ascii="宋体" w:hAnsi="宋体" w:cs="宋体" w:eastAsia="宋体" w:hint="default"/>
                <w:sz w:val="19"/>
                <w:szCs w:val="19"/>
              </w:rPr>
              <w:t>为股东、实际控制人及其关联方提供担保的金额（</w:t>
            </w:r>
            <w:r>
              <w:rPr>
                <w:rFonts w:ascii="Times New Roman" w:hAnsi="Times New Roman" w:cs="Times New Roman" w:eastAsia="Times New Roman" w:hint="default"/>
                <w:sz w:val="19"/>
                <w:szCs w:val="19"/>
              </w:rPr>
              <w:t>D</w:t>
            </w:r>
            <w:r>
              <w:rPr>
                <w:rFonts w:ascii="宋体" w:hAnsi="宋体" w:cs="宋体" w:eastAsia="宋体" w:hint="default"/>
                <w:sz w:val="19"/>
                <w:szCs w:val="19"/>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r>
        <w:trPr>
          <w:trHeight w:val="5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4" w:lineRule="exact"/>
              <w:ind w:left="22" w:right="0"/>
              <w:jc w:val="left"/>
              <w:rPr>
                <w:rFonts w:ascii="宋体" w:hAnsi="宋体" w:cs="宋体" w:eastAsia="宋体" w:hint="default"/>
                <w:sz w:val="19"/>
                <w:szCs w:val="19"/>
              </w:rPr>
            </w:pPr>
            <w:r>
              <w:rPr>
                <w:rFonts w:ascii="宋体" w:hAnsi="宋体" w:cs="宋体" w:eastAsia="宋体" w:hint="default"/>
                <w:sz w:val="19"/>
                <w:szCs w:val="19"/>
              </w:rPr>
              <w:t>直接或间接为资产负债率超过</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70%</w:t>
            </w:r>
            <w:r>
              <w:rPr>
                <w:rFonts w:ascii="宋体" w:hAnsi="宋体" w:cs="宋体" w:eastAsia="宋体" w:hint="default"/>
                <w:sz w:val="19"/>
                <w:szCs w:val="19"/>
              </w:rPr>
              <w:t>的被担保对象提供的债</w:t>
            </w:r>
          </w:p>
          <w:p>
            <w:pPr>
              <w:pStyle w:val="TableParagraph"/>
              <w:spacing w:line="255" w:lineRule="exact"/>
              <w:ind w:left="22" w:right="0"/>
              <w:jc w:val="left"/>
              <w:rPr>
                <w:rFonts w:ascii="宋体" w:hAnsi="宋体" w:cs="宋体" w:eastAsia="宋体" w:hint="default"/>
                <w:sz w:val="19"/>
                <w:szCs w:val="19"/>
              </w:rPr>
            </w:pPr>
            <w:r>
              <w:rPr>
                <w:rFonts w:ascii="宋体" w:hAnsi="宋体" w:cs="宋体" w:eastAsia="宋体" w:hint="default"/>
                <w:sz w:val="19"/>
                <w:szCs w:val="19"/>
              </w:rPr>
              <w:t>务担保金额（</w:t>
            </w:r>
            <w:r>
              <w:rPr>
                <w:rFonts w:ascii="Times New Roman" w:hAnsi="Times New Roman" w:cs="Times New Roman" w:eastAsia="Times New Roman" w:hint="default"/>
                <w:sz w:val="19"/>
                <w:szCs w:val="19"/>
              </w:rPr>
              <w:t>E</w:t>
            </w:r>
            <w:r>
              <w:rPr>
                <w:rFonts w:ascii="宋体" w:hAnsi="宋体" w:cs="宋体" w:eastAsia="宋体" w:hint="default"/>
                <w:sz w:val="19"/>
                <w:szCs w:val="19"/>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r>
        <w:trPr>
          <w:trHeight w:val="25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9"/>
                <w:szCs w:val="19"/>
              </w:rPr>
            </w:pPr>
            <w:r>
              <w:rPr>
                <w:rFonts w:ascii="宋体" w:hAnsi="宋体" w:cs="宋体" w:eastAsia="宋体" w:hint="default"/>
                <w:sz w:val="19"/>
                <w:szCs w:val="19"/>
              </w:rPr>
              <w:t>担保总额超过净资产</w:t>
            </w:r>
            <w:r>
              <w:rPr>
                <w:rFonts w:ascii="宋体" w:hAnsi="宋体" w:cs="宋体" w:eastAsia="宋体" w:hint="default"/>
                <w:spacing w:val="-54"/>
                <w:sz w:val="19"/>
                <w:szCs w:val="19"/>
              </w:rPr>
              <w:t> </w:t>
            </w:r>
            <w:r>
              <w:rPr>
                <w:rFonts w:ascii="Times New Roman" w:hAnsi="Times New Roman" w:cs="Times New Roman" w:eastAsia="Times New Roman" w:hint="default"/>
                <w:sz w:val="19"/>
                <w:szCs w:val="19"/>
              </w:rPr>
              <w:t>50%</w:t>
            </w:r>
            <w:r>
              <w:rPr>
                <w:rFonts w:ascii="宋体" w:hAnsi="宋体" w:cs="宋体" w:eastAsia="宋体" w:hint="default"/>
                <w:sz w:val="19"/>
                <w:szCs w:val="19"/>
              </w:rPr>
              <w:t>部分的金额（</w:t>
            </w:r>
            <w:r>
              <w:rPr>
                <w:rFonts w:ascii="Times New Roman" w:hAnsi="Times New Roman" w:cs="Times New Roman" w:eastAsia="Times New Roman" w:hint="default"/>
                <w:sz w:val="19"/>
                <w:szCs w:val="19"/>
              </w:rPr>
              <w:t>F</w:t>
            </w:r>
            <w:r>
              <w:rPr>
                <w:rFonts w:ascii="宋体" w:hAnsi="宋体" w:cs="宋体" w:eastAsia="宋体" w:hint="default"/>
                <w:sz w:val="19"/>
                <w:szCs w:val="19"/>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r>
        <w:trPr>
          <w:trHeight w:val="25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9"/>
                <w:szCs w:val="19"/>
              </w:rPr>
            </w:pPr>
            <w:r>
              <w:rPr>
                <w:rFonts w:ascii="宋体" w:hAnsi="宋体" w:cs="宋体" w:eastAsia="宋体" w:hint="default"/>
                <w:sz w:val="19"/>
                <w:szCs w:val="19"/>
              </w:rPr>
              <w:t>上述三项担保金额合计（</w:t>
            </w:r>
            <w:r>
              <w:rPr>
                <w:rFonts w:ascii="Times New Roman" w:hAnsi="Times New Roman" w:cs="Times New Roman" w:eastAsia="Times New Roman" w:hint="default"/>
                <w:sz w:val="19"/>
                <w:szCs w:val="19"/>
              </w:rPr>
              <w:t>D+E+F</w:t>
            </w:r>
            <w:r>
              <w:rPr>
                <w:rFonts w:ascii="宋体" w:hAnsi="宋体" w:cs="宋体" w:eastAsia="宋体" w:hint="default"/>
                <w:sz w:val="19"/>
                <w:szCs w:val="19"/>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9"/>
                <w:szCs w:val="19"/>
              </w:rPr>
            </w:pPr>
            <w:r>
              <w:rPr>
                <w:rFonts w:ascii="Times New Roman"/>
                <w:w w:val="99"/>
                <w:sz w:val="19"/>
              </w:rPr>
              <w:t>0</w:t>
            </w:r>
            <w:r>
              <w:rPr>
                <w:rFonts w:ascii="Times New Roman"/>
                <w:sz w:val="19"/>
              </w:rPr>
            </w:r>
          </w:p>
        </w:tc>
      </w:tr>
      <w:tr>
        <w:trPr>
          <w:trHeight w:val="25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sz w:val="19"/>
                <w:szCs w:val="19"/>
              </w:rPr>
              <w:t>对未到期担保，报告期内已发生担保责任或可能承担连带</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18" w:lineRule="exact"/>
              <w:ind w:right="23"/>
              <w:jc w:val="right"/>
              <w:rPr>
                <w:rFonts w:ascii="宋体" w:hAnsi="宋体" w:cs="宋体" w:eastAsia="宋体" w:hint="default"/>
                <w:sz w:val="19"/>
                <w:szCs w:val="19"/>
              </w:rPr>
            </w:pPr>
            <w:r>
              <w:rPr>
                <w:rFonts w:ascii="宋体" w:hAnsi="宋体" w:cs="宋体" w:eastAsia="宋体" w:hint="default"/>
                <w:w w:val="99"/>
                <w:sz w:val="19"/>
                <w:szCs w:val="19"/>
              </w:rPr>
              <w:t>无</w:t>
            </w:r>
            <w:r>
              <w:rPr>
                <w:rFonts w:ascii="宋体" w:hAnsi="宋体" w:cs="宋体" w:eastAsia="宋体" w:hint="default"/>
                <w:sz w:val="19"/>
                <w:szCs w:val="19"/>
              </w:rPr>
            </w:r>
          </w:p>
        </w:tc>
      </w:tr>
    </w:tbl>
    <w:p>
      <w:pPr>
        <w:spacing w:after="0" w:line="218" w:lineRule="exact"/>
        <w:jc w:val="right"/>
        <w:rPr>
          <w:rFonts w:ascii="宋体" w:hAnsi="宋体" w:cs="宋体" w:eastAsia="宋体" w:hint="default"/>
          <w:sz w:val="19"/>
          <w:szCs w:val="19"/>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257"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sz w:val="19"/>
                <w:szCs w:val="19"/>
              </w:rPr>
              <w:t>清偿责任的情况说明（如有）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宋体" w:hAnsi="宋体" w:cs="宋体" w:eastAsia="宋体" w:hint="default"/>
                <w:sz w:val="19"/>
                <w:szCs w:val="19"/>
              </w:rPr>
            </w:pPr>
            <w:r>
              <w:rPr>
                <w:rFonts w:ascii="宋体" w:hAnsi="宋体" w:cs="宋体" w:eastAsia="宋体" w:hint="default"/>
                <w:sz w:val="19"/>
                <w:szCs w:val="19"/>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3"/>
              <w:jc w:val="right"/>
              <w:rPr>
                <w:rFonts w:ascii="宋体" w:hAnsi="宋体" w:cs="宋体" w:eastAsia="宋体" w:hint="default"/>
                <w:sz w:val="19"/>
                <w:szCs w:val="19"/>
              </w:rPr>
            </w:pPr>
            <w:r>
              <w:rPr>
                <w:rFonts w:ascii="宋体" w:hAnsi="宋体" w:cs="宋体" w:eastAsia="宋体" w:hint="default"/>
                <w:w w:val="99"/>
                <w:sz w:val="19"/>
                <w:szCs w:val="19"/>
              </w:rPr>
              <w:t>无</w:t>
            </w:r>
            <w:r>
              <w:rPr>
                <w:rFonts w:ascii="宋体" w:hAnsi="宋体" w:cs="宋体" w:eastAsia="宋体" w:hint="default"/>
                <w:sz w:val="19"/>
                <w:szCs w:val="19"/>
              </w:rPr>
            </w:r>
          </w:p>
        </w:tc>
      </w:tr>
    </w:tbl>
    <w:p>
      <w:pPr>
        <w:pStyle w:val="BodyText"/>
        <w:spacing w:line="240" w:lineRule="auto" w:before="55"/>
        <w:ind w:left="594" w:right="1082"/>
        <w:jc w:val="left"/>
      </w:pPr>
      <w:r>
        <w:rPr/>
        <w:t>报告期内，公司审议担保情况的说明：</w:t>
      </w:r>
    </w:p>
    <w:p>
      <w:pPr>
        <w:pStyle w:val="BodyText"/>
        <w:spacing w:line="369" w:lineRule="auto" w:before="180"/>
        <w:ind w:right="1082" w:firstLine="440"/>
        <w:jc w:val="left"/>
      </w:pPr>
      <w:r>
        <w:rPr>
          <w:rFonts w:ascii="Times New Roman" w:hAnsi="Times New Roman" w:cs="Times New Roman" w:eastAsia="Times New Roman" w:hint="default"/>
        </w:rPr>
        <w:t>1</w:t>
      </w:r>
      <w:r>
        <w:rPr/>
        <w:t>、公司第五届董事会第十七次会议审议通过，同意公司为海外子公司</w:t>
      </w:r>
      <w:r>
        <w:rPr>
          <w:spacing w:val="-53"/>
        </w:rPr>
        <w:t> </w:t>
      </w:r>
      <w:r>
        <w:rPr>
          <w:rFonts w:ascii="Times New Roman" w:hAnsi="Times New Roman" w:cs="Times New Roman" w:eastAsia="Times New Roman" w:hint="default"/>
        </w:rPr>
        <w:t>Suning</w:t>
      </w:r>
      <w:r>
        <w:rPr>
          <w:rFonts w:ascii="Times New Roman" w:hAnsi="Times New Roman" w:cs="Times New Roman" w:eastAsia="Times New Roman" w:hint="default"/>
          <w:spacing w:val="-4"/>
        </w:rPr>
        <w:t> </w:t>
      </w:r>
      <w:r>
        <w:rPr>
          <w:rFonts w:ascii="Times New Roman" w:hAnsi="Times New Roman" w:cs="Times New Roman" w:eastAsia="Times New Roman" w:hint="default"/>
        </w:rPr>
        <w:t>Commerce</w:t>
      </w:r>
      <w:r>
        <w:rPr>
          <w:rFonts w:ascii="Times New Roman" w:hAnsi="Times New Roman" w:cs="Times New Roman" w:eastAsia="Times New Roman" w:hint="default"/>
          <w:spacing w:val="-4"/>
        </w:rPr>
        <w:t> </w:t>
      </w:r>
      <w:r>
        <w:rPr>
          <w:rFonts w:ascii="Times New Roman" w:hAnsi="Times New Roman" w:cs="Times New Roman" w:eastAsia="Times New Roman" w:hint="default"/>
        </w:rPr>
        <w:t>R&amp;D</w:t>
      </w:r>
      <w:r>
        <w:rPr>
          <w:rFonts w:ascii="Times New Roman" w:hAnsi="Times New Roman" w:cs="Times New Roman" w:eastAsia="Times New Roman" w:hint="default"/>
          <w:w w:val="99"/>
        </w:rPr>
        <w:t> </w:t>
      </w:r>
      <w:r>
        <w:rPr>
          <w:rFonts w:ascii="Times New Roman" w:hAnsi="Times New Roman" w:cs="Times New Roman" w:eastAsia="Times New Roman" w:hint="default"/>
        </w:rPr>
        <w:t>Center</w:t>
      </w:r>
      <w:r>
        <w:rPr>
          <w:rFonts w:ascii="Times New Roman" w:hAnsi="Times New Roman" w:cs="Times New Roman" w:eastAsia="Times New Roman" w:hint="default"/>
          <w:spacing w:val="-2"/>
        </w:rPr>
        <w:t> </w:t>
      </w:r>
      <w:r>
        <w:rPr>
          <w:rFonts w:ascii="Times New Roman" w:hAnsi="Times New Roman" w:cs="Times New Roman" w:eastAsia="Times New Roman" w:hint="default"/>
        </w:rPr>
        <w:t>USA</w:t>
      </w:r>
      <w:r>
        <w:rPr>
          <w:rFonts w:ascii="Times New Roman" w:hAnsi="Times New Roman" w:cs="Times New Roman" w:eastAsia="Times New Roman" w:hint="default"/>
          <w:spacing w:val="-14"/>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Suning.com</w:t>
      </w:r>
      <w:r>
        <w:rPr>
          <w:rFonts w:ascii="Times New Roman" w:hAnsi="Times New Roman" w:cs="Times New Roman" w:eastAsia="Times New Roman" w:hint="default"/>
          <w:spacing w:val="-3"/>
        </w:rPr>
        <w:t> </w:t>
      </w:r>
      <w:r>
        <w:rPr/>
        <w:t>向银行融资分别提供最高额为</w:t>
      </w:r>
      <w:r>
        <w:rPr>
          <w:spacing w:val="-56"/>
        </w:rPr>
        <w:t> </w:t>
      </w:r>
      <w:r>
        <w:rPr>
          <w:rFonts w:ascii="Times New Roman" w:hAnsi="Times New Roman" w:cs="Times New Roman" w:eastAsia="Times New Roman" w:hint="default"/>
        </w:rPr>
        <w:t>900</w:t>
      </w:r>
      <w:r>
        <w:rPr>
          <w:rFonts w:ascii="Times New Roman" w:hAnsi="Times New Roman" w:cs="Times New Roman" w:eastAsia="Times New Roman" w:hint="default"/>
          <w:spacing w:val="-2"/>
        </w:rPr>
        <w:t> </w:t>
      </w:r>
      <w:r>
        <w:rPr/>
        <w:t>万美元、</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万美元（按</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w w:val="99"/>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日美元</w:t>
      </w:r>
      <w:r>
        <w:rPr>
          <w:rFonts w:ascii="Times New Roman" w:hAnsi="Times New Roman" w:cs="Times New Roman" w:eastAsia="Times New Roman" w:hint="default"/>
        </w:rPr>
        <w:t>/</w:t>
      </w:r>
      <w:r>
        <w:rPr/>
        <w:t>人民币汇率中间价分别为人民币</w:t>
      </w:r>
      <w:r>
        <w:rPr>
          <w:spacing w:val="-58"/>
        </w:rPr>
        <w:t> </w:t>
      </w:r>
      <w:r>
        <w:rPr>
          <w:rFonts w:ascii="Times New Roman" w:hAnsi="Times New Roman" w:cs="Times New Roman" w:eastAsia="Times New Roman" w:hint="default"/>
        </w:rPr>
        <w:t>5523.3</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1841.1</w:t>
      </w:r>
      <w:r>
        <w:rPr>
          <w:rFonts w:ascii="Times New Roman" w:hAnsi="Times New Roman" w:cs="Times New Roman" w:eastAsia="Times New Roman" w:hint="default"/>
          <w:spacing w:val="-3"/>
        </w:rPr>
        <w:t> </w:t>
      </w:r>
      <w:r>
        <w:rPr/>
        <w:t>万元）的担保。</w:t>
      </w:r>
    </w:p>
    <w:p>
      <w:pPr>
        <w:pStyle w:val="BodyText"/>
        <w:spacing w:line="369" w:lineRule="auto" w:before="32"/>
        <w:ind w:right="1131" w:firstLine="440"/>
        <w:jc w:val="both"/>
      </w:pPr>
      <w:r>
        <w:rPr>
          <w:rFonts w:ascii="Times New Roman" w:hAnsi="Times New Roman" w:cs="Times New Roman" w:eastAsia="Times New Roman" w:hint="default"/>
        </w:rPr>
        <w:t>2</w:t>
      </w:r>
      <w:r>
        <w:rPr/>
        <w:t>、公司第五届董事会第二十一次会议审议通过，同意公司为全资子公司</w:t>
      </w:r>
      <w:r>
        <w:rPr>
          <w:rFonts w:ascii="Times New Roman" w:hAnsi="Times New Roman" w:cs="Times New Roman" w:eastAsia="Times New Roman" w:hint="default"/>
        </w:rPr>
        <w:t>—</w:t>
      </w:r>
      <w:r>
        <w:rPr/>
        <w:t>香港苏宁电器有限公</w:t>
      </w:r>
      <w:r>
        <w:rPr>
          <w:w w:val="99"/>
        </w:rPr>
        <w:t> </w:t>
      </w:r>
      <w:r>
        <w:rPr/>
        <w:t>司向银行融资提供最高额度为人民币</w:t>
      </w:r>
      <w:r>
        <w:rPr>
          <w:spacing w:val="-57"/>
        </w:rPr>
        <w:t> </w:t>
      </w:r>
      <w:r>
        <w:rPr>
          <w:rFonts w:ascii="Times New Roman" w:hAnsi="Times New Roman" w:cs="Times New Roman" w:eastAsia="Times New Roman" w:hint="default"/>
        </w:rPr>
        <w:t>130,000</w:t>
      </w:r>
      <w:r>
        <w:rPr>
          <w:rFonts w:ascii="Times New Roman" w:hAnsi="Times New Roman" w:cs="Times New Roman" w:eastAsia="Times New Roman" w:hint="default"/>
          <w:spacing w:val="-4"/>
        </w:rPr>
        <w:t> </w:t>
      </w:r>
      <w:r>
        <w:rPr>
          <w:spacing w:val="-4"/>
        </w:rPr>
        <w:t>万元的担保，其中人民币</w:t>
      </w:r>
      <w:r>
        <w:rPr>
          <w:spacing w:val="-58"/>
        </w:rPr>
        <w:t> </w:t>
      </w:r>
      <w:r>
        <w:rPr>
          <w:rFonts w:ascii="Times New Roman" w:hAnsi="Times New Roman" w:cs="Times New Roman" w:eastAsia="Times New Roman" w:hint="default"/>
        </w:rPr>
        <w:t>80,000</w:t>
      </w:r>
      <w:r>
        <w:rPr>
          <w:rFonts w:ascii="Times New Roman" w:hAnsi="Times New Roman" w:cs="Times New Roman" w:eastAsia="Times New Roman" w:hint="default"/>
          <w:spacing w:val="-3"/>
        </w:rPr>
        <w:t> </w:t>
      </w:r>
      <w:r>
        <w:rPr/>
        <w:t>万元为原有担保额度的</w:t>
      </w:r>
      <w:r>
        <w:rPr>
          <w:w w:val="99"/>
        </w:rPr>
        <w:t> </w:t>
      </w:r>
      <w:r>
        <w:rPr/>
        <w:t>延续，不增加公司对外担保额度。</w:t>
      </w:r>
    </w:p>
    <w:p>
      <w:pPr>
        <w:pStyle w:val="BodyText"/>
        <w:spacing w:line="369" w:lineRule="auto" w:before="61"/>
        <w:ind w:right="908" w:firstLine="440"/>
        <w:jc w:val="left"/>
      </w:pPr>
      <w:r>
        <w:rPr>
          <w:rFonts w:ascii="Times New Roman" w:hAnsi="Times New Roman" w:cs="Times New Roman" w:eastAsia="Times New Roman" w:hint="default"/>
        </w:rPr>
        <w:t>3</w:t>
      </w:r>
      <w:r>
        <w:rPr/>
        <w:t>、公司第五届董事会第二十四次会议审议通过，同意公司为全资子公司香港苏宁采购有限公司</w:t>
      </w:r>
      <w:r>
        <w:rPr>
          <w:w w:val="99"/>
        </w:rPr>
        <w:t> </w:t>
      </w:r>
      <w:r>
        <w:rPr/>
        <w:t>和香港苏宁云商有限公司向中国银行</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有限公司申请的银行授信提供不超过人民币</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亿元的担保。</w:t>
      </w:r>
    </w:p>
    <w:p>
      <w:pPr>
        <w:pStyle w:val="BodyText"/>
        <w:spacing w:line="391" w:lineRule="auto" w:before="32"/>
        <w:ind w:left="594" w:right="7012"/>
        <w:jc w:val="left"/>
      </w:pPr>
      <w:r>
        <w:rPr/>
        <w:t>采用复合方式担保的具体情况说明</w:t>
      </w:r>
      <w:r>
        <w:rPr>
          <w:w w:val="99"/>
        </w:rPr>
        <w:t> </w:t>
      </w:r>
      <w:r>
        <w:rPr/>
        <w:t>无</w:t>
      </w:r>
    </w:p>
    <w:p>
      <w:pPr>
        <w:spacing w:line="240" w:lineRule="auto" w:before="3"/>
        <w:rPr>
          <w:rFonts w:ascii="宋体" w:hAnsi="宋体" w:cs="宋体" w:eastAsia="宋体" w:hint="default"/>
          <w:sz w:val="20"/>
          <w:szCs w:val="20"/>
        </w:rPr>
      </w:pPr>
    </w:p>
    <w:p>
      <w:pPr>
        <w:pStyle w:val="Heading4"/>
        <w:spacing w:line="240" w:lineRule="auto"/>
        <w:ind w:right="1082"/>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宋体" w:hAnsi="宋体" w:cs="宋体" w:eastAsia="宋体" w:hint="default"/>
          <w:b/>
          <w:bCs/>
          <w:sz w:val="25"/>
          <w:szCs w:val="25"/>
        </w:rPr>
      </w:pPr>
    </w:p>
    <w:p>
      <w:pPr>
        <w:pStyle w:val="BodyText"/>
        <w:spacing w:line="314" w:lineRule="auto"/>
        <w:ind w:right="7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公司报告期无违规对外担保情况。</w:t>
      </w:r>
    </w:p>
    <w:p>
      <w:pPr>
        <w:spacing w:line="240" w:lineRule="auto" w:before="3"/>
        <w:rPr>
          <w:rFonts w:ascii="宋体" w:hAnsi="宋体" w:cs="宋体" w:eastAsia="宋体" w:hint="default"/>
          <w:sz w:val="21"/>
          <w:szCs w:val="21"/>
        </w:rPr>
      </w:pPr>
    </w:p>
    <w:p>
      <w:pPr>
        <w:pStyle w:val="Heading4"/>
        <w:spacing w:line="240" w:lineRule="auto"/>
        <w:ind w:right="1082"/>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082"/>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5"/>
          <w:szCs w:val="25"/>
        </w:rPr>
      </w:pPr>
    </w:p>
    <w:p>
      <w:pPr>
        <w:pStyle w:val="BodyText"/>
        <w:spacing w:line="314" w:lineRule="auto"/>
        <w:ind w:right="7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公司报告期不存在委托理财。</w:t>
      </w:r>
    </w:p>
    <w:p>
      <w:pPr>
        <w:spacing w:line="240" w:lineRule="auto" w:before="3"/>
        <w:rPr>
          <w:rFonts w:ascii="宋体" w:hAnsi="宋体" w:cs="宋体" w:eastAsia="宋体" w:hint="default"/>
          <w:sz w:val="21"/>
          <w:szCs w:val="21"/>
        </w:rPr>
      </w:pPr>
    </w:p>
    <w:p>
      <w:pPr>
        <w:pStyle w:val="Heading4"/>
        <w:spacing w:line="240" w:lineRule="auto"/>
        <w:ind w:right="1082"/>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5"/>
          <w:szCs w:val="25"/>
        </w:rPr>
      </w:pPr>
    </w:p>
    <w:p>
      <w:pPr>
        <w:pStyle w:val="BodyText"/>
        <w:spacing w:line="314" w:lineRule="auto"/>
        <w:ind w:right="7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1082"/>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5"/>
          <w:szCs w:val="25"/>
        </w:rPr>
      </w:pPr>
    </w:p>
    <w:p>
      <w:pPr>
        <w:pStyle w:val="BodyText"/>
        <w:spacing w:line="314" w:lineRule="auto"/>
        <w:ind w:right="7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公司报告期不存在其他重大合同。</w:t>
      </w:r>
    </w:p>
    <w:p>
      <w:pPr>
        <w:spacing w:after="0" w:line="314"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both"/>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12"/>
        <w:rPr>
          <w:rFonts w:ascii="宋体" w:hAnsi="宋体" w:cs="宋体" w:eastAsia="宋体" w:hint="default"/>
          <w:b/>
          <w:bCs/>
          <w:sz w:val="25"/>
          <w:szCs w:val="25"/>
        </w:rPr>
      </w:pPr>
    </w:p>
    <w:p>
      <w:pPr>
        <w:pStyle w:val="BodyText"/>
        <w:spacing w:line="314"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公司报告期不存在需要说明的其他重大事项。</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0"/>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5"/>
        <w:rPr>
          <w:rFonts w:ascii="宋体" w:hAnsi="宋体" w:cs="宋体" w:eastAsia="宋体" w:hint="default"/>
          <w:sz w:val="22"/>
          <w:szCs w:val="22"/>
        </w:rPr>
      </w:pPr>
    </w:p>
    <w:p>
      <w:pPr>
        <w:pStyle w:val="Heading2"/>
        <w:spacing w:line="240" w:lineRule="auto"/>
        <w:ind w:right="0"/>
        <w:jc w:val="both"/>
        <w:rPr>
          <w:b w:val="0"/>
          <w:bCs w:val="0"/>
        </w:rPr>
      </w:pPr>
      <w:bookmarkStart w:name="二十、社会责任情况" w:id="102"/>
      <w:bookmarkEnd w:id="102"/>
      <w:r>
        <w:rPr>
          <w:b w:val="0"/>
          <w:bCs w:val="0"/>
        </w:rPr>
      </w:r>
      <w:r>
        <w:rPr/>
        <w:t>二十、社会责任情况</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1131"/>
        <w:jc w:val="both"/>
      </w:pPr>
      <w:r>
        <w:rPr>
          <w:w w:val="95"/>
        </w:rPr>
        <w:t>根据企业的发展战略、品牌声誉、行业影响、人才建设以及各利益相关方的期望，苏宁以</w:t>
      </w:r>
      <w:r>
        <w:rPr>
          <w:rFonts w:ascii="Times New Roman" w:hAnsi="Times New Roman" w:cs="Times New Roman" w:eastAsia="Times New Roman" w:hint="default"/>
          <w:w w:val="95"/>
        </w:rPr>
        <w:t>“</w:t>
      </w:r>
      <w:r>
        <w:rPr>
          <w:w w:val="95"/>
        </w:rPr>
        <w:t>阳光使命</w:t>
      </w:r>
      <w:r>
        <w:rPr>
          <w:rFonts w:ascii="Times New Roman" w:hAnsi="Times New Roman" w:cs="Times New Roman" w:eastAsia="Times New Roman" w:hint="default"/>
          <w:w w:val="95"/>
        </w:rPr>
        <w:t>”</w:t>
      </w:r>
      <w:r>
        <w:rPr>
          <w:rFonts w:ascii="Times New Roman" w:hAnsi="Times New Roman" w:cs="Times New Roman" w:eastAsia="Times New Roman" w:hint="default"/>
          <w:spacing w:val="33"/>
          <w:w w:val="95"/>
        </w:rPr>
        <w:t> </w:t>
      </w:r>
      <w:r>
        <w:rPr>
          <w:spacing w:val="-6"/>
        </w:rPr>
        <w:t>为核心，推行责任理念，落实责任实践。坚持</w:t>
      </w:r>
      <w:r>
        <w:rPr>
          <w:rFonts w:ascii="Times New Roman" w:hAnsi="Times New Roman" w:cs="Times New Roman" w:eastAsia="Times New Roman" w:hint="default"/>
          <w:spacing w:val="-6"/>
        </w:rPr>
        <w:t>“</w:t>
      </w:r>
      <w:r>
        <w:rPr>
          <w:spacing w:val="-6"/>
        </w:rPr>
        <w:t>服务是苏宁的唯一产品</w:t>
      </w:r>
      <w:r>
        <w:rPr>
          <w:rFonts w:ascii="Times New Roman" w:hAnsi="Times New Roman" w:cs="Times New Roman" w:eastAsia="Times New Roman" w:hint="default"/>
          <w:spacing w:val="-6"/>
        </w:rPr>
        <w:t>”</w:t>
      </w:r>
      <w:r>
        <w:rPr>
          <w:spacing w:val="-6"/>
        </w:rPr>
        <w:t>，持续增强经营能力，与员工、</w:t>
      </w:r>
      <w:r>
        <w:rPr>
          <w:spacing w:val="-91"/>
        </w:rPr>
        <w:t> </w:t>
      </w:r>
      <w:r>
        <w:rPr>
          <w:spacing w:val="-91"/>
        </w:rPr>
      </w:r>
      <w:r>
        <w:rPr/>
        <w:t>合作伙伴共赢发展，在为社会奉献价值的同时实现环境友好。</w:t>
      </w:r>
    </w:p>
    <w:p>
      <w:pPr>
        <w:pStyle w:val="BodyText"/>
        <w:spacing w:line="240" w:lineRule="auto" w:before="61"/>
        <w:ind w:right="0"/>
        <w:jc w:val="both"/>
      </w:pPr>
      <w:r>
        <w:rPr/>
        <w:t>《</w:t>
      </w:r>
      <w:r>
        <w:rPr>
          <w:rFonts w:ascii="Times New Roman" w:hAnsi="Times New Roman" w:cs="Times New Roman" w:eastAsia="Times New Roman" w:hint="default"/>
        </w:rPr>
        <w:t>2015</w:t>
      </w:r>
      <w:r>
        <w:rPr/>
        <w:t>年企业社会责任报告》全文详见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日巨潮资讯网。</w:t>
      </w:r>
    </w:p>
    <w:p>
      <w:pPr>
        <w:spacing w:line="240" w:lineRule="auto" w:before="0"/>
        <w:rPr>
          <w:rFonts w:ascii="宋体" w:hAnsi="宋体" w:cs="宋体" w:eastAsia="宋体" w:hint="default"/>
          <w:sz w:val="22"/>
          <w:szCs w:val="22"/>
        </w:rPr>
      </w:pPr>
    </w:p>
    <w:p>
      <w:pPr>
        <w:pStyle w:val="BodyText"/>
        <w:spacing w:line="240" w:lineRule="auto" w:before="180"/>
        <w:ind w:right="0"/>
        <w:jc w:val="both"/>
      </w:pPr>
      <w:r>
        <w:rPr/>
        <w:t>上市公司及其子公司是否属于国家环境保护部门规定的重污染行业</w:t>
      </w:r>
    </w:p>
    <w:p>
      <w:pPr>
        <w:pStyle w:val="BodyText"/>
        <w:spacing w:line="240" w:lineRule="auto" w:before="71"/>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4"/>
          <w:szCs w:val="24"/>
        </w:rPr>
      </w:pPr>
    </w:p>
    <w:p>
      <w:pPr>
        <w:pStyle w:val="Heading2"/>
        <w:spacing w:line="240" w:lineRule="auto"/>
        <w:ind w:left="154" w:right="0"/>
        <w:jc w:val="both"/>
        <w:rPr>
          <w:b w:val="0"/>
          <w:bCs w:val="0"/>
        </w:rPr>
      </w:pPr>
      <w:bookmarkStart w:name="二十一、公司债券相关情况" w:id="103"/>
      <w:bookmarkEnd w:id="103"/>
      <w:r>
        <w:rPr>
          <w:b w:val="0"/>
          <w:bCs w:val="0"/>
        </w:rPr>
      </w:r>
      <w:r>
        <w:rPr/>
        <w:t>二十一、公司债券相关情况</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left="154" w:right="1082"/>
        <w:jc w:val="left"/>
      </w:pPr>
      <w:r>
        <w:rPr>
          <w:spacing w:val="-1"/>
          <w:w w:val="95"/>
        </w:rPr>
        <w:t>公司是否存在公开发行并在证券交易所上市，且在年度报告批准报出日未到期或到期未能全额兑付的</w:t>
      </w:r>
      <w:r>
        <w:rPr>
          <w:spacing w:val="49"/>
          <w:w w:val="95"/>
        </w:rPr>
        <w:t> </w:t>
      </w:r>
      <w:r>
        <w:rPr>
          <w:spacing w:val="49"/>
          <w:w w:val="95"/>
        </w:rPr>
      </w:r>
      <w:r>
        <w:rPr/>
        <w:t>公司债券</w:t>
      </w:r>
    </w:p>
    <w:p>
      <w:pPr>
        <w:pStyle w:val="BodyText"/>
        <w:spacing w:line="240" w:lineRule="auto" w:before="41"/>
        <w:ind w:left="154" w:right="0"/>
        <w:jc w:val="both"/>
      </w:pPr>
      <w:r>
        <w:rPr>
          <w:w w:val="99"/>
        </w:rPr>
        <w:t>是</w:t>
      </w:r>
      <w:r>
        <w:rPr/>
      </w:r>
    </w:p>
    <w:p>
      <w:pPr>
        <w:spacing w:line="240" w:lineRule="auto" w:before="11"/>
        <w:rPr>
          <w:rFonts w:ascii="宋体" w:hAnsi="宋体" w:cs="宋体" w:eastAsia="宋体" w:hint="default"/>
          <w:sz w:val="30"/>
          <w:szCs w:val="30"/>
        </w:rPr>
      </w:pPr>
    </w:p>
    <w:p>
      <w:pPr>
        <w:pStyle w:val="Heading4"/>
        <w:spacing w:line="240" w:lineRule="auto"/>
        <w:ind w:left="154" w:right="0"/>
        <w:jc w:val="both"/>
        <w:rPr>
          <w:b w:val="0"/>
          <w:bCs w:val="0"/>
        </w:rPr>
      </w:pPr>
      <w:bookmarkStart w:name="1、公司债券基本信息" w:id="104"/>
      <w:bookmarkEnd w:id="104"/>
      <w:r>
        <w:rPr>
          <w:b w:val="0"/>
          <w:bCs w:val="0"/>
        </w:rPr>
      </w:r>
      <w:r>
        <w:rPr>
          <w:rFonts w:ascii="Times New Roman" w:hAnsi="Times New Roman" w:cs="Times New Roman" w:eastAsia="Times New Roman" w:hint="default"/>
        </w:rPr>
        <w:t>1</w:t>
      </w:r>
      <w:r>
        <w:rPr/>
        <w:t>、公司债券基本信息</w:t>
      </w:r>
      <w:r>
        <w:rPr>
          <w:b w:val="0"/>
          <w:bCs w:val="0"/>
        </w:rPr>
      </w:r>
    </w:p>
    <w:p>
      <w:pPr>
        <w:spacing w:line="240" w:lineRule="auto" w:before="3"/>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1134"/>
        <w:gridCol w:w="1134"/>
        <w:gridCol w:w="1134"/>
        <w:gridCol w:w="859"/>
        <w:gridCol w:w="1195"/>
      </w:tblGrid>
      <w:tr>
        <w:trPr>
          <w:trHeight w:val="63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516" w:right="0"/>
              <w:jc w:val="left"/>
              <w:rPr>
                <w:rFonts w:ascii="宋体" w:hAnsi="宋体" w:cs="宋体" w:eastAsia="宋体" w:hint="default"/>
                <w:sz w:val="20"/>
                <w:szCs w:val="20"/>
              </w:rPr>
            </w:pPr>
            <w:r>
              <w:rPr>
                <w:rFonts w:ascii="宋体" w:hAnsi="宋体" w:cs="宋体" w:eastAsia="宋体" w:hint="default"/>
                <w:sz w:val="20"/>
                <w:szCs w:val="20"/>
              </w:rPr>
              <w:t>债券名称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160" w:right="0"/>
              <w:jc w:val="left"/>
              <w:rPr>
                <w:rFonts w:ascii="宋体" w:hAnsi="宋体" w:cs="宋体" w:eastAsia="宋体" w:hint="default"/>
                <w:sz w:val="20"/>
                <w:szCs w:val="20"/>
              </w:rPr>
            </w:pPr>
            <w:r>
              <w:rPr>
                <w:rFonts w:ascii="宋体" w:hAnsi="宋体" w:cs="宋体" w:eastAsia="宋体" w:hint="default"/>
                <w:sz w:val="20"/>
                <w:szCs w:val="20"/>
              </w:rPr>
              <w:t>债券简称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160" w:right="0"/>
              <w:jc w:val="left"/>
              <w:rPr>
                <w:rFonts w:ascii="宋体" w:hAnsi="宋体" w:cs="宋体" w:eastAsia="宋体" w:hint="default"/>
                <w:sz w:val="20"/>
                <w:szCs w:val="20"/>
              </w:rPr>
            </w:pPr>
            <w:r>
              <w:rPr>
                <w:rFonts w:ascii="宋体" w:hAnsi="宋体" w:cs="宋体" w:eastAsia="宋体" w:hint="default"/>
                <w:sz w:val="20"/>
                <w:szCs w:val="20"/>
              </w:rPr>
              <w:t>债券代码</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261" w:right="0"/>
              <w:jc w:val="left"/>
              <w:rPr>
                <w:rFonts w:ascii="宋体" w:hAnsi="宋体" w:cs="宋体" w:eastAsia="宋体" w:hint="default"/>
                <w:sz w:val="20"/>
                <w:szCs w:val="20"/>
              </w:rPr>
            </w:pPr>
            <w:r>
              <w:rPr>
                <w:rFonts w:ascii="宋体" w:hAnsi="宋体" w:cs="宋体" w:eastAsia="宋体" w:hint="default"/>
                <w:sz w:val="20"/>
                <w:szCs w:val="20"/>
              </w:rPr>
              <w:t>发行日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261" w:right="0"/>
              <w:jc w:val="left"/>
              <w:rPr>
                <w:rFonts w:ascii="宋体" w:hAnsi="宋体" w:cs="宋体" w:eastAsia="宋体" w:hint="default"/>
                <w:sz w:val="20"/>
                <w:szCs w:val="20"/>
              </w:rPr>
            </w:pPr>
            <w:r>
              <w:rPr>
                <w:rFonts w:ascii="宋体" w:hAnsi="宋体" w:cs="宋体" w:eastAsia="宋体" w:hint="default"/>
                <w:sz w:val="20"/>
                <w:szCs w:val="20"/>
              </w:rPr>
              <w:t>到期日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60" w:right="0"/>
              <w:jc w:val="left"/>
              <w:rPr>
                <w:rFonts w:ascii="宋体" w:hAnsi="宋体" w:cs="宋体" w:eastAsia="宋体" w:hint="default"/>
                <w:sz w:val="20"/>
                <w:szCs w:val="20"/>
              </w:rPr>
            </w:pPr>
            <w:r>
              <w:rPr>
                <w:rFonts w:ascii="宋体" w:hAnsi="宋体" w:cs="宋体" w:eastAsia="宋体" w:hint="default"/>
                <w:sz w:val="20"/>
                <w:szCs w:val="20"/>
              </w:rPr>
              <w:t>债券余额</w:t>
            </w:r>
          </w:p>
          <w:p>
            <w:pPr>
              <w:pStyle w:val="TableParagraph"/>
              <w:spacing w:line="240" w:lineRule="auto" w:before="50"/>
              <w:ind w:left="160"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224" w:right="0"/>
              <w:jc w:val="left"/>
              <w:rPr>
                <w:rFonts w:ascii="宋体" w:hAnsi="宋体" w:cs="宋体" w:eastAsia="宋体" w:hint="default"/>
                <w:sz w:val="20"/>
                <w:szCs w:val="20"/>
              </w:rPr>
            </w:pPr>
            <w:r>
              <w:rPr>
                <w:rFonts w:ascii="宋体" w:hAnsi="宋体" w:cs="宋体" w:eastAsia="宋体" w:hint="default"/>
                <w:sz w:val="20"/>
                <w:szCs w:val="20"/>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492" w:right="90" w:hanging="400"/>
              <w:jc w:val="left"/>
              <w:rPr>
                <w:rFonts w:ascii="宋体" w:hAnsi="宋体" w:cs="宋体" w:eastAsia="宋体" w:hint="default"/>
                <w:sz w:val="20"/>
                <w:szCs w:val="20"/>
              </w:rPr>
            </w:pPr>
            <w:r>
              <w:rPr>
                <w:rFonts w:ascii="宋体" w:hAnsi="宋体" w:cs="宋体" w:eastAsia="宋体" w:hint="default"/>
                <w:sz w:val="20"/>
                <w:szCs w:val="20"/>
              </w:rPr>
              <w:t>还本付息方</w:t>
            </w:r>
            <w:r>
              <w:rPr>
                <w:rFonts w:ascii="宋体" w:hAnsi="宋体" w:cs="宋体" w:eastAsia="宋体" w:hint="default"/>
                <w:w w:val="100"/>
                <w:sz w:val="20"/>
                <w:szCs w:val="20"/>
              </w:rPr>
              <w:t> </w:t>
            </w:r>
            <w:r>
              <w:rPr>
                <w:rFonts w:ascii="宋体" w:hAnsi="宋体" w:cs="宋体" w:eastAsia="宋体" w:hint="default"/>
                <w:sz w:val="20"/>
                <w:szCs w:val="20"/>
              </w:rPr>
              <w:t>式</w:t>
            </w:r>
          </w:p>
        </w:tc>
      </w:tr>
      <w:tr>
        <w:trPr>
          <w:trHeight w:val="188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22" w:right="-4"/>
              <w:jc w:val="both"/>
              <w:rPr>
                <w:rFonts w:ascii="宋体" w:hAnsi="宋体" w:cs="宋体" w:eastAsia="宋体" w:hint="default"/>
                <w:sz w:val="20"/>
                <w:szCs w:val="20"/>
              </w:rPr>
            </w:pPr>
            <w:r>
              <w:rPr>
                <w:rFonts w:ascii="宋体" w:hAnsi="宋体" w:cs="宋体" w:eastAsia="宋体" w:hint="default"/>
                <w:spacing w:val="21"/>
                <w:sz w:val="20"/>
                <w:szCs w:val="20"/>
              </w:rPr>
              <w:t>苏宁电器股份有限</w:t>
            </w:r>
            <w:r>
              <w:rPr>
                <w:rFonts w:ascii="宋体" w:hAnsi="宋体" w:cs="宋体" w:eastAsia="宋体" w:hint="default"/>
                <w:spacing w:val="-83"/>
                <w:sz w:val="20"/>
                <w:szCs w:val="20"/>
              </w:rPr>
              <w:t> </w:t>
            </w:r>
            <w:r>
              <w:rPr>
                <w:rFonts w:ascii="宋体" w:hAnsi="宋体" w:cs="宋体" w:eastAsia="宋体" w:hint="default"/>
                <w:spacing w:val="10"/>
                <w:sz w:val="20"/>
                <w:szCs w:val="20"/>
              </w:rPr>
              <w:t>公司公开发行</w:t>
            </w:r>
            <w:r>
              <w:rPr>
                <w:rFonts w:ascii="宋体" w:hAnsi="宋体" w:cs="宋体" w:eastAsia="宋体" w:hint="default"/>
                <w:spacing w:val="24"/>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7"/>
                <w:sz w:val="20"/>
                <w:szCs w:val="20"/>
              </w:rPr>
              <w:t> </w:t>
            </w:r>
            <w:r>
              <w:rPr>
                <w:rFonts w:ascii="宋体" w:hAnsi="宋体" w:cs="宋体" w:eastAsia="宋体" w:hint="default"/>
                <w:spacing w:val="21"/>
                <w:sz w:val="20"/>
                <w:szCs w:val="20"/>
              </w:rPr>
              <w:t>年公司债券（第一</w:t>
            </w:r>
            <w:r>
              <w:rPr>
                <w:rFonts w:ascii="宋体" w:hAnsi="宋体" w:cs="宋体" w:eastAsia="宋体" w:hint="default"/>
                <w:spacing w:val="-83"/>
                <w:sz w:val="20"/>
                <w:szCs w:val="20"/>
              </w:rPr>
              <w:t> </w:t>
            </w:r>
            <w:r>
              <w:rPr>
                <w:rFonts w:ascii="宋体" w:hAnsi="宋体" w:cs="宋体" w:eastAsia="宋体" w:hint="default"/>
                <w:sz w:val="20"/>
                <w:szCs w:val="20"/>
              </w:rPr>
              <w:t>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苏宁</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Times New Roman" w:hAnsi="Times New Roman" w:cs="Times New Roman" w:eastAsia="Times New Roman" w:hint="default"/>
                <w:sz w:val="20"/>
                <w:szCs w:val="20"/>
              </w:rPr>
            </w:pPr>
            <w:r>
              <w:rPr>
                <w:rFonts w:ascii="Times New Roman"/>
                <w:sz w:val="20"/>
              </w:rPr>
              <w:t>112138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w:t>
            </w:r>
            <w:r>
              <w:rPr>
                <w:rFonts w:ascii="宋体" w:hAnsi="宋体" w:cs="宋体" w:eastAsia="宋体" w:hint="default"/>
                <w:spacing w:val="-7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月</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14 </w:t>
            </w:r>
            <w:r>
              <w:rPr>
                <w:rFonts w:ascii="宋体" w:hAnsi="宋体" w:cs="宋体" w:eastAsia="宋体" w:hint="default"/>
                <w:sz w:val="20"/>
                <w:szCs w:val="20"/>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w:t>
            </w:r>
            <w:r>
              <w:rPr>
                <w:rFonts w:ascii="宋体" w:hAnsi="宋体" w:cs="宋体" w:eastAsia="宋体" w:hint="default"/>
                <w:spacing w:val="-7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月</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14 </w:t>
            </w:r>
            <w:r>
              <w:rPr>
                <w:rFonts w:ascii="宋体" w:hAnsi="宋体" w:cs="宋体" w:eastAsia="宋体" w:hint="default"/>
                <w:sz w:val="20"/>
                <w:szCs w:val="20"/>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450,000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Times New Roman" w:hAnsi="Times New Roman" w:cs="Times New Roman" w:eastAsia="Times New Roman" w:hint="default"/>
                <w:sz w:val="20"/>
                <w:szCs w:val="20"/>
              </w:rPr>
            </w:pPr>
            <w:r>
              <w:rPr>
                <w:rFonts w:ascii="Times New Roman"/>
                <w:sz w:val="20"/>
              </w:rPr>
              <w:t>5.20%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4"/>
              <w:jc w:val="both"/>
              <w:rPr>
                <w:rFonts w:ascii="宋体" w:hAnsi="宋体" w:cs="宋体" w:eastAsia="宋体" w:hint="default"/>
                <w:sz w:val="20"/>
                <w:szCs w:val="20"/>
              </w:rPr>
            </w:pPr>
            <w:r>
              <w:rPr>
                <w:rFonts w:ascii="宋体" w:hAnsi="宋体" w:cs="宋体" w:eastAsia="宋体" w:hint="default"/>
                <w:spacing w:val="26"/>
                <w:sz w:val="20"/>
                <w:szCs w:val="20"/>
              </w:rPr>
              <w:t>每年付息一</w:t>
            </w:r>
            <w:r>
              <w:rPr>
                <w:rFonts w:ascii="宋体" w:hAnsi="宋体" w:cs="宋体" w:eastAsia="宋体" w:hint="default"/>
                <w:spacing w:val="-93"/>
                <w:sz w:val="20"/>
                <w:szCs w:val="20"/>
              </w:rPr>
              <w:t> </w:t>
            </w:r>
            <w:r>
              <w:rPr>
                <w:rFonts w:ascii="宋体" w:hAnsi="宋体" w:cs="宋体" w:eastAsia="宋体" w:hint="default"/>
                <w:spacing w:val="-11"/>
                <w:sz w:val="20"/>
                <w:szCs w:val="20"/>
              </w:rPr>
              <w:t>次，到期一次</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1"/>
                <w:sz w:val="20"/>
                <w:szCs w:val="20"/>
              </w:rPr>
              <w:t>还本，最后一</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6"/>
                <w:sz w:val="20"/>
                <w:szCs w:val="20"/>
              </w:rPr>
              <w:t>期利息随本</w:t>
            </w:r>
            <w:r>
              <w:rPr>
                <w:rFonts w:ascii="宋体" w:hAnsi="宋体" w:cs="宋体" w:eastAsia="宋体" w:hint="default"/>
                <w:spacing w:val="-93"/>
                <w:sz w:val="20"/>
                <w:szCs w:val="20"/>
              </w:rPr>
              <w:t> </w:t>
            </w:r>
            <w:r>
              <w:rPr>
                <w:rFonts w:ascii="宋体" w:hAnsi="宋体" w:cs="宋体" w:eastAsia="宋体" w:hint="default"/>
                <w:spacing w:val="26"/>
                <w:sz w:val="20"/>
                <w:szCs w:val="20"/>
              </w:rPr>
              <w:t>金的兑付一</w:t>
            </w:r>
            <w:r>
              <w:rPr>
                <w:rFonts w:ascii="宋体" w:hAnsi="宋体" w:cs="宋体" w:eastAsia="宋体" w:hint="default"/>
                <w:spacing w:val="-93"/>
                <w:sz w:val="20"/>
                <w:szCs w:val="20"/>
              </w:rPr>
              <w:t> </w:t>
            </w:r>
            <w:r>
              <w:rPr>
                <w:rFonts w:ascii="宋体" w:hAnsi="宋体" w:cs="宋体" w:eastAsia="宋体" w:hint="default"/>
                <w:sz w:val="20"/>
                <w:szCs w:val="20"/>
              </w:rPr>
              <w:t>起支付</w:t>
            </w:r>
          </w:p>
        </w:tc>
      </w:tr>
      <w:tr>
        <w:trPr>
          <w:trHeight w:val="157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22" w:right="-4"/>
              <w:jc w:val="both"/>
              <w:rPr>
                <w:rFonts w:ascii="宋体" w:hAnsi="宋体" w:cs="宋体" w:eastAsia="宋体" w:hint="default"/>
                <w:sz w:val="20"/>
                <w:szCs w:val="20"/>
              </w:rPr>
            </w:pPr>
            <w:r>
              <w:rPr>
                <w:rFonts w:ascii="宋体" w:hAnsi="宋体" w:cs="宋体" w:eastAsia="宋体" w:hint="default"/>
                <w:spacing w:val="21"/>
                <w:sz w:val="20"/>
                <w:szCs w:val="20"/>
              </w:rPr>
              <w:t>苏宁云商集团股份</w:t>
            </w:r>
            <w:r>
              <w:rPr>
                <w:rFonts w:ascii="宋体" w:hAnsi="宋体" w:cs="宋体" w:eastAsia="宋体" w:hint="default"/>
                <w:spacing w:val="-83"/>
                <w:sz w:val="20"/>
                <w:szCs w:val="20"/>
              </w:rPr>
              <w:t> </w:t>
            </w:r>
            <w:r>
              <w:rPr>
                <w:rFonts w:ascii="宋体" w:hAnsi="宋体" w:cs="宋体" w:eastAsia="宋体" w:hint="default"/>
                <w:spacing w:val="21"/>
                <w:sz w:val="20"/>
                <w:szCs w:val="20"/>
              </w:rPr>
              <w:t>有限公司公开发行</w:t>
            </w:r>
            <w:r>
              <w:rPr>
                <w:rFonts w:ascii="宋体" w:hAnsi="宋体" w:cs="宋体" w:eastAsia="宋体" w:hint="default"/>
                <w:spacing w:val="-83"/>
                <w:sz w:val="20"/>
                <w:szCs w:val="20"/>
              </w:rPr>
              <w:t> </w:t>
            </w:r>
            <w:r>
              <w:rPr>
                <w:rFonts w:ascii="Times New Roman" w:hAnsi="Times New Roman" w:cs="Times New Roman" w:eastAsia="Times New Roman" w:hint="default"/>
                <w:sz w:val="20"/>
                <w:szCs w:val="20"/>
              </w:rPr>
              <w:t>2013 </w:t>
            </w:r>
            <w:r>
              <w:rPr>
                <w:rFonts w:ascii="宋体" w:hAnsi="宋体" w:cs="宋体" w:eastAsia="宋体" w:hint="default"/>
                <w:spacing w:val="-10"/>
                <w:sz w:val="20"/>
                <w:szCs w:val="20"/>
              </w:rPr>
              <w:t>年公司债券（第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二期）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苏宁债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20"/>
                <w:szCs w:val="20"/>
              </w:rPr>
            </w:pPr>
            <w:r>
              <w:rPr>
                <w:rFonts w:ascii="Times New Roman"/>
                <w:sz w:val="20"/>
              </w:rPr>
              <w:t>112196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年</w:t>
            </w:r>
            <w:r>
              <w:rPr>
                <w:rFonts w:ascii="宋体" w:hAnsi="宋体" w:cs="宋体" w:eastAsia="宋体" w:hint="default"/>
                <w:spacing w:val="-7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年</w:t>
            </w:r>
            <w:r>
              <w:rPr>
                <w:rFonts w:ascii="宋体" w:hAnsi="宋体" w:cs="宋体" w:eastAsia="宋体" w:hint="default"/>
                <w:spacing w:val="-7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sz w:val="20"/>
              </w:rPr>
              <w:t>350,000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20"/>
                <w:szCs w:val="20"/>
              </w:rPr>
            </w:pPr>
            <w:r>
              <w:rPr>
                <w:rFonts w:ascii="Times New Roman"/>
                <w:sz w:val="20"/>
              </w:rPr>
              <w:t>5.95%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4"/>
              <w:jc w:val="both"/>
              <w:rPr>
                <w:rFonts w:ascii="宋体" w:hAnsi="宋体" w:cs="宋体" w:eastAsia="宋体" w:hint="default"/>
                <w:sz w:val="20"/>
                <w:szCs w:val="20"/>
              </w:rPr>
            </w:pPr>
            <w:r>
              <w:rPr>
                <w:rFonts w:ascii="宋体" w:hAnsi="宋体" w:cs="宋体" w:eastAsia="宋体" w:hint="default"/>
                <w:spacing w:val="26"/>
                <w:sz w:val="20"/>
                <w:szCs w:val="20"/>
              </w:rPr>
              <w:t>每年付息一</w:t>
            </w:r>
            <w:r>
              <w:rPr>
                <w:rFonts w:ascii="宋体" w:hAnsi="宋体" w:cs="宋体" w:eastAsia="宋体" w:hint="default"/>
                <w:spacing w:val="-93"/>
                <w:sz w:val="20"/>
                <w:szCs w:val="20"/>
              </w:rPr>
              <w:t> </w:t>
            </w:r>
            <w:r>
              <w:rPr>
                <w:rFonts w:ascii="宋体" w:hAnsi="宋体" w:cs="宋体" w:eastAsia="宋体" w:hint="default"/>
                <w:spacing w:val="-11"/>
                <w:sz w:val="20"/>
                <w:szCs w:val="20"/>
              </w:rPr>
              <w:t>次，到期一次</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1"/>
                <w:sz w:val="20"/>
                <w:szCs w:val="20"/>
              </w:rPr>
              <w:t>还本，最后一</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6"/>
                <w:sz w:val="20"/>
                <w:szCs w:val="20"/>
              </w:rPr>
              <w:t>期利息随本</w:t>
            </w:r>
            <w:r>
              <w:rPr>
                <w:rFonts w:ascii="宋体" w:hAnsi="宋体" w:cs="宋体" w:eastAsia="宋体" w:hint="default"/>
                <w:spacing w:val="-93"/>
                <w:sz w:val="20"/>
                <w:szCs w:val="20"/>
              </w:rPr>
              <w:t> </w:t>
            </w:r>
            <w:r>
              <w:rPr>
                <w:rFonts w:ascii="宋体" w:hAnsi="宋体" w:cs="宋体" w:eastAsia="宋体" w:hint="default"/>
                <w:spacing w:val="26"/>
                <w:sz w:val="20"/>
                <w:szCs w:val="20"/>
              </w:rPr>
              <w:t>金的兑付一</w:t>
            </w:r>
            <w:r>
              <w:rPr>
                <w:rFonts w:ascii="宋体" w:hAnsi="宋体" w:cs="宋体" w:eastAsia="宋体" w:hint="default"/>
                <w:spacing w:val="-66"/>
                <w:sz w:val="20"/>
                <w:szCs w:val="20"/>
              </w:rPr>
              <w:t> </w:t>
            </w:r>
            <w:r>
              <w:rPr>
                <w:rFonts w:ascii="宋体" w:hAnsi="宋体" w:cs="宋体" w:eastAsia="宋体" w:hint="default"/>
                <w:sz w:val="20"/>
                <w:szCs w:val="20"/>
              </w:rPr>
            </w:r>
          </w:p>
        </w:tc>
      </w:tr>
    </w:tbl>
    <w:p>
      <w:pPr>
        <w:spacing w:after="0" w:line="285" w:lineRule="auto"/>
        <w:jc w:val="both"/>
        <w:rPr>
          <w:rFonts w:ascii="宋体" w:hAnsi="宋体" w:cs="宋体" w:eastAsia="宋体" w:hint="default"/>
          <w:sz w:val="20"/>
          <w:szCs w:val="20"/>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1134"/>
        <w:gridCol w:w="1134"/>
        <w:gridCol w:w="1134"/>
        <w:gridCol w:w="859"/>
        <w:gridCol w:w="1195"/>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起支付</w:t>
            </w:r>
          </w:p>
        </w:tc>
      </w:tr>
      <w:tr>
        <w:trPr>
          <w:trHeight w:val="323" w:hRule="exact"/>
        </w:trPr>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公司债券上市或转让的交易场所</w:t>
            </w:r>
          </w:p>
        </w:tc>
        <w:tc>
          <w:tcPr>
            <w:tcW w:w="65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深圳证券交易所</w:t>
            </w:r>
          </w:p>
        </w:tc>
      </w:tr>
      <w:tr>
        <w:trPr>
          <w:trHeight w:val="322" w:hRule="exact"/>
        </w:trPr>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投资者适当性安排</w:t>
            </w:r>
          </w:p>
        </w:tc>
        <w:tc>
          <w:tcPr>
            <w:tcW w:w="65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1258" w:hRule="exact"/>
        </w:trPr>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22" w:right="142"/>
              <w:jc w:val="left"/>
              <w:rPr>
                <w:rFonts w:ascii="宋体" w:hAnsi="宋体" w:cs="宋体" w:eastAsia="宋体" w:hint="default"/>
                <w:sz w:val="20"/>
                <w:szCs w:val="20"/>
              </w:rPr>
            </w:pPr>
            <w:r>
              <w:rPr>
                <w:rFonts w:ascii="宋体" w:hAnsi="宋体" w:cs="宋体" w:eastAsia="宋体" w:hint="default"/>
                <w:sz w:val="20"/>
                <w:szCs w:val="20"/>
              </w:rPr>
              <w:t>报告期内公司债券的付息兑付情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65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12</w:t>
            </w:r>
            <w:r>
              <w:rPr>
                <w:rFonts w:ascii="Times New Roman" w:hAnsi="Times New Roman" w:cs="Times New Roman" w:eastAsia="Times New Roman" w:hint="default"/>
                <w:sz w:val="20"/>
                <w:szCs w:val="20"/>
              </w:rPr>
              <w:t> </w:t>
            </w:r>
            <w:r>
              <w:rPr>
                <w:rFonts w:ascii="宋体" w:hAnsi="宋体" w:cs="宋体" w:eastAsia="宋体" w:hint="default"/>
                <w:sz w:val="20"/>
                <w:szCs w:val="20"/>
              </w:rPr>
              <w:t>苏宁</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01</w:t>
            </w:r>
            <w:r>
              <w:rPr>
                <w:rFonts w:ascii="宋体" w:hAnsi="宋体" w:cs="宋体" w:eastAsia="宋体" w:hint="default"/>
                <w:sz w:val="20"/>
                <w:szCs w:val="20"/>
              </w:rPr>
              <w:t>：</w:t>
            </w: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日支付</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14 </w:t>
            </w:r>
            <w:r>
              <w:rPr>
                <w:rFonts w:ascii="宋体" w:hAnsi="宋体" w:cs="宋体" w:eastAsia="宋体" w:hint="default"/>
                <w:sz w:val="20"/>
                <w:szCs w:val="20"/>
              </w:rPr>
              <w:t>日至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日期间的利息</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5.20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含税</w:t>
            </w:r>
            <w:r>
              <w:rPr>
                <w:rFonts w:ascii="Times New Roman" w:hAnsi="Times New Roman" w:cs="Times New Roman" w:eastAsia="Times New Roman" w:hint="default"/>
                <w:sz w:val="20"/>
                <w:szCs w:val="20"/>
              </w:rPr>
              <w:t>)/</w:t>
            </w:r>
            <w:r>
              <w:rPr>
                <w:rFonts w:ascii="宋体" w:hAnsi="宋体" w:cs="宋体" w:eastAsia="宋体" w:hint="default"/>
                <w:sz w:val="20"/>
                <w:szCs w:val="20"/>
              </w:rPr>
              <w:t>张。</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13 </w:t>
            </w:r>
            <w:r>
              <w:rPr>
                <w:rFonts w:ascii="宋体" w:hAnsi="宋体" w:cs="宋体" w:eastAsia="宋体" w:hint="default"/>
                <w:sz w:val="20"/>
                <w:szCs w:val="20"/>
              </w:rPr>
              <w:t>苏宁债：</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日支付</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日期间的利息</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5.95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含税</w:t>
            </w:r>
            <w:r>
              <w:rPr>
                <w:rFonts w:ascii="Times New Roman" w:hAnsi="Times New Roman" w:cs="Times New Roman" w:eastAsia="Times New Roman" w:hint="default"/>
                <w:sz w:val="20"/>
                <w:szCs w:val="20"/>
              </w:rPr>
              <w:t>)/</w:t>
            </w:r>
            <w:r>
              <w:rPr>
                <w:rFonts w:ascii="宋体" w:hAnsi="宋体" w:cs="宋体" w:eastAsia="宋体" w:hint="default"/>
                <w:sz w:val="20"/>
                <w:szCs w:val="20"/>
              </w:rPr>
              <w:t>张。</w:t>
            </w:r>
          </w:p>
        </w:tc>
      </w:tr>
      <w:tr>
        <w:trPr>
          <w:trHeight w:val="1259" w:hRule="exact"/>
        </w:trPr>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22" w:right="142"/>
              <w:jc w:val="both"/>
              <w:rPr>
                <w:rFonts w:ascii="宋体" w:hAnsi="宋体" w:cs="宋体" w:eastAsia="宋体" w:hint="default"/>
                <w:sz w:val="20"/>
                <w:szCs w:val="20"/>
              </w:rPr>
            </w:pPr>
            <w:r>
              <w:rPr>
                <w:rFonts w:ascii="宋体" w:hAnsi="宋体" w:cs="宋体" w:eastAsia="宋体" w:hint="default"/>
                <w:sz w:val="20"/>
                <w:szCs w:val="20"/>
              </w:rPr>
              <w:t>公司债券附发行人或投资者选择</w:t>
            </w:r>
            <w:r>
              <w:rPr>
                <w:rFonts w:ascii="宋体" w:hAnsi="宋体" w:cs="宋体" w:eastAsia="宋体" w:hint="default"/>
                <w:w w:val="100"/>
                <w:sz w:val="20"/>
                <w:szCs w:val="20"/>
              </w:rPr>
              <w:t> </w:t>
            </w:r>
            <w:r>
              <w:rPr>
                <w:rFonts w:ascii="宋体" w:hAnsi="宋体" w:cs="宋体" w:eastAsia="宋体" w:hint="default"/>
                <w:sz w:val="20"/>
                <w:szCs w:val="20"/>
              </w:rPr>
              <w:t>权条款、可交换条款等特殊条款</w:t>
            </w:r>
            <w:r>
              <w:rPr>
                <w:rFonts w:ascii="宋体" w:hAnsi="宋体" w:cs="宋体" w:eastAsia="宋体" w:hint="default"/>
                <w:w w:val="100"/>
                <w:sz w:val="20"/>
                <w:szCs w:val="20"/>
              </w:rPr>
              <w:t> </w:t>
            </w:r>
            <w:r>
              <w:rPr>
                <w:rFonts w:ascii="宋体" w:hAnsi="宋体" w:cs="宋体" w:eastAsia="宋体" w:hint="default"/>
                <w:sz w:val="20"/>
                <w:szCs w:val="20"/>
              </w:rPr>
              <w:t>的，报告期内相关条款的执行情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65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13 </w:t>
            </w:r>
            <w:r>
              <w:rPr>
                <w:rFonts w:ascii="宋体" w:hAnsi="宋体" w:cs="宋体" w:eastAsia="宋体" w:hint="default"/>
                <w:sz w:val="20"/>
                <w:szCs w:val="20"/>
              </w:rPr>
              <w:t>苏宁债：本期债券为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年期，即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p>
          <w:p>
            <w:pPr>
              <w:pStyle w:val="TableParagraph"/>
              <w:spacing w:line="271" w:lineRule="auto" w:before="35"/>
              <w:ind w:left="22" w:right="755"/>
              <w:jc w:val="left"/>
              <w:rPr>
                <w:rFonts w:ascii="宋体" w:hAnsi="宋体" w:cs="宋体" w:eastAsia="宋体" w:hint="default"/>
                <w:sz w:val="20"/>
                <w:szCs w:val="20"/>
              </w:rPr>
            </w:pPr>
            <w:r>
              <w:rPr>
                <w:rFonts w:ascii="宋体" w:hAnsi="宋体" w:cs="宋体" w:eastAsia="宋体" w:hint="default"/>
                <w:sz w:val="20"/>
                <w:szCs w:val="20"/>
              </w:rPr>
              <w:t>日，附第</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年末发行人上调票面利率选择权及投资者回售选择权。</w:t>
            </w:r>
            <w:r>
              <w:rPr>
                <w:rFonts w:ascii="宋体" w:hAnsi="宋体" w:cs="宋体" w:eastAsia="宋体" w:hint="default"/>
                <w:w w:val="100"/>
                <w:sz w:val="20"/>
                <w:szCs w:val="20"/>
              </w:rPr>
              <w:t> </w:t>
            </w:r>
            <w:r>
              <w:rPr>
                <w:rFonts w:ascii="宋体" w:hAnsi="宋体" w:cs="宋体" w:eastAsia="宋体" w:hint="default"/>
                <w:sz w:val="20"/>
                <w:szCs w:val="20"/>
              </w:rPr>
              <w:t>报告期内，</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苏宁债未发生投资者回售选择权情形。</w:t>
            </w:r>
          </w:p>
        </w:tc>
      </w:tr>
    </w:tbl>
    <w:p>
      <w:pPr>
        <w:spacing w:line="240" w:lineRule="auto" w:before="11"/>
        <w:rPr>
          <w:rFonts w:ascii="宋体" w:hAnsi="宋体" w:cs="宋体" w:eastAsia="宋体" w:hint="default"/>
          <w:b/>
          <w:bCs/>
          <w:sz w:val="18"/>
          <w:szCs w:val="18"/>
        </w:rPr>
      </w:pPr>
    </w:p>
    <w:p>
      <w:pPr>
        <w:pStyle w:val="Heading4"/>
        <w:spacing w:line="240" w:lineRule="auto" w:before="31"/>
        <w:ind w:left="154" w:right="1082"/>
        <w:jc w:val="left"/>
        <w:rPr>
          <w:b w:val="0"/>
          <w:bCs w:val="0"/>
        </w:rPr>
      </w:pPr>
      <w:bookmarkStart w:name="2、债券受托管理人和资信评级机构信息" w:id="105"/>
      <w:bookmarkEnd w:id="105"/>
      <w:r>
        <w:rPr>
          <w:b w:val="0"/>
          <w:bCs w:val="0"/>
        </w:rPr>
      </w:r>
      <w:r>
        <w:rPr>
          <w:rFonts w:ascii="Times New Roman" w:hAnsi="Times New Roman" w:cs="Times New Roman" w:eastAsia="Times New Roman" w:hint="default"/>
        </w:rPr>
        <w:t>2</w:t>
      </w:r>
      <w:r>
        <w:rPr/>
        <w:t>、债券受托管理人和资信评级机构信息</w:t>
      </w:r>
      <w:r>
        <w:rPr>
          <w:b w:val="0"/>
          <w:bCs w:val="0"/>
        </w:rPr>
      </w:r>
    </w:p>
    <w:p>
      <w:pPr>
        <w:spacing w:line="240" w:lineRule="auto" w:before="3"/>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85"/>
        <w:gridCol w:w="1201"/>
        <w:gridCol w:w="785"/>
        <w:gridCol w:w="412"/>
        <w:gridCol w:w="1202"/>
        <w:gridCol w:w="1183"/>
        <w:gridCol w:w="1202"/>
        <w:gridCol w:w="1196"/>
        <w:gridCol w:w="1196"/>
      </w:tblGrid>
      <w:tr>
        <w:trPr>
          <w:trHeight w:val="31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sz w:val="20"/>
                <w:szCs w:val="20"/>
              </w:rPr>
              <w:t>债券受托管理人：</w:t>
            </w:r>
          </w:p>
        </w:tc>
      </w:tr>
      <w:tr>
        <w:trPr>
          <w:trHeight w:val="479" w:hRule="exact"/>
        </w:trPr>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85" w:lineRule="auto" w:before="156"/>
              <w:ind w:left="21" w:right="152"/>
              <w:jc w:val="both"/>
              <w:rPr>
                <w:rFonts w:ascii="宋体" w:hAnsi="宋体" w:cs="宋体" w:eastAsia="宋体" w:hint="default"/>
                <w:sz w:val="20"/>
                <w:szCs w:val="20"/>
              </w:rPr>
            </w:pPr>
            <w:r>
              <w:rPr>
                <w:rFonts w:ascii="宋体" w:hAnsi="宋体" w:cs="宋体" w:eastAsia="宋体" w:hint="default"/>
                <w:sz w:val="20"/>
                <w:szCs w:val="20"/>
              </w:rPr>
              <w:t>华泰联合证</w:t>
            </w:r>
            <w:r>
              <w:rPr>
                <w:rFonts w:ascii="宋体" w:hAnsi="宋体" w:cs="宋体" w:eastAsia="宋体" w:hint="default"/>
                <w:w w:val="100"/>
                <w:sz w:val="20"/>
                <w:szCs w:val="20"/>
              </w:rPr>
              <w:t> </w:t>
            </w:r>
            <w:r>
              <w:rPr>
                <w:rFonts w:ascii="宋体" w:hAnsi="宋体" w:cs="宋体" w:eastAsia="宋体" w:hint="default"/>
                <w:sz w:val="20"/>
                <w:szCs w:val="20"/>
              </w:rPr>
              <w:t>券有限责任</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280" w:lineRule="auto"/>
              <w:ind w:left="16" w:right="160"/>
              <w:jc w:val="both"/>
              <w:rPr>
                <w:rFonts w:ascii="宋体" w:hAnsi="宋体" w:cs="宋体" w:eastAsia="宋体" w:hint="default"/>
                <w:sz w:val="20"/>
                <w:szCs w:val="20"/>
              </w:rPr>
            </w:pPr>
            <w:r>
              <w:rPr>
                <w:rFonts w:ascii="宋体" w:hAnsi="宋体" w:cs="宋体" w:eastAsia="宋体" w:hint="default"/>
                <w:sz w:val="20"/>
                <w:szCs w:val="20"/>
              </w:rPr>
              <w:t>江苏省南京</w:t>
            </w:r>
            <w:r>
              <w:rPr>
                <w:rFonts w:ascii="宋体" w:hAnsi="宋体" w:cs="宋体" w:eastAsia="宋体" w:hint="default"/>
                <w:w w:val="100"/>
                <w:sz w:val="20"/>
                <w:szCs w:val="20"/>
              </w:rPr>
              <w:t> </w:t>
            </w:r>
            <w:r>
              <w:rPr>
                <w:rFonts w:ascii="宋体" w:hAnsi="宋体" w:cs="宋体" w:eastAsia="宋体" w:hint="default"/>
                <w:sz w:val="20"/>
                <w:szCs w:val="20"/>
              </w:rPr>
              <w:t>市建邺区江</w:t>
            </w:r>
            <w:r>
              <w:rPr>
                <w:rFonts w:ascii="宋体" w:hAnsi="宋体" w:cs="宋体" w:eastAsia="宋体" w:hint="default"/>
                <w:w w:val="100"/>
                <w:sz w:val="20"/>
                <w:szCs w:val="20"/>
              </w:rPr>
              <w:t> </w:t>
            </w:r>
            <w:r>
              <w:rPr>
                <w:rFonts w:ascii="宋体" w:hAnsi="宋体" w:cs="宋体" w:eastAsia="宋体" w:hint="default"/>
                <w:sz w:val="20"/>
                <w:szCs w:val="20"/>
              </w:rPr>
              <w:t>东中路</w:t>
            </w:r>
            <w:r>
              <w:rPr>
                <w:rFonts w:ascii="宋体" w:hAnsi="宋体" w:cs="宋体" w:eastAsia="宋体" w:hint="default"/>
                <w:spacing w:val="-1"/>
                <w:sz w:val="20"/>
                <w:szCs w:val="20"/>
              </w:rPr>
              <w:t> </w:t>
            </w:r>
            <w:r>
              <w:rPr>
                <w:rFonts w:ascii="Times New Roman" w:hAnsi="Times New Roman" w:cs="Times New Roman" w:eastAsia="Times New Roman" w:hint="default"/>
                <w:sz w:val="20"/>
                <w:szCs w:val="20"/>
              </w:rPr>
              <w:t>228</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号</w:t>
            </w: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赵青、陈东</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5" w:right="0"/>
              <w:jc w:val="left"/>
              <w:rPr>
                <w:rFonts w:ascii="Times New Roman" w:hAnsi="Times New Roman" w:cs="Times New Roman" w:eastAsia="Times New Roman" w:hint="default"/>
                <w:sz w:val="20"/>
                <w:szCs w:val="20"/>
              </w:rPr>
            </w:pPr>
            <w:r>
              <w:rPr>
                <w:rFonts w:ascii="Times New Roman"/>
                <w:sz w:val="20"/>
              </w:rPr>
              <w:t>010-6808558</w:t>
            </w:r>
          </w:p>
          <w:p>
            <w:pPr>
              <w:pStyle w:val="TableParagraph"/>
              <w:spacing w:line="240" w:lineRule="auto" w:before="82"/>
              <w:ind w:left="15" w:right="0"/>
              <w:jc w:val="left"/>
              <w:rPr>
                <w:rFonts w:ascii="Times New Roman" w:hAnsi="Times New Roman" w:cs="Times New Roman" w:eastAsia="Times New Roman" w:hint="default"/>
                <w:sz w:val="20"/>
                <w:szCs w:val="20"/>
              </w:rPr>
            </w:pPr>
            <w:r>
              <w:rPr>
                <w:rFonts w:ascii="Times New Roman"/>
                <w:sz w:val="20"/>
              </w:rPr>
              <w:t>8-823/025-83</w:t>
            </w:r>
          </w:p>
          <w:p>
            <w:pPr>
              <w:pStyle w:val="TableParagraph"/>
              <w:spacing w:line="240" w:lineRule="auto" w:before="82"/>
              <w:ind w:left="15" w:right="0"/>
              <w:jc w:val="left"/>
              <w:rPr>
                <w:rFonts w:ascii="Times New Roman" w:hAnsi="Times New Roman" w:cs="Times New Roman" w:eastAsia="Times New Roman" w:hint="default"/>
                <w:sz w:val="20"/>
                <w:szCs w:val="20"/>
              </w:rPr>
            </w:pPr>
            <w:r>
              <w:rPr>
                <w:rFonts w:ascii="Times New Roman"/>
                <w:sz w:val="20"/>
              </w:rPr>
              <w:t>290958</w:t>
            </w:r>
          </w:p>
        </w:tc>
      </w:tr>
      <w:tr>
        <w:trPr>
          <w:trHeight w:val="312" w:hRule="exact"/>
        </w:trPr>
        <w:tc>
          <w:tcPr>
            <w:tcW w:w="1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1201"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办公地址</w:t>
            </w:r>
          </w:p>
        </w:tc>
        <w:tc>
          <w:tcPr>
            <w:tcW w:w="1202" w:type="dxa"/>
            <w:vMerge/>
            <w:tcBorders>
              <w:left w:val="single" w:sz="9" w:space="0" w:color="D2D2D2"/>
              <w:right w:val="single" w:sz="9" w:space="0" w:color="D2D2D2"/>
            </w:tcBorders>
          </w:tcPr>
          <w:p>
            <w:pPr/>
          </w:p>
        </w:tc>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6" w:lineRule="exact"/>
              <w:ind w:left="17" w:right="0"/>
              <w:jc w:val="left"/>
              <w:rPr>
                <w:rFonts w:ascii="宋体" w:hAnsi="宋体" w:cs="宋体" w:eastAsia="宋体" w:hint="default"/>
                <w:sz w:val="20"/>
                <w:szCs w:val="20"/>
              </w:rPr>
            </w:pPr>
            <w:r>
              <w:rPr>
                <w:rFonts w:ascii="宋体" w:hAnsi="宋体" w:cs="宋体" w:eastAsia="宋体" w:hint="default"/>
                <w:sz w:val="20"/>
                <w:szCs w:val="20"/>
              </w:rPr>
              <w:t>联系人</w:t>
            </w:r>
          </w:p>
        </w:tc>
        <w:tc>
          <w:tcPr>
            <w:tcW w:w="1202"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联系人电话</w:t>
            </w:r>
          </w:p>
        </w:tc>
        <w:tc>
          <w:tcPr>
            <w:tcW w:w="1196" w:type="dxa"/>
            <w:vMerge/>
            <w:tcBorders>
              <w:left w:val="single" w:sz="10" w:space="0" w:color="D2D2D2"/>
              <w:right w:val="single" w:sz="4" w:space="0" w:color="000000"/>
            </w:tcBorders>
          </w:tcPr>
          <w:p>
            <w:pPr/>
          </w:p>
        </w:tc>
      </w:tr>
      <w:tr>
        <w:trPr>
          <w:trHeight w:val="478" w:hRule="exact"/>
        </w:trPr>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1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11" w:right="0"/>
              <w:jc w:val="left"/>
              <w:rPr>
                <w:rFonts w:ascii="宋体" w:hAnsi="宋体" w:cs="宋体" w:eastAsia="宋体" w:hint="default"/>
                <w:sz w:val="20"/>
                <w:szCs w:val="20"/>
              </w:rPr>
            </w:pPr>
            <w:r>
              <w:rPr>
                <w:rFonts w:ascii="宋体" w:hAnsi="宋体" w:cs="宋体" w:eastAsia="宋体" w:hint="default"/>
                <w:sz w:val="20"/>
                <w:szCs w:val="20"/>
              </w:rPr>
              <w:t>报告期内对公司债券进行跟踪评级的资信评级机构：</w:t>
            </w:r>
          </w:p>
        </w:tc>
      </w:tr>
      <w:tr>
        <w:trPr>
          <w:trHeight w:val="326"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3600"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61" w:lineRule="exact"/>
              <w:ind w:left="16" w:right="0"/>
              <w:jc w:val="left"/>
              <w:rPr>
                <w:rFonts w:ascii="宋体" w:hAnsi="宋体" w:cs="宋体" w:eastAsia="宋体" w:hint="default"/>
                <w:sz w:val="20"/>
                <w:szCs w:val="20"/>
              </w:rPr>
            </w:pPr>
            <w:r>
              <w:rPr>
                <w:rFonts w:ascii="宋体" w:hAnsi="宋体" w:cs="宋体" w:eastAsia="宋体" w:hint="default"/>
                <w:sz w:val="20"/>
                <w:szCs w:val="20"/>
              </w:rPr>
              <w:t>中诚信证券评估有限公司</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7" w:right="0"/>
              <w:jc w:val="left"/>
              <w:rPr>
                <w:rFonts w:ascii="宋体" w:hAnsi="宋体" w:cs="宋体" w:eastAsia="宋体" w:hint="default"/>
                <w:sz w:val="20"/>
                <w:szCs w:val="20"/>
              </w:rPr>
            </w:pPr>
            <w:r>
              <w:rPr>
                <w:rFonts w:ascii="宋体" w:hAnsi="宋体" w:cs="宋体" w:eastAsia="宋体" w:hint="default"/>
                <w:sz w:val="20"/>
                <w:szCs w:val="20"/>
              </w:rPr>
              <w:t>办公地址</w:t>
            </w:r>
          </w:p>
        </w:tc>
        <w:tc>
          <w:tcPr>
            <w:tcW w:w="359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76" w:lineRule="exact"/>
              <w:ind w:left="16" w:right="0"/>
              <w:jc w:val="left"/>
              <w:rPr>
                <w:rFonts w:ascii="宋体" w:hAnsi="宋体" w:cs="宋体" w:eastAsia="宋体" w:hint="default"/>
                <w:sz w:val="20"/>
                <w:szCs w:val="20"/>
              </w:rPr>
            </w:pPr>
            <w:r>
              <w:rPr>
                <w:rFonts w:ascii="宋体" w:hAnsi="宋体" w:cs="宋体" w:eastAsia="宋体" w:hint="default"/>
                <w:sz w:val="20"/>
                <w:szCs w:val="20"/>
              </w:rPr>
              <w:t>上海市黄浦区西藏南路</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760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1259" w:hRule="exact"/>
        </w:trPr>
        <w:tc>
          <w:tcPr>
            <w:tcW w:w="3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11" w:right="9"/>
              <w:jc w:val="left"/>
              <w:rPr>
                <w:rFonts w:ascii="宋体" w:hAnsi="宋体" w:cs="宋体" w:eastAsia="宋体" w:hint="default"/>
                <w:sz w:val="20"/>
                <w:szCs w:val="20"/>
              </w:rPr>
            </w:pPr>
            <w:r>
              <w:rPr>
                <w:rFonts w:ascii="宋体" w:hAnsi="宋体" w:cs="宋体" w:eastAsia="宋体" w:hint="default"/>
                <w:sz w:val="20"/>
                <w:szCs w:val="20"/>
              </w:rPr>
              <w:t>报告期内公司聘请的债券受托管理</w:t>
            </w:r>
            <w:r>
              <w:rPr>
                <w:rFonts w:ascii="宋体" w:hAnsi="宋体" w:cs="宋体" w:eastAsia="宋体" w:hint="default"/>
                <w:w w:val="100"/>
                <w:sz w:val="20"/>
                <w:szCs w:val="20"/>
              </w:rPr>
              <w:t> </w:t>
            </w:r>
            <w:r>
              <w:rPr>
                <w:rFonts w:ascii="宋体" w:hAnsi="宋体" w:cs="宋体" w:eastAsia="宋体" w:hint="default"/>
                <w:spacing w:val="-5"/>
                <w:sz w:val="20"/>
                <w:szCs w:val="20"/>
              </w:rPr>
              <w:t>人、资信评级机构发生变更的，变更</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5"/>
                <w:sz w:val="20"/>
                <w:szCs w:val="20"/>
              </w:rPr>
              <w:t>的原因、履行的程序、对投资者利益</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的影响等</w:t>
            </w:r>
          </w:p>
        </w:tc>
        <w:tc>
          <w:tcPr>
            <w:tcW w:w="639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报告期内公司聘请的债券受托管理人、资信评级机构未发生变更。</w:t>
            </w:r>
          </w:p>
        </w:tc>
      </w:tr>
    </w:tbl>
    <w:p>
      <w:pPr>
        <w:spacing w:line="240" w:lineRule="auto" w:before="11"/>
        <w:rPr>
          <w:rFonts w:ascii="宋体" w:hAnsi="宋体" w:cs="宋体" w:eastAsia="宋体" w:hint="default"/>
          <w:b/>
          <w:bCs/>
          <w:sz w:val="18"/>
          <w:szCs w:val="18"/>
        </w:rPr>
      </w:pPr>
    </w:p>
    <w:p>
      <w:pPr>
        <w:pStyle w:val="Heading4"/>
        <w:spacing w:line="240" w:lineRule="auto" w:before="31"/>
        <w:ind w:left="154" w:right="1082"/>
        <w:jc w:val="left"/>
        <w:rPr>
          <w:b w:val="0"/>
          <w:bCs w:val="0"/>
        </w:rPr>
      </w:pPr>
      <w:bookmarkStart w:name="3、公司债券募集资金使用情况" w:id="106"/>
      <w:bookmarkEnd w:id="106"/>
      <w:r>
        <w:rPr>
          <w:b w:val="0"/>
          <w:bCs w:val="0"/>
        </w:rPr>
      </w:r>
      <w:r>
        <w:rPr>
          <w:rFonts w:ascii="Times New Roman" w:hAnsi="Times New Roman" w:cs="Times New Roman" w:eastAsia="Times New Roman" w:hint="default"/>
        </w:rPr>
        <w:t>3</w:t>
      </w:r>
      <w:r>
        <w:rPr/>
        <w:t>、公司债券募集资金使用情况</w:t>
      </w:r>
      <w:r>
        <w:rPr>
          <w:b w:val="0"/>
          <w:bCs w:val="0"/>
        </w:rPr>
      </w:r>
    </w:p>
    <w:p>
      <w:pPr>
        <w:spacing w:line="240" w:lineRule="auto" w:before="3"/>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7"/>
        <w:gridCol w:w="5882"/>
      </w:tblGrid>
      <w:tr>
        <w:trPr>
          <w:trHeight w:val="946"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公司债券募集资金使用情况及履行的程序</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22" w:right="48"/>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苏宁</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发行规模</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亿元，</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苏宁债发行规模</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亿元，本次债</w:t>
            </w:r>
            <w:r>
              <w:rPr>
                <w:rFonts w:ascii="宋体" w:hAnsi="宋体" w:cs="宋体" w:eastAsia="宋体" w:hint="default"/>
                <w:spacing w:val="-2"/>
                <w:w w:val="100"/>
                <w:sz w:val="20"/>
                <w:szCs w:val="20"/>
              </w:rPr>
              <w:t> </w:t>
            </w:r>
            <w:r>
              <w:rPr>
                <w:rFonts w:ascii="宋体" w:hAnsi="宋体" w:cs="宋体" w:eastAsia="宋体" w:hint="default"/>
                <w:sz w:val="20"/>
                <w:szCs w:val="20"/>
              </w:rPr>
              <w:t>券募集资金扣除发行费用后全部用于补充运营资金及调整债务结</w:t>
            </w:r>
            <w:r>
              <w:rPr>
                <w:rFonts w:ascii="宋体" w:hAnsi="宋体" w:cs="宋体" w:eastAsia="宋体" w:hint="default"/>
                <w:w w:val="100"/>
                <w:sz w:val="20"/>
                <w:szCs w:val="20"/>
              </w:rPr>
              <w:t> </w:t>
            </w:r>
            <w:r>
              <w:rPr>
                <w:rFonts w:ascii="宋体" w:hAnsi="宋体" w:cs="宋体" w:eastAsia="宋体" w:hint="default"/>
                <w:sz w:val="20"/>
                <w:szCs w:val="20"/>
              </w:rPr>
              <w:t>构。公司债券募集资金全部按前述用途使用。</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年末余额（万元）</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Times New Roman" w:hAnsi="Times New Roman" w:cs="Times New Roman" w:eastAsia="Times New Roman" w:hint="default"/>
                <w:sz w:val="20"/>
                <w:szCs w:val="20"/>
              </w:rPr>
            </w:pPr>
            <w:r>
              <w:rPr>
                <w:rFonts w:ascii="Times New Roman"/>
                <w:w w:val="100"/>
                <w:sz w:val="20"/>
              </w:rPr>
              <w:t>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募集资金专项账户运作情况</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635"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22" w:right="51"/>
              <w:jc w:val="left"/>
              <w:rPr>
                <w:rFonts w:ascii="宋体" w:hAnsi="宋体" w:cs="宋体" w:eastAsia="宋体" w:hint="default"/>
                <w:sz w:val="20"/>
                <w:szCs w:val="20"/>
              </w:rPr>
            </w:pPr>
            <w:r>
              <w:rPr>
                <w:rFonts w:ascii="宋体" w:hAnsi="宋体" w:cs="宋体" w:eastAsia="宋体" w:hint="default"/>
                <w:sz w:val="20"/>
                <w:szCs w:val="20"/>
              </w:rPr>
              <w:t>募集资金使用是否与募集说明书承诺的用</w:t>
            </w:r>
            <w:r>
              <w:rPr>
                <w:rFonts w:ascii="宋体" w:hAnsi="宋体" w:cs="宋体" w:eastAsia="宋体" w:hint="default"/>
                <w:w w:val="100"/>
                <w:sz w:val="20"/>
                <w:szCs w:val="20"/>
              </w:rPr>
              <w:t> </w:t>
            </w:r>
            <w:r>
              <w:rPr>
                <w:rFonts w:ascii="宋体" w:hAnsi="宋体" w:cs="宋体" w:eastAsia="宋体" w:hint="default"/>
                <w:sz w:val="20"/>
                <w:szCs w:val="20"/>
              </w:rPr>
              <w:t>途、使用计划及其他约定一致</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bl>
    <w:p>
      <w:pPr>
        <w:spacing w:line="240" w:lineRule="auto" w:before="11"/>
        <w:rPr>
          <w:rFonts w:ascii="宋体" w:hAnsi="宋体" w:cs="宋体" w:eastAsia="宋体" w:hint="default"/>
          <w:b/>
          <w:bCs/>
          <w:sz w:val="18"/>
          <w:szCs w:val="18"/>
        </w:rPr>
      </w:pPr>
    </w:p>
    <w:p>
      <w:pPr>
        <w:pStyle w:val="Heading4"/>
        <w:spacing w:line="240" w:lineRule="auto" w:before="31"/>
        <w:ind w:left="154" w:right="1082"/>
        <w:jc w:val="left"/>
        <w:rPr>
          <w:b w:val="0"/>
          <w:bCs w:val="0"/>
        </w:rPr>
      </w:pPr>
      <w:bookmarkStart w:name="4、公司债券信息评级情况" w:id="107"/>
      <w:bookmarkEnd w:id="107"/>
      <w:r>
        <w:rPr>
          <w:b w:val="0"/>
          <w:bCs w:val="0"/>
        </w:rPr>
      </w:r>
      <w:r>
        <w:rPr>
          <w:rFonts w:ascii="Times New Roman" w:hAnsi="Times New Roman" w:cs="Times New Roman" w:eastAsia="Times New Roman" w:hint="default"/>
        </w:rPr>
        <w:t>4</w:t>
      </w:r>
      <w:r>
        <w:rPr/>
        <w:t>、公司债券信息评级情况</w:t>
      </w:r>
      <w:r>
        <w:rPr>
          <w:b w:val="0"/>
          <w:bCs w:val="0"/>
        </w:rPr>
      </w:r>
    </w:p>
    <w:p>
      <w:pPr>
        <w:spacing w:line="240" w:lineRule="auto" w:before="1"/>
        <w:rPr>
          <w:rFonts w:ascii="宋体" w:hAnsi="宋体" w:cs="宋体" w:eastAsia="宋体" w:hint="default"/>
          <w:b/>
          <w:bCs/>
          <w:sz w:val="30"/>
          <w:szCs w:val="30"/>
        </w:rPr>
      </w:pPr>
    </w:p>
    <w:p>
      <w:pPr>
        <w:spacing w:line="386" w:lineRule="auto" w:before="0"/>
        <w:ind w:left="574" w:right="10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苏宁</w:t>
      </w:r>
      <w:r>
        <w:rPr>
          <w:rFonts w:ascii="Times New Roman" w:hAnsi="Times New Roman" w:cs="Times New Roman" w:eastAsia="Times New Roman" w:hint="default"/>
          <w:sz w:val="21"/>
          <w:szCs w:val="21"/>
        </w:rPr>
        <w:t>01 </w:t>
      </w:r>
      <w:r>
        <w:rPr>
          <w:rFonts w:ascii="宋体" w:hAnsi="宋体" w:cs="宋体" w:eastAsia="宋体" w:hint="default"/>
          <w:sz w:val="21"/>
          <w:szCs w:val="21"/>
        </w:rPr>
        <w:t>本期债券最迟不晚于</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日披露</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年度公司债券评级情况，请广大投资者关注巨潮资讯网</w:t>
      </w:r>
    </w:p>
    <w:p>
      <w:pPr>
        <w:spacing w:before="35"/>
        <w:ind w:left="154" w:right="1082" w:firstLine="0"/>
        <w:jc w:val="left"/>
        <w:rPr>
          <w:rFonts w:ascii="宋体" w:hAnsi="宋体" w:cs="宋体" w:eastAsia="宋体" w:hint="default"/>
          <w:sz w:val="21"/>
          <w:szCs w:val="21"/>
        </w:rPr>
      </w:pPr>
      <w:r>
        <w:rPr>
          <w:rFonts w:ascii="宋体" w:hAnsi="宋体" w:cs="宋体" w:eastAsia="宋体" w:hint="default"/>
          <w:sz w:val="21"/>
          <w:szCs w:val="21"/>
        </w:rPr>
        <w:t>公告。</w:t>
      </w:r>
    </w:p>
    <w:p>
      <w:pPr>
        <w:spacing w:line="240" w:lineRule="auto" w:before="10"/>
        <w:rPr>
          <w:rFonts w:ascii="宋体" w:hAnsi="宋体" w:cs="宋体" w:eastAsia="宋体" w:hint="default"/>
          <w:sz w:val="14"/>
          <w:szCs w:val="14"/>
        </w:rPr>
      </w:pPr>
    </w:p>
    <w:p>
      <w:pPr>
        <w:spacing w:before="0"/>
        <w:ind w:left="574" w:right="10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日，本期债券资信评级机构中诚信证券评估有限公司出具了《苏宁云商集团股份有限公</w:t>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spacing w:line="386" w:lineRule="auto" w:before="35"/>
        <w:ind w:left="154" w:right="1132" w:firstLine="0"/>
        <w:jc w:val="both"/>
        <w:rPr>
          <w:rFonts w:ascii="宋体" w:hAnsi="宋体" w:cs="宋体" w:eastAsia="宋体" w:hint="default"/>
          <w:sz w:val="21"/>
          <w:szCs w:val="21"/>
        </w:rPr>
      </w:pPr>
      <w:r>
        <w:rPr>
          <w:rFonts w:ascii="宋体" w:hAnsi="宋体" w:cs="宋体" w:eastAsia="宋体" w:hint="default"/>
          <w:spacing w:val="-6"/>
          <w:sz w:val="21"/>
          <w:szCs w:val="21"/>
        </w:rPr>
        <w:t>司</w:t>
      </w:r>
      <w:r>
        <w:rPr>
          <w:rFonts w:ascii="Times New Roman" w:hAnsi="Times New Roman" w:cs="Times New Roman" w:eastAsia="Times New Roman" w:hint="default"/>
          <w:spacing w:val="-6"/>
          <w:sz w:val="21"/>
          <w:szCs w:val="21"/>
        </w:rPr>
        <w:t>2012</w:t>
      </w:r>
      <w:r>
        <w:rPr>
          <w:rFonts w:ascii="宋体" w:hAnsi="宋体" w:cs="宋体" w:eastAsia="宋体" w:hint="default"/>
          <w:spacing w:val="-6"/>
          <w:sz w:val="21"/>
          <w:szCs w:val="21"/>
        </w:rPr>
        <w:t>年公司债券（第一期）跟踪评级报告（</w:t>
      </w:r>
      <w:r>
        <w:rPr>
          <w:rFonts w:ascii="Times New Roman" w:hAnsi="Times New Roman" w:cs="Times New Roman" w:eastAsia="Times New Roman" w:hint="default"/>
          <w:spacing w:val="-6"/>
          <w:sz w:val="21"/>
          <w:szCs w:val="21"/>
        </w:rPr>
        <w:t>2015</w:t>
      </w:r>
      <w:r>
        <w:rPr>
          <w:rFonts w:ascii="宋体" w:hAnsi="宋体" w:cs="宋体" w:eastAsia="宋体" w:hint="default"/>
          <w:spacing w:val="-6"/>
          <w:sz w:val="21"/>
          <w:szCs w:val="21"/>
        </w:rPr>
        <w:t>）》，本次跟踪的主体信用等级为</w:t>
      </w:r>
      <w:r>
        <w:rPr>
          <w:rFonts w:ascii="Times New Roman" w:hAnsi="Times New Roman" w:cs="Times New Roman" w:eastAsia="Times New Roman" w:hint="default"/>
          <w:spacing w:val="-6"/>
          <w:sz w:val="21"/>
          <w:szCs w:val="21"/>
        </w:rPr>
        <w:t>AAA</w:t>
      </w:r>
      <w:r>
        <w:rPr>
          <w:rFonts w:ascii="宋体" w:hAnsi="宋体" w:cs="宋体" w:eastAsia="宋体" w:hint="default"/>
          <w:spacing w:val="-6"/>
          <w:sz w:val="21"/>
          <w:szCs w:val="21"/>
        </w:rPr>
        <w:t>，评级展望负面，</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本期债券的信用等级为</w:t>
      </w:r>
      <w:r>
        <w:rPr>
          <w:rFonts w:ascii="Times New Roman" w:hAnsi="Times New Roman" w:cs="Times New Roman" w:eastAsia="Times New Roman" w:hint="default"/>
          <w:sz w:val="21"/>
          <w:szCs w:val="21"/>
        </w:rPr>
        <w:t>AAA</w:t>
      </w:r>
      <w:r>
        <w:rPr>
          <w:rFonts w:ascii="宋体" w:hAnsi="宋体" w:cs="宋体" w:eastAsia="宋体" w:hint="default"/>
          <w:sz w:val="21"/>
          <w:szCs w:val="21"/>
        </w:rPr>
        <w:t>。</w:t>
      </w:r>
    </w:p>
    <w:p>
      <w:pPr>
        <w:spacing w:line="386" w:lineRule="auto" w:before="35"/>
        <w:ind w:left="574" w:right="10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苏宁债 本期债券最迟不晚于</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日披露</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年度公司债券评级情况，请广大投资者关注巨潮资讯网</w:t>
      </w: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公告。</w:t>
      </w:r>
    </w:p>
    <w:p>
      <w:pPr>
        <w:spacing w:line="240" w:lineRule="auto" w:before="10"/>
        <w:rPr>
          <w:rFonts w:ascii="宋体" w:hAnsi="宋体" w:cs="宋体" w:eastAsia="宋体" w:hint="default"/>
          <w:sz w:val="14"/>
          <w:szCs w:val="14"/>
        </w:rPr>
      </w:pPr>
    </w:p>
    <w:p>
      <w:pPr>
        <w:spacing w:line="386" w:lineRule="auto" w:before="0"/>
        <w:ind w:left="154" w:right="113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日，本期债券资信评级机构中诚信证券评估有限公司出具了《苏宁云商集团股份有限公 </w:t>
      </w:r>
      <w:r>
        <w:rPr>
          <w:rFonts w:ascii="宋体" w:hAnsi="宋体" w:cs="宋体" w:eastAsia="宋体" w:hint="default"/>
          <w:spacing w:val="-6"/>
          <w:sz w:val="21"/>
          <w:szCs w:val="21"/>
        </w:rPr>
        <w:t>司</w:t>
      </w:r>
      <w:r>
        <w:rPr>
          <w:rFonts w:ascii="Times New Roman" w:hAnsi="Times New Roman" w:cs="Times New Roman" w:eastAsia="Times New Roman" w:hint="default"/>
          <w:spacing w:val="-6"/>
          <w:sz w:val="21"/>
          <w:szCs w:val="21"/>
        </w:rPr>
        <w:t>2013</w:t>
      </w:r>
      <w:r>
        <w:rPr>
          <w:rFonts w:ascii="宋体" w:hAnsi="宋体" w:cs="宋体" w:eastAsia="宋体" w:hint="default"/>
          <w:spacing w:val="-6"/>
          <w:sz w:val="21"/>
          <w:szCs w:val="21"/>
        </w:rPr>
        <w:t>年公司债券（第二期）跟踪评级报告（</w:t>
      </w:r>
      <w:r>
        <w:rPr>
          <w:rFonts w:ascii="Times New Roman" w:hAnsi="Times New Roman" w:cs="Times New Roman" w:eastAsia="Times New Roman" w:hint="default"/>
          <w:spacing w:val="-6"/>
          <w:sz w:val="21"/>
          <w:szCs w:val="21"/>
        </w:rPr>
        <w:t>2015</w:t>
      </w:r>
      <w:r>
        <w:rPr>
          <w:rFonts w:ascii="宋体" w:hAnsi="宋体" w:cs="宋体" w:eastAsia="宋体" w:hint="default"/>
          <w:spacing w:val="-6"/>
          <w:sz w:val="21"/>
          <w:szCs w:val="21"/>
        </w:rPr>
        <w:t>）》，本次跟踪的主体信用等级为</w:t>
      </w:r>
      <w:r>
        <w:rPr>
          <w:rFonts w:ascii="Times New Roman" w:hAnsi="Times New Roman" w:cs="Times New Roman" w:eastAsia="Times New Roman" w:hint="default"/>
          <w:spacing w:val="-6"/>
          <w:sz w:val="21"/>
          <w:szCs w:val="21"/>
        </w:rPr>
        <w:t>AAA</w:t>
      </w:r>
      <w:r>
        <w:rPr>
          <w:rFonts w:ascii="宋体" w:hAnsi="宋体" w:cs="宋体" w:eastAsia="宋体" w:hint="default"/>
          <w:spacing w:val="-6"/>
          <w:sz w:val="21"/>
          <w:szCs w:val="21"/>
        </w:rPr>
        <w:t>，评级展望负面，</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本期债券的信用等级为</w:t>
      </w:r>
      <w:r>
        <w:rPr>
          <w:rFonts w:ascii="Times New Roman" w:hAnsi="Times New Roman" w:cs="Times New Roman" w:eastAsia="Times New Roman" w:hint="default"/>
          <w:sz w:val="21"/>
          <w:szCs w:val="21"/>
        </w:rPr>
        <w:t>AAA</w:t>
      </w:r>
      <w:r>
        <w:rPr>
          <w:rFonts w:ascii="宋体" w:hAnsi="宋体" w:cs="宋体" w:eastAsia="宋体" w:hint="default"/>
          <w:sz w:val="21"/>
          <w:szCs w:val="21"/>
        </w:rPr>
        <w:t>。</w:t>
      </w:r>
    </w:p>
    <w:p>
      <w:pPr>
        <w:spacing w:line="240" w:lineRule="auto" w:before="2"/>
        <w:rPr>
          <w:rFonts w:ascii="宋体" w:hAnsi="宋体" w:cs="宋体" w:eastAsia="宋体" w:hint="default"/>
          <w:sz w:val="19"/>
          <w:szCs w:val="19"/>
        </w:rPr>
      </w:pPr>
    </w:p>
    <w:p>
      <w:pPr>
        <w:pStyle w:val="Heading4"/>
        <w:spacing w:line="240" w:lineRule="auto"/>
        <w:ind w:left="154" w:right="0"/>
        <w:jc w:val="both"/>
        <w:rPr>
          <w:b w:val="0"/>
          <w:bCs w:val="0"/>
        </w:rPr>
      </w:pPr>
      <w:bookmarkStart w:name="5、公司债券增信机制、偿债计划及其他偿债保障措施" w:id="108"/>
      <w:bookmarkEnd w:id="108"/>
      <w:r>
        <w:rPr>
          <w:b w:val="0"/>
          <w:bCs w:val="0"/>
        </w:rPr>
      </w:r>
      <w:r>
        <w:rPr>
          <w:rFonts w:ascii="Times New Roman" w:hAnsi="Times New Roman" w:cs="Times New Roman" w:eastAsia="Times New Roman" w:hint="default"/>
        </w:rPr>
        <w:t>5</w:t>
      </w:r>
      <w:r>
        <w:rPr/>
        <w:t>、公司债券增信机制、偿债计划及其他偿债保障措施</w:t>
      </w:r>
      <w:r>
        <w:rPr>
          <w:b w:val="0"/>
          <w:bCs w:val="0"/>
        </w:rPr>
      </w:r>
    </w:p>
    <w:p>
      <w:pPr>
        <w:spacing w:line="240" w:lineRule="auto" w:before="1"/>
        <w:rPr>
          <w:rFonts w:ascii="宋体" w:hAnsi="宋体" w:cs="宋体" w:eastAsia="宋体" w:hint="default"/>
          <w:b/>
          <w:bCs/>
          <w:sz w:val="30"/>
          <w:szCs w:val="30"/>
        </w:rPr>
      </w:pPr>
    </w:p>
    <w:p>
      <w:pPr>
        <w:spacing w:line="386" w:lineRule="auto" w:before="0"/>
        <w:ind w:left="574" w:right="10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苏宁</w:t>
      </w:r>
      <w:r>
        <w:rPr>
          <w:rFonts w:ascii="Times New Roman" w:hAnsi="Times New Roman" w:cs="Times New Roman" w:eastAsia="Times New Roman" w:hint="default"/>
          <w:sz w:val="21"/>
          <w:szCs w:val="21"/>
        </w:rPr>
        <w:t>01 </w:t>
      </w:r>
      <w:r>
        <w:rPr>
          <w:rFonts w:ascii="宋体" w:hAnsi="宋体" w:cs="宋体" w:eastAsia="宋体" w:hint="default"/>
          <w:spacing w:val="-6"/>
          <w:sz w:val="21"/>
          <w:szCs w:val="21"/>
        </w:rPr>
        <w:t>本期债券未出具相关増信机制。报告期内，公司根据债务结构进一步加强资产负债管理、流动性管理，</w:t>
      </w:r>
    </w:p>
    <w:p>
      <w:pPr>
        <w:spacing w:line="398" w:lineRule="auto" w:before="65"/>
        <w:ind w:left="153" w:right="1130" w:firstLine="0"/>
        <w:jc w:val="both"/>
        <w:rPr>
          <w:rFonts w:ascii="宋体" w:hAnsi="宋体" w:cs="宋体" w:eastAsia="宋体" w:hint="default"/>
          <w:sz w:val="21"/>
          <w:szCs w:val="21"/>
        </w:rPr>
      </w:pPr>
      <w:r>
        <w:rPr>
          <w:rFonts w:ascii="宋体" w:hAnsi="宋体" w:cs="宋体" w:eastAsia="宋体" w:hint="default"/>
          <w:spacing w:val="-1"/>
          <w:sz w:val="21"/>
          <w:szCs w:val="21"/>
        </w:rPr>
        <w:t>保证资金按计划使用，及时、足额准备资金用于每年的利息支付和到期的本金兑付，以充分保障投资者的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利益。公司偿债计划及其他偿债保障措施，详见公司</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日巨潮资讯网《公开发行</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年公司债</w:t>
      </w:r>
      <w:r>
        <w:rPr>
          <w:rFonts w:ascii="宋体" w:hAnsi="宋体" w:cs="宋体" w:eastAsia="宋体" w:hint="default"/>
          <w:spacing w:val="-81"/>
          <w:sz w:val="21"/>
          <w:szCs w:val="21"/>
        </w:rPr>
        <w:t> </w:t>
      </w:r>
      <w:r>
        <w:rPr>
          <w:rFonts w:ascii="宋体" w:hAnsi="宋体" w:cs="宋体" w:eastAsia="宋体" w:hint="default"/>
          <w:sz w:val="21"/>
          <w:szCs w:val="21"/>
        </w:rPr>
        <w:t>券（第一期）募集说明书》</w:t>
      </w:r>
      <w:r>
        <w:rPr>
          <w:rFonts w:ascii="Times New Roman" w:hAnsi="Times New Roman" w:cs="Times New Roman" w:eastAsia="Times New Roman" w:hint="default"/>
          <w:sz w:val="21"/>
          <w:szCs w:val="21"/>
        </w:rPr>
        <w:t>“</w:t>
      </w:r>
      <w:r>
        <w:rPr>
          <w:rFonts w:ascii="宋体" w:hAnsi="宋体" w:cs="宋体" w:eastAsia="宋体" w:hint="default"/>
          <w:sz w:val="21"/>
          <w:szCs w:val="21"/>
        </w:rPr>
        <w:t>第四节</w:t>
      </w:r>
      <w:r>
        <w:rPr>
          <w:rFonts w:ascii="宋体" w:hAnsi="宋体" w:cs="宋体" w:eastAsia="宋体" w:hint="default"/>
          <w:spacing w:val="-2"/>
          <w:sz w:val="21"/>
          <w:szCs w:val="21"/>
        </w:rPr>
        <w:t> </w:t>
      </w:r>
      <w:r>
        <w:rPr>
          <w:rFonts w:ascii="宋体" w:hAnsi="宋体" w:cs="宋体" w:eastAsia="宋体" w:hint="default"/>
          <w:sz w:val="21"/>
          <w:szCs w:val="21"/>
        </w:rPr>
        <w:t>偿债计划及其他保障措施</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86" w:lineRule="auto" w:before="24"/>
        <w:ind w:left="574" w:right="10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苏宁债 </w:t>
      </w:r>
      <w:r>
        <w:rPr>
          <w:rFonts w:ascii="宋体" w:hAnsi="宋体" w:cs="宋体" w:eastAsia="宋体" w:hint="default"/>
          <w:spacing w:val="-6"/>
          <w:sz w:val="21"/>
          <w:szCs w:val="21"/>
        </w:rPr>
        <w:t>本期债券未出具相关増信机制。报告期内，公司根据债务结构进一步加强资产负债管理、流动性管理，</w:t>
      </w:r>
    </w:p>
    <w:p>
      <w:pPr>
        <w:spacing w:line="398" w:lineRule="auto" w:before="65"/>
        <w:ind w:left="153" w:right="1130" w:firstLine="0"/>
        <w:jc w:val="both"/>
        <w:rPr>
          <w:rFonts w:ascii="宋体" w:hAnsi="宋体" w:cs="宋体" w:eastAsia="宋体" w:hint="default"/>
          <w:sz w:val="21"/>
          <w:szCs w:val="21"/>
        </w:rPr>
      </w:pPr>
      <w:r>
        <w:rPr>
          <w:rFonts w:ascii="宋体" w:hAnsi="宋体" w:cs="宋体" w:eastAsia="宋体" w:hint="default"/>
          <w:spacing w:val="-1"/>
          <w:sz w:val="21"/>
          <w:szCs w:val="21"/>
        </w:rPr>
        <w:t>保证资金按计划使用，及时、足额准备资金用于每年的利息支付和到期的本金兑付，以充分保障投资者的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利益。公司偿债计划及其他偿债保障措施，详见公司</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日巨潮资讯网《公开发行</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年公司债</w:t>
      </w:r>
      <w:r>
        <w:rPr>
          <w:rFonts w:ascii="宋体" w:hAnsi="宋体" w:cs="宋体" w:eastAsia="宋体" w:hint="default"/>
          <w:spacing w:val="-81"/>
          <w:sz w:val="21"/>
          <w:szCs w:val="21"/>
        </w:rPr>
        <w:t> </w:t>
      </w:r>
      <w:r>
        <w:rPr>
          <w:rFonts w:ascii="宋体" w:hAnsi="宋体" w:cs="宋体" w:eastAsia="宋体" w:hint="default"/>
          <w:sz w:val="21"/>
          <w:szCs w:val="21"/>
        </w:rPr>
        <w:t>券（第二期）募集说明书》</w:t>
      </w:r>
      <w:r>
        <w:rPr>
          <w:rFonts w:ascii="Times New Roman" w:hAnsi="Times New Roman" w:cs="Times New Roman" w:eastAsia="Times New Roman" w:hint="default"/>
          <w:sz w:val="21"/>
          <w:szCs w:val="21"/>
        </w:rPr>
        <w:t>“</w:t>
      </w:r>
      <w:r>
        <w:rPr>
          <w:rFonts w:ascii="宋体" w:hAnsi="宋体" w:cs="宋体" w:eastAsia="宋体" w:hint="default"/>
          <w:sz w:val="21"/>
          <w:szCs w:val="21"/>
        </w:rPr>
        <w:t>第四节</w:t>
      </w:r>
      <w:r>
        <w:rPr>
          <w:rFonts w:ascii="宋体" w:hAnsi="宋体" w:cs="宋体" w:eastAsia="宋体" w:hint="default"/>
          <w:spacing w:val="-2"/>
          <w:sz w:val="21"/>
          <w:szCs w:val="21"/>
        </w:rPr>
        <w:t> </w:t>
      </w:r>
      <w:r>
        <w:rPr>
          <w:rFonts w:ascii="宋体" w:hAnsi="宋体" w:cs="宋体" w:eastAsia="宋体" w:hint="default"/>
          <w:sz w:val="21"/>
          <w:szCs w:val="21"/>
        </w:rPr>
        <w:t>偿债计划及其他保障措施</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3"/>
        <w:rPr>
          <w:rFonts w:ascii="宋体" w:hAnsi="宋体" w:cs="宋体" w:eastAsia="宋体" w:hint="default"/>
          <w:sz w:val="18"/>
          <w:szCs w:val="18"/>
        </w:rPr>
      </w:pPr>
    </w:p>
    <w:p>
      <w:pPr>
        <w:pStyle w:val="Heading4"/>
        <w:spacing w:line="240" w:lineRule="auto"/>
        <w:ind w:right="0"/>
        <w:jc w:val="both"/>
        <w:rPr>
          <w:b w:val="0"/>
          <w:bCs w:val="0"/>
        </w:rPr>
      </w:pPr>
      <w:bookmarkStart w:name="6、报告期内债券持有人会议的召开情况" w:id="109"/>
      <w:bookmarkEnd w:id="109"/>
      <w:r>
        <w:rPr>
          <w:b w:val="0"/>
          <w:bCs w:val="0"/>
        </w:rPr>
      </w:r>
      <w:r>
        <w:rPr>
          <w:rFonts w:ascii="Times New Roman" w:hAnsi="Times New Roman" w:cs="Times New Roman" w:eastAsia="Times New Roman" w:hint="default"/>
        </w:rPr>
        <w:t>6</w:t>
      </w:r>
      <w:r>
        <w:rPr/>
        <w:t>、报告期内债券持有人会议的召开情况</w:t>
      </w:r>
      <w:r>
        <w:rPr>
          <w:b w:val="0"/>
          <w:bCs w:val="0"/>
        </w:rPr>
      </w:r>
    </w:p>
    <w:p>
      <w:pPr>
        <w:spacing w:line="240" w:lineRule="auto" w:before="1"/>
        <w:rPr>
          <w:rFonts w:ascii="宋体" w:hAnsi="宋体" w:cs="宋体" w:eastAsia="宋体" w:hint="default"/>
          <w:b/>
          <w:bCs/>
          <w:sz w:val="30"/>
          <w:szCs w:val="30"/>
        </w:rPr>
      </w:pPr>
    </w:p>
    <w:p>
      <w:pPr>
        <w:spacing w:before="0"/>
        <w:ind w:left="573" w:right="1082" w:firstLine="0"/>
        <w:jc w:val="left"/>
        <w:rPr>
          <w:rFonts w:ascii="宋体" w:hAnsi="宋体" w:cs="宋体" w:eastAsia="宋体" w:hint="default"/>
          <w:sz w:val="21"/>
          <w:szCs w:val="21"/>
        </w:rPr>
      </w:pPr>
      <w:r>
        <w:rPr>
          <w:rFonts w:ascii="宋体" w:hAnsi="宋体" w:cs="宋体" w:eastAsia="宋体" w:hint="default"/>
          <w:sz w:val="21"/>
          <w:szCs w:val="21"/>
        </w:rPr>
        <w:t>报告期内，</w:t>
      </w:r>
      <w:r>
        <w:rPr>
          <w:rFonts w:ascii="Times New Roman" w:hAnsi="Times New Roman" w:cs="Times New Roman" w:eastAsia="Times New Roman" w:hint="default"/>
          <w:sz w:val="21"/>
          <w:szCs w:val="21"/>
        </w:rPr>
        <w:t>12</w:t>
      </w:r>
      <w:r>
        <w:rPr>
          <w:rFonts w:ascii="宋体" w:hAnsi="宋体" w:cs="宋体" w:eastAsia="宋体" w:hint="default"/>
          <w:sz w:val="21"/>
          <w:szCs w:val="21"/>
        </w:rPr>
        <w:t>苏宁</w:t>
      </w:r>
      <w:r>
        <w:rPr>
          <w:rFonts w:ascii="Times New Roman" w:hAnsi="Times New Roman" w:cs="Times New Roman" w:eastAsia="Times New Roman" w:hint="default"/>
          <w:sz w:val="21"/>
          <w:szCs w:val="21"/>
        </w:rPr>
        <w:t>01</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苏宁债均未召开债券持有人会议。</w:t>
      </w:r>
    </w:p>
    <w:p>
      <w:pPr>
        <w:spacing w:line="240" w:lineRule="auto" w:before="13"/>
        <w:rPr>
          <w:rFonts w:ascii="宋体" w:hAnsi="宋体" w:cs="宋体" w:eastAsia="宋体" w:hint="default"/>
          <w:sz w:val="29"/>
          <w:szCs w:val="29"/>
        </w:rPr>
      </w:pPr>
    </w:p>
    <w:p>
      <w:pPr>
        <w:pStyle w:val="Heading4"/>
        <w:spacing w:line="240" w:lineRule="auto"/>
        <w:ind w:right="0"/>
        <w:jc w:val="both"/>
        <w:rPr>
          <w:b w:val="0"/>
          <w:bCs w:val="0"/>
        </w:rPr>
      </w:pPr>
      <w:bookmarkStart w:name="7、报告期内债券受托管理人履行职责的情况" w:id="110"/>
      <w:bookmarkEnd w:id="110"/>
      <w:r>
        <w:rPr>
          <w:b w:val="0"/>
          <w:bCs w:val="0"/>
        </w:rPr>
      </w:r>
      <w:r>
        <w:rPr>
          <w:rFonts w:ascii="Times New Roman" w:hAnsi="Times New Roman" w:cs="Times New Roman" w:eastAsia="Times New Roman" w:hint="default"/>
        </w:rPr>
        <w:t>7</w:t>
      </w:r>
      <w:r>
        <w:rPr/>
        <w:t>、报告期内债券受托管理人履行职责的情况</w:t>
      </w:r>
      <w:r>
        <w:rPr>
          <w:b w:val="0"/>
          <w:bCs w:val="0"/>
        </w:rPr>
      </w:r>
    </w:p>
    <w:p>
      <w:pPr>
        <w:spacing w:line="240" w:lineRule="auto" w:before="1"/>
        <w:rPr>
          <w:rFonts w:ascii="宋体" w:hAnsi="宋体" w:cs="宋体" w:eastAsia="宋体" w:hint="default"/>
          <w:b/>
          <w:bCs/>
          <w:sz w:val="30"/>
          <w:szCs w:val="30"/>
        </w:rPr>
      </w:pPr>
    </w:p>
    <w:p>
      <w:pPr>
        <w:spacing w:line="386" w:lineRule="auto" w:before="0"/>
        <w:ind w:left="574" w:right="11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苏宁</w:t>
      </w:r>
      <w:r>
        <w:rPr>
          <w:rFonts w:ascii="Times New Roman" w:hAnsi="Times New Roman" w:cs="Times New Roman" w:eastAsia="Times New Roman" w:hint="default"/>
          <w:sz w:val="21"/>
          <w:szCs w:val="21"/>
        </w:rPr>
        <w:t>01 2015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日，本期债券受托管理人华泰联合证券有限责任公司出具《苏宁云商集团股份有限公司</w:t>
      </w:r>
    </w:p>
    <w:p>
      <w:pPr>
        <w:spacing w:before="36"/>
        <w:ind w:left="154" w:right="0" w:firstLine="0"/>
        <w:jc w:val="both"/>
        <w:rPr>
          <w:rFonts w:ascii="宋体" w:hAnsi="宋体" w:cs="宋体" w:eastAsia="宋体" w:hint="default"/>
          <w:sz w:val="21"/>
          <w:szCs w:val="21"/>
        </w:rPr>
      </w:pPr>
      <w:r>
        <w:rPr>
          <w:rFonts w:ascii="宋体" w:hAnsi="宋体" w:cs="宋体" w:eastAsia="宋体" w:hint="default"/>
          <w:sz w:val="21"/>
          <w:szCs w:val="21"/>
        </w:rPr>
        <w:t>公开发行</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年公司债券（第一期）受托管理事务报告》（</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w:t>
      </w:r>
    </w:p>
    <w:p>
      <w:pPr>
        <w:spacing w:before="177"/>
        <w:ind w:left="573" w:right="10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苏宁债</w:t>
      </w:r>
    </w:p>
    <w:p>
      <w:pPr>
        <w:spacing w:before="177"/>
        <w:ind w:left="574" w:right="10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日，本期债券受托管理人华泰联合证券有限责任公司出具《苏宁云商集团股份有限公司</w:t>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spacing w:before="35"/>
        <w:ind w:left="153" w:right="1082" w:firstLine="0"/>
        <w:jc w:val="left"/>
        <w:rPr>
          <w:rFonts w:ascii="宋体" w:hAnsi="宋体" w:cs="宋体" w:eastAsia="宋体" w:hint="default"/>
          <w:sz w:val="21"/>
          <w:szCs w:val="21"/>
        </w:rPr>
      </w:pPr>
      <w:r>
        <w:rPr>
          <w:rFonts w:ascii="宋体" w:hAnsi="宋体" w:cs="宋体" w:eastAsia="宋体" w:hint="default"/>
          <w:sz w:val="21"/>
          <w:szCs w:val="21"/>
        </w:rPr>
        <w:t>公开发行</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年公司债券（第二期）受托管理事务报告》（</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w:t>
      </w:r>
    </w:p>
    <w:p>
      <w:pPr>
        <w:spacing w:line="240" w:lineRule="auto" w:before="13"/>
        <w:rPr>
          <w:rFonts w:ascii="宋体" w:hAnsi="宋体" w:cs="宋体" w:eastAsia="宋体" w:hint="default"/>
          <w:sz w:val="29"/>
          <w:szCs w:val="29"/>
        </w:rPr>
      </w:pPr>
    </w:p>
    <w:p>
      <w:pPr>
        <w:pStyle w:val="Heading4"/>
        <w:spacing w:line="240" w:lineRule="auto"/>
        <w:ind w:right="1082"/>
        <w:jc w:val="left"/>
        <w:rPr>
          <w:b w:val="0"/>
          <w:bCs w:val="0"/>
        </w:rPr>
      </w:pPr>
      <w:bookmarkStart w:name="8、截至报告期末公司近2年的主要会计数据和财务指标" w:id="111"/>
      <w:bookmarkEnd w:id="111"/>
      <w:r>
        <w:rPr>
          <w:b w:val="0"/>
          <w:bCs w:val="0"/>
        </w:rPr>
      </w:r>
      <w:r>
        <w:rPr>
          <w:rFonts w:ascii="Times New Roman" w:hAnsi="Times New Roman" w:cs="Times New Roman" w:eastAsia="Times New Roman" w:hint="default"/>
        </w:rPr>
        <w:t>8</w:t>
      </w:r>
      <w:r>
        <w:rPr/>
        <w:t>、截至报告期末公司近</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年的主要会计数据和财务指标</w:t>
      </w:r>
      <w:r>
        <w:rPr>
          <w:b w:val="0"/>
          <w:bCs w:val="0"/>
        </w:rPr>
      </w:r>
    </w:p>
    <w:p>
      <w:pPr>
        <w:spacing w:line="240" w:lineRule="auto" w:before="2"/>
        <w:rPr>
          <w:rFonts w:ascii="宋体" w:hAnsi="宋体" w:cs="宋体" w:eastAsia="宋体" w:hint="default"/>
          <w:b/>
          <w:bCs/>
          <w:sz w:val="21"/>
          <w:szCs w:val="21"/>
        </w:rPr>
      </w:pPr>
    </w:p>
    <w:p>
      <w:pPr>
        <w:pStyle w:val="BodyText"/>
        <w:spacing w:line="240" w:lineRule="auto" w:before="31"/>
        <w:ind w:left="0" w:right="1130"/>
        <w:jc w:val="right"/>
      </w:pPr>
      <w:r>
        <w:rPr/>
        <w:t>单位：千元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954" w:firstLine="0"/>
        <w:jc w:val="right"/>
        <w:rPr>
          <w:rFonts w:ascii="宋体" w:hAnsi="宋体" w:cs="宋体" w:eastAsia="宋体" w:hint="default"/>
          <w:sz w:val="20"/>
          <w:szCs w:val="20"/>
        </w:rPr>
      </w:pPr>
      <w:r>
        <w:rPr/>
        <w:pict>
          <v:shape style="position:absolute;margin-left:55.650002pt;margin-top:-189.410294pt;width:488.7pt;height:459.9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5"/>
                    <w:gridCol w:w="1069"/>
                    <w:gridCol w:w="1260"/>
                    <w:gridCol w:w="1260"/>
                    <w:gridCol w:w="4545"/>
                  </w:tblGrid>
                  <w:tr>
                    <w:trPr>
                      <w:trHeight w:val="322"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2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2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24" w:right="0"/>
                          <w:jc w:val="left"/>
                          <w:rPr>
                            <w:rFonts w:ascii="宋体" w:hAnsi="宋体" w:cs="宋体" w:eastAsia="宋体" w:hint="default"/>
                            <w:sz w:val="20"/>
                            <w:szCs w:val="20"/>
                          </w:rPr>
                        </w:pPr>
                        <w:r>
                          <w:rPr>
                            <w:rFonts w:ascii="宋体" w:hAnsi="宋体" w:cs="宋体" w:eastAsia="宋体" w:hint="default"/>
                            <w:sz w:val="20"/>
                            <w:szCs w:val="20"/>
                          </w:rPr>
                          <w:t>同期变动率</w:t>
                        </w:r>
                      </w:p>
                    </w:tc>
                    <w:tc>
                      <w:tcPr>
                        <w:tcW w:w="4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变动原因</w:t>
                        </w: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11" w:right="201"/>
                          <w:jc w:val="left"/>
                          <w:rPr>
                            <w:rFonts w:ascii="宋体" w:hAnsi="宋体" w:cs="宋体" w:eastAsia="宋体" w:hint="default"/>
                            <w:sz w:val="20"/>
                            <w:szCs w:val="20"/>
                          </w:rPr>
                        </w:pPr>
                        <w:r>
                          <w:rPr>
                            <w:rFonts w:ascii="宋体" w:hAnsi="宋体" w:cs="宋体" w:eastAsia="宋体" w:hint="default"/>
                            <w:sz w:val="20"/>
                            <w:szCs w:val="20"/>
                          </w:rPr>
                          <w:t>息税折旧摊销前</w:t>
                        </w:r>
                        <w:r>
                          <w:rPr>
                            <w:rFonts w:ascii="宋体" w:hAnsi="宋体" w:cs="宋体" w:eastAsia="宋体" w:hint="default"/>
                            <w:w w:val="100"/>
                            <w:sz w:val="20"/>
                            <w:szCs w:val="20"/>
                          </w:rPr>
                          <w:t> </w:t>
                        </w:r>
                        <w:r>
                          <w:rPr>
                            <w:rFonts w:ascii="宋体" w:hAnsi="宋体" w:cs="宋体" w:eastAsia="宋体" w:hint="default"/>
                            <w:sz w:val="20"/>
                            <w:szCs w:val="20"/>
                          </w:rPr>
                          <w:t>利润</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3,886,066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3,080,447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26.15%</w:t>
                        </w:r>
                      </w:p>
                    </w:tc>
                    <w:tc>
                      <w:tcPr>
                        <w:tcW w:w="4545"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162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85" w:lineRule="auto"/>
                          <w:ind w:left="11" w:right="201"/>
                          <w:jc w:val="left"/>
                          <w:rPr>
                            <w:rFonts w:ascii="宋体" w:hAnsi="宋体" w:cs="宋体" w:eastAsia="宋体" w:hint="default"/>
                            <w:sz w:val="20"/>
                            <w:szCs w:val="20"/>
                          </w:rPr>
                        </w:pPr>
                        <w:r>
                          <w:rPr>
                            <w:rFonts w:ascii="宋体" w:hAnsi="宋体" w:cs="宋体" w:eastAsia="宋体" w:hint="default"/>
                            <w:sz w:val="20"/>
                            <w:szCs w:val="20"/>
                          </w:rPr>
                          <w:t>投资活动产生的</w:t>
                        </w:r>
                        <w:r>
                          <w:rPr>
                            <w:rFonts w:ascii="宋体" w:hAnsi="宋体" w:cs="宋体" w:eastAsia="宋体" w:hint="default"/>
                            <w:w w:val="100"/>
                            <w:sz w:val="20"/>
                            <w:szCs w:val="20"/>
                          </w:rPr>
                          <w:t> </w:t>
                        </w:r>
                        <w:r>
                          <w:rPr>
                            <w:rFonts w:ascii="宋体" w:hAnsi="宋体" w:cs="宋体" w:eastAsia="宋体" w:hint="default"/>
                            <w:sz w:val="20"/>
                            <w:szCs w:val="20"/>
                          </w:rPr>
                          <w:t>现金流量净额</w:t>
                        </w:r>
                      </w:p>
                    </w:tc>
                    <w:tc>
                      <w:tcPr>
                        <w:tcW w:w="1069" w:type="dxa"/>
                        <w:vMerge w:val="restart"/>
                        <w:tcBorders>
                          <w:top w:val="single" w:sz="4" w:space="0" w:color="000000"/>
                          <w:left w:val="single" w:sz="9" w:space="0" w:color="D2D2D2"/>
                          <w:right w:val="single" w:sz="4" w:space="0" w:color="000000"/>
                        </w:tcBorders>
                      </w:tcPr>
                      <w:p>
                        <w:pPr>
                          <w:pStyle w:val="TableParagraph"/>
                          <w:spacing w:line="240" w:lineRule="auto" w:before="40"/>
                          <w:ind w:left="312" w:right="0"/>
                          <w:jc w:val="left"/>
                          <w:rPr>
                            <w:rFonts w:ascii="Times New Roman" w:hAnsi="Times New Roman" w:cs="Times New Roman" w:eastAsia="Times New Roman" w:hint="default"/>
                            <w:sz w:val="20"/>
                            <w:szCs w:val="20"/>
                          </w:rPr>
                        </w:pPr>
                        <w:r>
                          <w:rPr>
                            <w:rFonts w:ascii="Times New Roman"/>
                            <w:sz w:val="20"/>
                          </w:rPr>
                          <w:t>-286,185</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0"/>
                          <w:ind w:left="360" w:right="0"/>
                          <w:jc w:val="left"/>
                          <w:rPr>
                            <w:rFonts w:ascii="Times New Roman" w:hAnsi="Times New Roman" w:cs="Times New Roman" w:eastAsia="Times New Roman" w:hint="default"/>
                            <w:sz w:val="20"/>
                            <w:szCs w:val="20"/>
                          </w:rPr>
                        </w:pPr>
                        <w:r>
                          <w:rPr>
                            <w:rFonts w:ascii="Times New Roman"/>
                            <w:sz w:val="20"/>
                          </w:rPr>
                          <w:t>-2,007,048</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0"/>
                          <w:ind w:left="609" w:right="0"/>
                          <w:jc w:val="left"/>
                          <w:rPr>
                            <w:rFonts w:ascii="Times New Roman" w:hAnsi="Times New Roman" w:cs="Times New Roman" w:eastAsia="Times New Roman" w:hint="default"/>
                            <w:sz w:val="20"/>
                            <w:szCs w:val="20"/>
                          </w:rPr>
                        </w:pPr>
                        <w:r>
                          <w:rPr>
                            <w:rFonts w:ascii="Times New Roman"/>
                            <w:sz w:val="20"/>
                          </w:rPr>
                          <w:t>85.74%</w:t>
                        </w:r>
                      </w:p>
                    </w:tc>
                    <w:tc>
                      <w:tcPr>
                        <w:tcW w:w="4545" w:type="dxa"/>
                        <w:vMerge w:val="restart"/>
                        <w:tcBorders>
                          <w:top w:val="single" w:sz="4" w:space="0" w:color="000000"/>
                          <w:left w:val="single" w:sz="4" w:space="0" w:color="000000"/>
                          <w:right w:val="single" w:sz="4" w:space="0" w:color="000000"/>
                        </w:tcBorders>
                      </w:tcPr>
                      <w:p>
                        <w:pPr>
                          <w:pStyle w:val="TableParagraph"/>
                          <w:spacing w:line="278" w:lineRule="auto"/>
                          <w:ind w:left="22" w:right="19"/>
                          <w:jc w:val="left"/>
                          <w:rPr>
                            <w:rFonts w:ascii="宋体" w:hAnsi="宋体" w:cs="宋体" w:eastAsia="宋体" w:hint="default"/>
                            <w:sz w:val="20"/>
                            <w:szCs w:val="20"/>
                          </w:rPr>
                        </w:pPr>
                        <w:r>
                          <w:rPr>
                            <w:rFonts w:ascii="宋体" w:hAnsi="宋体" w:cs="宋体" w:eastAsia="宋体" w:hint="default"/>
                            <w:sz w:val="20"/>
                            <w:szCs w:val="20"/>
                          </w:rPr>
                          <w:t>报告期内投资活动产生的现金流量净额同比增加</w:t>
                        </w:r>
                        <w:r>
                          <w:rPr>
                            <w:rFonts w:ascii="宋体" w:hAnsi="宋体" w:cs="宋体" w:eastAsia="宋体" w:hint="default"/>
                            <w:w w:val="100"/>
                            <w:sz w:val="20"/>
                            <w:szCs w:val="20"/>
                          </w:rPr>
                          <w:t> </w:t>
                        </w:r>
                        <w:r>
                          <w:rPr>
                            <w:rFonts w:ascii="Times New Roman" w:hAnsi="Times New Roman" w:cs="Times New Roman" w:eastAsia="Times New Roman" w:hint="default"/>
                            <w:spacing w:val="-3"/>
                            <w:sz w:val="20"/>
                            <w:szCs w:val="20"/>
                          </w:rPr>
                          <w:t>85.74%</w:t>
                        </w:r>
                        <w:r>
                          <w:rPr>
                            <w:rFonts w:ascii="宋体" w:hAnsi="宋体" w:cs="宋体" w:eastAsia="宋体" w:hint="default"/>
                            <w:spacing w:val="-3"/>
                            <w:sz w:val="20"/>
                            <w:szCs w:val="20"/>
                          </w:rPr>
                          <w:t>，主要为公司以</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家优质门店物业资产作为</w:t>
                        </w:r>
                        <w:r>
                          <w:rPr>
                            <w:rFonts w:ascii="宋体" w:hAnsi="宋体" w:cs="宋体" w:eastAsia="宋体" w:hint="default"/>
                            <w:w w:val="100"/>
                            <w:sz w:val="20"/>
                            <w:szCs w:val="20"/>
                          </w:rPr>
                          <w:t> </w:t>
                        </w:r>
                        <w:r>
                          <w:rPr>
                            <w:rFonts w:ascii="宋体" w:hAnsi="宋体" w:cs="宋体" w:eastAsia="宋体" w:hint="default"/>
                            <w:sz w:val="20"/>
                            <w:szCs w:val="20"/>
                          </w:rPr>
                          <w:t>标的资产实施创新业务，收到门店权益转让价款，</w:t>
                        </w:r>
                        <w:r>
                          <w:rPr>
                            <w:rFonts w:ascii="宋体" w:hAnsi="宋体" w:cs="宋体" w:eastAsia="宋体" w:hint="default"/>
                            <w:w w:val="100"/>
                            <w:sz w:val="20"/>
                            <w:szCs w:val="20"/>
                          </w:rPr>
                          <w:t> </w:t>
                        </w:r>
                        <w:r>
                          <w:rPr>
                            <w:rFonts w:ascii="宋体" w:hAnsi="宋体" w:cs="宋体" w:eastAsia="宋体" w:hint="default"/>
                            <w:sz w:val="20"/>
                            <w:szCs w:val="20"/>
                          </w:rPr>
                          <w:t>以及公司完成</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5"/>
                            <w:sz w:val="20"/>
                            <w:szCs w:val="20"/>
                          </w:rPr>
                          <w:t> </w:t>
                        </w:r>
                        <w:r>
                          <w:rPr>
                            <w:rFonts w:ascii="Times New Roman" w:hAnsi="Times New Roman" w:cs="Times New Roman" w:eastAsia="Times New Roman" w:hint="default"/>
                            <w:sz w:val="20"/>
                            <w:szCs w:val="20"/>
                          </w:rPr>
                          <w:t>68.08%</w:t>
                        </w:r>
                        <w:r>
                          <w:rPr>
                            <w:rFonts w:ascii="宋体" w:hAnsi="宋体" w:cs="宋体" w:eastAsia="宋体" w:hint="default"/>
                            <w:sz w:val="20"/>
                            <w:szCs w:val="20"/>
                          </w:rPr>
                          <w:t>股权转让，收到股权转</w:t>
                        </w:r>
                        <w:r>
                          <w:rPr>
                            <w:rFonts w:ascii="宋体" w:hAnsi="宋体" w:cs="宋体" w:eastAsia="宋体" w:hint="default"/>
                            <w:w w:val="100"/>
                            <w:sz w:val="20"/>
                            <w:szCs w:val="20"/>
                          </w:rPr>
                          <w:t> </w:t>
                        </w:r>
                        <w:r>
                          <w:rPr>
                            <w:rFonts w:ascii="宋体" w:hAnsi="宋体" w:cs="宋体" w:eastAsia="宋体" w:hint="default"/>
                            <w:sz w:val="20"/>
                            <w:szCs w:val="20"/>
                          </w:rPr>
                          <w:t>让款，由此带来投资活动现金流入增加。</w:t>
                        </w:r>
                      </w:p>
                    </w:tc>
                  </w:tr>
                  <w:tr>
                    <w:trPr>
                      <w:trHeight w:val="941" w:hRule="exact"/>
                    </w:trPr>
                    <w:tc>
                      <w:tcPr>
                        <w:tcW w:w="1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9" w:space="0" w:color="D2D2D2"/>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4545" w:type="dxa"/>
                        <w:vMerge/>
                        <w:tcBorders>
                          <w:left w:val="single" w:sz="4" w:space="0" w:color="000000"/>
                          <w:bottom w:val="single" w:sz="4" w:space="0" w:color="000000"/>
                          <w:right w:val="single" w:sz="4" w:space="0" w:color="000000"/>
                        </w:tcBorders>
                      </w:tcPr>
                      <w:p>
                        <w:pPr/>
                      </w:p>
                    </w:tc>
                  </w:tr>
                  <w:tr>
                    <w:trPr>
                      <w:trHeight w:val="630" w:hRule="exact"/>
                    </w:trPr>
                    <w:tc>
                      <w:tcPr>
                        <w:tcW w:w="162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85" w:lineRule="auto"/>
                          <w:ind w:left="11" w:right="201"/>
                          <w:jc w:val="left"/>
                          <w:rPr>
                            <w:rFonts w:ascii="宋体" w:hAnsi="宋体" w:cs="宋体" w:eastAsia="宋体" w:hint="default"/>
                            <w:sz w:val="20"/>
                            <w:szCs w:val="20"/>
                          </w:rPr>
                        </w:pPr>
                        <w:r>
                          <w:rPr>
                            <w:rFonts w:ascii="宋体" w:hAnsi="宋体" w:cs="宋体" w:eastAsia="宋体" w:hint="default"/>
                            <w:sz w:val="20"/>
                            <w:szCs w:val="20"/>
                          </w:rPr>
                          <w:t>筹资活动产生的</w:t>
                        </w:r>
                        <w:r>
                          <w:rPr>
                            <w:rFonts w:ascii="宋体" w:hAnsi="宋体" w:cs="宋体" w:eastAsia="宋体" w:hint="default"/>
                            <w:w w:val="100"/>
                            <w:sz w:val="20"/>
                            <w:szCs w:val="20"/>
                          </w:rPr>
                          <w:t> </w:t>
                        </w:r>
                        <w:r>
                          <w:rPr>
                            <w:rFonts w:ascii="宋体" w:hAnsi="宋体" w:cs="宋体" w:eastAsia="宋体" w:hint="default"/>
                            <w:sz w:val="20"/>
                            <w:szCs w:val="20"/>
                          </w:rPr>
                          <w:t>现金流量净额</w:t>
                        </w:r>
                      </w:p>
                    </w:tc>
                    <w:tc>
                      <w:tcPr>
                        <w:tcW w:w="1069" w:type="dxa"/>
                        <w:vMerge w:val="restart"/>
                        <w:tcBorders>
                          <w:top w:val="single" w:sz="4" w:space="0" w:color="000000"/>
                          <w:left w:val="single" w:sz="9" w:space="0" w:color="D2D2D2"/>
                          <w:right w:val="single" w:sz="4" w:space="0" w:color="000000"/>
                        </w:tcBorders>
                      </w:tcPr>
                      <w:p>
                        <w:pPr>
                          <w:pStyle w:val="TableParagraph"/>
                          <w:spacing w:line="240" w:lineRule="auto" w:before="41"/>
                          <w:ind w:left="228" w:right="0"/>
                          <w:jc w:val="left"/>
                          <w:rPr>
                            <w:rFonts w:ascii="Times New Roman" w:hAnsi="Times New Roman" w:cs="Times New Roman" w:eastAsia="Times New Roman" w:hint="default"/>
                            <w:sz w:val="20"/>
                            <w:szCs w:val="20"/>
                          </w:rPr>
                        </w:pPr>
                        <w:r>
                          <w:rPr>
                            <w:rFonts w:ascii="Times New Roman"/>
                            <w:sz w:val="20"/>
                          </w:rPr>
                          <w:t>2,896,375</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1"/>
                          <w:ind w:left="577" w:right="0"/>
                          <w:jc w:val="left"/>
                          <w:rPr>
                            <w:rFonts w:ascii="Times New Roman" w:hAnsi="Times New Roman" w:cs="Times New Roman" w:eastAsia="Times New Roman" w:hint="default"/>
                            <w:sz w:val="20"/>
                            <w:szCs w:val="20"/>
                          </w:rPr>
                        </w:pPr>
                        <w:r>
                          <w:rPr>
                            <w:rFonts w:ascii="Times New Roman"/>
                            <w:sz w:val="20"/>
                          </w:rPr>
                          <w:t>628,544</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1"/>
                          <w:ind w:left="509" w:right="0"/>
                          <w:jc w:val="left"/>
                          <w:rPr>
                            <w:rFonts w:ascii="Times New Roman" w:hAnsi="Times New Roman" w:cs="Times New Roman" w:eastAsia="Times New Roman" w:hint="default"/>
                            <w:sz w:val="20"/>
                            <w:szCs w:val="20"/>
                          </w:rPr>
                        </w:pPr>
                        <w:r>
                          <w:rPr>
                            <w:rFonts w:ascii="Times New Roman"/>
                            <w:sz w:val="20"/>
                          </w:rPr>
                          <w:t>360.81%</w:t>
                        </w:r>
                      </w:p>
                    </w:tc>
                    <w:tc>
                      <w:tcPr>
                        <w:tcW w:w="4545" w:type="dxa"/>
                        <w:vMerge w:val="restart"/>
                        <w:tcBorders>
                          <w:top w:val="single" w:sz="4" w:space="0" w:color="000000"/>
                          <w:left w:val="single" w:sz="4" w:space="0" w:color="000000"/>
                          <w:right w:val="single" w:sz="4" w:space="0" w:color="000000"/>
                        </w:tcBorders>
                      </w:tcPr>
                      <w:p>
                        <w:pPr>
                          <w:pStyle w:val="TableParagraph"/>
                          <w:spacing w:line="276" w:lineRule="auto"/>
                          <w:ind w:left="22" w:right="20"/>
                          <w:jc w:val="left"/>
                          <w:rPr>
                            <w:rFonts w:ascii="宋体" w:hAnsi="宋体" w:cs="宋体" w:eastAsia="宋体" w:hint="default"/>
                            <w:sz w:val="20"/>
                            <w:szCs w:val="20"/>
                          </w:rPr>
                        </w:pPr>
                        <w:r>
                          <w:rPr>
                            <w:rFonts w:ascii="宋体" w:hAnsi="宋体" w:cs="宋体" w:eastAsia="宋体" w:hint="default"/>
                            <w:sz w:val="20"/>
                            <w:szCs w:val="20"/>
                          </w:rPr>
                          <w:t>报告期内公司筹资活动产生的现金流量净额较同期</w:t>
                        </w:r>
                        <w:r>
                          <w:rPr>
                            <w:rFonts w:ascii="宋体" w:hAnsi="宋体" w:cs="宋体" w:eastAsia="宋体" w:hint="default"/>
                            <w:w w:val="100"/>
                            <w:sz w:val="20"/>
                            <w:szCs w:val="20"/>
                          </w:rPr>
                          <w:t> </w:t>
                        </w:r>
                        <w:r>
                          <w:rPr>
                            <w:rFonts w:ascii="宋体" w:hAnsi="宋体" w:cs="宋体" w:eastAsia="宋体" w:hint="default"/>
                            <w:sz w:val="20"/>
                            <w:szCs w:val="20"/>
                          </w:rPr>
                          <w:t>增加</w:t>
                        </w:r>
                        <w:r>
                          <w:rPr>
                            <w:rFonts w:ascii="宋体" w:hAnsi="宋体" w:cs="宋体" w:eastAsia="宋体" w:hint="default"/>
                            <w:spacing w:val="-40"/>
                            <w:sz w:val="20"/>
                            <w:szCs w:val="20"/>
                          </w:rPr>
                          <w:t> </w:t>
                        </w:r>
                        <w:r>
                          <w:rPr>
                            <w:rFonts w:ascii="Times New Roman" w:hAnsi="Times New Roman" w:cs="Times New Roman" w:eastAsia="Times New Roman" w:hint="default"/>
                            <w:spacing w:val="-4"/>
                            <w:sz w:val="20"/>
                            <w:szCs w:val="20"/>
                          </w:rPr>
                          <w:t>360.81%</w:t>
                        </w:r>
                        <w:r>
                          <w:rPr>
                            <w:rFonts w:ascii="宋体" w:hAnsi="宋体" w:cs="宋体" w:eastAsia="宋体" w:hint="default"/>
                            <w:spacing w:val="-4"/>
                            <w:sz w:val="20"/>
                            <w:szCs w:val="20"/>
                          </w:rPr>
                          <w:t>，主要为公司及子公司业务需求，增加</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银行短期融资，同时报告期内子公司 </w:t>
                        </w:r>
                        <w:r>
                          <w:rPr>
                            <w:rFonts w:ascii="Times New Roman" w:hAnsi="Times New Roman" w:cs="Times New Roman" w:eastAsia="Times New Roman" w:hint="default"/>
                            <w:sz w:val="20"/>
                            <w:szCs w:val="20"/>
                          </w:rPr>
                          <w:t>LAOX</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完成新</w:t>
                        </w:r>
                        <w:r>
                          <w:rPr>
                            <w:rFonts w:ascii="宋体" w:hAnsi="宋体" w:cs="宋体" w:eastAsia="宋体" w:hint="default"/>
                            <w:w w:val="100"/>
                            <w:sz w:val="20"/>
                            <w:szCs w:val="20"/>
                          </w:rPr>
                          <w:t> </w:t>
                        </w:r>
                        <w:r>
                          <w:rPr>
                            <w:rFonts w:ascii="宋体" w:hAnsi="宋体" w:cs="宋体" w:eastAsia="宋体" w:hint="default"/>
                            <w:sz w:val="20"/>
                            <w:szCs w:val="20"/>
                          </w:rPr>
                          <w:t>股发行募集资金，使得筹资活动现金流入增加。</w:t>
                        </w:r>
                      </w:p>
                    </w:tc>
                  </w:tr>
                  <w:tr>
                    <w:trPr>
                      <w:trHeight w:val="629" w:hRule="exact"/>
                    </w:trPr>
                    <w:tc>
                      <w:tcPr>
                        <w:tcW w:w="1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9" w:space="0" w:color="D2D2D2"/>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4545" w:type="dxa"/>
                        <w:vMerge/>
                        <w:tcBorders>
                          <w:left w:val="single" w:sz="4" w:space="0" w:color="000000"/>
                          <w:bottom w:val="single" w:sz="4" w:space="0" w:color="000000"/>
                          <w:right w:val="single" w:sz="4" w:space="0" w:color="000000"/>
                        </w:tcBorders>
                      </w:tcPr>
                      <w:p>
                        <w:pPr/>
                      </w:p>
                    </w:tc>
                  </w:tr>
                  <w:tr>
                    <w:trPr>
                      <w:trHeight w:val="629" w:hRule="exact"/>
                    </w:trPr>
                    <w:tc>
                      <w:tcPr>
                        <w:tcW w:w="162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85" w:lineRule="auto"/>
                          <w:ind w:left="11" w:right="201"/>
                          <w:jc w:val="left"/>
                          <w:rPr>
                            <w:rFonts w:ascii="宋体" w:hAnsi="宋体" w:cs="宋体" w:eastAsia="宋体" w:hint="default"/>
                            <w:sz w:val="20"/>
                            <w:szCs w:val="20"/>
                          </w:rPr>
                        </w:pPr>
                        <w:r>
                          <w:rPr>
                            <w:rFonts w:ascii="宋体" w:hAnsi="宋体" w:cs="宋体" w:eastAsia="宋体" w:hint="default"/>
                            <w:sz w:val="20"/>
                            <w:szCs w:val="20"/>
                          </w:rPr>
                          <w:t>期末现金及现金</w:t>
                        </w:r>
                        <w:r>
                          <w:rPr>
                            <w:rFonts w:ascii="宋体" w:hAnsi="宋体" w:cs="宋体" w:eastAsia="宋体" w:hint="default"/>
                            <w:w w:val="100"/>
                            <w:sz w:val="20"/>
                            <w:szCs w:val="20"/>
                          </w:rPr>
                          <w:t> </w:t>
                        </w:r>
                        <w:r>
                          <w:rPr>
                            <w:rFonts w:ascii="宋体" w:hAnsi="宋体" w:cs="宋体" w:eastAsia="宋体" w:hint="default"/>
                            <w:sz w:val="20"/>
                            <w:szCs w:val="20"/>
                          </w:rPr>
                          <w:t>等价物余额</w:t>
                        </w:r>
                      </w:p>
                    </w:tc>
                    <w:tc>
                      <w:tcPr>
                        <w:tcW w:w="1069" w:type="dxa"/>
                        <w:vMerge w:val="restart"/>
                        <w:tcBorders>
                          <w:top w:val="single" w:sz="4" w:space="0" w:color="000000"/>
                          <w:left w:val="single" w:sz="9" w:space="0" w:color="D2D2D2"/>
                          <w:right w:val="single" w:sz="4" w:space="0" w:color="000000"/>
                        </w:tcBorders>
                      </w:tcPr>
                      <w:p>
                        <w:pPr>
                          <w:pStyle w:val="TableParagraph"/>
                          <w:spacing w:line="240" w:lineRule="auto" w:before="40"/>
                          <w:ind w:left="128" w:right="0"/>
                          <w:jc w:val="left"/>
                          <w:rPr>
                            <w:rFonts w:ascii="Times New Roman" w:hAnsi="Times New Roman" w:cs="Times New Roman" w:eastAsia="Times New Roman" w:hint="default"/>
                            <w:sz w:val="20"/>
                            <w:szCs w:val="20"/>
                          </w:rPr>
                        </w:pPr>
                        <w:r>
                          <w:rPr>
                            <w:rFonts w:ascii="Times New Roman"/>
                            <w:sz w:val="20"/>
                          </w:rPr>
                          <w:t>16,818,166</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0"/>
                          <w:ind w:left="326" w:right="0"/>
                          <w:jc w:val="left"/>
                          <w:rPr>
                            <w:rFonts w:ascii="Times New Roman" w:hAnsi="Times New Roman" w:cs="Times New Roman" w:eastAsia="Times New Roman" w:hint="default"/>
                            <w:sz w:val="20"/>
                            <w:szCs w:val="20"/>
                          </w:rPr>
                        </w:pPr>
                        <w:r>
                          <w:rPr>
                            <w:rFonts w:ascii="Times New Roman"/>
                            <w:sz w:val="20"/>
                          </w:rPr>
                          <w:t>12,297,572</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0"/>
                          <w:ind w:left="609" w:right="0"/>
                          <w:jc w:val="left"/>
                          <w:rPr>
                            <w:rFonts w:ascii="Times New Roman" w:hAnsi="Times New Roman" w:cs="Times New Roman" w:eastAsia="Times New Roman" w:hint="default"/>
                            <w:sz w:val="20"/>
                            <w:szCs w:val="20"/>
                          </w:rPr>
                        </w:pPr>
                        <w:r>
                          <w:rPr>
                            <w:rFonts w:ascii="Times New Roman"/>
                            <w:sz w:val="20"/>
                          </w:rPr>
                          <w:t>36.76%</w:t>
                        </w:r>
                      </w:p>
                    </w:tc>
                    <w:tc>
                      <w:tcPr>
                        <w:tcW w:w="4545" w:type="dxa"/>
                        <w:vMerge w:val="restart"/>
                        <w:tcBorders>
                          <w:top w:val="single" w:sz="4" w:space="0" w:color="000000"/>
                          <w:left w:val="single" w:sz="4" w:space="0" w:color="000000"/>
                          <w:right w:val="single" w:sz="4" w:space="0" w:color="000000"/>
                        </w:tcBorders>
                      </w:tcPr>
                      <w:p>
                        <w:pPr>
                          <w:pStyle w:val="TableParagraph"/>
                          <w:spacing w:line="271" w:lineRule="exact"/>
                          <w:ind w:left="22" w:right="0"/>
                          <w:jc w:val="both"/>
                          <w:rPr>
                            <w:rFonts w:ascii="宋体" w:hAnsi="宋体" w:cs="宋体" w:eastAsia="宋体" w:hint="default"/>
                            <w:sz w:val="20"/>
                            <w:szCs w:val="20"/>
                          </w:rPr>
                        </w:pPr>
                        <w:r>
                          <w:rPr>
                            <w:rFonts w:ascii="宋体" w:hAnsi="宋体" w:cs="宋体" w:eastAsia="宋体" w:hint="default"/>
                            <w:spacing w:val="-6"/>
                            <w:sz w:val="20"/>
                            <w:szCs w:val="20"/>
                          </w:rPr>
                          <w:t>报告期内主要由于（</w:t>
                        </w:r>
                        <w:r>
                          <w:rPr>
                            <w:rFonts w:ascii="Times New Roman" w:hAnsi="Times New Roman" w:cs="Times New Roman" w:eastAsia="Times New Roman" w:hint="default"/>
                            <w:spacing w:val="-6"/>
                            <w:sz w:val="20"/>
                            <w:szCs w:val="20"/>
                          </w:rPr>
                          <w:t>1</w:t>
                        </w:r>
                        <w:r>
                          <w:rPr>
                            <w:rFonts w:ascii="宋体" w:hAnsi="宋体" w:cs="宋体" w:eastAsia="宋体" w:hint="default"/>
                            <w:spacing w:val="-6"/>
                            <w:sz w:val="20"/>
                            <w:szCs w:val="20"/>
                          </w:rPr>
                          <w:t>）公司开展门店资产创新业务</w:t>
                        </w:r>
                      </w:p>
                      <w:p>
                        <w:pPr>
                          <w:pStyle w:val="TableParagraph"/>
                          <w:spacing w:line="271" w:lineRule="auto" w:before="35"/>
                          <w:ind w:left="22" w:right="102"/>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）完成</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PPTV</w:t>
                        </w:r>
                        <w:r>
                          <w:rPr>
                            <w:rFonts w:ascii="Times New Roman" w:hAnsi="Times New Roman" w:cs="Times New Roman" w:eastAsia="Times New Roman" w:hint="default"/>
                            <w:spacing w:val="-6"/>
                            <w:sz w:val="20"/>
                            <w:szCs w:val="20"/>
                          </w:rPr>
                          <w:t> </w:t>
                        </w:r>
                        <w:r>
                          <w:rPr>
                            <w:rFonts w:ascii="Times New Roman" w:hAnsi="Times New Roman" w:cs="Times New Roman" w:eastAsia="Times New Roman" w:hint="default"/>
                            <w:sz w:val="20"/>
                            <w:szCs w:val="20"/>
                          </w:rPr>
                          <w:t>68.08%</w:t>
                        </w:r>
                        <w:r>
                          <w:rPr>
                            <w:rFonts w:ascii="宋体" w:hAnsi="宋体" w:cs="宋体" w:eastAsia="宋体" w:hint="default"/>
                            <w:sz w:val="20"/>
                            <w:szCs w:val="20"/>
                          </w:rPr>
                          <w:t>股权转让，以及（</w:t>
                        </w:r>
                        <w:r>
                          <w:rPr>
                            <w:rFonts w:ascii="Times New Roman" w:hAnsi="Times New Roman" w:cs="Times New Roman" w:eastAsia="Times New Roman" w:hint="default"/>
                            <w:sz w:val="20"/>
                            <w:szCs w:val="20"/>
                          </w:rPr>
                          <w:t>3</w:t>
                        </w:r>
                        <w:r>
                          <w:rPr>
                            <w:rFonts w:ascii="宋体" w:hAnsi="宋体" w:cs="宋体" w:eastAsia="宋体" w:hint="default"/>
                            <w:sz w:val="20"/>
                            <w:szCs w:val="20"/>
                          </w:rPr>
                          <w:t>）日本</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LAOX</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完成新股发行募集资金。由此带来期末现金</w:t>
                        </w:r>
                        <w:r>
                          <w:rPr>
                            <w:rFonts w:ascii="宋体" w:hAnsi="宋体" w:cs="宋体" w:eastAsia="宋体" w:hint="default"/>
                            <w:w w:val="100"/>
                            <w:sz w:val="20"/>
                            <w:szCs w:val="20"/>
                          </w:rPr>
                          <w:t> </w:t>
                        </w:r>
                        <w:r>
                          <w:rPr>
                            <w:rFonts w:ascii="宋体" w:hAnsi="宋体" w:cs="宋体" w:eastAsia="宋体" w:hint="default"/>
                            <w:sz w:val="20"/>
                            <w:szCs w:val="20"/>
                          </w:rPr>
                          <w:t>及现金等价物余额较去年同期增加</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36.76%</w:t>
                        </w:r>
                        <w:r>
                          <w:rPr>
                            <w:rFonts w:ascii="宋体" w:hAnsi="宋体" w:cs="宋体" w:eastAsia="宋体" w:hint="default"/>
                            <w:sz w:val="20"/>
                            <w:szCs w:val="20"/>
                          </w:rPr>
                          <w:t>。</w:t>
                        </w:r>
                      </w:p>
                    </w:tc>
                  </w:tr>
                  <w:tr>
                    <w:trPr>
                      <w:trHeight w:val="629" w:hRule="exact"/>
                    </w:trPr>
                    <w:tc>
                      <w:tcPr>
                        <w:tcW w:w="1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9" w:space="0" w:color="D2D2D2"/>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4545" w:type="dxa"/>
                        <w:vMerge/>
                        <w:tcBorders>
                          <w:left w:val="single" w:sz="4" w:space="0" w:color="000000"/>
                          <w:bottom w:val="single" w:sz="4" w:space="0" w:color="000000"/>
                          <w:right w:val="single" w:sz="4" w:space="0" w:color="000000"/>
                        </w:tcBorders>
                      </w:tcPr>
                      <w:p>
                        <w:pP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1" w:right="0"/>
                          <w:jc w:val="left"/>
                          <w:rPr>
                            <w:rFonts w:ascii="宋体" w:hAnsi="宋体" w:cs="宋体" w:eastAsia="宋体" w:hint="default"/>
                            <w:sz w:val="20"/>
                            <w:szCs w:val="20"/>
                          </w:rPr>
                        </w:pPr>
                        <w:r>
                          <w:rPr>
                            <w:rFonts w:ascii="宋体" w:hAnsi="宋体" w:cs="宋体" w:eastAsia="宋体" w:hint="default"/>
                            <w:sz w:val="20"/>
                            <w:szCs w:val="20"/>
                          </w:rPr>
                          <w:t>流动比率</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1.20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0.04</w:t>
                        </w:r>
                      </w:p>
                    </w:tc>
                    <w:tc>
                      <w:tcPr>
                        <w:tcW w:w="45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1" w:right="0"/>
                          <w:jc w:val="left"/>
                          <w:rPr>
                            <w:rFonts w:ascii="宋体" w:hAnsi="宋体" w:cs="宋体" w:eastAsia="宋体" w:hint="default"/>
                            <w:sz w:val="20"/>
                            <w:szCs w:val="20"/>
                          </w:rPr>
                        </w:pPr>
                        <w:r>
                          <w:rPr>
                            <w:rFonts w:ascii="宋体" w:hAnsi="宋体" w:cs="宋体" w:eastAsia="宋体" w:hint="default"/>
                            <w:sz w:val="20"/>
                            <w:szCs w:val="20"/>
                          </w:rPr>
                          <w:t>资产负债率</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63.75%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z w:val="20"/>
                          </w:rPr>
                          <w:t>64.06%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-0.31%</w:t>
                        </w:r>
                      </w:p>
                    </w:tc>
                    <w:tc>
                      <w:tcPr>
                        <w:tcW w:w="45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sz w:val="20"/>
                            <w:szCs w:val="20"/>
                          </w:rPr>
                          <w:t>速动比率</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0.85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0.76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20"/>
                            <w:szCs w:val="20"/>
                          </w:rPr>
                        </w:pPr>
                        <w:r>
                          <w:rPr>
                            <w:rFonts w:ascii="Times New Roman"/>
                            <w:spacing w:val="-1"/>
                            <w:sz w:val="20"/>
                          </w:rPr>
                          <w:t>0.09</w:t>
                        </w:r>
                        <w:r>
                          <w:rPr>
                            <w:rFonts w:ascii="Times New Roman"/>
                            <w:sz w:val="20"/>
                          </w:rPr>
                        </w:r>
                      </w:p>
                    </w:tc>
                    <w:tc>
                      <w:tcPr>
                        <w:tcW w:w="45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ind w:left="11" w:right="17"/>
                          <w:jc w:val="left"/>
                          <w:rPr>
                            <w:rFonts w:ascii="宋体" w:hAnsi="宋体" w:cs="宋体" w:eastAsia="宋体" w:hint="default"/>
                            <w:sz w:val="20"/>
                            <w:szCs w:val="20"/>
                          </w:rPr>
                        </w:pPr>
                        <w:r>
                          <w:rPr>
                            <w:rFonts w:ascii="Times New Roman" w:hAnsi="Times New Roman" w:cs="Times New Roman" w:eastAsia="Times New Roman" w:hint="default"/>
                            <w:sz w:val="20"/>
                            <w:szCs w:val="20"/>
                          </w:rPr>
                          <w:t>EBITDA </w:t>
                        </w:r>
                        <w:r>
                          <w:rPr>
                            <w:rFonts w:ascii="宋体" w:hAnsi="宋体" w:cs="宋体" w:eastAsia="宋体" w:hint="default"/>
                            <w:sz w:val="20"/>
                            <w:szCs w:val="20"/>
                          </w:rPr>
                          <w:t>全部债务</w:t>
                        </w:r>
                        <w:r>
                          <w:rPr>
                            <w:rFonts w:ascii="宋体" w:hAnsi="宋体" w:cs="宋体" w:eastAsia="宋体" w:hint="default"/>
                            <w:w w:val="100"/>
                            <w:sz w:val="20"/>
                            <w:szCs w:val="20"/>
                          </w:rPr>
                          <w:t> </w:t>
                        </w:r>
                        <w:r>
                          <w:rPr>
                            <w:rFonts w:ascii="宋体" w:hAnsi="宋体" w:cs="宋体" w:eastAsia="宋体" w:hint="default"/>
                            <w:sz w:val="20"/>
                            <w:szCs w:val="20"/>
                          </w:rPr>
                          <w:t>比</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3"/>
                            <w:sz w:val="20"/>
                          </w:rPr>
                          <w:t>0.11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0.09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0.02</w:t>
                        </w:r>
                      </w:p>
                    </w:tc>
                    <w:tc>
                      <w:tcPr>
                        <w:tcW w:w="45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1" w:right="0"/>
                          <w:jc w:val="left"/>
                          <w:rPr>
                            <w:rFonts w:ascii="宋体" w:hAnsi="宋体" w:cs="宋体" w:eastAsia="宋体" w:hint="default"/>
                            <w:sz w:val="20"/>
                            <w:szCs w:val="20"/>
                          </w:rPr>
                        </w:pPr>
                        <w:r>
                          <w:rPr>
                            <w:rFonts w:ascii="宋体" w:hAnsi="宋体" w:cs="宋体" w:eastAsia="宋体" w:hint="default"/>
                            <w:sz w:val="20"/>
                            <w:szCs w:val="20"/>
                          </w:rPr>
                          <w:t>利息保障倍数</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2.30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0"/>
                            <w:szCs w:val="20"/>
                          </w:rPr>
                        </w:pPr>
                        <w:r>
                          <w:rPr>
                            <w:rFonts w:ascii="Times New Roman"/>
                            <w:sz w:val="20"/>
                          </w:rPr>
                          <w:t>2.50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-8.00%</w:t>
                        </w:r>
                      </w:p>
                    </w:tc>
                    <w:tc>
                      <w:tcPr>
                        <w:tcW w:w="4545"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162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85" w:lineRule="auto"/>
                          <w:ind w:left="11" w:right="201"/>
                          <w:jc w:val="left"/>
                          <w:rPr>
                            <w:rFonts w:ascii="宋体" w:hAnsi="宋体" w:cs="宋体" w:eastAsia="宋体" w:hint="default"/>
                            <w:sz w:val="20"/>
                            <w:szCs w:val="20"/>
                          </w:rPr>
                        </w:pPr>
                        <w:r>
                          <w:rPr>
                            <w:rFonts w:ascii="宋体" w:hAnsi="宋体" w:cs="宋体" w:eastAsia="宋体" w:hint="default"/>
                            <w:sz w:val="20"/>
                            <w:szCs w:val="20"/>
                          </w:rPr>
                          <w:t>现金利息保障倍</w:t>
                        </w:r>
                        <w:r>
                          <w:rPr>
                            <w:rFonts w:ascii="宋体" w:hAnsi="宋体" w:cs="宋体" w:eastAsia="宋体" w:hint="default"/>
                            <w:w w:val="100"/>
                            <w:sz w:val="20"/>
                            <w:szCs w:val="20"/>
                          </w:rPr>
                          <w:t> </w:t>
                        </w:r>
                        <w:r>
                          <w:rPr>
                            <w:rFonts w:ascii="宋体" w:hAnsi="宋体" w:cs="宋体" w:eastAsia="宋体" w:hint="default"/>
                            <w:sz w:val="20"/>
                            <w:szCs w:val="20"/>
                          </w:rPr>
                          <w:t>数</w:t>
                        </w:r>
                      </w:p>
                    </w:tc>
                    <w:tc>
                      <w:tcPr>
                        <w:tcW w:w="1069" w:type="dxa"/>
                        <w:vMerge w:val="restart"/>
                        <w:tcBorders>
                          <w:top w:val="single" w:sz="4" w:space="0" w:color="000000"/>
                          <w:left w:val="single" w:sz="9" w:space="0" w:color="D2D2D2"/>
                          <w:right w:val="single" w:sz="4" w:space="0" w:color="000000"/>
                        </w:tcBorders>
                      </w:tcPr>
                      <w:p>
                        <w:pPr>
                          <w:pStyle w:val="TableParagraph"/>
                          <w:spacing w:line="240" w:lineRule="auto" w:before="40"/>
                          <w:ind w:left="679" w:right="0"/>
                          <w:jc w:val="left"/>
                          <w:rPr>
                            <w:rFonts w:ascii="Times New Roman" w:hAnsi="Times New Roman" w:cs="Times New Roman" w:eastAsia="Times New Roman" w:hint="default"/>
                            <w:sz w:val="20"/>
                            <w:szCs w:val="20"/>
                          </w:rPr>
                        </w:pPr>
                        <w:r>
                          <w:rPr>
                            <w:rFonts w:ascii="Times New Roman"/>
                            <w:sz w:val="20"/>
                          </w:rPr>
                          <w:t>7.52</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0"/>
                          <w:ind w:left="810" w:right="0"/>
                          <w:jc w:val="left"/>
                          <w:rPr>
                            <w:rFonts w:ascii="Times New Roman" w:hAnsi="Times New Roman" w:cs="Times New Roman" w:eastAsia="Times New Roman" w:hint="default"/>
                            <w:sz w:val="20"/>
                            <w:szCs w:val="20"/>
                          </w:rPr>
                        </w:pPr>
                        <w:r>
                          <w:rPr>
                            <w:rFonts w:ascii="Times New Roman"/>
                            <w:sz w:val="20"/>
                          </w:rPr>
                          <w:t>-1.70</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0"/>
                          <w:ind w:left="509" w:right="0"/>
                          <w:jc w:val="left"/>
                          <w:rPr>
                            <w:rFonts w:ascii="Times New Roman" w:hAnsi="Times New Roman" w:cs="Times New Roman" w:eastAsia="Times New Roman" w:hint="default"/>
                            <w:sz w:val="20"/>
                            <w:szCs w:val="20"/>
                          </w:rPr>
                        </w:pPr>
                        <w:r>
                          <w:rPr>
                            <w:rFonts w:ascii="Times New Roman"/>
                            <w:sz w:val="20"/>
                          </w:rPr>
                          <w:t>542.35%</w:t>
                        </w:r>
                      </w:p>
                    </w:tc>
                    <w:tc>
                      <w:tcPr>
                        <w:tcW w:w="4545" w:type="dxa"/>
                        <w:vMerge w:val="restart"/>
                        <w:tcBorders>
                          <w:top w:val="single" w:sz="4" w:space="0" w:color="000000"/>
                          <w:left w:val="single" w:sz="4" w:space="0" w:color="000000"/>
                          <w:right w:val="single" w:sz="4" w:space="0" w:color="000000"/>
                        </w:tcBorders>
                      </w:tcPr>
                      <w:p>
                        <w:pPr>
                          <w:pStyle w:val="TableParagraph"/>
                          <w:spacing w:line="285" w:lineRule="auto"/>
                          <w:ind w:left="22" w:right="108"/>
                          <w:jc w:val="both"/>
                          <w:rPr>
                            <w:rFonts w:ascii="宋体" w:hAnsi="宋体" w:cs="宋体" w:eastAsia="宋体" w:hint="default"/>
                            <w:sz w:val="20"/>
                            <w:szCs w:val="20"/>
                          </w:rPr>
                        </w:pPr>
                        <w:r>
                          <w:rPr>
                            <w:rFonts w:ascii="宋体" w:hAnsi="宋体" w:cs="宋体" w:eastAsia="宋体" w:hint="default"/>
                            <w:sz w:val="20"/>
                            <w:szCs w:val="20"/>
                          </w:rPr>
                          <w:t>报告期内公司销售收入增长快，且公司加强商品供</w:t>
                        </w:r>
                        <w:r>
                          <w:rPr>
                            <w:rFonts w:ascii="宋体" w:hAnsi="宋体" w:cs="宋体" w:eastAsia="宋体" w:hint="default"/>
                            <w:w w:val="100"/>
                            <w:sz w:val="20"/>
                            <w:szCs w:val="20"/>
                          </w:rPr>
                          <w:t> </w:t>
                        </w:r>
                        <w:r>
                          <w:rPr>
                            <w:rFonts w:ascii="宋体" w:hAnsi="宋体" w:cs="宋体" w:eastAsia="宋体" w:hint="default"/>
                            <w:sz w:val="20"/>
                            <w:szCs w:val="20"/>
                          </w:rPr>
                          <w:t>应链管理，存货周转效率提升，由此带来报告期内</w:t>
                        </w:r>
                        <w:r>
                          <w:rPr>
                            <w:rFonts w:ascii="宋体" w:hAnsi="宋体" w:cs="宋体" w:eastAsia="宋体" w:hint="default"/>
                            <w:w w:val="100"/>
                            <w:sz w:val="20"/>
                            <w:szCs w:val="20"/>
                          </w:rPr>
                          <w:t> </w:t>
                        </w:r>
                        <w:r>
                          <w:rPr>
                            <w:rFonts w:ascii="宋体" w:hAnsi="宋体" w:cs="宋体" w:eastAsia="宋体" w:hint="default"/>
                            <w:sz w:val="20"/>
                            <w:szCs w:val="20"/>
                          </w:rPr>
                          <w:t>公司经营活动产生的现金流量净额同比增加。</w:t>
                        </w:r>
                      </w:p>
                    </w:tc>
                  </w:tr>
                  <w:tr>
                    <w:trPr>
                      <w:trHeight w:val="317" w:hRule="exact"/>
                    </w:trPr>
                    <w:tc>
                      <w:tcPr>
                        <w:tcW w:w="1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9" w:space="0" w:color="D2D2D2"/>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4545" w:type="dxa"/>
                        <w:vMerge/>
                        <w:tcBorders>
                          <w:left w:val="single" w:sz="4" w:space="0" w:color="000000"/>
                          <w:bottom w:val="single" w:sz="4" w:space="0" w:color="000000"/>
                          <w:right w:val="single" w:sz="4" w:space="0" w:color="000000"/>
                        </w:tcBorders>
                      </w:tcPr>
                      <w:p>
                        <w:pP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ind w:left="11" w:right="17"/>
                          <w:jc w:val="left"/>
                          <w:rPr>
                            <w:rFonts w:ascii="宋体" w:hAnsi="宋体" w:cs="宋体" w:eastAsia="宋体" w:hint="default"/>
                            <w:sz w:val="20"/>
                            <w:szCs w:val="20"/>
                          </w:rPr>
                        </w:pPr>
                        <w:r>
                          <w:rPr>
                            <w:rFonts w:ascii="Times New Roman" w:hAnsi="Times New Roman" w:cs="Times New Roman" w:eastAsia="Times New Roman" w:hint="default"/>
                            <w:sz w:val="20"/>
                            <w:szCs w:val="20"/>
                          </w:rPr>
                          <w:t>EBITDA </w:t>
                        </w:r>
                        <w:r>
                          <w:rPr>
                            <w:rFonts w:ascii="宋体" w:hAnsi="宋体" w:cs="宋体" w:eastAsia="宋体" w:hint="default"/>
                            <w:sz w:val="20"/>
                            <w:szCs w:val="20"/>
                          </w:rPr>
                          <w:t>利息保障</w:t>
                        </w:r>
                        <w:r>
                          <w:rPr>
                            <w:rFonts w:ascii="宋体" w:hAnsi="宋体" w:cs="宋体" w:eastAsia="宋体" w:hint="default"/>
                            <w:w w:val="100"/>
                            <w:sz w:val="20"/>
                            <w:szCs w:val="20"/>
                          </w:rPr>
                          <w:t> </w:t>
                        </w:r>
                        <w:r>
                          <w:rPr>
                            <w:rFonts w:ascii="宋体" w:hAnsi="宋体" w:cs="宋体" w:eastAsia="宋体" w:hint="default"/>
                            <w:sz w:val="20"/>
                            <w:szCs w:val="20"/>
                          </w:rPr>
                          <w:t>倍数</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6.80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5.69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19.51%</w:t>
                        </w:r>
                      </w:p>
                    </w:tc>
                    <w:tc>
                      <w:tcPr>
                        <w:tcW w:w="45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1" w:right="0"/>
                          <w:jc w:val="left"/>
                          <w:rPr>
                            <w:rFonts w:ascii="宋体" w:hAnsi="宋体" w:cs="宋体" w:eastAsia="宋体" w:hint="default"/>
                            <w:sz w:val="20"/>
                            <w:szCs w:val="20"/>
                          </w:rPr>
                        </w:pPr>
                        <w:r>
                          <w:rPr>
                            <w:rFonts w:ascii="宋体" w:hAnsi="宋体" w:cs="宋体" w:eastAsia="宋体" w:hint="default"/>
                            <w:sz w:val="20"/>
                            <w:szCs w:val="20"/>
                          </w:rPr>
                          <w:t>贷款偿还率</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z w:val="20"/>
                          </w:rPr>
                          <w:t>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z w:val="20"/>
                          </w:rPr>
                          <w:t>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45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sz w:val="20"/>
                            <w:szCs w:val="20"/>
                          </w:rPr>
                          <w:t>利息偿付率</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454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54" w:right="1082" w:firstLine="0"/>
        <w:jc w:val="left"/>
        <w:rPr>
          <w:rFonts w:ascii="宋体" w:hAnsi="宋体" w:cs="宋体" w:eastAsia="宋体" w:hint="default"/>
          <w:sz w:val="20"/>
          <w:szCs w:val="20"/>
        </w:rPr>
      </w:pPr>
      <w:r>
        <w:rPr>
          <w:rFonts w:ascii="宋体" w:hAnsi="宋体" w:cs="宋体" w:eastAsia="宋体" w:hint="default"/>
          <w:w w:val="100"/>
          <w:sz w:val="20"/>
          <w:szCs w:val="20"/>
        </w:rPr>
        <w:t>注</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w:t>
      </w:r>
      <w:r>
        <w:rPr>
          <w:rFonts w:ascii="Times New Roman" w:hAnsi="Times New Roman" w:cs="Times New Roman" w:eastAsia="Times New Roman" w:hint="default"/>
          <w:w w:val="100"/>
          <w:sz w:val="20"/>
          <w:szCs w:val="20"/>
        </w:rPr>
        <w:t>1</w:t>
      </w:r>
      <w:r>
        <w:rPr>
          <w:rFonts w:ascii="宋体" w:hAnsi="宋体" w:cs="宋体" w:eastAsia="宋体" w:hint="default"/>
          <w:spacing w:val="-2"/>
          <w:w w:val="100"/>
          <w:sz w:val="20"/>
          <w:szCs w:val="20"/>
        </w:rPr>
        <w:t>）</w:t>
      </w:r>
      <w:r>
        <w:rPr>
          <w:rFonts w:ascii="Times New Roman" w:hAnsi="Times New Roman" w:cs="Times New Roman" w:eastAsia="Times New Roman" w:hint="default"/>
          <w:w w:val="100"/>
          <w:sz w:val="20"/>
          <w:szCs w:val="20"/>
        </w:rPr>
        <w:t>EB</w:t>
      </w:r>
      <w:r>
        <w:rPr>
          <w:rFonts w:ascii="Times New Roman" w:hAnsi="Times New Roman" w:cs="Times New Roman" w:eastAsia="Times New Roman" w:hint="default"/>
          <w:spacing w:val="-2"/>
          <w:w w:val="100"/>
          <w:sz w:val="20"/>
          <w:szCs w:val="20"/>
        </w:rPr>
        <w:t>I</w:t>
      </w:r>
      <w:r>
        <w:rPr>
          <w:rFonts w:ascii="Times New Roman" w:hAnsi="Times New Roman" w:cs="Times New Roman" w:eastAsia="Times New Roman" w:hint="default"/>
          <w:w w:val="100"/>
          <w:sz w:val="20"/>
          <w:szCs w:val="20"/>
        </w:rPr>
        <w:t>T</w:t>
      </w:r>
      <w:r>
        <w:rPr>
          <w:rFonts w:ascii="Times New Roman" w:hAnsi="Times New Roman" w:cs="Times New Roman" w:eastAsia="Times New Roman" w:hint="default"/>
          <w:spacing w:val="-1"/>
          <w:w w:val="100"/>
          <w:sz w:val="20"/>
          <w:szCs w:val="20"/>
        </w:rPr>
        <w:t>D</w:t>
      </w:r>
      <w:r>
        <w:rPr>
          <w:rFonts w:ascii="Times New Roman" w:hAnsi="Times New Roman" w:cs="Times New Roman" w:eastAsia="Times New Roman" w:hint="default"/>
          <w:w w:val="100"/>
          <w:sz w:val="20"/>
          <w:szCs w:val="20"/>
        </w:rPr>
        <w:t>A</w:t>
      </w:r>
      <w:r>
        <w:rPr>
          <w:rFonts w:ascii="Times New Roman" w:hAnsi="Times New Roman" w:cs="Times New Roman" w:eastAsia="Times New Roman" w:hint="default"/>
          <w:sz w:val="20"/>
          <w:szCs w:val="20"/>
        </w:rPr>
        <w:t> </w:t>
      </w:r>
      <w:r>
        <w:rPr>
          <w:rFonts w:ascii="宋体" w:hAnsi="宋体" w:cs="宋体" w:eastAsia="宋体" w:hint="default"/>
          <w:w w:val="100"/>
          <w:sz w:val="20"/>
          <w:szCs w:val="20"/>
        </w:rPr>
        <w:t>全</w:t>
      </w:r>
      <w:r>
        <w:rPr>
          <w:rFonts w:ascii="宋体" w:hAnsi="宋体" w:cs="宋体" w:eastAsia="宋体" w:hint="default"/>
          <w:spacing w:val="-2"/>
          <w:w w:val="100"/>
          <w:sz w:val="20"/>
          <w:szCs w:val="20"/>
        </w:rPr>
        <w:t>部债</w:t>
      </w:r>
      <w:r>
        <w:rPr>
          <w:rFonts w:ascii="宋体" w:hAnsi="宋体" w:cs="宋体" w:eastAsia="宋体" w:hint="default"/>
          <w:w w:val="100"/>
          <w:sz w:val="20"/>
          <w:szCs w:val="20"/>
        </w:rPr>
        <w:t>务比</w:t>
      </w:r>
      <w:r>
        <w:rPr>
          <w:rFonts w:ascii="Times New Roman" w:hAnsi="Times New Roman" w:cs="Times New Roman" w:eastAsia="Times New Roman" w:hint="default"/>
          <w:spacing w:val="-1"/>
          <w:w w:val="100"/>
          <w:sz w:val="20"/>
          <w:szCs w:val="20"/>
        </w:rPr>
        <w:t>=</w:t>
      </w:r>
      <w:r>
        <w:rPr>
          <w:rFonts w:ascii="宋体" w:hAnsi="宋体" w:cs="宋体" w:eastAsia="宋体" w:hint="default"/>
          <w:w w:val="100"/>
          <w:sz w:val="20"/>
          <w:szCs w:val="20"/>
        </w:rPr>
        <w:t>息</w:t>
      </w:r>
      <w:r>
        <w:rPr>
          <w:rFonts w:ascii="宋体" w:hAnsi="宋体" w:cs="宋体" w:eastAsia="宋体" w:hint="default"/>
          <w:spacing w:val="-2"/>
          <w:w w:val="100"/>
          <w:sz w:val="20"/>
          <w:szCs w:val="20"/>
        </w:rPr>
        <w:t>税折</w:t>
      </w:r>
      <w:r>
        <w:rPr>
          <w:rFonts w:ascii="宋体" w:hAnsi="宋体" w:cs="宋体" w:eastAsia="宋体" w:hint="default"/>
          <w:w w:val="100"/>
          <w:sz w:val="20"/>
          <w:szCs w:val="20"/>
        </w:rPr>
        <w:t>旧摊销</w:t>
      </w:r>
      <w:r>
        <w:rPr>
          <w:rFonts w:ascii="宋体" w:hAnsi="宋体" w:cs="宋体" w:eastAsia="宋体" w:hint="default"/>
          <w:spacing w:val="-2"/>
          <w:w w:val="100"/>
          <w:sz w:val="20"/>
          <w:szCs w:val="20"/>
        </w:rPr>
        <w:t>前</w:t>
      </w:r>
      <w:r>
        <w:rPr>
          <w:rFonts w:ascii="宋体" w:hAnsi="宋体" w:cs="宋体" w:eastAsia="宋体" w:hint="default"/>
          <w:w w:val="100"/>
          <w:sz w:val="20"/>
          <w:szCs w:val="20"/>
        </w:rPr>
        <w:t>利</w:t>
      </w:r>
      <w:r>
        <w:rPr>
          <w:rFonts w:ascii="宋体" w:hAnsi="宋体" w:cs="宋体" w:eastAsia="宋体" w:hint="default"/>
          <w:spacing w:val="-1"/>
          <w:w w:val="100"/>
          <w:sz w:val="20"/>
          <w:szCs w:val="20"/>
        </w:rPr>
        <w:t>润</w:t>
      </w:r>
      <w:r>
        <w:rPr>
          <w:rFonts w:ascii="Times New Roman" w:hAnsi="Times New Roman" w:cs="Times New Roman" w:eastAsia="Times New Roman" w:hint="default"/>
          <w:spacing w:val="-1"/>
          <w:w w:val="100"/>
          <w:sz w:val="20"/>
          <w:szCs w:val="20"/>
        </w:rPr>
        <w:t>/</w:t>
      </w:r>
      <w:r>
        <w:rPr>
          <w:rFonts w:ascii="宋体" w:hAnsi="宋体" w:cs="宋体" w:eastAsia="宋体" w:hint="default"/>
          <w:w w:val="100"/>
          <w:sz w:val="20"/>
          <w:szCs w:val="20"/>
        </w:rPr>
        <w:t>全部债务</w:t>
      </w:r>
    </w:p>
    <w:p>
      <w:pPr>
        <w:spacing w:before="82"/>
        <w:ind w:left="153" w:right="1082"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）利息保障倍数</w:t>
      </w:r>
      <w:r>
        <w:rPr>
          <w:rFonts w:ascii="Times New Roman" w:hAnsi="Times New Roman" w:cs="Times New Roman" w:eastAsia="Times New Roman" w:hint="default"/>
          <w:sz w:val="20"/>
          <w:szCs w:val="20"/>
        </w:rPr>
        <w:t>=</w:t>
      </w:r>
      <w:r>
        <w:rPr>
          <w:rFonts w:ascii="宋体" w:hAnsi="宋体" w:cs="宋体" w:eastAsia="宋体" w:hint="default"/>
          <w:sz w:val="20"/>
          <w:szCs w:val="20"/>
        </w:rPr>
        <w:t>息税前利润</w:t>
      </w:r>
      <w:r>
        <w:rPr>
          <w:rFonts w:ascii="Times New Roman" w:hAnsi="Times New Roman" w:cs="Times New Roman" w:eastAsia="Times New Roman" w:hint="default"/>
          <w:sz w:val="20"/>
          <w:szCs w:val="20"/>
        </w:rPr>
        <w:t>/</w:t>
      </w:r>
      <w:r>
        <w:rPr>
          <w:rFonts w:ascii="宋体" w:hAnsi="宋体" w:cs="宋体" w:eastAsia="宋体" w:hint="default"/>
          <w:sz w:val="20"/>
          <w:szCs w:val="20"/>
        </w:rPr>
        <w:t>（计入财务费用的利息支出</w:t>
      </w:r>
      <w:r>
        <w:rPr>
          <w:rFonts w:ascii="Times New Roman" w:hAnsi="Times New Roman" w:cs="Times New Roman" w:eastAsia="Times New Roman" w:hint="default"/>
          <w:sz w:val="20"/>
          <w:szCs w:val="20"/>
        </w:rPr>
        <w:t>+</w:t>
      </w:r>
      <w:r>
        <w:rPr>
          <w:rFonts w:ascii="宋体" w:hAnsi="宋体" w:cs="宋体" w:eastAsia="宋体" w:hint="default"/>
          <w:sz w:val="20"/>
          <w:szCs w:val="20"/>
        </w:rPr>
        <w:t>资本化的利息支出）</w:t>
      </w:r>
    </w:p>
    <w:p>
      <w:pPr>
        <w:spacing w:before="82"/>
        <w:ind w:left="153" w:right="1082"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）现金利息保障倍数</w:t>
      </w:r>
      <w:r>
        <w:rPr>
          <w:rFonts w:ascii="Times New Roman" w:hAnsi="Times New Roman" w:cs="Times New Roman" w:eastAsia="Times New Roman" w:hint="default"/>
          <w:sz w:val="20"/>
          <w:szCs w:val="20"/>
        </w:rPr>
        <w:t>=</w:t>
      </w:r>
      <w:r>
        <w:rPr>
          <w:rFonts w:ascii="宋体" w:hAnsi="宋体" w:cs="宋体" w:eastAsia="宋体" w:hint="default"/>
          <w:sz w:val="20"/>
          <w:szCs w:val="20"/>
        </w:rPr>
        <w:t>（经营活动产生的现金流量净额</w:t>
      </w:r>
      <w:r>
        <w:rPr>
          <w:rFonts w:ascii="Times New Roman" w:hAnsi="Times New Roman" w:cs="Times New Roman" w:eastAsia="Times New Roman" w:hint="default"/>
          <w:sz w:val="20"/>
          <w:szCs w:val="20"/>
        </w:rPr>
        <w:t>+</w:t>
      </w:r>
      <w:r>
        <w:rPr>
          <w:rFonts w:ascii="宋体" w:hAnsi="宋体" w:cs="宋体" w:eastAsia="宋体" w:hint="default"/>
          <w:sz w:val="20"/>
          <w:szCs w:val="20"/>
        </w:rPr>
        <w:t>现金利息支出</w:t>
      </w:r>
      <w:r>
        <w:rPr>
          <w:rFonts w:ascii="Times New Roman" w:hAnsi="Times New Roman" w:cs="Times New Roman" w:eastAsia="Times New Roman" w:hint="default"/>
          <w:sz w:val="20"/>
          <w:szCs w:val="20"/>
        </w:rPr>
        <w:t>+</w:t>
      </w:r>
      <w:r>
        <w:rPr>
          <w:rFonts w:ascii="宋体" w:hAnsi="宋体" w:cs="宋体" w:eastAsia="宋体" w:hint="default"/>
          <w:sz w:val="20"/>
          <w:szCs w:val="20"/>
        </w:rPr>
        <w:t>所得税付现）</w:t>
      </w:r>
      <w:r>
        <w:rPr>
          <w:rFonts w:ascii="Times New Roman" w:hAnsi="Times New Roman" w:cs="Times New Roman" w:eastAsia="Times New Roman" w:hint="default"/>
          <w:sz w:val="20"/>
          <w:szCs w:val="20"/>
        </w:rPr>
        <w:t>/</w:t>
      </w:r>
      <w:r>
        <w:rPr>
          <w:rFonts w:ascii="宋体" w:hAnsi="宋体" w:cs="宋体" w:eastAsia="宋体" w:hint="default"/>
          <w:sz w:val="20"/>
          <w:szCs w:val="20"/>
        </w:rPr>
        <w:t>现金利息支出</w:t>
      </w:r>
    </w:p>
    <w:p>
      <w:pPr>
        <w:spacing w:before="82"/>
        <w:ind w:left="153" w:right="1082"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r>
        <w:rPr>
          <w:rFonts w:ascii="Times New Roman" w:hAnsi="Times New Roman" w:cs="Times New Roman" w:eastAsia="Times New Roman" w:hint="default"/>
          <w:sz w:val="20"/>
          <w:szCs w:val="20"/>
        </w:rPr>
        <w:t>EBITDA</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利息保障倍数</w:t>
      </w:r>
      <w:r>
        <w:rPr>
          <w:rFonts w:ascii="Times New Roman" w:hAnsi="Times New Roman" w:cs="Times New Roman" w:eastAsia="Times New Roman" w:hint="default"/>
          <w:sz w:val="20"/>
          <w:szCs w:val="20"/>
        </w:rPr>
        <w:t>=</w:t>
      </w:r>
      <w:r>
        <w:rPr>
          <w:rFonts w:ascii="宋体" w:hAnsi="宋体" w:cs="宋体" w:eastAsia="宋体" w:hint="default"/>
          <w:sz w:val="20"/>
          <w:szCs w:val="20"/>
        </w:rPr>
        <w:t>息税折旧摊销前利润</w:t>
      </w:r>
      <w:r>
        <w:rPr>
          <w:rFonts w:ascii="Times New Roman" w:hAnsi="Times New Roman" w:cs="Times New Roman" w:eastAsia="Times New Roman" w:hint="default"/>
          <w:sz w:val="20"/>
          <w:szCs w:val="20"/>
        </w:rPr>
        <w:t>/</w:t>
      </w:r>
      <w:r>
        <w:rPr>
          <w:rFonts w:ascii="宋体" w:hAnsi="宋体" w:cs="宋体" w:eastAsia="宋体" w:hint="default"/>
          <w:sz w:val="20"/>
          <w:szCs w:val="20"/>
        </w:rPr>
        <w:t>（计入财务费用的利息支出</w:t>
      </w:r>
      <w:r>
        <w:rPr>
          <w:rFonts w:ascii="Times New Roman" w:hAnsi="Times New Roman" w:cs="Times New Roman" w:eastAsia="Times New Roman" w:hint="default"/>
          <w:sz w:val="20"/>
          <w:szCs w:val="20"/>
        </w:rPr>
        <w:t>+</w:t>
      </w:r>
      <w:r>
        <w:rPr>
          <w:rFonts w:ascii="宋体" w:hAnsi="宋体" w:cs="宋体" w:eastAsia="宋体" w:hint="default"/>
          <w:sz w:val="20"/>
          <w:szCs w:val="20"/>
        </w:rPr>
        <w:t>资本化的利息支出）</w:t>
      </w:r>
    </w:p>
    <w:p>
      <w:pPr>
        <w:spacing w:before="82"/>
        <w:ind w:left="153" w:right="1082"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）贷款偿还率</w:t>
      </w:r>
      <w:r>
        <w:rPr>
          <w:rFonts w:ascii="Times New Roman" w:hAnsi="Times New Roman" w:cs="Times New Roman" w:eastAsia="Times New Roman" w:hint="default"/>
          <w:sz w:val="20"/>
          <w:szCs w:val="20"/>
        </w:rPr>
        <w:t>=</w:t>
      </w:r>
      <w:r>
        <w:rPr>
          <w:rFonts w:ascii="宋体" w:hAnsi="宋体" w:cs="宋体" w:eastAsia="宋体" w:hint="default"/>
          <w:sz w:val="20"/>
          <w:szCs w:val="20"/>
        </w:rPr>
        <w:t>实际贷款偿还额</w:t>
      </w:r>
      <w:r>
        <w:rPr>
          <w:rFonts w:ascii="Times New Roman" w:hAnsi="Times New Roman" w:cs="Times New Roman" w:eastAsia="Times New Roman" w:hint="default"/>
          <w:sz w:val="20"/>
          <w:szCs w:val="20"/>
        </w:rPr>
        <w:t>/</w:t>
      </w:r>
      <w:r>
        <w:rPr>
          <w:rFonts w:ascii="宋体" w:hAnsi="宋体" w:cs="宋体" w:eastAsia="宋体" w:hint="default"/>
          <w:sz w:val="20"/>
          <w:szCs w:val="20"/>
        </w:rPr>
        <w:t>应偿还贷款额</w:t>
      </w:r>
    </w:p>
    <w:p>
      <w:pPr>
        <w:spacing w:before="82"/>
        <w:ind w:left="154" w:right="1082"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6</w:t>
      </w:r>
      <w:r>
        <w:rPr>
          <w:rFonts w:ascii="宋体" w:hAnsi="宋体" w:cs="宋体" w:eastAsia="宋体" w:hint="default"/>
          <w:sz w:val="20"/>
          <w:szCs w:val="20"/>
        </w:rPr>
        <w:t>）利息偿付率</w:t>
      </w:r>
      <w:r>
        <w:rPr>
          <w:rFonts w:ascii="Times New Roman" w:hAnsi="Times New Roman" w:cs="Times New Roman" w:eastAsia="Times New Roman" w:hint="default"/>
          <w:sz w:val="20"/>
          <w:szCs w:val="20"/>
        </w:rPr>
        <w:t>=</w:t>
      </w:r>
      <w:r>
        <w:rPr>
          <w:rFonts w:ascii="宋体" w:hAnsi="宋体" w:cs="宋体" w:eastAsia="宋体" w:hint="default"/>
          <w:sz w:val="20"/>
          <w:szCs w:val="20"/>
        </w:rPr>
        <w:t>实际支付利息</w:t>
      </w:r>
      <w:r>
        <w:rPr>
          <w:rFonts w:ascii="Times New Roman" w:hAnsi="Times New Roman" w:cs="Times New Roman" w:eastAsia="Times New Roman" w:hint="default"/>
          <w:sz w:val="20"/>
          <w:szCs w:val="20"/>
        </w:rPr>
        <w:t>/</w:t>
      </w:r>
      <w:r>
        <w:rPr>
          <w:rFonts w:ascii="宋体" w:hAnsi="宋体" w:cs="宋体" w:eastAsia="宋体" w:hint="default"/>
          <w:sz w:val="20"/>
          <w:szCs w:val="20"/>
        </w:rPr>
        <w:t>应付利息</w:t>
      </w:r>
    </w:p>
    <w:p>
      <w:pPr>
        <w:spacing w:after="0"/>
        <w:jc w:val="left"/>
        <w:rPr>
          <w:rFonts w:ascii="宋体" w:hAnsi="宋体" w:cs="宋体" w:eastAsia="宋体" w:hint="default"/>
          <w:sz w:val="20"/>
          <w:szCs w:val="20"/>
        </w:rPr>
        <w:sectPr>
          <w:pgSz w:w="11910" w:h="16840"/>
          <w:pgMar w:header="877" w:footer="979" w:top="1100" w:bottom="1160" w:left="980" w:right="0"/>
        </w:sectPr>
      </w:pPr>
    </w:p>
    <w:p>
      <w:pPr>
        <w:spacing w:line="240" w:lineRule="auto" w:before="5"/>
        <w:rPr>
          <w:rFonts w:ascii="宋体" w:hAnsi="宋体" w:cs="宋体" w:eastAsia="宋体" w:hint="default"/>
          <w:sz w:val="20"/>
          <w:szCs w:val="20"/>
        </w:rPr>
      </w:pPr>
    </w:p>
    <w:p>
      <w:pPr>
        <w:pStyle w:val="Heading4"/>
        <w:spacing w:line="240" w:lineRule="auto" w:before="31"/>
        <w:ind w:right="1082"/>
        <w:jc w:val="left"/>
        <w:rPr>
          <w:b w:val="0"/>
          <w:bCs w:val="0"/>
        </w:rPr>
      </w:pPr>
      <w:bookmarkStart w:name="9、截至报告期末的资产权利受限情况" w:id="112"/>
      <w:bookmarkEnd w:id="112"/>
      <w:r>
        <w:rPr>
          <w:b w:val="0"/>
          <w:bCs w:val="0"/>
        </w:rPr>
      </w:r>
      <w:r>
        <w:rPr>
          <w:rFonts w:ascii="Times New Roman" w:hAnsi="Times New Roman" w:cs="Times New Roman" w:eastAsia="Times New Roman" w:hint="default"/>
        </w:rPr>
        <w:t>9</w:t>
      </w:r>
      <w:r>
        <w:rPr/>
        <w:t>、截至报告期末的资产权利受限情况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594" w:right="1082"/>
        <w:jc w:val="left"/>
      </w:pPr>
      <w:r>
        <w:rPr/>
        <w:t>截至报告期末，公司资产抵押情况：</w:t>
      </w:r>
    </w:p>
    <w:p>
      <w:pPr>
        <w:pStyle w:val="BodyText"/>
        <w:spacing w:line="369" w:lineRule="auto" w:before="180"/>
        <w:ind w:right="1132" w:firstLine="44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日，公司第五届董事会第二次会议审议通过，同意使用自有物业为公司及子</w:t>
      </w:r>
      <w:r>
        <w:rPr>
          <w:w w:val="99"/>
        </w:rPr>
        <w:t> </w:t>
      </w:r>
      <w:r>
        <w:rPr/>
        <w:t>公司 </w:t>
      </w:r>
      <w:r>
        <w:rPr>
          <w:rFonts w:ascii="Times New Roman" w:hAnsi="Times New Roman" w:cs="Times New Roman" w:eastAsia="Times New Roman" w:hint="default"/>
        </w:rPr>
        <w:t>Great Universe Limited</w:t>
      </w:r>
      <w:r>
        <w:rPr/>
        <w:t>就战略投资 </w:t>
      </w:r>
      <w:r>
        <w:rPr>
          <w:rFonts w:ascii="Times New Roman" w:hAnsi="Times New Roman" w:cs="Times New Roman" w:eastAsia="Times New Roman" w:hint="default"/>
        </w:rPr>
        <w:t>PPLive</w:t>
      </w:r>
      <w:r>
        <w:rPr>
          <w:rFonts w:ascii="Times New Roman" w:hAnsi="Times New Roman" w:cs="Times New Roman" w:eastAsia="Times New Roman" w:hint="default"/>
          <w:spacing w:val="43"/>
        </w:rPr>
        <w:t> </w:t>
      </w:r>
      <w:r>
        <w:rPr>
          <w:rFonts w:ascii="Times New Roman" w:hAnsi="Times New Roman" w:cs="Times New Roman" w:eastAsia="Times New Roman" w:hint="default"/>
        </w:rPr>
        <w:t>Corporation</w:t>
      </w:r>
      <w:r>
        <w:rPr/>
        <w:t>向国家开发银行股份有限公司申请金额不</w:t>
      </w:r>
      <w:r>
        <w:rPr>
          <w:w w:val="99"/>
        </w:rPr>
        <w:t> </w:t>
      </w:r>
      <w:r>
        <w:rPr/>
        <w:t>超过</w:t>
      </w:r>
      <w:r>
        <w:rPr>
          <w:rFonts w:ascii="Times New Roman" w:hAnsi="Times New Roman" w:cs="Times New Roman" w:eastAsia="Times New Roman" w:hint="default"/>
        </w:rPr>
        <w:t>11,000</w:t>
      </w:r>
      <w:r>
        <w:rPr/>
        <w:t>万美元（含</w:t>
      </w:r>
      <w:r>
        <w:rPr>
          <w:rFonts w:ascii="Times New Roman" w:hAnsi="Times New Roman" w:cs="Times New Roman" w:eastAsia="Times New Roman" w:hint="default"/>
        </w:rPr>
        <w:t>11,000</w:t>
      </w:r>
      <w:r>
        <w:rPr/>
        <w:t>万美元）并购贷款提供抵押担保，期限五年。</w:t>
      </w:r>
    </w:p>
    <w:p>
      <w:pPr>
        <w:pStyle w:val="BodyText"/>
        <w:spacing w:line="369" w:lineRule="auto" w:before="32"/>
        <w:ind w:left="154" w:right="1134" w:firstLine="440"/>
        <w:jc w:val="both"/>
      </w:pPr>
      <w:r>
        <w:rPr/>
        <w:t>本次用于抵押担保的资产分别为南京市中山北路</w:t>
      </w:r>
      <w:r>
        <w:rPr>
          <w:rFonts w:ascii="Times New Roman" w:hAnsi="Times New Roman" w:cs="Times New Roman" w:eastAsia="Times New Roman" w:hint="default"/>
        </w:rPr>
        <w:t>217</w:t>
      </w:r>
      <w:r>
        <w:rPr/>
        <w:t>号三至五层商业地产、南京市六合区大厂长</w:t>
      </w:r>
      <w:r>
        <w:rPr>
          <w:w w:val="99"/>
        </w:rPr>
        <w:t> </w:t>
      </w:r>
      <w:r>
        <w:rPr/>
        <w:t>冲街</w:t>
      </w:r>
      <w:r>
        <w:rPr>
          <w:rFonts w:ascii="Times New Roman" w:hAnsi="Times New Roman" w:cs="Times New Roman" w:eastAsia="Times New Roman" w:hint="default"/>
        </w:rPr>
        <w:t>88</w:t>
      </w:r>
      <w:r>
        <w:rPr/>
        <w:t>号商业地产以及南京市玄武大道</w:t>
      </w:r>
      <w:r>
        <w:rPr>
          <w:rFonts w:ascii="Times New Roman" w:hAnsi="Times New Roman" w:cs="Times New Roman" w:eastAsia="Times New Roman" w:hint="default"/>
        </w:rPr>
        <w:t>699-17</w:t>
      </w:r>
      <w:r>
        <w:rPr/>
        <w:t>号</w:t>
      </w:r>
      <w:r>
        <w:rPr>
          <w:rFonts w:ascii="Times New Roman" w:hAnsi="Times New Roman" w:cs="Times New Roman" w:eastAsia="Times New Roman" w:hint="default"/>
        </w:rPr>
        <w:t>1-3</w:t>
      </w:r>
      <w:r>
        <w:rPr/>
        <w:t>幢、</w:t>
      </w:r>
      <w:r>
        <w:rPr>
          <w:rFonts w:ascii="Times New Roman" w:hAnsi="Times New Roman" w:cs="Times New Roman" w:eastAsia="Times New Roman" w:hint="default"/>
        </w:rPr>
        <w:t>5-7</w:t>
      </w:r>
      <w:r>
        <w:rPr/>
        <w:t>幢房地产，物业情况列示如下：</w:t>
      </w:r>
    </w:p>
    <w:tbl>
      <w:tblPr>
        <w:tblW w:w="0" w:type="auto"/>
        <w:jc w:val="left"/>
        <w:tblInd w:w="137" w:type="dxa"/>
        <w:tblLayout w:type="fixed"/>
        <w:tblCellMar>
          <w:top w:w="0" w:type="dxa"/>
          <w:left w:w="0" w:type="dxa"/>
          <w:bottom w:w="0" w:type="dxa"/>
          <w:right w:w="0" w:type="dxa"/>
        </w:tblCellMar>
        <w:tblLook w:val="01E0"/>
      </w:tblPr>
      <w:tblGrid>
        <w:gridCol w:w="644"/>
        <w:gridCol w:w="1772"/>
        <w:gridCol w:w="2414"/>
        <w:gridCol w:w="2979"/>
        <w:gridCol w:w="1850"/>
      </w:tblGrid>
      <w:tr>
        <w:trPr>
          <w:trHeight w:val="329" w:hRule="exact"/>
        </w:trPr>
        <w:tc>
          <w:tcPr>
            <w:tcW w:w="6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exact"/>
              <w:ind w:left="114"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exact"/>
              <w:ind w:left="478" w:right="0"/>
              <w:jc w:val="left"/>
              <w:rPr>
                <w:rFonts w:ascii="宋体" w:hAnsi="宋体" w:cs="宋体" w:eastAsia="宋体" w:hint="default"/>
                <w:sz w:val="20"/>
                <w:szCs w:val="20"/>
              </w:rPr>
            </w:pPr>
            <w:r>
              <w:rPr>
                <w:rFonts w:ascii="宋体" w:hAnsi="宋体" w:cs="宋体" w:eastAsia="宋体" w:hint="default"/>
                <w:sz w:val="20"/>
                <w:szCs w:val="20"/>
              </w:rPr>
              <w:t>所有权人</w:t>
            </w:r>
          </w:p>
        </w:tc>
        <w:tc>
          <w:tcPr>
            <w:tcW w:w="24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exact"/>
              <w:ind w:left="798" w:right="0"/>
              <w:jc w:val="left"/>
              <w:rPr>
                <w:rFonts w:ascii="宋体" w:hAnsi="宋体" w:cs="宋体" w:eastAsia="宋体" w:hint="default"/>
                <w:sz w:val="20"/>
                <w:szCs w:val="20"/>
              </w:rPr>
            </w:pPr>
            <w:r>
              <w:rPr>
                <w:rFonts w:ascii="宋体" w:hAnsi="宋体" w:cs="宋体" w:eastAsia="宋体" w:hint="default"/>
                <w:sz w:val="20"/>
                <w:szCs w:val="20"/>
              </w:rPr>
              <w:t>房屋坐落</w:t>
            </w:r>
          </w:p>
        </w:tc>
        <w:tc>
          <w:tcPr>
            <w:tcW w:w="2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exact"/>
              <w:ind w:left="681" w:right="0"/>
              <w:jc w:val="left"/>
              <w:rPr>
                <w:rFonts w:ascii="宋体" w:hAnsi="宋体" w:cs="宋体" w:eastAsia="宋体" w:hint="default"/>
                <w:sz w:val="20"/>
                <w:szCs w:val="20"/>
              </w:rPr>
            </w:pPr>
            <w:r>
              <w:rPr>
                <w:rFonts w:ascii="宋体" w:hAnsi="宋体" w:cs="宋体" w:eastAsia="宋体" w:hint="default"/>
                <w:sz w:val="20"/>
                <w:szCs w:val="20"/>
              </w:rPr>
              <w:t>房屋所有权证编号</w:t>
            </w:r>
          </w:p>
        </w:tc>
        <w:tc>
          <w:tcPr>
            <w:tcW w:w="1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exact"/>
              <w:ind w:right="14"/>
              <w:jc w:val="right"/>
              <w:rPr>
                <w:rFonts w:ascii="宋体" w:hAnsi="宋体" w:cs="宋体" w:eastAsia="宋体" w:hint="default"/>
                <w:sz w:val="20"/>
                <w:szCs w:val="20"/>
              </w:rPr>
            </w:pPr>
            <w:r>
              <w:rPr>
                <w:rFonts w:ascii="宋体" w:hAnsi="宋体" w:cs="宋体" w:eastAsia="宋体" w:hint="default"/>
                <w:spacing w:val="-1"/>
                <w:sz w:val="20"/>
                <w:szCs w:val="20"/>
              </w:rPr>
              <w:t>建筑面积（平方米）</w:t>
            </w:r>
          </w:p>
        </w:tc>
      </w:tr>
      <w:tr>
        <w:trPr>
          <w:trHeight w:val="347"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w w:val="100"/>
                <w:sz w:val="20"/>
              </w:rPr>
              <w:t>1</w:t>
            </w:r>
          </w:p>
        </w:tc>
        <w:tc>
          <w:tcPr>
            <w:tcW w:w="1772" w:type="dxa"/>
            <w:vMerge w:val="restart"/>
            <w:tcBorders>
              <w:top w:val="single" w:sz="6" w:space="0" w:color="000000"/>
              <w:left w:val="single" w:sz="6" w:space="0" w:color="000000"/>
              <w:right w:val="single" w:sz="6" w:space="0" w:color="000000"/>
            </w:tcBorders>
          </w:tcPr>
          <w:p>
            <w:pPr>
              <w:pStyle w:val="TableParagraph"/>
              <w:spacing w:line="285" w:lineRule="auto"/>
              <w:ind w:left="478" w:right="76" w:hanging="400"/>
              <w:jc w:val="left"/>
              <w:rPr>
                <w:rFonts w:ascii="宋体" w:hAnsi="宋体" w:cs="宋体" w:eastAsia="宋体" w:hint="default"/>
                <w:sz w:val="20"/>
                <w:szCs w:val="20"/>
              </w:rPr>
            </w:pPr>
            <w:r>
              <w:rPr>
                <w:rFonts w:ascii="宋体" w:hAnsi="宋体" w:cs="宋体" w:eastAsia="宋体" w:hint="default"/>
                <w:sz w:val="20"/>
                <w:szCs w:val="20"/>
              </w:rPr>
              <w:t>苏宁云商集团股份</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中山北路</w:t>
            </w:r>
            <w:r>
              <w:rPr>
                <w:rFonts w:ascii="Times New Roman" w:hAnsi="Times New Roman" w:cs="Times New Roman" w:eastAsia="Times New Roman" w:hint="default"/>
                <w:sz w:val="20"/>
                <w:szCs w:val="20"/>
              </w:rPr>
              <w:t>217</w:t>
            </w:r>
            <w:r>
              <w:rPr>
                <w:rFonts w:ascii="宋体" w:hAnsi="宋体" w:cs="宋体" w:eastAsia="宋体" w:hint="default"/>
                <w:sz w:val="20"/>
                <w:szCs w:val="20"/>
              </w:rPr>
              <w:t>号三层</w:t>
            </w:r>
          </w:p>
        </w:tc>
        <w:tc>
          <w:tcPr>
            <w:tcW w:w="2979" w:type="dxa"/>
            <w:vMerge w:val="restart"/>
            <w:tcBorders>
              <w:top w:val="single" w:sz="6" w:space="0" w:color="000000"/>
              <w:left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宁房权证鼓变字第</w:t>
            </w:r>
            <w:r>
              <w:rPr>
                <w:rFonts w:ascii="Times New Roman" w:hAnsi="Times New Roman" w:cs="Times New Roman" w:eastAsia="Times New Roman" w:hint="default"/>
                <w:sz w:val="20"/>
                <w:szCs w:val="20"/>
              </w:rPr>
              <w:t>493834</w:t>
            </w:r>
            <w:r>
              <w:rPr>
                <w:rFonts w:ascii="宋体" w:hAnsi="宋体" w:cs="宋体" w:eastAsia="宋体" w:hint="default"/>
                <w:sz w:val="20"/>
                <w:szCs w:val="20"/>
              </w:rPr>
              <w:t>号</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2,554.33</w:t>
            </w:r>
          </w:p>
        </w:tc>
      </w:tr>
      <w:tr>
        <w:trPr>
          <w:trHeight w:val="348"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w w:val="100"/>
                <w:sz w:val="20"/>
              </w:rPr>
              <w:t>2</w:t>
            </w:r>
          </w:p>
        </w:tc>
        <w:tc>
          <w:tcPr>
            <w:tcW w:w="1772" w:type="dxa"/>
            <w:vMerge/>
            <w:tcBorders>
              <w:left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中山北路</w:t>
            </w:r>
            <w:r>
              <w:rPr>
                <w:rFonts w:ascii="Times New Roman" w:hAnsi="Times New Roman" w:cs="Times New Roman" w:eastAsia="Times New Roman" w:hint="default"/>
                <w:sz w:val="20"/>
                <w:szCs w:val="20"/>
              </w:rPr>
              <w:t>217</w:t>
            </w:r>
            <w:r>
              <w:rPr>
                <w:rFonts w:ascii="宋体" w:hAnsi="宋体" w:cs="宋体" w:eastAsia="宋体" w:hint="default"/>
                <w:sz w:val="20"/>
                <w:szCs w:val="20"/>
              </w:rPr>
              <w:t>号四层</w:t>
            </w:r>
          </w:p>
        </w:tc>
        <w:tc>
          <w:tcPr>
            <w:tcW w:w="2979" w:type="dxa"/>
            <w:vMerge/>
            <w:tcBorders>
              <w:left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2,554.33</w:t>
            </w:r>
          </w:p>
        </w:tc>
      </w:tr>
      <w:tr>
        <w:trPr>
          <w:trHeight w:val="347"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0"/>
                <w:szCs w:val="20"/>
              </w:rPr>
            </w:pPr>
            <w:r>
              <w:rPr>
                <w:rFonts w:ascii="Times New Roman"/>
                <w:w w:val="100"/>
                <w:sz w:val="20"/>
              </w:rPr>
              <w:t>3</w:t>
            </w:r>
          </w:p>
        </w:tc>
        <w:tc>
          <w:tcPr>
            <w:tcW w:w="1772" w:type="dxa"/>
            <w:vMerge/>
            <w:tcBorders>
              <w:left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中山北路</w:t>
            </w:r>
            <w:r>
              <w:rPr>
                <w:rFonts w:ascii="Times New Roman" w:hAnsi="Times New Roman" w:cs="Times New Roman" w:eastAsia="Times New Roman" w:hint="default"/>
                <w:sz w:val="20"/>
                <w:szCs w:val="20"/>
              </w:rPr>
              <w:t>217</w:t>
            </w:r>
            <w:r>
              <w:rPr>
                <w:rFonts w:ascii="宋体" w:hAnsi="宋体" w:cs="宋体" w:eastAsia="宋体" w:hint="default"/>
                <w:sz w:val="20"/>
                <w:szCs w:val="20"/>
              </w:rPr>
              <w:t>号五层</w:t>
            </w:r>
          </w:p>
        </w:tc>
        <w:tc>
          <w:tcPr>
            <w:tcW w:w="2979" w:type="dxa"/>
            <w:vMerge/>
            <w:tcBorders>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0"/>
                <w:szCs w:val="20"/>
              </w:rPr>
            </w:pPr>
            <w:r>
              <w:rPr>
                <w:rFonts w:ascii="Times New Roman"/>
                <w:spacing w:val="-1"/>
                <w:sz w:val="20"/>
              </w:rPr>
              <w:t>2,554.33</w:t>
            </w:r>
          </w:p>
        </w:tc>
      </w:tr>
      <w:tr>
        <w:trPr>
          <w:trHeight w:val="347"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w w:val="100"/>
                <w:sz w:val="20"/>
              </w:rPr>
              <w:t>4</w:t>
            </w:r>
          </w:p>
        </w:tc>
        <w:tc>
          <w:tcPr>
            <w:tcW w:w="1772" w:type="dxa"/>
            <w:vMerge/>
            <w:tcBorders>
              <w:left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六合区大厂长冲街</w:t>
            </w:r>
            <w:r>
              <w:rPr>
                <w:rFonts w:ascii="Times New Roman" w:hAnsi="Times New Roman" w:cs="Times New Roman" w:eastAsia="Times New Roman" w:hint="default"/>
                <w:sz w:val="20"/>
                <w:szCs w:val="20"/>
              </w:rPr>
              <w:t>88</w:t>
            </w:r>
            <w:r>
              <w:rPr>
                <w:rFonts w:ascii="宋体" w:hAnsi="宋体" w:cs="宋体" w:eastAsia="宋体" w:hint="default"/>
                <w:sz w:val="20"/>
                <w:szCs w:val="20"/>
              </w:rPr>
              <w:t>号</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宁房权证六变字第</w:t>
            </w:r>
            <w:r>
              <w:rPr>
                <w:rFonts w:ascii="Times New Roman" w:hAnsi="Times New Roman" w:cs="Times New Roman" w:eastAsia="Times New Roman" w:hint="default"/>
                <w:sz w:val="20"/>
                <w:szCs w:val="20"/>
              </w:rPr>
              <w:t>305751</w:t>
            </w:r>
            <w:r>
              <w:rPr>
                <w:rFonts w:ascii="宋体" w:hAnsi="宋体" w:cs="宋体" w:eastAsia="宋体" w:hint="default"/>
                <w:sz w:val="20"/>
                <w:szCs w:val="20"/>
              </w:rPr>
              <w:t>号</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22,259.09</w:t>
            </w:r>
          </w:p>
        </w:tc>
      </w:tr>
      <w:tr>
        <w:trPr>
          <w:trHeight w:val="347"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w w:val="100"/>
                <w:sz w:val="20"/>
              </w:rPr>
              <w:t>5</w:t>
            </w:r>
          </w:p>
        </w:tc>
        <w:tc>
          <w:tcPr>
            <w:tcW w:w="1772" w:type="dxa"/>
            <w:vMerge/>
            <w:tcBorders>
              <w:left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玄武大道</w:t>
            </w:r>
            <w:r>
              <w:rPr>
                <w:rFonts w:ascii="Times New Roman" w:hAnsi="Times New Roman" w:cs="Times New Roman" w:eastAsia="Times New Roman" w:hint="default"/>
                <w:sz w:val="20"/>
                <w:szCs w:val="20"/>
              </w:rPr>
              <w:t>699-17</w:t>
            </w:r>
            <w:r>
              <w:rPr>
                <w:rFonts w:ascii="宋体" w:hAnsi="宋体" w:cs="宋体" w:eastAsia="宋体" w:hint="default"/>
                <w:sz w:val="20"/>
                <w:szCs w:val="20"/>
              </w:rPr>
              <w:t>号</w:t>
            </w:r>
            <w:r>
              <w:rPr>
                <w:rFonts w:ascii="Times New Roman" w:hAnsi="Times New Roman" w:cs="Times New Roman" w:eastAsia="Times New Roman" w:hint="default"/>
                <w:sz w:val="20"/>
                <w:szCs w:val="20"/>
              </w:rPr>
              <w:t>1</w:t>
            </w:r>
            <w:r>
              <w:rPr>
                <w:rFonts w:ascii="宋体" w:hAnsi="宋体" w:cs="宋体" w:eastAsia="宋体" w:hint="default"/>
                <w:sz w:val="20"/>
                <w:szCs w:val="20"/>
              </w:rPr>
              <w:t>幢</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宁房权证玄变字第</w:t>
            </w:r>
            <w:r>
              <w:rPr>
                <w:rFonts w:ascii="Times New Roman" w:hAnsi="Times New Roman" w:cs="Times New Roman" w:eastAsia="Times New Roman" w:hint="default"/>
                <w:sz w:val="20"/>
                <w:szCs w:val="20"/>
              </w:rPr>
              <w:t>416990</w:t>
            </w:r>
            <w:r>
              <w:rPr>
                <w:rFonts w:ascii="宋体" w:hAnsi="宋体" w:cs="宋体" w:eastAsia="宋体" w:hint="default"/>
                <w:sz w:val="20"/>
                <w:szCs w:val="20"/>
              </w:rPr>
              <w:t>号</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9,200.64</w:t>
            </w:r>
          </w:p>
        </w:tc>
      </w:tr>
      <w:tr>
        <w:trPr>
          <w:trHeight w:val="347"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w w:val="100"/>
                <w:sz w:val="20"/>
              </w:rPr>
              <w:t>6</w:t>
            </w:r>
          </w:p>
        </w:tc>
        <w:tc>
          <w:tcPr>
            <w:tcW w:w="1772" w:type="dxa"/>
            <w:vMerge/>
            <w:tcBorders>
              <w:left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玄武大道</w:t>
            </w:r>
            <w:r>
              <w:rPr>
                <w:rFonts w:ascii="Times New Roman" w:hAnsi="Times New Roman" w:cs="Times New Roman" w:eastAsia="Times New Roman" w:hint="default"/>
                <w:sz w:val="20"/>
                <w:szCs w:val="20"/>
              </w:rPr>
              <w:t>699-17</w:t>
            </w:r>
            <w:r>
              <w:rPr>
                <w:rFonts w:ascii="宋体" w:hAnsi="宋体" w:cs="宋体" w:eastAsia="宋体" w:hint="default"/>
                <w:sz w:val="20"/>
                <w:szCs w:val="20"/>
              </w:rPr>
              <w:t>号</w:t>
            </w:r>
            <w:r>
              <w:rPr>
                <w:rFonts w:ascii="Times New Roman" w:hAnsi="Times New Roman" w:cs="Times New Roman" w:eastAsia="Times New Roman" w:hint="default"/>
                <w:sz w:val="20"/>
                <w:szCs w:val="20"/>
              </w:rPr>
              <w:t>2</w:t>
            </w:r>
            <w:r>
              <w:rPr>
                <w:rFonts w:ascii="宋体" w:hAnsi="宋体" w:cs="宋体" w:eastAsia="宋体" w:hint="default"/>
                <w:sz w:val="20"/>
                <w:szCs w:val="20"/>
              </w:rPr>
              <w:t>幢</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宁房权证玄变字第</w:t>
            </w:r>
            <w:r>
              <w:rPr>
                <w:rFonts w:ascii="Times New Roman" w:hAnsi="Times New Roman" w:cs="Times New Roman" w:eastAsia="Times New Roman" w:hint="default"/>
                <w:sz w:val="20"/>
                <w:szCs w:val="20"/>
              </w:rPr>
              <w:t>416993</w:t>
            </w:r>
            <w:r>
              <w:rPr>
                <w:rFonts w:ascii="宋体" w:hAnsi="宋体" w:cs="宋体" w:eastAsia="宋体" w:hint="default"/>
                <w:sz w:val="20"/>
                <w:szCs w:val="20"/>
              </w:rPr>
              <w:t>号</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9,435.62</w:t>
            </w:r>
          </w:p>
        </w:tc>
      </w:tr>
      <w:tr>
        <w:trPr>
          <w:trHeight w:val="347"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w w:val="100"/>
                <w:sz w:val="20"/>
              </w:rPr>
              <w:t>7</w:t>
            </w:r>
          </w:p>
        </w:tc>
        <w:tc>
          <w:tcPr>
            <w:tcW w:w="1772" w:type="dxa"/>
            <w:vMerge/>
            <w:tcBorders>
              <w:left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玄武大道</w:t>
            </w:r>
            <w:r>
              <w:rPr>
                <w:rFonts w:ascii="Times New Roman" w:hAnsi="Times New Roman" w:cs="Times New Roman" w:eastAsia="Times New Roman" w:hint="default"/>
                <w:sz w:val="20"/>
                <w:szCs w:val="20"/>
              </w:rPr>
              <w:t>699-17</w:t>
            </w:r>
            <w:r>
              <w:rPr>
                <w:rFonts w:ascii="宋体" w:hAnsi="宋体" w:cs="宋体" w:eastAsia="宋体" w:hint="default"/>
                <w:sz w:val="20"/>
                <w:szCs w:val="20"/>
              </w:rPr>
              <w:t>号</w:t>
            </w:r>
            <w:r>
              <w:rPr>
                <w:rFonts w:ascii="Times New Roman" w:hAnsi="Times New Roman" w:cs="Times New Roman" w:eastAsia="Times New Roman" w:hint="default"/>
                <w:sz w:val="20"/>
                <w:szCs w:val="20"/>
              </w:rPr>
              <w:t>3</w:t>
            </w:r>
            <w:r>
              <w:rPr>
                <w:rFonts w:ascii="宋体" w:hAnsi="宋体" w:cs="宋体" w:eastAsia="宋体" w:hint="default"/>
                <w:sz w:val="20"/>
                <w:szCs w:val="20"/>
              </w:rPr>
              <w:t>幢</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宁房权证玄变字第</w:t>
            </w:r>
            <w:r>
              <w:rPr>
                <w:rFonts w:ascii="Times New Roman" w:hAnsi="Times New Roman" w:cs="Times New Roman" w:eastAsia="Times New Roman" w:hint="default"/>
                <w:sz w:val="20"/>
                <w:szCs w:val="20"/>
              </w:rPr>
              <w:t>416992</w:t>
            </w:r>
            <w:r>
              <w:rPr>
                <w:rFonts w:ascii="宋体" w:hAnsi="宋体" w:cs="宋体" w:eastAsia="宋体" w:hint="default"/>
                <w:sz w:val="20"/>
                <w:szCs w:val="20"/>
              </w:rPr>
              <w:t>号</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24,894.3</w:t>
            </w:r>
          </w:p>
        </w:tc>
      </w:tr>
      <w:tr>
        <w:trPr>
          <w:trHeight w:val="348"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w w:val="100"/>
                <w:sz w:val="20"/>
              </w:rPr>
              <w:t>8</w:t>
            </w:r>
          </w:p>
        </w:tc>
        <w:tc>
          <w:tcPr>
            <w:tcW w:w="1772" w:type="dxa"/>
            <w:vMerge/>
            <w:tcBorders>
              <w:left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玄武大道</w:t>
            </w:r>
            <w:r>
              <w:rPr>
                <w:rFonts w:ascii="Times New Roman" w:hAnsi="Times New Roman" w:cs="Times New Roman" w:eastAsia="Times New Roman" w:hint="default"/>
                <w:sz w:val="20"/>
                <w:szCs w:val="20"/>
              </w:rPr>
              <w:t>699-17</w:t>
            </w:r>
            <w:r>
              <w:rPr>
                <w:rFonts w:ascii="宋体" w:hAnsi="宋体" w:cs="宋体" w:eastAsia="宋体" w:hint="default"/>
                <w:sz w:val="20"/>
                <w:szCs w:val="20"/>
              </w:rPr>
              <w:t>号</w:t>
            </w:r>
            <w:r>
              <w:rPr>
                <w:rFonts w:ascii="Times New Roman" w:hAnsi="Times New Roman" w:cs="Times New Roman" w:eastAsia="Times New Roman" w:hint="default"/>
                <w:sz w:val="20"/>
                <w:szCs w:val="20"/>
              </w:rPr>
              <w:t>5</w:t>
            </w:r>
            <w:r>
              <w:rPr>
                <w:rFonts w:ascii="宋体" w:hAnsi="宋体" w:cs="宋体" w:eastAsia="宋体" w:hint="default"/>
                <w:sz w:val="20"/>
                <w:szCs w:val="20"/>
              </w:rPr>
              <w:t>幢</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宁房权证玄变字第</w:t>
            </w:r>
            <w:r>
              <w:rPr>
                <w:rFonts w:ascii="Times New Roman" w:hAnsi="Times New Roman" w:cs="Times New Roman" w:eastAsia="Times New Roman" w:hint="default"/>
                <w:sz w:val="20"/>
                <w:szCs w:val="20"/>
              </w:rPr>
              <w:t>416991</w:t>
            </w:r>
            <w:r>
              <w:rPr>
                <w:rFonts w:ascii="宋体" w:hAnsi="宋体" w:cs="宋体" w:eastAsia="宋体" w:hint="default"/>
                <w:sz w:val="20"/>
                <w:szCs w:val="20"/>
              </w:rPr>
              <w:t>号</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13,298.75</w:t>
            </w:r>
          </w:p>
        </w:tc>
      </w:tr>
      <w:tr>
        <w:trPr>
          <w:trHeight w:val="347"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0"/>
                <w:szCs w:val="20"/>
              </w:rPr>
            </w:pPr>
            <w:r>
              <w:rPr>
                <w:rFonts w:ascii="Times New Roman"/>
                <w:w w:val="100"/>
                <w:sz w:val="20"/>
              </w:rPr>
              <w:t>9</w:t>
            </w:r>
          </w:p>
        </w:tc>
        <w:tc>
          <w:tcPr>
            <w:tcW w:w="1772" w:type="dxa"/>
            <w:vMerge/>
            <w:tcBorders>
              <w:left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玄武大道</w:t>
            </w:r>
            <w:r>
              <w:rPr>
                <w:rFonts w:ascii="Times New Roman" w:hAnsi="Times New Roman" w:cs="Times New Roman" w:eastAsia="Times New Roman" w:hint="default"/>
                <w:sz w:val="20"/>
                <w:szCs w:val="20"/>
              </w:rPr>
              <w:t>699-17</w:t>
            </w:r>
            <w:r>
              <w:rPr>
                <w:rFonts w:ascii="宋体" w:hAnsi="宋体" w:cs="宋体" w:eastAsia="宋体" w:hint="default"/>
                <w:sz w:val="20"/>
                <w:szCs w:val="20"/>
              </w:rPr>
              <w:t>号</w:t>
            </w:r>
            <w:r>
              <w:rPr>
                <w:rFonts w:ascii="Times New Roman" w:hAnsi="Times New Roman" w:cs="Times New Roman" w:eastAsia="Times New Roman" w:hint="default"/>
                <w:sz w:val="20"/>
                <w:szCs w:val="20"/>
              </w:rPr>
              <w:t>6</w:t>
            </w:r>
            <w:r>
              <w:rPr>
                <w:rFonts w:ascii="宋体" w:hAnsi="宋体" w:cs="宋体" w:eastAsia="宋体" w:hint="default"/>
                <w:sz w:val="20"/>
                <w:szCs w:val="20"/>
              </w:rPr>
              <w:t>幢</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宁房权证玄变字第</w:t>
            </w:r>
            <w:r>
              <w:rPr>
                <w:rFonts w:ascii="Times New Roman" w:hAnsi="Times New Roman" w:cs="Times New Roman" w:eastAsia="Times New Roman" w:hint="default"/>
                <w:sz w:val="20"/>
                <w:szCs w:val="20"/>
              </w:rPr>
              <w:t>416998</w:t>
            </w:r>
            <w:r>
              <w:rPr>
                <w:rFonts w:ascii="宋体" w:hAnsi="宋体" w:cs="宋体" w:eastAsia="宋体" w:hint="default"/>
                <w:sz w:val="20"/>
                <w:szCs w:val="20"/>
              </w:rPr>
              <w:t>号</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0"/>
                <w:szCs w:val="20"/>
              </w:rPr>
            </w:pPr>
            <w:r>
              <w:rPr>
                <w:rFonts w:ascii="Times New Roman"/>
                <w:spacing w:val="-1"/>
                <w:sz w:val="20"/>
              </w:rPr>
              <w:t>10,362.33</w:t>
            </w:r>
          </w:p>
        </w:tc>
      </w:tr>
      <w:tr>
        <w:trPr>
          <w:trHeight w:val="347" w:hRule="exact"/>
        </w:trPr>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10</w:t>
            </w:r>
          </w:p>
        </w:tc>
        <w:tc>
          <w:tcPr>
            <w:tcW w:w="1772" w:type="dxa"/>
            <w:vMerge/>
            <w:tcBorders>
              <w:left w:val="single" w:sz="6" w:space="0" w:color="000000"/>
              <w:bottom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玄武大道</w:t>
            </w:r>
            <w:r>
              <w:rPr>
                <w:rFonts w:ascii="Times New Roman" w:hAnsi="Times New Roman" w:cs="Times New Roman" w:eastAsia="Times New Roman" w:hint="default"/>
                <w:sz w:val="20"/>
                <w:szCs w:val="20"/>
              </w:rPr>
              <w:t>699-17</w:t>
            </w:r>
            <w:r>
              <w:rPr>
                <w:rFonts w:ascii="宋体" w:hAnsi="宋体" w:cs="宋体" w:eastAsia="宋体" w:hint="default"/>
                <w:sz w:val="20"/>
                <w:szCs w:val="20"/>
              </w:rPr>
              <w:t>号</w:t>
            </w:r>
            <w:r>
              <w:rPr>
                <w:rFonts w:ascii="Times New Roman" w:hAnsi="Times New Roman" w:cs="Times New Roman" w:eastAsia="Times New Roman" w:hint="default"/>
                <w:sz w:val="20"/>
                <w:szCs w:val="20"/>
              </w:rPr>
              <w:t>7</w:t>
            </w:r>
            <w:r>
              <w:rPr>
                <w:rFonts w:ascii="宋体" w:hAnsi="宋体" w:cs="宋体" w:eastAsia="宋体" w:hint="default"/>
                <w:sz w:val="20"/>
                <w:szCs w:val="20"/>
              </w:rPr>
              <w:t>幢</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宁房权证玄变字第</w:t>
            </w:r>
            <w:r>
              <w:rPr>
                <w:rFonts w:ascii="Times New Roman" w:hAnsi="Times New Roman" w:cs="Times New Roman" w:eastAsia="Times New Roman" w:hint="default"/>
                <w:sz w:val="20"/>
                <w:szCs w:val="20"/>
              </w:rPr>
              <w:t>416994</w:t>
            </w:r>
            <w:r>
              <w:rPr>
                <w:rFonts w:ascii="宋体" w:hAnsi="宋体" w:cs="宋体" w:eastAsia="宋体" w:hint="default"/>
                <w:sz w:val="20"/>
                <w:szCs w:val="20"/>
              </w:rPr>
              <w:t>号</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9,938.45</w:t>
            </w:r>
          </w:p>
        </w:tc>
      </w:tr>
    </w:tbl>
    <w:p>
      <w:pPr>
        <w:pStyle w:val="BodyText"/>
        <w:spacing w:line="369" w:lineRule="auto" w:before="50"/>
        <w:ind w:right="1132" w:firstLine="44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日，公司第五届董事会第十六次会议审议通过，同意公司为全资子公司</w:t>
      </w:r>
      <w:r>
        <w:rPr>
          <w:rFonts w:ascii="Times New Roman" w:hAnsi="Times New Roman" w:cs="Times New Roman" w:eastAsia="Times New Roman" w:hint="default"/>
          <w:spacing w:val="2"/>
        </w:rPr>
        <w:t>Great</w:t>
      </w:r>
      <w:r>
        <w:rPr>
          <w:rFonts w:ascii="Times New Roman" w:hAnsi="Times New Roman" w:cs="Times New Roman" w:eastAsia="Times New Roman" w:hint="default"/>
          <w:w w:val="99"/>
        </w:rPr>
        <w:t> </w:t>
      </w:r>
      <w:r>
        <w:rPr>
          <w:rFonts w:ascii="Times New Roman" w:hAnsi="Times New Roman" w:cs="Times New Roman" w:eastAsia="Times New Roman" w:hint="default"/>
        </w:rPr>
        <w:t>Universe</w:t>
      </w:r>
      <w:r>
        <w:rPr>
          <w:rFonts w:ascii="Times New Roman" w:hAnsi="Times New Roman" w:cs="Times New Roman" w:eastAsia="Times New Roman" w:hint="default"/>
          <w:spacing w:val="-38"/>
        </w:rPr>
        <w:t> </w:t>
      </w:r>
      <w:r>
        <w:rPr>
          <w:rFonts w:ascii="Times New Roman" w:hAnsi="Times New Roman" w:cs="Times New Roman" w:eastAsia="Times New Roman" w:hint="default"/>
        </w:rPr>
        <w:t>Limited</w:t>
      </w:r>
      <w:r>
        <w:rPr/>
        <w:t>向中国银行股份有限公司就战略投资</w:t>
      </w:r>
      <w:r>
        <w:rPr>
          <w:rFonts w:ascii="Times New Roman" w:hAnsi="Times New Roman" w:cs="Times New Roman" w:eastAsia="Times New Roman" w:hint="default"/>
        </w:rPr>
        <w:t>PPTV</w:t>
      </w:r>
      <w:r>
        <w:rPr/>
        <w:t>申请金额不超过</w:t>
      </w:r>
      <w:r>
        <w:rPr>
          <w:rFonts w:ascii="Times New Roman" w:hAnsi="Times New Roman" w:cs="Times New Roman" w:eastAsia="Times New Roman" w:hint="default"/>
        </w:rPr>
        <w:t>5,810</w:t>
      </w:r>
      <w:r>
        <w:rPr/>
        <w:t>万美元（含</w:t>
      </w:r>
      <w:r>
        <w:rPr>
          <w:rFonts w:ascii="Times New Roman" w:hAnsi="Times New Roman" w:cs="Times New Roman" w:eastAsia="Times New Roman" w:hint="default"/>
        </w:rPr>
        <w:t>5,810</w:t>
      </w:r>
      <w:r>
        <w:rPr/>
        <w:t>万美</w:t>
      </w:r>
      <w:r>
        <w:rPr>
          <w:w w:val="99"/>
        </w:rPr>
        <w:t> </w:t>
      </w:r>
      <w:r>
        <w:rPr/>
        <w:t>元，按</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日美元</w:t>
      </w:r>
      <w:r>
        <w:rPr>
          <w:rFonts w:ascii="Times New Roman" w:hAnsi="Times New Roman" w:cs="Times New Roman" w:eastAsia="Times New Roman" w:hint="default"/>
        </w:rPr>
        <w:t>/</w:t>
      </w:r>
      <w:r>
        <w:rPr/>
        <w:t>人民币汇率中间价计为人民币</w:t>
      </w:r>
      <w:r>
        <w:rPr>
          <w:rFonts w:ascii="Times New Roman" w:hAnsi="Times New Roman" w:cs="Times New Roman" w:eastAsia="Times New Roman" w:hint="default"/>
        </w:rPr>
        <w:t>35,575.21</w:t>
      </w:r>
      <w:r>
        <w:rPr/>
        <w:t>万元）的并购贷款提供抵押担保，期限五</w:t>
      </w:r>
      <w:r>
        <w:rPr>
          <w:w w:val="99"/>
        </w:rPr>
        <w:t> </w:t>
      </w:r>
      <w:r>
        <w:rPr/>
        <w:t>年。</w:t>
      </w:r>
    </w:p>
    <w:p>
      <w:pPr>
        <w:pStyle w:val="BodyText"/>
        <w:spacing w:line="369" w:lineRule="auto" w:before="61"/>
        <w:ind w:right="1133" w:firstLine="440"/>
        <w:jc w:val="both"/>
      </w:pPr>
      <w:r>
        <w:rPr>
          <w:spacing w:val="-2"/>
        </w:rPr>
        <w:t>本次用于抵押担保的资产为南京市山西路</w:t>
      </w:r>
      <w:r>
        <w:rPr>
          <w:rFonts w:ascii="Times New Roman" w:hAnsi="Times New Roman" w:cs="Times New Roman" w:eastAsia="Times New Roman" w:hint="default"/>
          <w:spacing w:val="-2"/>
        </w:rPr>
        <w:t>8</w:t>
      </w:r>
      <w:r>
        <w:rPr>
          <w:spacing w:val="-2"/>
        </w:rPr>
        <w:t>号金山大厦</w:t>
      </w:r>
      <w:r>
        <w:rPr>
          <w:rFonts w:ascii="Times New Roman" w:hAnsi="Times New Roman" w:cs="Times New Roman" w:eastAsia="Times New Roman" w:hint="default"/>
          <w:spacing w:val="-2"/>
        </w:rPr>
        <w:t>B</w:t>
      </w:r>
      <w:r>
        <w:rPr>
          <w:spacing w:val="-2"/>
        </w:rPr>
        <w:t>楼一至五层商业用途房地产，物业情况列</w:t>
      </w:r>
      <w:r>
        <w:rPr>
          <w:w w:val="99"/>
        </w:rPr>
        <w:t> </w:t>
      </w:r>
      <w:r>
        <w:rPr/>
        <w:t>示如下：</w:t>
      </w:r>
    </w:p>
    <w:tbl>
      <w:tblPr>
        <w:tblW w:w="0" w:type="auto"/>
        <w:jc w:val="left"/>
        <w:tblInd w:w="137" w:type="dxa"/>
        <w:tblLayout w:type="fixed"/>
        <w:tblCellMar>
          <w:top w:w="0" w:type="dxa"/>
          <w:left w:w="0" w:type="dxa"/>
          <w:bottom w:w="0" w:type="dxa"/>
          <w:right w:w="0" w:type="dxa"/>
        </w:tblCellMar>
        <w:tblLook w:val="01E0"/>
      </w:tblPr>
      <w:tblGrid>
        <w:gridCol w:w="638"/>
        <w:gridCol w:w="1217"/>
        <w:gridCol w:w="2834"/>
        <w:gridCol w:w="2838"/>
        <w:gridCol w:w="2132"/>
      </w:tblGrid>
      <w:tr>
        <w:trPr>
          <w:trHeight w:val="347" w:hRule="exact"/>
        </w:trPr>
        <w:tc>
          <w:tcPr>
            <w:tcW w:w="6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110"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200" w:right="0"/>
              <w:jc w:val="left"/>
              <w:rPr>
                <w:rFonts w:ascii="宋体" w:hAnsi="宋体" w:cs="宋体" w:eastAsia="宋体" w:hint="default"/>
                <w:sz w:val="20"/>
                <w:szCs w:val="20"/>
              </w:rPr>
            </w:pPr>
            <w:r>
              <w:rPr>
                <w:rFonts w:ascii="宋体" w:hAnsi="宋体" w:cs="宋体" w:eastAsia="宋体" w:hint="default"/>
                <w:sz w:val="20"/>
                <w:szCs w:val="20"/>
              </w:rPr>
              <w:t>所有权人</w:t>
            </w:r>
          </w:p>
        </w:tc>
        <w:tc>
          <w:tcPr>
            <w:tcW w:w="2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坐落</w:t>
            </w:r>
          </w:p>
        </w:tc>
        <w:tc>
          <w:tcPr>
            <w:tcW w:w="2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711" w:right="0"/>
              <w:jc w:val="left"/>
              <w:rPr>
                <w:rFonts w:ascii="宋体" w:hAnsi="宋体" w:cs="宋体" w:eastAsia="宋体" w:hint="default"/>
                <w:sz w:val="20"/>
                <w:szCs w:val="20"/>
              </w:rPr>
            </w:pPr>
            <w:r>
              <w:rPr>
                <w:rFonts w:ascii="宋体" w:hAnsi="宋体" w:cs="宋体" w:eastAsia="宋体" w:hint="default"/>
                <w:sz w:val="20"/>
                <w:szCs w:val="20"/>
              </w:rPr>
              <w:t>房屋所有权证号</w:t>
            </w:r>
          </w:p>
        </w:tc>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159" w:right="0"/>
              <w:jc w:val="left"/>
              <w:rPr>
                <w:rFonts w:ascii="宋体" w:hAnsi="宋体" w:cs="宋体" w:eastAsia="宋体" w:hint="default"/>
                <w:sz w:val="20"/>
                <w:szCs w:val="20"/>
              </w:rPr>
            </w:pPr>
            <w:r>
              <w:rPr>
                <w:rFonts w:ascii="宋体" w:hAnsi="宋体" w:cs="宋体" w:eastAsia="宋体" w:hint="default"/>
                <w:sz w:val="20"/>
                <w:szCs w:val="20"/>
              </w:rPr>
              <w:t>建筑面积（平方米）</w:t>
            </w:r>
          </w:p>
        </w:tc>
      </w:tr>
      <w:tr>
        <w:trPr>
          <w:trHeight w:val="347"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20"/>
                <w:szCs w:val="20"/>
              </w:rPr>
            </w:pPr>
            <w:r>
              <w:rPr>
                <w:rFonts w:ascii="Times New Roman"/>
                <w:w w:val="100"/>
                <w:sz w:val="20"/>
              </w:rPr>
              <w:t>1</w:t>
            </w:r>
          </w:p>
        </w:tc>
        <w:tc>
          <w:tcPr>
            <w:tcW w:w="1217" w:type="dxa"/>
            <w:vMerge w:val="restart"/>
            <w:tcBorders>
              <w:top w:val="single" w:sz="6" w:space="0" w:color="000000"/>
              <w:left w:val="single" w:sz="6" w:space="0" w:color="000000"/>
              <w:right w:val="single" w:sz="6" w:space="0" w:color="000000"/>
            </w:tcBorders>
          </w:tcPr>
          <w:p>
            <w:pPr>
              <w:pStyle w:val="TableParagraph"/>
              <w:spacing w:line="285" w:lineRule="auto" w:before="4"/>
              <w:ind w:left="100" w:right="98"/>
              <w:jc w:val="center"/>
              <w:rPr>
                <w:rFonts w:ascii="宋体" w:hAnsi="宋体" w:cs="宋体" w:eastAsia="宋体" w:hint="default"/>
                <w:sz w:val="20"/>
                <w:szCs w:val="20"/>
              </w:rPr>
            </w:pPr>
            <w:r>
              <w:rPr>
                <w:rFonts w:ascii="宋体" w:hAnsi="宋体" w:cs="宋体" w:eastAsia="宋体" w:hint="default"/>
                <w:sz w:val="20"/>
                <w:szCs w:val="20"/>
              </w:rPr>
              <w:t>苏宁云商集</w:t>
            </w:r>
            <w:r>
              <w:rPr>
                <w:rFonts w:ascii="宋体" w:hAnsi="宋体" w:cs="宋体" w:eastAsia="宋体" w:hint="default"/>
                <w:w w:val="100"/>
                <w:sz w:val="20"/>
                <w:szCs w:val="20"/>
              </w:rPr>
              <w:t> </w:t>
            </w:r>
            <w:r>
              <w:rPr>
                <w:rFonts w:ascii="宋体" w:hAnsi="宋体" w:cs="宋体" w:eastAsia="宋体" w:hint="default"/>
                <w:sz w:val="20"/>
                <w:szCs w:val="20"/>
              </w:rPr>
              <w:t>团股份有限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山西路</w:t>
            </w:r>
            <w:r>
              <w:rPr>
                <w:rFonts w:ascii="Times New Roman" w:hAnsi="Times New Roman" w:cs="Times New Roman" w:eastAsia="Times New Roman" w:hint="default"/>
                <w:sz w:val="20"/>
                <w:szCs w:val="20"/>
              </w:rPr>
              <w:t>8</w:t>
            </w:r>
            <w:r>
              <w:rPr>
                <w:rFonts w:ascii="宋体" w:hAnsi="宋体" w:cs="宋体" w:eastAsia="宋体" w:hint="default"/>
                <w:sz w:val="20"/>
                <w:szCs w:val="20"/>
              </w:rPr>
              <w:t>号金山大厦</w:t>
            </w:r>
            <w:r>
              <w:rPr>
                <w:rFonts w:ascii="Times New Roman" w:hAnsi="Times New Roman" w:cs="Times New Roman" w:eastAsia="Times New Roman" w:hint="default"/>
                <w:sz w:val="20"/>
                <w:szCs w:val="20"/>
              </w:rPr>
              <w:t>B</w:t>
            </w:r>
            <w:r>
              <w:rPr>
                <w:rFonts w:ascii="宋体" w:hAnsi="宋体" w:cs="宋体" w:eastAsia="宋体" w:hint="default"/>
                <w:sz w:val="20"/>
                <w:szCs w:val="20"/>
              </w:rPr>
              <w:t>楼一层</w:t>
            </w:r>
          </w:p>
        </w:tc>
        <w:tc>
          <w:tcPr>
            <w:tcW w:w="2838" w:type="dxa"/>
            <w:vMerge w:val="restart"/>
            <w:tcBorders>
              <w:top w:val="single" w:sz="6" w:space="0" w:color="000000"/>
              <w:left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宁房权证鼓变字第</w:t>
            </w:r>
            <w:r>
              <w:rPr>
                <w:rFonts w:ascii="Times New Roman" w:hAnsi="Times New Roman" w:cs="Times New Roman" w:eastAsia="Times New Roman" w:hint="default"/>
                <w:sz w:val="20"/>
                <w:szCs w:val="20"/>
              </w:rPr>
              <w:t>509624</w:t>
            </w:r>
            <w:r>
              <w:rPr>
                <w:rFonts w:ascii="宋体" w:hAnsi="宋体" w:cs="宋体" w:eastAsia="宋体" w:hint="default"/>
                <w:sz w:val="20"/>
                <w:szCs w:val="20"/>
              </w:rPr>
              <w:t>号</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spacing w:val="-1"/>
                <w:sz w:val="20"/>
              </w:rPr>
              <w:t>1,214.03</w:t>
            </w:r>
          </w:p>
        </w:tc>
      </w:tr>
      <w:tr>
        <w:trPr>
          <w:trHeight w:val="347"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w w:val="100"/>
                <w:sz w:val="20"/>
              </w:rPr>
              <w:t>2</w:t>
            </w:r>
          </w:p>
        </w:tc>
        <w:tc>
          <w:tcPr>
            <w:tcW w:w="1217" w:type="dxa"/>
            <w:vMerge/>
            <w:tcBorders>
              <w:left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山西路</w:t>
            </w:r>
            <w:r>
              <w:rPr>
                <w:rFonts w:ascii="Times New Roman" w:hAnsi="Times New Roman" w:cs="Times New Roman" w:eastAsia="Times New Roman" w:hint="default"/>
                <w:sz w:val="20"/>
                <w:szCs w:val="20"/>
              </w:rPr>
              <w:t>8</w:t>
            </w:r>
            <w:r>
              <w:rPr>
                <w:rFonts w:ascii="宋体" w:hAnsi="宋体" w:cs="宋体" w:eastAsia="宋体" w:hint="default"/>
                <w:sz w:val="20"/>
                <w:szCs w:val="20"/>
              </w:rPr>
              <w:t>号金山大厦</w:t>
            </w:r>
            <w:r>
              <w:rPr>
                <w:rFonts w:ascii="Times New Roman" w:hAnsi="Times New Roman" w:cs="Times New Roman" w:eastAsia="Times New Roman" w:hint="default"/>
                <w:sz w:val="20"/>
                <w:szCs w:val="20"/>
              </w:rPr>
              <w:t>B</w:t>
            </w:r>
            <w:r>
              <w:rPr>
                <w:rFonts w:ascii="宋体" w:hAnsi="宋体" w:cs="宋体" w:eastAsia="宋体" w:hint="default"/>
                <w:sz w:val="20"/>
                <w:szCs w:val="20"/>
              </w:rPr>
              <w:t>楼二层</w:t>
            </w:r>
          </w:p>
        </w:tc>
        <w:tc>
          <w:tcPr>
            <w:tcW w:w="2838" w:type="dxa"/>
            <w:vMerge/>
            <w:tcBorders>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1,955.22</w:t>
            </w:r>
          </w:p>
        </w:tc>
      </w:tr>
      <w:tr>
        <w:trPr>
          <w:trHeight w:val="347"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w w:val="100"/>
                <w:sz w:val="20"/>
              </w:rPr>
              <w:t>3</w:t>
            </w:r>
          </w:p>
        </w:tc>
        <w:tc>
          <w:tcPr>
            <w:tcW w:w="1217" w:type="dxa"/>
            <w:vMerge/>
            <w:tcBorders>
              <w:left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山西路</w:t>
            </w:r>
            <w:r>
              <w:rPr>
                <w:rFonts w:ascii="Times New Roman" w:hAnsi="Times New Roman" w:cs="Times New Roman" w:eastAsia="Times New Roman" w:hint="default"/>
                <w:sz w:val="20"/>
                <w:szCs w:val="20"/>
              </w:rPr>
              <w:t>8</w:t>
            </w:r>
            <w:r>
              <w:rPr>
                <w:rFonts w:ascii="宋体" w:hAnsi="宋体" w:cs="宋体" w:eastAsia="宋体" w:hint="default"/>
                <w:sz w:val="20"/>
                <w:szCs w:val="20"/>
              </w:rPr>
              <w:t>号金山大厦</w:t>
            </w:r>
            <w:r>
              <w:rPr>
                <w:rFonts w:ascii="Times New Roman" w:hAnsi="Times New Roman" w:cs="Times New Roman" w:eastAsia="Times New Roman" w:hint="default"/>
                <w:sz w:val="20"/>
                <w:szCs w:val="20"/>
              </w:rPr>
              <w:t>B</w:t>
            </w:r>
            <w:r>
              <w:rPr>
                <w:rFonts w:ascii="宋体" w:hAnsi="宋体" w:cs="宋体" w:eastAsia="宋体" w:hint="default"/>
                <w:sz w:val="20"/>
                <w:szCs w:val="20"/>
              </w:rPr>
              <w:t>楼</w:t>
            </w:r>
            <w:r>
              <w:rPr>
                <w:rFonts w:ascii="Times New Roman" w:hAnsi="Times New Roman" w:cs="Times New Roman" w:eastAsia="Times New Roman" w:hint="default"/>
                <w:sz w:val="20"/>
                <w:szCs w:val="20"/>
              </w:rPr>
              <w:t>-3</w:t>
            </w:r>
            <w:r>
              <w:rPr>
                <w:rFonts w:ascii="宋体" w:hAnsi="宋体" w:cs="宋体" w:eastAsia="宋体" w:hint="default"/>
                <w:sz w:val="20"/>
                <w:szCs w:val="20"/>
              </w:rPr>
              <w:t>层</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宁房权证鼓变字第</w:t>
            </w:r>
            <w:r>
              <w:rPr>
                <w:rFonts w:ascii="Times New Roman" w:hAnsi="Times New Roman" w:cs="Times New Roman" w:eastAsia="Times New Roman" w:hint="default"/>
                <w:sz w:val="20"/>
                <w:szCs w:val="20"/>
              </w:rPr>
              <w:t>494206</w:t>
            </w:r>
            <w:r>
              <w:rPr>
                <w:rFonts w:ascii="宋体" w:hAnsi="宋体" w:cs="宋体" w:eastAsia="宋体" w:hint="default"/>
                <w:sz w:val="20"/>
                <w:szCs w:val="20"/>
              </w:rPr>
              <w:t>号</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2,063.71</w:t>
            </w:r>
          </w:p>
        </w:tc>
      </w:tr>
      <w:tr>
        <w:trPr>
          <w:trHeight w:val="347"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w w:val="100"/>
                <w:sz w:val="20"/>
              </w:rPr>
              <w:t>4</w:t>
            </w:r>
          </w:p>
        </w:tc>
        <w:tc>
          <w:tcPr>
            <w:tcW w:w="1217" w:type="dxa"/>
            <w:vMerge/>
            <w:tcBorders>
              <w:left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山西路</w:t>
            </w:r>
            <w:r>
              <w:rPr>
                <w:rFonts w:ascii="Times New Roman" w:hAnsi="Times New Roman" w:cs="Times New Roman" w:eastAsia="Times New Roman" w:hint="default"/>
                <w:sz w:val="20"/>
                <w:szCs w:val="20"/>
              </w:rPr>
              <w:t>8</w:t>
            </w:r>
            <w:r>
              <w:rPr>
                <w:rFonts w:ascii="宋体" w:hAnsi="宋体" w:cs="宋体" w:eastAsia="宋体" w:hint="default"/>
                <w:sz w:val="20"/>
                <w:szCs w:val="20"/>
              </w:rPr>
              <w:t>号金山大厦</w:t>
            </w:r>
            <w:r>
              <w:rPr>
                <w:rFonts w:ascii="Times New Roman" w:hAnsi="Times New Roman" w:cs="Times New Roman" w:eastAsia="Times New Roman" w:hint="default"/>
                <w:sz w:val="20"/>
                <w:szCs w:val="20"/>
              </w:rPr>
              <w:t>B</w:t>
            </w:r>
            <w:r>
              <w:rPr>
                <w:rFonts w:ascii="宋体" w:hAnsi="宋体" w:cs="宋体" w:eastAsia="宋体" w:hint="default"/>
                <w:sz w:val="20"/>
                <w:szCs w:val="20"/>
              </w:rPr>
              <w:t>楼四层</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宁房权证鼓变字第</w:t>
            </w:r>
            <w:r>
              <w:rPr>
                <w:rFonts w:ascii="Times New Roman" w:hAnsi="Times New Roman" w:cs="Times New Roman" w:eastAsia="Times New Roman" w:hint="default"/>
                <w:sz w:val="20"/>
                <w:szCs w:val="20"/>
              </w:rPr>
              <w:t>494209</w:t>
            </w:r>
            <w:r>
              <w:rPr>
                <w:rFonts w:ascii="宋体" w:hAnsi="宋体" w:cs="宋体" w:eastAsia="宋体" w:hint="default"/>
                <w:sz w:val="20"/>
                <w:szCs w:val="20"/>
              </w:rPr>
              <w:t>号</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2,063.71</w:t>
            </w:r>
          </w:p>
        </w:tc>
      </w:tr>
      <w:tr>
        <w:trPr>
          <w:trHeight w:val="348"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w w:val="100"/>
                <w:sz w:val="20"/>
              </w:rPr>
              <w:t>5</w:t>
            </w:r>
          </w:p>
        </w:tc>
        <w:tc>
          <w:tcPr>
            <w:tcW w:w="1217" w:type="dxa"/>
            <w:vMerge/>
            <w:tcBorders>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山西路</w:t>
            </w:r>
            <w:r>
              <w:rPr>
                <w:rFonts w:ascii="Times New Roman" w:hAnsi="Times New Roman" w:cs="Times New Roman" w:eastAsia="Times New Roman" w:hint="default"/>
                <w:sz w:val="20"/>
                <w:szCs w:val="20"/>
              </w:rPr>
              <w:t>8</w:t>
            </w:r>
            <w:r>
              <w:rPr>
                <w:rFonts w:ascii="宋体" w:hAnsi="宋体" w:cs="宋体" w:eastAsia="宋体" w:hint="default"/>
                <w:sz w:val="20"/>
                <w:szCs w:val="20"/>
              </w:rPr>
              <w:t>号金山大厦</w:t>
            </w:r>
            <w:r>
              <w:rPr>
                <w:rFonts w:ascii="Times New Roman" w:hAnsi="Times New Roman" w:cs="Times New Roman" w:eastAsia="Times New Roman" w:hint="default"/>
                <w:sz w:val="20"/>
                <w:szCs w:val="20"/>
              </w:rPr>
              <w:t>B</w:t>
            </w:r>
            <w:r>
              <w:rPr>
                <w:rFonts w:ascii="宋体" w:hAnsi="宋体" w:cs="宋体" w:eastAsia="宋体" w:hint="default"/>
                <w:sz w:val="20"/>
                <w:szCs w:val="20"/>
              </w:rPr>
              <w:t>楼五层</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宁房权证鼓变字第</w:t>
            </w:r>
            <w:r>
              <w:rPr>
                <w:rFonts w:ascii="Times New Roman" w:hAnsi="Times New Roman" w:cs="Times New Roman" w:eastAsia="Times New Roman" w:hint="default"/>
                <w:sz w:val="20"/>
                <w:szCs w:val="20"/>
              </w:rPr>
              <w:t>494211</w:t>
            </w:r>
            <w:r>
              <w:rPr>
                <w:rFonts w:ascii="宋体" w:hAnsi="宋体" w:cs="宋体" w:eastAsia="宋体" w:hint="default"/>
                <w:sz w:val="20"/>
                <w:szCs w:val="20"/>
              </w:rPr>
              <w:t>号</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2,063.71</w:t>
            </w:r>
          </w:p>
        </w:tc>
      </w:tr>
    </w:tbl>
    <w:p>
      <w:pPr>
        <w:spacing w:line="240" w:lineRule="auto" w:before="5"/>
        <w:rPr>
          <w:rFonts w:ascii="宋体" w:hAnsi="宋体" w:cs="宋体" w:eastAsia="宋体" w:hint="default"/>
          <w:sz w:val="19"/>
          <w:szCs w:val="19"/>
        </w:rPr>
      </w:pPr>
    </w:p>
    <w:p>
      <w:pPr>
        <w:spacing w:line="544" w:lineRule="auto" w:before="31"/>
        <w:ind w:left="594" w:right="1082" w:hanging="441"/>
        <w:jc w:val="left"/>
        <w:rPr>
          <w:rFonts w:ascii="宋体" w:hAnsi="宋体" w:cs="宋体" w:eastAsia="宋体" w:hint="default"/>
          <w:sz w:val="22"/>
          <w:szCs w:val="22"/>
        </w:rPr>
      </w:pPr>
      <w:bookmarkStart w:name="10、报告期内对其他债券和债务融资工具的付息兑付情况" w:id="113"/>
      <w:bookmarkEnd w:id="113"/>
      <w:r>
        <w:rPr/>
      </w:r>
      <w:r>
        <w:rPr>
          <w:rFonts w:ascii="Times New Roman" w:hAnsi="Times New Roman" w:cs="Times New Roman" w:eastAsia="Times New Roman" w:hint="default"/>
          <w:b/>
          <w:bCs/>
          <w:w w:val="95"/>
          <w:sz w:val="22"/>
          <w:szCs w:val="22"/>
        </w:rPr>
        <w:t>10</w:t>
      </w:r>
      <w:r>
        <w:rPr>
          <w:rFonts w:ascii="宋体" w:hAnsi="宋体" w:cs="宋体" w:eastAsia="宋体" w:hint="default"/>
          <w:b/>
          <w:bCs/>
          <w:w w:val="95"/>
          <w:sz w:val="22"/>
          <w:szCs w:val="22"/>
        </w:rPr>
        <w:t>、报告期内对其他债券和债务融资工具的付息兑付情况</w:t>
      </w:r>
      <w:r>
        <w:rPr>
          <w:rFonts w:ascii="宋体" w:hAnsi="宋体" w:cs="宋体" w:eastAsia="宋体" w:hint="default"/>
          <w:b/>
          <w:bCs/>
          <w:spacing w:val="34"/>
          <w:w w:val="95"/>
          <w:sz w:val="22"/>
          <w:szCs w:val="22"/>
        </w:rPr>
        <w:t> </w:t>
      </w:r>
      <w:r>
        <w:rPr>
          <w:rFonts w:ascii="宋体" w:hAnsi="宋体" w:cs="宋体" w:eastAsia="宋体" w:hint="default"/>
          <w:sz w:val="22"/>
          <w:szCs w:val="22"/>
        </w:rPr>
        <w:t>报告期内，公司未开展其他债权和债务融资工作。</w:t>
      </w:r>
    </w:p>
    <w:p>
      <w:pPr>
        <w:spacing w:after="0" w:line="544" w:lineRule="auto"/>
        <w:jc w:val="left"/>
        <w:rPr>
          <w:rFonts w:ascii="宋体" w:hAnsi="宋体" w:cs="宋体" w:eastAsia="宋体" w:hint="default"/>
          <w:sz w:val="22"/>
          <w:szCs w:val="22"/>
        </w:rPr>
        <w:sectPr>
          <w:pgSz w:w="11910" w:h="16840"/>
          <w:pgMar w:header="877" w:footer="979" w:top="1100" w:bottom="1160" w:left="980" w:right="0"/>
        </w:sectPr>
      </w:pPr>
    </w:p>
    <w:p>
      <w:pPr>
        <w:spacing w:line="240" w:lineRule="auto" w:before="5"/>
        <w:rPr>
          <w:rFonts w:ascii="宋体" w:hAnsi="宋体" w:cs="宋体" w:eastAsia="宋体" w:hint="default"/>
          <w:sz w:val="20"/>
          <w:szCs w:val="20"/>
        </w:rPr>
      </w:pPr>
    </w:p>
    <w:p>
      <w:pPr>
        <w:pStyle w:val="Heading4"/>
        <w:spacing w:line="240" w:lineRule="auto" w:before="31"/>
        <w:ind w:left="213" w:right="1019"/>
        <w:jc w:val="left"/>
        <w:rPr>
          <w:b w:val="0"/>
          <w:bCs w:val="0"/>
        </w:rPr>
      </w:pPr>
      <w:bookmarkStart w:name="11、报告期内获得的银行授信情况、使用情况以及偿还银行贷款的情况" w:id="114"/>
      <w:bookmarkEnd w:id="114"/>
      <w:r>
        <w:rPr>
          <w:b w:val="0"/>
          <w:bCs w:val="0"/>
        </w:rPr>
      </w:r>
      <w:r>
        <w:rPr>
          <w:rFonts w:ascii="Times New Roman" w:hAnsi="Times New Roman" w:cs="Times New Roman" w:eastAsia="Times New Roman" w:hint="default"/>
        </w:rPr>
        <w:t>11</w:t>
      </w:r>
      <w:r>
        <w:rPr/>
        <w:t>、报告期内获得的银行授信情况、使用情况以及偿还银行贷款的情况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213" w:right="1118" w:firstLine="440"/>
        <w:jc w:val="left"/>
      </w:pPr>
      <w:r>
        <w:rPr>
          <w:spacing w:val="-2"/>
        </w:rPr>
        <w:t>（</w:t>
      </w:r>
      <w:r>
        <w:rPr>
          <w:rFonts w:ascii="Times New Roman" w:hAnsi="Times New Roman" w:cs="Times New Roman" w:eastAsia="Times New Roman" w:hint="default"/>
          <w:spacing w:val="-2"/>
        </w:rPr>
        <w:t>1</w:t>
      </w:r>
      <w:r>
        <w:rPr>
          <w:spacing w:val="-2"/>
        </w:rPr>
        <w:t>）授信及使用情况，截至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日，公司共获得人民币授信额度</w:t>
      </w:r>
      <w:r>
        <w:rPr>
          <w:rFonts w:ascii="Times New Roman" w:hAnsi="Times New Roman" w:cs="Times New Roman" w:eastAsia="Times New Roman" w:hint="default"/>
          <w:spacing w:val="-2"/>
        </w:rPr>
        <w:t>321.44</w:t>
      </w:r>
      <w:r>
        <w:rPr>
          <w:spacing w:val="-2"/>
        </w:rPr>
        <w:t>亿元，未使用额</w:t>
      </w:r>
      <w:r>
        <w:rPr>
          <w:w w:val="99"/>
        </w:rPr>
        <w:t> </w:t>
      </w:r>
      <w:r>
        <w:rPr/>
        <w:t>度</w:t>
      </w:r>
      <w:r>
        <w:rPr>
          <w:rFonts w:ascii="Times New Roman" w:hAnsi="Times New Roman" w:cs="Times New Roman" w:eastAsia="Times New Roman" w:hint="default"/>
        </w:rPr>
        <w:t>129.36</w:t>
      </w:r>
      <w:r>
        <w:rPr/>
        <w:t>亿元。</w:t>
      </w:r>
    </w:p>
    <w:p>
      <w:pPr>
        <w:pStyle w:val="BodyText"/>
        <w:spacing w:line="240" w:lineRule="auto" w:before="32"/>
        <w:ind w:left="654" w:right="1019"/>
        <w:jc w:val="left"/>
      </w:pPr>
      <w:r>
        <w:rPr/>
        <w:t>（</w:t>
      </w:r>
      <w:r>
        <w:rPr>
          <w:rFonts w:ascii="Times New Roman" w:hAnsi="Times New Roman" w:cs="Times New Roman" w:eastAsia="Times New Roman" w:hint="default"/>
        </w:rPr>
        <w:t>2</w:t>
      </w:r>
      <w:r>
        <w:rPr/>
        <w:t>）偿还银行贷款情况，报告期内公司及子公司因业务需要，银行贷款情况如下：</w:t>
      </w:r>
    </w:p>
    <w:p>
      <w:pPr>
        <w:pStyle w:val="BodyText"/>
        <w:spacing w:line="240" w:lineRule="auto" w:before="163"/>
        <w:ind w:left="0" w:right="1132"/>
        <w:jc w:val="right"/>
      </w:pPr>
      <w:r>
        <w:rPr>
          <w:w w:val="95"/>
        </w:rPr>
        <w:t>单位：千元</w:t>
      </w:r>
      <w:r>
        <w:rPr/>
      </w:r>
    </w:p>
    <w:p>
      <w:pPr>
        <w:spacing w:line="240" w:lineRule="auto" w:before="7"/>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103"/>
        <w:gridCol w:w="1459"/>
        <w:gridCol w:w="1460"/>
        <w:gridCol w:w="1459"/>
        <w:gridCol w:w="1458"/>
        <w:gridCol w:w="1458"/>
        <w:gridCol w:w="1458"/>
      </w:tblGrid>
      <w:tr>
        <w:trPr>
          <w:trHeight w:val="634" w:hRule="exact"/>
        </w:trPr>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146" w:right="0"/>
              <w:jc w:val="left"/>
              <w:rPr>
                <w:rFonts w:ascii="宋体" w:hAnsi="宋体" w:cs="宋体" w:eastAsia="宋体" w:hint="default"/>
                <w:sz w:val="20"/>
                <w:szCs w:val="20"/>
              </w:rPr>
            </w:pPr>
            <w:r>
              <w:rPr>
                <w:rFonts w:ascii="宋体" w:hAnsi="宋体" w:cs="宋体" w:eastAsia="宋体" w:hint="default"/>
                <w:sz w:val="20"/>
                <w:szCs w:val="20"/>
              </w:rPr>
              <w:t>借款币种</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3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p>
            <w:pPr>
              <w:pStyle w:val="TableParagraph"/>
              <w:spacing w:line="240" w:lineRule="auto" w:before="35"/>
              <w:ind w:left="32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623" w:right="122" w:hanging="500"/>
              <w:jc w:val="left"/>
              <w:rPr>
                <w:rFonts w:ascii="宋体" w:hAnsi="宋体" w:cs="宋体" w:eastAsia="宋体" w:hint="default"/>
                <w:sz w:val="20"/>
                <w:szCs w:val="20"/>
              </w:rPr>
            </w:pPr>
            <w:r>
              <w:rPr>
                <w:rFonts w:ascii="宋体" w:hAnsi="宋体" w:cs="宋体" w:eastAsia="宋体" w:hint="default"/>
                <w:sz w:val="20"/>
                <w:szCs w:val="20"/>
              </w:rPr>
              <w:t>收购导致的增</w:t>
            </w:r>
            <w:r>
              <w:rPr>
                <w:rFonts w:ascii="宋体" w:hAnsi="宋体" w:cs="宋体" w:eastAsia="宋体" w:hint="default"/>
                <w:w w:val="100"/>
                <w:sz w:val="20"/>
                <w:szCs w:val="20"/>
              </w:rPr>
              <w:t> </w:t>
            </w:r>
            <w:r>
              <w:rPr>
                <w:rFonts w:ascii="宋体" w:hAnsi="宋体" w:cs="宋体" w:eastAsia="宋体" w:hint="default"/>
                <w:sz w:val="20"/>
                <w:szCs w:val="20"/>
              </w:rPr>
              <w:t>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524" w:right="323" w:hanging="201"/>
              <w:jc w:val="left"/>
              <w:rPr>
                <w:rFonts w:ascii="宋体" w:hAnsi="宋体" w:cs="宋体" w:eastAsia="宋体" w:hint="default"/>
                <w:sz w:val="20"/>
                <w:szCs w:val="20"/>
              </w:rPr>
            </w:pPr>
            <w:r>
              <w:rPr>
                <w:rFonts w:ascii="宋体" w:hAnsi="宋体" w:cs="宋体" w:eastAsia="宋体" w:hint="default"/>
                <w:sz w:val="20"/>
                <w:szCs w:val="20"/>
              </w:rPr>
              <w:t>本年借入</w:t>
            </w:r>
            <w:r>
              <w:rPr>
                <w:rFonts w:ascii="宋体" w:hAnsi="宋体" w:cs="宋体" w:eastAsia="宋体" w:hint="default"/>
                <w:w w:val="100"/>
                <w:sz w:val="20"/>
                <w:szCs w:val="20"/>
              </w:rPr>
              <w:t> </w:t>
            </w:r>
            <w:r>
              <w:rPr>
                <w:rFonts w:ascii="宋体" w:hAnsi="宋体" w:cs="宋体" w:eastAsia="宋体" w:hint="default"/>
                <w:sz w:val="20"/>
                <w:szCs w:val="20"/>
              </w:rPr>
              <w:t>金额</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524" w:right="320" w:hanging="201"/>
              <w:jc w:val="left"/>
              <w:rPr>
                <w:rFonts w:ascii="宋体" w:hAnsi="宋体" w:cs="宋体" w:eastAsia="宋体" w:hint="default"/>
                <w:sz w:val="20"/>
                <w:szCs w:val="20"/>
              </w:rPr>
            </w:pPr>
            <w:r>
              <w:rPr>
                <w:rFonts w:ascii="宋体" w:hAnsi="宋体" w:cs="宋体" w:eastAsia="宋体" w:hint="default"/>
                <w:sz w:val="20"/>
                <w:szCs w:val="20"/>
              </w:rPr>
              <w:t>本年偿还</w:t>
            </w:r>
            <w:r>
              <w:rPr>
                <w:rFonts w:ascii="宋体" w:hAnsi="宋体" w:cs="宋体" w:eastAsia="宋体" w:hint="default"/>
                <w:w w:val="100"/>
                <w:sz w:val="20"/>
                <w:szCs w:val="20"/>
              </w:rPr>
              <w:t> </w:t>
            </w:r>
            <w:r>
              <w:rPr>
                <w:rFonts w:ascii="宋体" w:hAnsi="宋体" w:cs="宋体" w:eastAsia="宋体" w:hint="default"/>
                <w:sz w:val="20"/>
                <w:szCs w:val="20"/>
              </w:rPr>
              <w:t>金额</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624" w:right="122" w:hanging="501"/>
              <w:jc w:val="left"/>
              <w:rPr>
                <w:rFonts w:ascii="宋体" w:hAnsi="宋体" w:cs="宋体" w:eastAsia="宋体" w:hint="default"/>
                <w:sz w:val="20"/>
                <w:szCs w:val="20"/>
              </w:rPr>
            </w:pPr>
            <w:r>
              <w:rPr>
                <w:rFonts w:ascii="宋体" w:hAnsi="宋体" w:cs="宋体" w:eastAsia="宋体" w:hint="default"/>
                <w:sz w:val="20"/>
                <w:szCs w:val="20"/>
              </w:rPr>
              <w:t>处置导致的减</w:t>
            </w:r>
            <w:r>
              <w:rPr>
                <w:rFonts w:ascii="宋体" w:hAnsi="宋体" w:cs="宋体" w:eastAsia="宋体" w:hint="default"/>
                <w:w w:val="100"/>
                <w:sz w:val="20"/>
                <w:szCs w:val="20"/>
              </w:rPr>
              <w:t> </w:t>
            </w:r>
            <w:r>
              <w:rPr>
                <w:rFonts w:ascii="宋体" w:hAnsi="宋体" w:cs="宋体" w:eastAsia="宋体" w:hint="default"/>
                <w:sz w:val="20"/>
                <w:szCs w:val="20"/>
              </w:rPr>
              <w:t>少</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3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p>
            <w:pPr>
              <w:pStyle w:val="TableParagraph"/>
              <w:spacing w:line="240" w:lineRule="auto" w:before="35"/>
              <w:ind w:left="323"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323"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670,971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470,000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4,469,275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1,939,971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2,270,682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1,399,593</w:t>
            </w:r>
          </w:p>
        </w:tc>
      </w:tr>
      <w:tr>
        <w:trPr>
          <w:trHeight w:val="32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1,389,200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491,100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434,800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1,445,500</w:t>
            </w:r>
          </w:p>
        </w:tc>
      </w:tr>
      <w:tr>
        <w:trPr>
          <w:trHeight w:val="32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177,877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4,000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28,477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153,400</w:t>
            </w:r>
          </w:p>
        </w:tc>
      </w:tr>
      <w:tr>
        <w:trPr>
          <w:trHeight w:val="323"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日元</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100"/>
                <w:sz w:val="20"/>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989,393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100"/>
                <w:sz w:val="20"/>
              </w:rPr>
              <w:t>-</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550,000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100"/>
                <w:sz w:val="20"/>
              </w:rPr>
              <w:t>-</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439,393</w:t>
            </w:r>
          </w:p>
        </w:tc>
      </w:tr>
    </w:tbl>
    <w:p>
      <w:pPr>
        <w:pStyle w:val="BodyText"/>
        <w:spacing w:line="240" w:lineRule="auto" w:before="55"/>
        <w:ind w:left="654" w:right="1019"/>
        <w:jc w:val="left"/>
      </w:pPr>
      <w:r>
        <w:rPr/>
        <w:t>上述银行贷款不存在逾期情况，公司均按照借款合同约定按期偿还本金及支付利息。</w:t>
      </w:r>
    </w:p>
    <w:p>
      <w:pPr>
        <w:spacing w:line="690" w:lineRule="atLeast" w:before="18"/>
        <w:ind w:left="654" w:right="1117" w:hanging="441"/>
        <w:jc w:val="left"/>
        <w:rPr>
          <w:rFonts w:ascii="宋体" w:hAnsi="宋体" w:cs="宋体" w:eastAsia="宋体" w:hint="default"/>
          <w:sz w:val="22"/>
          <w:szCs w:val="22"/>
        </w:rPr>
      </w:pPr>
      <w:bookmarkStart w:name="12、报告期内执行公司债券募集说明书相关约定或承诺的情况" w:id="115"/>
      <w:bookmarkEnd w:id="115"/>
      <w:r>
        <w:rPr/>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、报告期内执行公司债券募集说明书相关约定或承诺的情况</w:t>
      </w:r>
      <w:r>
        <w:rPr>
          <w:rFonts w:ascii="宋体" w:hAnsi="宋体" w:cs="宋体" w:eastAsia="宋体" w:hint="default"/>
          <w:b/>
          <w:bCs/>
          <w:w w:val="99"/>
          <w:sz w:val="22"/>
          <w:szCs w:val="22"/>
        </w:rPr>
        <w:t> </w:t>
      </w:r>
      <w:r>
        <w:rPr>
          <w:rFonts w:ascii="宋体" w:hAnsi="宋体" w:cs="宋体" w:eastAsia="宋体" w:hint="default"/>
          <w:spacing w:val="-1"/>
          <w:sz w:val="22"/>
          <w:szCs w:val="22"/>
        </w:rPr>
        <w:t>报告期内，公司</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苏宁</w:t>
      </w:r>
      <w:r>
        <w:rPr>
          <w:rFonts w:ascii="Times New Roman" w:hAnsi="Times New Roman" w:cs="Times New Roman" w:eastAsia="Times New Roman" w:hint="default"/>
          <w:spacing w:val="-1"/>
          <w:sz w:val="22"/>
          <w:szCs w:val="22"/>
        </w:rPr>
        <w:t>01</w:t>
      </w:r>
      <w:r>
        <w:rPr>
          <w:rFonts w:ascii="宋体" w:hAnsi="宋体" w:cs="宋体" w:eastAsia="宋体" w:hint="default"/>
          <w:spacing w:val="-1"/>
          <w:sz w:val="22"/>
          <w:szCs w:val="22"/>
        </w:rPr>
        <w:t>、</w:t>
      </w:r>
      <w:r>
        <w:rPr>
          <w:rFonts w:ascii="Times New Roman" w:hAnsi="Times New Roman" w:cs="Times New Roman" w:eastAsia="Times New Roman" w:hint="default"/>
          <w:spacing w:val="-1"/>
          <w:sz w:val="22"/>
          <w:szCs w:val="22"/>
        </w:rPr>
        <w:t>13</w:t>
      </w:r>
      <w:r>
        <w:rPr>
          <w:rFonts w:ascii="宋体" w:hAnsi="宋体" w:cs="宋体" w:eastAsia="宋体" w:hint="default"/>
          <w:spacing w:val="-1"/>
          <w:sz w:val="22"/>
          <w:szCs w:val="22"/>
        </w:rPr>
        <w:t>苏宁债均按照募集资金说明书相关约定执行，按期兑付利息，不存</w:t>
      </w:r>
    </w:p>
    <w:p>
      <w:pPr>
        <w:pStyle w:val="BodyText"/>
        <w:spacing w:line="240" w:lineRule="auto" w:before="163"/>
        <w:ind w:left="213" w:right="1019"/>
        <w:jc w:val="left"/>
      </w:pPr>
      <w:r>
        <w:rPr/>
        <w:t>在对投资者利益产生影响的情形。</w:t>
      </w:r>
    </w:p>
    <w:p>
      <w:pPr>
        <w:spacing w:line="240" w:lineRule="auto" w:before="11"/>
        <w:rPr>
          <w:rFonts w:ascii="宋体" w:hAnsi="宋体" w:cs="宋体" w:eastAsia="宋体" w:hint="default"/>
          <w:sz w:val="30"/>
          <w:szCs w:val="30"/>
        </w:rPr>
      </w:pPr>
    </w:p>
    <w:p>
      <w:pPr>
        <w:spacing w:line="544" w:lineRule="auto" w:before="0"/>
        <w:ind w:left="654" w:right="1019" w:hanging="441"/>
        <w:jc w:val="left"/>
        <w:rPr>
          <w:rFonts w:ascii="宋体" w:hAnsi="宋体" w:cs="宋体" w:eastAsia="宋体" w:hint="default"/>
          <w:sz w:val="22"/>
          <w:szCs w:val="22"/>
        </w:rPr>
      </w:pPr>
      <w:bookmarkStart w:name="13、报告期内发生的重大事项" w:id="116"/>
      <w:bookmarkEnd w:id="116"/>
      <w:r>
        <w:rPr/>
      </w:r>
      <w:r>
        <w:rPr>
          <w:rFonts w:ascii="Times New Roman" w:hAnsi="Times New Roman" w:cs="Times New Roman" w:eastAsia="Times New Roman" w:hint="default"/>
          <w:b/>
          <w:bCs/>
          <w:sz w:val="22"/>
          <w:szCs w:val="22"/>
        </w:rPr>
        <w:t>13</w:t>
      </w:r>
      <w:r>
        <w:rPr>
          <w:rFonts w:ascii="宋体" w:hAnsi="宋体" w:cs="宋体" w:eastAsia="宋体" w:hint="default"/>
          <w:b/>
          <w:bCs/>
          <w:sz w:val="22"/>
          <w:szCs w:val="22"/>
        </w:rPr>
        <w:t>、报告期内发生的重大事项</w:t>
      </w:r>
      <w:r>
        <w:rPr>
          <w:rFonts w:ascii="宋体" w:hAnsi="宋体" w:cs="宋体" w:eastAsia="宋体" w:hint="default"/>
          <w:b/>
          <w:bCs/>
          <w:w w:val="99"/>
          <w:sz w:val="22"/>
          <w:szCs w:val="22"/>
        </w:rPr>
        <w:t> </w:t>
      </w:r>
      <w:r>
        <w:rPr>
          <w:rFonts w:ascii="宋体" w:hAnsi="宋体" w:cs="宋体" w:eastAsia="宋体" w:hint="default"/>
          <w:w w:val="95"/>
          <w:sz w:val="22"/>
          <w:szCs w:val="22"/>
        </w:rPr>
        <w:t>报告期内，公司未发生《公司债券发行与交易管理办法》第四十五条所列情形。</w:t>
      </w:r>
      <w:r>
        <w:rPr>
          <w:rFonts w:ascii="宋体" w:hAnsi="宋体" w:cs="宋体" w:eastAsia="宋体" w:hint="default"/>
          <w:sz w:val="22"/>
          <w:szCs w:val="22"/>
        </w:rPr>
      </w:r>
    </w:p>
    <w:p>
      <w:pPr>
        <w:pStyle w:val="Heading4"/>
        <w:spacing w:line="240" w:lineRule="auto" w:before="124"/>
        <w:ind w:left="213" w:right="1019"/>
        <w:jc w:val="left"/>
        <w:rPr>
          <w:b w:val="0"/>
          <w:bCs w:val="0"/>
        </w:rPr>
      </w:pPr>
      <w:bookmarkStart w:name="14、公司债券是否存在保证人" w:id="117"/>
      <w:bookmarkEnd w:id="117"/>
      <w:r>
        <w:rPr>
          <w:b w:val="0"/>
          <w:bCs w:val="0"/>
        </w:rPr>
      </w:r>
      <w:r>
        <w:rPr>
          <w:rFonts w:ascii="Times New Roman" w:hAnsi="Times New Roman" w:cs="Times New Roman" w:eastAsia="Times New Roman" w:hint="default"/>
        </w:rPr>
        <w:t>14</w:t>
      </w:r>
      <w:r>
        <w:rPr/>
        <w:t>、公司债券是否存在保证人</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654" w:right="10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p>
    <w:p>
      <w:pPr>
        <w:spacing w:after="0" w:line="240" w:lineRule="auto"/>
        <w:jc w:val="left"/>
        <w:sectPr>
          <w:pgSz w:w="11910" w:h="16840"/>
          <w:pgMar w:header="877" w:footer="979" w:top="1100" w:bottom="1160" w:left="920" w:right="0"/>
        </w:sectPr>
      </w:pPr>
    </w:p>
    <w:p>
      <w:pPr>
        <w:spacing w:before="15"/>
        <w:ind w:left="10230" w:right="1276"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240" w:lineRule="auto"/>
        <w:ind w:left="5112" w:right="1276"/>
        <w:jc w:val="left"/>
        <w:rPr>
          <w:b w:val="0"/>
          <w:bCs w:val="0"/>
        </w:rPr>
      </w:pPr>
      <w:bookmarkStart w:name="第六节 股份变动及股东情况" w:id="118"/>
      <w:bookmarkEnd w:id="118"/>
      <w:r>
        <w:rPr>
          <w:b w:val="0"/>
          <w:bCs w:val="0"/>
        </w:rPr>
      </w:r>
      <w:bookmarkStart w:name="_bookmark5" w:id="119"/>
      <w:bookmarkEnd w:id="11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40" w:right="1276"/>
        <w:jc w:val="left"/>
        <w:rPr>
          <w:b w:val="0"/>
          <w:bCs w:val="0"/>
        </w:rPr>
      </w:pPr>
      <w:bookmarkStart w:name="一、股份变动情况" w:id="120"/>
      <w:bookmarkEnd w:id="120"/>
      <w:r>
        <w:rPr>
          <w:b w:val="0"/>
          <w:bCs w:val="0"/>
        </w:rPr>
      </w:r>
      <w:r>
        <w:rPr/>
        <w:t>一、股份变动情况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left="140" w:right="1276"/>
        <w:jc w:val="left"/>
        <w:rPr>
          <w:b w:val="0"/>
          <w:bCs w:val="0"/>
        </w:rPr>
      </w:pPr>
      <w:bookmarkStart w:name="1、股份变动情况" w:id="121"/>
      <w:bookmarkEnd w:id="12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1"/>
          <w:szCs w:val="21"/>
        </w:rPr>
      </w:pPr>
    </w:p>
    <w:p>
      <w:pPr>
        <w:pStyle w:val="BodyText"/>
        <w:spacing w:line="240" w:lineRule="auto" w:before="31"/>
        <w:ind w:left="0" w:right="1439"/>
        <w:jc w:val="right"/>
      </w:pPr>
      <w:r>
        <w:rPr>
          <w:w w:val="95"/>
        </w:rPr>
        <w:t>单位：股</w:t>
      </w:r>
      <w:r>
        <w:rPr/>
      </w:r>
    </w:p>
    <w:p>
      <w:pPr>
        <w:spacing w:line="240" w:lineRule="auto" w:before="8"/>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202"/>
        <w:gridCol w:w="1333"/>
        <w:gridCol w:w="1171"/>
        <w:gridCol w:w="1171"/>
        <w:gridCol w:w="1168"/>
        <w:gridCol w:w="1169"/>
        <w:gridCol w:w="1169"/>
        <w:gridCol w:w="1172"/>
        <w:gridCol w:w="1322"/>
        <w:gridCol w:w="1127"/>
      </w:tblGrid>
      <w:tr>
        <w:trPr>
          <w:trHeight w:val="166" w:hRule="exact"/>
        </w:trPr>
        <w:tc>
          <w:tcPr>
            <w:tcW w:w="32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5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702" w:right="0"/>
              <w:jc w:val="left"/>
              <w:rPr>
                <w:rFonts w:ascii="宋体" w:hAnsi="宋体" w:cs="宋体" w:eastAsia="宋体" w:hint="default"/>
                <w:sz w:val="22"/>
                <w:szCs w:val="22"/>
              </w:rPr>
            </w:pPr>
            <w:r>
              <w:rPr>
                <w:rFonts w:ascii="宋体" w:hAnsi="宋体" w:cs="宋体" w:eastAsia="宋体" w:hint="default"/>
                <w:sz w:val="22"/>
                <w:szCs w:val="22"/>
              </w:rPr>
              <w:t>本次变动前</w:t>
            </w:r>
          </w:p>
        </w:tc>
        <w:tc>
          <w:tcPr>
            <w:tcW w:w="584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1709" w:right="0"/>
              <w:jc w:val="left"/>
              <w:rPr>
                <w:rFonts w:ascii="宋体" w:hAnsi="宋体" w:cs="宋体" w:eastAsia="宋体" w:hint="default"/>
                <w:sz w:val="22"/>
                <w:szCs w:val="22"/>
              </w:rPr>
            </w:pPr>
            <w:r>
              <w:rPr>
                <w:rFonts w:ascii="宋体" w:hAnsi="宋体" w:cs="宋体" w:eastAsia="宋体" w:hint="default"/>
                <w:sz w:val="22"/>
                <w:szCs w:val="22"/>
              </w:rPr>
              <w:t>本次变动增减（＋，－）</w:t>
            </w:r>
          </w:p>
        </w:tc>
        <w:tc>
          <w:tcPr>
            <w:tcW w:w="24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668" w:right="0"/>
              <w:jc w:val="left"/>
              <w:rPr>
                <w:rFonts w:ascii="宋体" w:hAnsi="宋体" w:cs="宋体" w:eastAsia="宋体" w:hint="default"/>
                <w:sz w:val="22"/>
                <w:szCs w:val="22"/>
              </w:rPr>
            </w:pPr>
            <w:r>
              <w:rPr>
                <w:rFonts w:ascii="宋体" w:hAnsi="宋体" w:cs="宋体" w:eastAsia="宋体" w:hint="default"/>
                <w:sz w:val="22"/>
                <w:szCs w:val="22"/>
              </w:rPr>
              <w:t>本次变动后</w:t>
            </w:r>
          </w:p>
        </w:tc>
      </w:tr>
      <w:tr>
        <w:trPr>
          <w:trHeight w:val="156" w:hRule="exact"/>
        </w:trPr>
        <w:tc>
          <w:tcPr>
            <w:tcW w:w="3202" w:type="dxa"/>
            <w:vMerge w:val="restart"/>
            <w:tcBorders>
              <w:top w:val="nil" w:sz="6" w:space="0" w:color="auto"/>
              <w:left w:val="single" w:sz="4" w:space="0" w:color="000000"/>
              <w:right w:val="single" w:sz="4" w:space="0" w:color="000000"/>
            </w:tcBorders>
            <w:shd w:val="clear" w:color="auto" w:fill="D2D2D2"/>
          </w:tcPr>
          <w:p>
            <w:pPr/>
          </w:p>
        </w:tc>
        <w:tc>
          <w:tcPr>
            <w:tcW w:w="2504" w:type="dxa"/>
            <w:gridSpan w:val="2"/>
            <w:vMerge/>
            <w:tcBorders>
              <w:left w:val="single" w:sz="4" w:space="0" w:color="000000"/>
              <w:bottom w:val="single" w:sz="4" w:space="0" w:color="000000"/>
              <w:right w:val="single" w:sz="4" w:space="0" w:color="000000"/>
            </w:tcBorders>
            <w:shd w:val="clear" w:color="auto" w:fill="D2D2D2"/>
          </w:tcPr>
          <w:p>
            <w:pPr/>
          </w:p>
        </w:tc>
        <w:tc>
          <w:tcPr>
            <w:tcW w:w="5849" w:type="dxa"/>
            <w:gridSpan w:val="5"/>
            <w:vMerge/>
            <w:tcBorders>
              <w:left w:val="single" w:sz="4" w:space="0" w:color="000000"/>
              <w:bottom w:val="single" w:sz="4" w:space="0" w:color="000000"/>
              <w:right w:val="single" w:sz="4" w:space="0" w:color="000000"/>
            </w:tcBorders>
            <w:shd w:val="clear" w:color="auto" w:fill="D2D2D2"/>
          </w:tcPr>
          <w:p>
            <w:pPr/>
          </w:p>
        </w:tc>
        <w:tc>
          <w:tcPr>
            <w:tcW w:w="2448"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3202" w:type="dxa"/>
            <w:vMerge/>
            <w:tcBorders>
              <w:left w:val="single" w:sz="4" w:space="0" w:color="000000"/>
              <w:bottom w:val="nil" w:sz="6" w:space="0" w:color="auto"/>
              <w:right w:val="single" w:sz="4" w:space="0" w:color="000000"/>
            </w:tcBorders>
            <w:shd w:val="clear" w:color="auto" w:fill="D2D2D2"/>
          </w:tcPr>
          <w:p>
            <w:pPr/>
          </w:p>
        </w:tc>
        <w:tc>
          <w:tcPr>
            <w:tcW w:w="1333"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1171"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360"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1171"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140" w:right="0"/>
              <w:jc w:val="left"/>
              <w:rPr>
                <w:rFonts w:ascii="宋体" w:hAnsi="宋体" w:cs="宋体" w:eastAsia="宋体" w:hint="default"/>
                <w:sz w:val="22"/>
                <w:szCs w:val="22"/>
              </w:rPr>
            </w:pPr>
            <w:r>
              <w:rPr>
                <w:rFonts w:ascii="宋体" w:hAnsi="宋体" w:cs="宋体" w:eastAsia="宋体" w:hint="default"/>
                <w:sz w:val="22"/>
                <w:szCs w:val="22"/>
              </w:rPr>
              <w:t>发行新股</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359" w:right="0"/>
              <w:jc w:val="left"/>
              <w:rPr>
                <w:rFonts w:ascii="宋体" w:hAnsi="宋体" w:cs="宋体" w:eastAsia="宋体" w:hint="default"/>
                <w:sz w:val="22"/>
                <w:szCs w:val="22"/>
              </w:rPr>
            </w:pPr>
            <w:r>
              <w:rPr>
                <w:rFonts w:ascii="宋体" w:hAnsi="宋体" w:cs="宋体" w:eastAsia="宋体" w:hint="default"/>
                <w:sz w:val="22"/>
                <w:szCs w:val="22"/>
              </w:rPr>
              <w:t>送股</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28" w:right="0"/>
              <w:jc w:val="left"/>
              <w:rPr>
                <w:rFonts w:ascii="宋体" w:hAnsi="宋体" w:cs="宋体" w:eastAsia="宋体" w:hint="default"/>
                <w:sz w:val="22"/>
                <w:szCs w:val="22"/>
              </w:rPr>
            </w:pPr>
            <w:r>
              <w:rPr>
                <w:rFonts w:ascii="宋体" w:hAnsi="宋体" w:cs="宋体" w:eastAsia="宋体" w:hint="default"/>
                <w:sz w:val="22"/>
                <w:szCs w:val="22"/>
              </w:rPr>
              <w:t>公积金转股</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36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361"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322"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434"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338" w:right="0"/>
              <w:jc w:val="left"/>
              <w:rPr>
                <w:rFonts w:ascii="宋体" w:hAnsi="宋体" w:cs="宋体" w:eastAsia="宋体" w:hint="default"/>
                <w:sz w:val="22"/>
                <w:szCs w:val="22"/>
              </w:rPr>
            </w:pPr>
            <w:r>
              <w:rPr>
                <w:rFonts w:ascii="宋体" w:hAnsi="宋体" w:cs="宋体" w:eastAsia="宋体" w:hint="default"/>
                <w:sz w:val="22"/>
                <w:szCs w:val="22"/>
              </w:rPr>
              <w:t>比例</w:t>
            </w:r>
          </w:p>
        </w:tc>
      </w:tr>
      <w:tr>
        <w:trPr>
          <w:trHeight w:val="166" w:hRule="exact"/>
        </w:trPr>
        <w:tc>
          <w:tcPr>
            <w:tcW w:w="32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3" w:type="dxa"/>
            <w:vMerge/>
            <w:tcBorders>
              <w:left w:val="single" w:sz="4" w:space="0" w:color="000000"/>
              <w:bottom w:val="single" w:sz="4" w:space="0" w:color="000000"/>
              <w:right w:val="single" w:sz="4" w:space="0" w:color="000000"/>
            </w:tcBorders>
            <w:shd w:val="clear" w:color="auto" w:fill="D2D2D2"/>
          </w:tcPr>
          <w:p>
            <w:pPr/>
          </w:p>
        </w:tc>
        <w:tc>
          <w:tcPr>
            <w:tcW w:w="1171" w:type="dxa"/>
            <w:vMerge/>
            <w:tcBorders>
              <w:left w:val="single" w:sz="4" w:space="0" w:color="000000"/>
              <w:bottom w:val="single" w:sz="4" w:space="0" w:color="000000"/>
              <w:right w:val="single" w:sz="4" w:space="0" w:color="000000"/>
            </w:tcBorders>
            <w:shd w:val="clear" w:color="auto" w:fill="D2D2D2"/>
          </w:tcPr>
          <w:p>
            <w:pPr/>
          </w:p>
        </w:tc>
        <w:tc>
          <w:tcPr>
            <w:tcW w:w="1171"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1" w:right="0"/>
              <w:jc w:val="left"/>
              <w:rPr>
                <w:rFonts w:ascii="宋体" w:hAnsi="宋体" w:cs="宋体" w:eastAsia="宋体" w:hint="default"/>
                <w:sz w:val="22"/>
                <w:szCs w:val="22"/>
              </w:rPr>
            </w:pPr>
            <w:r>
              <w:rPr>
                <w:rFonts w:ascii="宋体" w:hAnsi="宋体" w:cs="宋体" w:eastAsia="宋体" w:hint="default"/>
                <w:sz w:val="22"/>
                <w:szCs w:val="22"/>
              </w:rPr>
              <w:t>一、有限售条件股份</w:t>
            </w:r>
          </w:p>
        </w:tc>
        <w:tc>
          <w:tcPr>
            <w:tcW w:w="1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2,442,329,025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33.08%</w:t>
            </w:r>
            <w:r>
              <w:rPr>
                <w:rFonts w:ascii="Times New Roman"/>
                <w:sz w:val="22"/>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 w:right="0"/>
              <w:jc w:val="center"/>
              <w:rPr>
                <w:rFonts w:ascii="Times New Roman" w:hAnsi="Times New Roman" w:cs="Times New Roman" w:eastAsia="Times New Roman" w:hint="default"/>
                <w:sz w:val="22"/>
                <w:szCs w:val="22"/>
              </w:rPr>
            </w:pPr>
            <w:r>
              <w:rPr>
                <w:rFonts w:ascii="Times New Roman"/>
                <w:sz w:val="22"/>
              </w:rPr>
              <w:t>-77,100,733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-77,100,733</w:t>
            </w:r>
            <w:r>
              <w:rPr>
                <w:rFonts w:ascii="Times New Roman"/>
                <w:sz w:val="22"/>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spacing w:val="-1"/>
                <w:sz w:val="22"/>
              </w:rPr>
              <w:t>2,365,228,292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32.04%</w:t>
            </w:r>
            <w:r>
              <w:rPr>
                <w:rFonts w:ascii="Times New Roman"/>
                <w:sz w:val="22"/>
              </w:rPr>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、国家持股</w:t>
            </w:r>
          </w:p>
        </w:tc>
        <w:tc>
          <w:tcPr>
            <w:tcW w:w="1333" w:type="dxa"/>
            <w:tcBorders>
              <w:top w:val="single" w:sz="4" w:space="0" w:color="000000"/>
              <w:left w:val="single" w:sz="13" w:space="0" w:color="D2D2D2"/>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、国有法人持股</w:t>
            </w:r>
          </w:p>
        </w:tc>
        <w:tc>
          <w:tcPr>
            <w:tcW w:w="1333" w:type="dxa"/>
            <w:tcBorders>
              <w:top w:val="single" w:sz="4" w:space="0" w:color="000000"/>
              <w:left w:val="single" w:sz="13" w:space="0" w:color="D2D2D2"/>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、其他内资持股</w:t>
            </w:r>
          </w:p>
        </w:tc>
        <w:tc>
          <w:tcPr>
            <w:tcW w:w="1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2,442,329,025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33.08%</w:t>
            </w:r>
            <w:r>
              <w:rPr>
                <w:rFonts w:ascii="Times New Roman"/>
                <w:sz w:val="22"/>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 w:right="0"/>
              <w:jc w:val="center"/>
              <w:rPr>
                <w:rFonts w:ascii="Times New Roman" w:hAnsi="Times New Roman" w:cs="Times New Roman" w:eastAsia="Times New Roman" w:hint="default"/>
                <w:sz w:val="22"/>
                <w:szCs w:val="22"/>
              </w:rPr>
            </w:pPr>
            <w:r>
              <w:rPr>
                <w:rFonts w:ascii="Times New Roman"/>
                <w:sz w:val="22"/>
              </w:rPr>
              <w:t>-77,100,733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-77,100,733</w:t>
            </w:r>
            <w:r>
              <w:rPr>
                <w:rFonts w:ascii="Times New Roman"/>
                <w:sz w:val="22"/>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spacing w:val="-1"/>
                <w:sz w:val="22"/>
              </w:rPr>
              <w:t>2,365,228,292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32.04%</w:t>
            </w:r>
            <w:r>
              <w:rPr>
                <w:rFonts w:ascii="Times New Roman"/>
                <w:sz w:val="22"/>
              </w:rPr>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其中：境内法人持股</w:t>
            </w:r>
          </w:p>
        </w:tc>
        <w:tc>
          <w:tcPr>
            <w:tcW w:w="1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386,831,284</w:t>
            </w:r>
            <w:r>
              <w:rPr>
                <w:rFonts w:ascii="Times New Roman"/>
                <w:sz w:val="22"/>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5.24%</w:t>
            </w:r>
            <w:r>
              <w:rPr>
                <w:rFonts w:ascii="Times New Roman"/>
                <w:sz w:val="22"/>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 w:right="0"/>
              <w:jc w:val="center"/>
              <w:rPr>
                <w:rFonts w:ascii="Times New Roman" w:hAnsi="Times New Roman" w:cs="Times New Roman" w:eastAsia="Times New Roman" w:hint="default"/>
                <w:sz w:val="22"/>
                <w:szCs w:val="22"/>
              </w:rPr>
            </w:pPr>
            <w:r>
              <w:rPr>
                <w:rFonts w:ascii="Times New Roman"/>
                <w:sz w:val="22"/>
              </w:rPr>
              <w:t>-77,100,733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-77,100,733</w:t>
            </w:r>
            <w:r>
              <w:rPr>
                <w:rFonts w:ascii="Times New Roman"/>
                <w:sz w:val="22"/>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309,730,551</w:t>
            </w:r>
            <w:r>
              <w:rPr>
                <w:rFonts w:ascii="Times New Roman"/>
                <w:sz w:val="22"/>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4.20%</w:t>
            </w:r>
            <w:r>
              <w:rPr>
                <w:rFonts w:ascii="Times New Roman"/>
                <w:sz w:val="22"/>
              </w:rPr>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71" w:right="0"/>
              <w:jc w:val="left"/>
              <w:rPr>
                <w:rFonts w:ascii="宋体" w:hAnsi="宋体" w:cs="宋体" w:eastAsia="宋体" w:hint="default"/>
                <w:sz w:val="22"/>
                <w:szCs w:val="22"/>
              </w:rPr>
            </w:pPr>
            <w:r>
              <w:rPr>
                <w:rFonts w:ascii="宋体" w:hAnsi="宋体" w:cs="宋体" w:eastAsia="宋体" w:hint="default"/>
                <w:sz w:val="22"/>
                <w:szCs w:val="22"/>
              </w:rPr>
              <w:t>境内自然人持股</w:t>
            </w:r>
          </w:p>
        </w:tc>
        <w:tc>
          <w:tcPr>
            <w:tcW w:w="1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2,055,497,741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27.84%</w:t>
            </w:r>
            <w:r>
              <w:rPr>
                <w:rFonts w:ascii="Times New Roman"/>
                <w:sz w:val="22"/>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spacing w:val="-1"/>
                <w:sz w:val="22"/>
              </w:rPr>
              <w:t>2,055,497,741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27.84%</w:t>
            </w:r>
            <w:r>
              <w:rPr>
                <w:rFonts w:ascii="Times New Roman"/>
                <w:sz w:val="22"/>
              </w:rPr>
            </w:r>
          </w:p>
        </w:tc>
      </w:tr>
      <w:tr>
        <w:trPr>
          <w:trHeight w:val="323"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、外资持股</w:t>
            </w:r>
          </w:p>
        </w:tc>
        <w:tc>
          <w:tcPr>
            <w:tcW w:w="1333" w:type="dxa"/>
            <w:tcBorders>
              <w:top w:val="single" w:sz="4" w:space="0" w:color="000000"/>
              <w:left w:val="single" w:sz="13" w:space="0" w:color="D2D2D2"/>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其中：境外法人持股</w:t>
            </w:r>
          </w:p>
        </w:tc>
        <w:tc>
          <w:tcPr>
            <w:tcW w:w="1333" w:type="dxa"/>
            <w:tcBorders>
              <w:top w:val="single" w:sz="4" w:space="0" w:color="000000"/>
              <w:left w:val="single" w:sz="13" w:space="0" w:color="D2D2D2"/>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境外自然人持股</w:t>
            </w:r>
          </w:p>
        </w:tc>
        <w:tc>
          <w:tcPr>
            <w:tcW w:w="1333" w:type="dxa"/>
            <w:tcBorders>
              <w:top w:val="single" w:sz="4" w:space="0" w:color="000000"/>
              <w:left w:val="single" w:sz="13" w:space="0" w:color="D2D2D2"/>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二、无限售条件股份</w:t>
            </w:r>
          </w:p>
        </w:tc>
        <w:tc>
          <w:tcPr>
            <w:tcW w:w="1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4,940,714,125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66.92%</w:t>
            </w:r>
            <w:r>
              <w:rPr>
                <w:rFonts w:ascii="Times New Roman"/>
                <w:sz w:val="22"/>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3" w:right="0"/>
              <w:jc w:val="center"/>
              <w:rPr>
                <w:rFonts w:ascii="Times New Roman" w:hAnsi="Times New Roman" w:cs="Times New Roman" w:eastAsia="Times New Roman" w:hint="default"/>
                <w:sz w:val="22"/>
                <w:szCs w:val="22"/>
              </w:rPr>
            </w:pPr>
            <w:r>
              <w:rPr>
                <w:rFonts w:ascii="Times New Roman"/>
                <w:sz w:val="22"/>
              </w:rPr>
              <w:t>77,100,733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77,100,733</w:t>
            </w:r>
            <w:r>
              <w:rPr>
                <w:rFonts w:ascii="Times New Roman"/>
                <w:sz w:val="22"/>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spacing w:val="-1"/>
                <w:sz w:val="22"/>
              </w:rPr>
              <w:t>5,017,814,858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67.96%</w:t>
            </w:r>
            <w:r>
              <w:rPr>
                <w:rFonts w:ascii="Times New Roman"/>
                <w:sz w:val="22"/>
              </w:rPr>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、人民币普通股</w:t>
            </w:r>
          </w:p>
        </w:tc>
        <w:tc>
          <w:tcPr>
            <w:tcW w:w="1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spacing w:val="-1"/>
                <w:sz w:val="22"/>
              </w:rPr>
              <w:t>4,940,714,125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5"/>
                <w:sz w:val="22"/>
              </w:rPr>
              <w:t>66.92%</w:t>
            </w:r>
            <w:r>
              <w:rPr>
                <w:rFonts w:ascii="Times New Roman"/>
                <w:sz w:val="22"/>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3" w:right="0"/>
              <w:jc w:val="center"/>
              <w:rPr>
                <w:rFonts w:ascii="Times New Roman" w:hAnsi="Times New Roman" w:cs="Times New Roman" w:eastAsia="Times New Roman" w:hint="default"/>
                <w:sz w:val="22"/>
                <w:szCs w:val="22"/>
              </w:rPr>
            </w:pPr>
            <w:r>
              <w:rPr>
                <w:rFonts w:ascii="Times New Roman"/>
                <w:sz w:val="22"/>
              </w:rPr>
              <w:t>77,100,733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5"/>
                <w:sz w:val="22"/>
              </w:rPr>
              <w:t>77,100,733</w:t>
            </w:r>
            <w:r>
              <w:rPr>
                <w:rFonts w:ascii="Times New Roman"/>
                <w:sz w:val="22"/>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2"/>
                <w:szCs w:val="22"/>
              </w:rPr>
            </w:pPr>
            <w:r>
              <w:rPr>
                <w:rFonts w:ascii="Times New Roman"/>
                <w:spacing w:val="-1"/>
                <w:sz w:val="22"/>
              </w:rPr>
              <w:t>5,017,814,858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5"/>
                <w:sz w:val="22"/>
              </w:rPr>
              <w:t>67.96%</w:t>
            </w:r>
            <w:r>
              <w:rPr>
                <w:rFonts w:ascii="Times New Roman"/>
                <w:sz w:val="22"/>
              </w:rPr>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、境内上市的外资股</w:t>
            </w:r>
          </w:p>
        </w:tc>
        <w:tc>
          <w:tcPr>
            <w:tcW w:w="1333" w:type="dxa"/>
            <w:tcBorders>
              <w:top w:val="single" w:sz="4" w:space="0" w:color="000000"/>
              <w:left w:val="single" w:sz="13" w:space="0" w:color="D2D2D2"/>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、境外上市的外资股</w:t>
            </w:r>
          </w:p>
        </w:tc>
        <w:tc>
          <w:tcPr>
            <w:tcW w:w="1333" w:type="dxa"/>
            <w:tcBorders>
              <w:top w:val="single" w:sz="4" w:space="0" w:color="000000"/>
              <w:left w:val="single" w:sz="13" w:space="0" w:color="D2D2D2"/>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、其他</w:t>
            </w:r>
          </w:p>
        </w:tc>
        <w:tc>
          <w:tcPr>
            <w:tcW w:w="1333" w:type="dxa"/>
            <w:tcBorders>
              <w:top w:val="single" w:sz="4" w:space="0" w:color="000000"/>
              <w:left w:val="single" w:sz="13" w:space="0" w:color="D2D2D2"/>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三、股份总数</w:t>
            </w:r>
          </w:p>
        </w:tc>
        <w:tc>
          <w:tcPr>
            <w:tcW w:w="1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7,383,043,150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spacing w:val="-1"/>
                <w:sz w:val="22"/>
              </w:rPr>
              <w:t>7,383,043,150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1960" type="#_x0000_t75" stroked="false">
            <v:imagedata r:id="rId23" o:title=""/>
          </v:shape>
        </w:pict>
      </w:r>
      <w:r>
        <w:rPr>
          <w:rFonts w:ascii="Times New Roman"/>
          <w:sz w:val="18"/>
        </w:rPr>
        <w:t>79</w:t>
      </w:r>
    </w:p>
    <w:p>
      <w:pPr>
        <w:spacing w:after="0"/>
        <w:jc w:val="right"/>
        <w:rPr>
          <w:rFonts w:ascii="Times New Roman" w:hAnsi="Times New Roman" w:cs="Times New Roman" w:eastAsia="Times New Roman" w:hint="default"/>
          <w:sz w:val="18"/>
          <w:szCs w:val="18"/>
        </w:rPr>
        <w:sectPr>
          <w:headerReference w:type="default" r:id="rId21"/>
          <w:footerReference w:type="default" r:id="rId22"/>
          <w:pgSz w:w="16840" w:h="11910" w:orient="landscape"/>
          <w:pgMar w:header="0" w:footer="0" w:top="800" w:bottom="0" w:left="1300" w:right="0"/>
        </w:sectPr>
      </w:pPr>
    </w:p>
    <w:p>
      <w:pPr>
        <w:spacing w:line="240" w:lineRule="auto" w:before="10"/>
        <w:rPr>
          <w:rFonts w:ascii="Times New Roman" w:hAnsi="Times New Roman" w:cs="Times New Roman" w:eastAsia="Times New Roman" w:hint="default"/>
          <w:sz w:val="29"/>
          <w:szCs w:val="29"/>
        </w:rPr>
      </w:pPr>
      <w:r>
        <w:rPr/>
        <w:pict>
          <v:group style="position:absolute;margin-left:98.419998pt;margin-top:745.559998pt;width:65.55pt;height:15.6pt;mso-position-horizontal-relative:page;mso-position-vertical-relative:page;z-index:-1831480" coordorigin="1968,14911" coordsize="1311,312">
            <v:shape style="position:absolute;left:1968;top:14911;width:1311;height:312" coordorigin="1968,14911" coordsize="1311,312" path="m1968,15223l3279,15223,3279,14911,1968,14911,1968,15223xe" filled="true" fillcolor="#ffffff" stroked="false">
              <v:path arrowok="t"/>
              <v:fill type="solid"/>
            </v:shape>
            <w10:wrap type="none"/>
          </v:group>
        </w:pict>
      </w:r>
    </w:p>
    <w:p>
      <w:pPr>
        <w:pStyle w:val="BodyText"/>
        <w:spacing w:line="240" w:lineRule="auto" w:before="31"/>
        <w:ind w:left="594" w:right="1082"/>
        <w:jc w:val="left"/>
      </w:pPr>
      <w:r>
        <w:rPr/>
        <w:t>（</w:t>
      </w:r>
      <w:r>
        <w:rPr>
          <w:rFonts w:ascii="Times New Roman" w:hAnsi="Times New Roman" w:cs="Times New Roman" w:eastAsia="Times New Roman" w:hint="default"/>
        </w:rPr>
        <w:t>1</w:t>
      </w:r>
      <w:r>
        <w:rPr/>
        <w:t>）股份变动的原因</w:t>
      </w:r>
    </w:p>
    <w:p>
      <w:pPr>
        <w:pStyle w:val="BodyText"/>
        <w:spacing w:line="374" w:lineRule="auto" w:before="163"/>
        <w:ind w:right="1122" w:firstLine="440"/>
        <w:jc w:val="left"/>
      </w:pPr>
      <w:r>
        <w:rPr/>
        <w:t>报告期内，公司控股股东、实际控制人张近东先生积极参与</w:t>
      </w:r>
      <w:r>
        <w:rPr>
          <w:rFonts w:ascii="Times New Roman" w:hAnsi="Times New Roman" w:cs="Times New Roman" w:eastAsia="Times New Roman" w:hint="default"/>
        </w:rPr>
        <w:t>“</w:t>
      </w:r>
      <w:r>
        <w:rPr/>
        <w:t>中小企业板首</w:t>
      </w:r>
      <w:r>
        <w:rPr>
          <w:spacing w:val="-73"/>
        </w:rPr>
        <w:t> </w:t>
      </w:r>
      <w:r>
        <w:rPr>
          <w:rFonts w:ascii="Times New Roman" w:hAnsi="Times New Roman" w:cs="Times New Roman" w:eastAsia="Times New Roman" w:hint="default"/>
        </w:rPr>
        <w:t>50</w:t>
      </w:r>
      <w:r>
        <w:rPr>
          <w:rFonts w:ascii="Times New Roman" w:hAnsi="Times New Roman" w:cs="Times New Roman" w:eastAsia="Times New Roman" w:hint="default"/>
          <w:spacing w:val="-19"/>
        </w:rPr>
        <w:t> </w:t>
      </w:r>
      <w:r>
        <w:rPr/>
        <w:t>家公司关于坚定发</w:t>
      </w:r>
      <w:r>
        <w:rPr>
          <w:w w:val="99"/>
        </w:rPr>
        <w:t> </w:t>
      </w:r>
      <w:r>
        <w:rPr/>
        <w:t>展信心、维护市场稳定的倡议书</w:t>
      </w:r>
      <w:r>
        <w:rPr>
          <w:rFonts w:ascii="Times New Roman" w:hAnsi="Times New Roman" w:cs="Times New Roman" w:eastAsia="Times New Roman" w:hint="default"/>
        </w:rPr>
        <w:t>”</w:t>
      </w:r>
      <w:r>
        <w:rPr/>
        <w:t>，以实际行动表明其对于资本市场、中小板以及企业长期发展的强</w:t>
      </w:r>
      <w:r>
        <w:rPr>
          <w:w w:val="99"/>
        </w:rPr>
        <w:t> </w:t>
      </w:r>
      <w:r>
        <w:rPr>
          <w:spacing w:val="-3"/>
          <w:w w:val="99"/>
        </w:rPr>
        <w:t>烈信心，并向公司递交了《关于追加股份限售承诺的函》。张近东先生承诺其及其全资子公司苏宁控</w:t>
      </w:r>
      <w:r>
        <w:rPr>
          <w:spacing w:val="-89"/>
          <w:w w:val="99"/>
        </w:rPr>
        <w:t> </w:t>
      </w:r>
      <w:r>
        <w:rPr>
          <w:spacing w:val="-89"/>
          <w:w w:val="99"/>
        </w:rPr>
      </w:r>
      <w:r>
        <w:rPr/>
        <w:t>股集团有限公司合计持有的全部公司</w:t>
      </w:r>
      <w:r>
        <w:rPr>
          <w:spacing w:val="-68"/>
        </w:rPr>
        <w:t> </w:t>
      </w:r>
      <w:r>
        <w:rPr>
          <w:rFonts w:ascii="Times New Roman" w:hAnsi="Times New Roman" w:cs="Times New Roman" w:eastAsia="Times New Roman" w:hint="default"/>
        </w:rPr>
        <w:t>2,261,541,981</w:t>
      </w:r>
      <w:r>
        <w:rPr>
          <w:rFonts w:ascii="Times New Roman" w:hAnsi="Times New Roman" w:cs="Times New Roman" w:eastAsia="Times New Roman" w:hint="default"/>
          <w:spacing w:val="-13"/>
        </w:rPr>
        <w:t> </w:t>
      </w:r>
      <w:r>
        <w:rPr/>
        <w:t>股股份自</w:t>
      </w:r>
      <w:r>
        <w:rPr>
          <w:spacing w:val="-6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6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日起三十六个月内不进行</w:t>
      </w:r>
      <w:r>
        <w:rPr>
          <w:w w:val="99"/>
        </w:rPr>
        <w:t> </w:t>
      </w:r>
      <w:r>
        <w:rPr/>
        <w:t>转让。</w:t>
      </w:r>
    </w:p>
    <w:p>
      <w:pPr>
        <w:pStyle w:val="BodyText"/>
        <w:spacing w:line="240" w:lineRule="auto" w:before="57"/>
        <w:ind w:left="594" w:right="1082"/>
        <w:jc w:val="left"/>
        <w:rPr>
          <w:rFonts w:ascii="Times New Roman" w:hAnsi="Times New Roman" w:cs="Times New Roman" w:eastAsia="Times New Roman" w:hint="default"/>
        </w:rPr>
      </w:pPr>
      <w:r>
        <w:rPr/>
        <w:t>股东北京弘毅贰零壹零股权投资中心（有限合伙）认购公司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年非公开发行股份</w:t>
      </w:r>
      <w:r>
        <w:rPr>
          <w:spacing w:val="-63"/>
        </w:rPr>
        <w:t> </w:t>
      </w:r>
      <w:r>
        <w:rPr>
          <w:rFonts w:ascii="Times New Roman" w:hAnsi="Times New Roman" w:cs="Times New Roman" w:eastAsia="Times New Roman" w:hint="default"/>
        </w:rPr>
        <w:t>98,765,436</w:t>
      </w:r>
    </w:p>
    <w:p>
      <w:pPr>
        <w:pStyle w:val="BodyText"/>
        <w:spacing w:line="369" w:lineRule="auto" w:before="163"/>
        <w:ind w:right="1082"/>
        <w:jc w:val="left"/>
      </w:pPr>
      <w:r>
        <w:rPr/>
        <w:t>股，该部分股票自</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日起至</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日止限售</w:t>
      </w:r>
      <w:r>
        <w:rPr>
          <w:spacing w:val="-5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日解除限</w:t>
      </w:r>
      <w:r>
        <w:rPr>
          <w:w w:val="99"/>
        </w:rPr>
        <w:t> </w:t>
      </w:r>
      <w:r>
        <w:rPr/>
        <w:t>售。</w:t>
      </w:r>
    </w:p>
    <w:p>
      <w:pPr>
        <w:pStyle w:val="BodyText"/>
        <w:spacing w:line="240" w:lineRule="auto" w:before="61"/>
        <w:ind w:left="594" w:right="1082"/>
        <w:jc w:val="left"/>
      </w:pPr>
      <w:r>
        <w:rPr/>
        <w:t>（</w:t>
      </w:r>
      <w:r>
        <w:rPr>
          <w:rFonts w:ascii="Times New Roman" w:hAnsi="Times New Roman" w:cs="Times New Roman" w:eastAsia="Times New Roman" w:hint="default"/>
        </w:rPr>
        <w:t>2</w:t>
      </w:r>
      <w:r>
        <w:rPr/>
        <w:t>）股份变动的批准情况</w:t>
      </w:r>
    </w:p>
    <w:p>
      <w:pPr>
        <w:pStyle w:val="BodyText"/>
        <w:spacing w:line="240" w:lineRule="auto" w:before="163"/>
        <w:ind w:left="59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pStyle w:val="BodyText"/>
        <w:spacing w:line="240" w:lineRule="auto" w:before="163"/>
        <w:ind w:left="594" w:right="1082"/>
        <w:jc w:val="left"/>
      </w:pPr>
      <w:r>
        <w:rPr/>
        <w:t>（</w:t>
      </w:r>
      <w:r>
        <w:rPr>
          <w:rFonts w:ascii="Times New Roman" w:hAnsi="Times New Roman" w:cs="Times New Roman" w:eastAsia="Times New Roman" w:hint="default"/>
        </w:rPr>
        <w:t>3</w:t>
      </w:r>
      <w:r>
        <w:rPr/>
        <w:t>）股份变动的过户情况</w:t>
      </w:r>
    </w:p>
    <w:p>
      <w:pPr>
        <w:pStyle w:val="BodyText"/>
        <w:spacing w:line="240" w:lineRule="auto" w:before="163"/>
        <w:ind w:left="59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pStyle w:val="BodyText"/>
        <w:spacing w:line="369" w:lineRule="auto" w:before="163"/>
        <w:ind w:right="1082" w:firstLine="440"/>
        <w:jc w:val="left"/>
      </w:pPr>
      <w:r>
        <w:rPr>
          <w:w w:val="95"/>
        </w:rPr>
        <w:t>（</w:t>
      </w:r>
      <w:r>
        <w:rPr>
          <w:rFonts w:ascii="Times New Roman" w:hAnsi="Times New Roman" w:cs="Times New Roman" w:eastAsia="Times New Roman" w:hint="default"/>
          <w:w w:val="95"/>
        </w:rPr>
        <w:t>4</w:t>
      </w:r>
      <w:r>
        <w:rPr>
          <w:w w:val="95"/>
        </w:rPr>
        <w:t>）股份变动对最近一年和最近一期基本每股收益和稀释每股收益、归属于公司普通股股东的</w:t>
      </w:r>
      <w:r>
        <w:rPr>
          <w:w w:val="99"/>
        </w:rPr>
        <w:t> </w:t>
      </w:r>
      <w:r>
        <w:rPr/>
        <w:t>每股净资产等财务指标的影响</w:t>
      </w:r>
    </w:p>
    <w:p>
      <w:pPr>
        <w:pStyle w:val="BodyText"/>
        <w:spacing w:line="240" w:lineRule="auto" w:before="61"/>
        <w:ind w:left="59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pStyle w:val="BodyText"/>
        <w:spacing w:line="240" w:lineRule="auto" w:before="163"/>
        <w:ind w:left="594" w:right="1082"/>
        <w:jc w:val="left"/>
      </w:pPr>
      <w:r>
        <w:rPr/>
        <w:t>（</w:t>
      </w:r>
      <w:r>
        <w:rPr>
          <w:rFonts w:ascii="Times New Roman" w:hAnsi="Times New Roman" w:cs="Times New Roman" w:eastAsia="Times New Roman" w:hint="default"/>
        </w:rPr>
        <w:t>5</w:t>
      </w:r>
      <w:r>
        <w:rPr/>
        <w:t>）公司认为必要或证券监管机构要求披露的其他内容</w:t>
      </w:r>
    </w:p>
    <w:p>
      <w:pPr>
        <w:pStyle w:val="BodyText"/>
        <w:spacing w:line="240" w:lineRule="auto" w:before="163"/>
        <w:ind w:left="59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7"/>
        <w:rPr>
          <w:rFonts w:ascii="宋体" w:hAnsi="宋体" w:cs="宋体" w:eastAsia="宋体" w:hint="default"/>
          <w:sz w:val="29"/>
          <w:szCs w:val="29"/>
        </w:rPr>
      </w:pPr>
    </w:p>
    <w:p>
      <w:pPr>
        <w:pStyle w:val="Heading4"/>
        <w:spacing w:line="240" w:lineRule="auto"/>
        <w:ind w:left="154" w:right="1082"/>
        <w:jc w:val="left"/>
        <w:rPr>
          <w:b w:val="0"/>
          <w:bCs w:val="0"/>
        </w:rPr>
      </w:pPr>
      <w:bookmarkStart w:name="2、限售股份变动情况" w:id="122"/>
      <w:bookmarkEnd w:id="12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0" w:right="1132"/>
        <w:jc w:val="right"/>
      </w:pPr>
      <w:r>
        <w:rPr>
          <w:w w:val="95"/>
        </w:rPr>
        <w:t>单位：股</w:t>
      </w:r>
      <w:r>
        <w:rPr/>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857"/>
        <w:gridCol w:w="1321"/>
        <w:gridCol w:w="1156"/>
        <w:gridCol w:w="1047"/>
        <w:gridCol w:w="1321"/>
        <w:gridCol w:w="2765"/>
        <w:gridCol w:w="1579"/>
      </w:tblGrid>
      <w:tr>
        <w:trPr>
          <w:trHeight w:val="634"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股东名</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w w:val="99"/>
                <w:sz w:val="22"/>
                <w:szCs w:val="22"/>
              </w:rPr>
              <w:t>称</w:t>
            </w:r>
            <w:r>
              <w:rPr>
                <w:rFonts w:ascii="宋体" w:hAnsi="宋体" w:cs="宋体" w:eastAsia="宋体" w:hint="default"/>
                <w:sz w:val="22"/>
                <w:szCs w:val="22"/>
              </w:rPr>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期初限售股</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数</w:t>
            </w:r>
            <w:r>
              <w:rPr>
                <w:rFonts w:ascii="宋体" w:hAnsi="宋体" w:cs="宋体" w:eastAsia="宋体" w:hint="default"/>
                <w:sz w:val="22"/>
                <w:szCs w:val="22"/>
              </w:rPr>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本期解除限</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售股数</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78" w:right="0"/>
              <w:jc w:val="left"/>
              <w:rPr>
                <w:rFonts w:ascii="宋体" w:hAnsi="宋体" w:cs="宋体" w:eastAsia="宋体" w:hint="default"/>
                <w:sz w:val="22"/>
                <w:szCs w:val="22"/>
              </w:rPr>
            </w:pPr>
            <w:r>
              <w:rPr>
                <w:rFonts w:ascii="宋体" w:hAnsi="宋体" w:cs="宋体" w:eastAsia="宋体" w:hint="default"/>
                <w:sz w:val="22"/>
                <w:szCs w:val="22"/>
              </w:rPr>
              <w:t>本期增加</w:t>
            </w:r>
          </w:p>
          <w:p>
            <w:pPr>
              <w:pStyle w:val="TableParagraph"/>
              <w:spacing w:line="240" w:lineRule="auto" w:before="24"/>
              <w:ind w:left="78" w:right="0"/>
              <w:jc w:val="left"/>
              <w:rPr>
                <w:rFonts w:ascii="宋体" w:hAnsi="宋体" w:cs="宋体" w:eastAsia="宋体" w:hint="default"/>
                <w:sz w:val="22"/>
                <w:szCs w:val="22"/>
              </w:rPr>
            </w:pPr>
            <w:r>
              <w:rPr>
                <w:rFonts w:ascii="宋体" w:hAnsi="宋体" w:cs="宋体" w:eastAsia="宋体" w:hint="default"/>
                <w:sz w:val="22"/>
                <w:szCs w:val="22"/>
              </w:rPr>
              <w:t>限售股数</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期末限售股</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数</w:t>
            </w:r>
            <w:r>
              <w:rPr>
                <w:rFonts w:ascii="宋体" w:hAnsi="宋体" w:cs="宋体" w:eastAsia="宋体" w:hint="default"/>
                <w:sz w:val="22"/>
                <w:szCs w:val="22"/>
              </w:rPr>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限售原因</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123" w:right="0"/>
              <w:jc w:val="left"/>
              <w:rPr>
                <w:rFonts w:ascii="宋体" w:hAnsi="宋体" w:cs="宋体" w:eastAsia="宋体" w:hint="default"/>
                <w:sz w:val="22"/>
                <w:szCs w:val="22"/>
              </w:rPr>
            </w:pPr>
            <w:r>
              <w:rPr>
                <w:rFonts w:ascii="宋体" w:hAnsi="宋体" w:cs="宋体" w:eastAsia="宋体" w:hint="default"/>
                <w:sz w:val="22"/>
                <w:szCs w:val="22"/>
              </w:rPr>
              <w:t>解除限售日期</w:t>
            </w:r>
          </w:p>
        </w:tc>
      </w:tr>
      <w:tr>
        <w:trPr>
          <w:trHeight w:val="1153"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93" w:right="0"/>
              <w:jc w:val="left"/>
              <w:rPr>
                <w:rFonts w:ascii="宋体" w:hAnsi="宋体" w:cs="宋体" w:eastAsia="宋体" w:hint="default"/>
                <w:sz w:val="22"/>
                <w:szCs w:val="22"/>
              </w:rPr>
            </w:pPr>
            <w:r>
              <w:rPr>
                <w:rFonts w:ascii="宋体" w:hAnsi="宋体" w:cs="宋体" w:eastAsia="宋体" w:hint="default"/>
                <w:sz w:val="22"/>
                <w:szCs w:val="22"/>
              </w:rPr>
              <w:t>张近东</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26"/>
              <w:jc w:val="right"/>
              <w:rPr>
                <w:rFonts w:ascii="Times New Roman" w:hAnsi="Times New Roman" w:cs="Times New Roman" w:eastAsia="Times New Roman" w:hint="default"/>
                <w:sz w:val="22"/>
                <w:szCs w:val="22"/>
              </w:rPr>
            </w:pPr>
            <w:r>
              <w:rPr>
                <w:rFonts w:ascii="Times New Roman"/>
                <w:spacing w:val="-1"/>
                <w:sz w:val="22"/>
              </w:rPr>
              <w:t>1,951,811,430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26"/>
              <w:jc w:val="right"/>
              <w:rPr>
                <w:rFonts w:ascii="Times New Roman" w:hAnsi="Times New Roman" w:cs="Times New Roman" w:eastAsia="Times New Roman" w:hint="default"/>
                <w:sz w:val="22"/>
                <w:szCs w:val="22"/>
              </w:rPr>
            </w:pPr>
            <w:r>
              <w:rPr>
                <w:rFonts w:ascii="Times New Roman"/>
                <w:spacing w:val="-1"/>
                <w:sz w:val="22"/>
              </w:rPr>
              <w:t>1,951,811,430</w:t>
            </w:r>
          </w:p>
        </w:tc>
        <w:tc>
          <w:tcPr>
            <w:tcW w:w="2765" w:type="dxa"/>
            <w:vMerge w:val="restart"/>
            <w:tcBorders>
              <w:top w:val="single" w:sz="4" w:space="0" w:color="000000"/>
              <w:left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公司控股股东、实际控制人</w:t>
            </w:r>
          </w:p>
          <w:p>
            <w:pPr>
              <w:pStyle w:val="TableParagraph"/>
              <w:spacing w:line="254" w:lineRule="auto" w:before="24"/>
              <w:ind w:left="22" w:right="23"/>
              <w:jc w:val="left"/>
              <w:rPr>
                <w:rFonts w:ascii="宋体" w:hAnsi="宋体" w:cs="宋体" w:eastAsia="宋体" w:hint="default"/>
                <w:sz w:val="22"/>
                <w:szCs w:val="22"/>
              </w:rPr>
            </w:pPr>
            <w:r>
              <w:rPr>
                <w:rFonts w:ascii="宋体" w:hAnsi="宋体" w:cs="宋体" w:eastAsia="宋体" w:hint="default"/>
                <w:sz w:val="22"/>
                <w:szCs w:val="22"/>
              </w:rPr>
              <w:t>张近东先生积极参与</w:t>
            </w:r>
            <w:r>
              <w:rPr>
                <w:rFonts w:ascii="Times New Roman" w:hAnsi="Times New Roman" w:cs="Times New Roman" w:eastAsia="Times New Roman" w:hint="default"/>
                <w:sz w:val="22"/>
                <w:szCs w:val="22"/>
              </w:rPr>
              <w:t>“</w:t>
            </w:r>
            <w:r>
              <w:rPr>
                <w:rFonts w:ascii="宋体" w:hAnsi="宋体" w:cs="宋体" w:eastAsia="宋体" w:hint="default"/>
                <w:sz w:val="22"/>
                <w:szCs w:val="22"/>
              </w:rPr>
              <w:t>中小</w:t>
            </w:r>
            <w:r>
              <w:rPr>
                <w:rFonts w:ascii="宋体" w:hAnsi="宋体" w:cs="宋体" w:eastAsia="宋体" w:hint="default"/>
                <w:spacing w:val="1"/>
                <w:w w:val="99"/>
                <w:sz w:val="22"/>
                <w:szCs w:val="22"/>
              </w:rPr>
              <w:t> </w:t>
            </w:r>
            <w:r>
              <w:rPr>
                <w:rFonts w:ascii="宋体" w:hAnsi="宋体" w:cs="宋体" w:eastAsia="宋体" w:hint="default"/>
                <w:sz w:val="22"/>
                <w:szCs w:val="22"/>
              </w:rPr>
              <w:t>企业板首</w:t>
            </w:r>
            <w:r>
              <w:rPr>
                <w:rFonts w:ascii="宋体" w:hAnsi="宋体" w:cs="宋体" w:eastAsia="宋体" w:hint="default"/>
                <w:spacing w:val="-78"/>
                <w:sz w:val="22"/>
                <w:szCs w:val="22"/>
              </w:rPr>
              <w:t> </w:t>
            </w:r>
            <w:r>
              <w:rPr>
                <w:rFonts w:ascii="Times New Roman" w:hAnsi="Times New Roman" w:cs="Times New Roman" w:eastAsia="Times New Roman" w:hint="default"/>
                <w:sz w:val="22"/>
                <w:szCs w:val="22"/>
              </w:rPr>
              <w:t>50</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家公司关于坚定</w:t>
            </w:r>
            <w:r>
              <w:rPr>
                <w:rFonts w:ascii="宋体" w:hAnsi="宋体" w:cs="宋体" w:eastAsia="宋体" w:hint="default"/>
                <w:w w:val="99"/>
                <w:sz w:val="22"/>
                <w:szCs w:val="22"/>
              </w:rPr>
              <w:t> </w:t>
            </w:r>
            <w:r>
              <w:rPr>
                <w:rFonts w:ascii="宋体" w:hAnsi="宋体" w:cs="宋体" w:eastAsia="宋体" w:hint="default"/>
                <w:sz w:val="22"/>
                <w:szCs w:val="22"/>
              </w:rPr>
              <w:t>发展信心、维护市场稳定的</w:t>
            </w:r>
            <w:r>
              <w:rPr>
                <w:rFonts w:ascii="宋体" w:hAnsi="宋体" w:cs="宋体" w:eastAsia="宋体" w:hint="default"/>
                <w:w w:val="99"/>
                <w:sz w:val="22"/>
                <w:szCs w:val="22"/>
              </w:rPr>
              <w:t> </w:t>
            </w:r>
            <w:r>
              <w:rPr>
                <w:rFonts w:ascii="宋体" w:hAnsi="宋体" w:cs="宋体" w:eastAsia="宋体" w:hint="default"/>
                <w:spacing w:val="-3"/>
                <w:sz w:val="22"/>
                <w:szCs w:val="22"/>
              </w:rPr>
              <w:t>倡议书</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，以实际行动表明其</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对于资本市场、中小板以及</w:t>
            </w:r>
            <w:r>
              <w:rPr>
                <w:rFonts w:ascii="宋体" w:hAnsi="宋体" w:cs="宋体" w:eastAsia="宋体" w:hint="default"/>
                <w:w w:val="99"/>
                <w:sz w:val="22"/>
                <w:szCs w:val="22"/>
              </w:rPr>
              <w:t> </w:t>
            </w:r>
            <w:r>
              <w:rPr>
                <w:rFonts w:ascii="宋体" w:hAnsi="宋体" w:cs="宋体" w:eastAsia="宋体" w:hint="default"/>
                <w:sz w:val="22"/>
                <w:szCs w:val="22"/>
              </w:rPr>
              <w:t>企业长期发展的强烈信心，</w:t>
            </w:r>
            <w:r>
              <w:rPr>
                <w:rFonts w:ascii="宋体" w:hAnsi="宋体" w:cs="宋体" w:eastAsia="宋体" w:hint="default"/>
                <w:w w:val="99"/>
                <w:sz w:val="22"/>
                <w:szCs w:val="22"/>
              </w:rPr>
              <w:t> </w:t>
            </w:r>
            <w:r>
              <w:rPr>
                <w:rFonts w:ascii="宋体" w:hAnsi="宋体" w:cs="宋体" w:eastAsia="宋体" w:hint="default"/>
                <w:sz w:val="22"/>
                <w:szCs w:val="22"/>
              </w:rPr>
              <w:t>并向公司递交了《关于追加</w:t>
            </w:r>
            <w:r>
              <w:rPr>
                <w:rFonts w:ascii="宋体" w:hAnsi="宋体" w:cs="宋体" w:eastAsia="宋体" w:hint="default"/>
                <w:w w:val="99"/>
                <w:sz w:val="22"/>
                <w:szCs w:val="22"/>
              </w:rPr>
              <w:t> </w:t>
            </w:r>
            <w:r>
              <w:rPr>
                <w:rFonts w:ascii="宋体" w:hAnsi="宋体" w:cs="宋体" w:eastAsia="宋体" w:hint="default"/>
                <w:spacing w:val="-12"/>
                <w:w w:val="99"/>
                <w:sz w:val="22"/>
                <w:szCs w:val="22"/>
              </w:rPr>
              <w:t>股份限售承诺的函》。</w:t>
            </w:r>
            <w:r>
              <w:rPr>
                <w:rFonts w:ascii="宋体" w:hAnsi="宋体" w:cs="宋体" w:eastAsia="宋体" w:hint="default"/>
                <w:spacing w:val="-12"/>
                <w:sz w:val="22"/>
                <w:szCs w:val="22"/>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p>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r>
      <w:tr>
        <w:trPr>
          <w:trHeight w:val="166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81"/>
              <w:ind w:left="93" w:right="93"/>
              <w:jc w:val="center"/>
              <w:rPr>
                <w:rFonts w:ascii="宋体" w:hAnsi="宋体" w:cs="宋体" w:eastAsia="宋体" w:hint="default"/>
                <w:sz w:val="22"/>
                <w:szCs w:val="22"/>
              </w:rPr>
            </w:pPr>
            <w:r>
              <w:rPr>
                <w:rFonts w:ascii="宋体" w:hAnsi="宋体" w:cs="宋体" w:eastAsia="宋体" w:hint="default"/>
                <w:sz w:val="22"/>
                <w:szCs w:val="22"/>
              </w:rPr>
              <w:t>苏宁控</w:t>
            </w:r>
            <w:r>
              <w:rPr>
                <w:rFonts w:ascii="宋体" w:hAnsi="宋体" w:cs="宋体" w:eastAsia="宋体" w:hint="default"/>
                <w:w w:val="99"/>
                <w:sz w:val="22"/>
                <w:szCs w:val="22"/>
              </w:rPr>
              <w:t> </w:t>
            </w:r>
            <w:r>
              <w:rPr>
                <w:rFonts w:ascii="宋体" w:hAnsi="宋体" w:cs="宋体" w:eastAsia="宋体" w:hint="default"/>
                <w:sz w:val="22"/>
                <w:szCs w:val="22"/>
              </w:rPr>
              <w:t>股集团</w:t>
            </w:r>
            <w:r>
              <w:rPr>
                <w:rFonts w:ascii="宋体" w:hAnsi="宋体" w:cs="宋体" w:eastAsia="宋体" w:hint="default"/>
                <w:w w:val="99"/>
                <w:sz w:val="22"/>
                <w:szCs w:val="22"/>
              </w:rPr>
              <w:t> </w:t>
            </w:r>
            <w:r>
              <w:rPr>
                <w:rFonts w:ascii="宋体" w:hAnsi="宋体" w:cs="宋体" w:eastAsia="宋体" w:hint="default"/>
                <w:sz w:val="22"/>
                <w:szCs w:val="22"/>
              </w:rPr>
              <w:t>有限公</w:t>
            </w:r>
            <w:r>
              <w:rPr>
                <w:rFonts w:ascii="宋体" w:hAnsi="宋体" w:cs="宋体" w:eastAsia="宋体" w:hint="default"/>
                <w:w w:val="99"/>
                <w:sz w:val="22"/>
                <w:szCs w:val="22"/>
              </w:rPr>
              <w:t> </w:t>
            </w:r>
            <w:r>
              <w:rPr>
                <w:rFonts w:ascii="宋体" w:hAnsi="宋体" w:cs="宋体" w:eastAsia="宋体" w:hint="default"/>
                <w:sz w:val="22"/>
                <w:szCs w:val="22"/>
              </w:rPr>
              <w:t>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40" w:lineRule="auto"/>
              <w:ind w:left="104" w:right="0"/>
              <w:jc w:val="left"/>
              <w:rPr>
                <w:rFonts w:ascii="Times New Roman" w:hAnsi="Times New Roman" w:cs="Times New Roman" w:eastAsia="Times New Roman" w:hint="default"/>
                <w:sz w:val="22"/>
                <w:szCs w:val="22"/>
              </w:rPr>
            </w:pPr>
            <w:r>
              <w:rPr>
                <w:rFonts w:ascii="Times New Roman"/>
                <w:sz w:val="22"/>
              </w:rPr>
              <w:t>288,065,848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40" w:lineRule="auto"/>
              <w:ind w:right="1"/>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40" w:lineRule="auto"/>
              <w:ind w:right="22"/>
              <w:jc w:val="right"/>
              <w:rPr>
                <w:rFonts w:ascii="Times New Roman" w:hAnsi="Times New Roman" w:cs="Times New Roman" w:eastAsia="Times New Roman" w:hint="default"/>
                <w:sz w:val="22"/>
                <w:szCs w:val="22"/>
              </w:rPr>
            </w:pPr>
            <w:r>
              <w:rPr>
                <w:rFonts w:ascii="Times New Roman"/>
                <w:w w:val="95"/>
                <w:sz w:val="22"/>
              </w:rPr>
              <w:t>21,664,703</w:t>
            </w:r>
            <w:r>
              <w:rPr>
                <w:rFonts w:ascii="Times New Roman"/>
                <w:sz w:val="22"/>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40" w:lineRule="auto"/>
              <w:ind w:left="104" w:right="0"/>
              <w:jc w:val="left"/>
              <w:rPr>
                <w:rFonts w:ascii="Times New Roman" w:hAnsi="Times New Roman" w:cs="Times New Roman" w:eastAsia="Times New Roman" w:hint="default"/>
                <w:sz w:val="22"/>
                <w:szCs w:val="22"/>
              </w:rPr>
            </w:pPr>
            <w:r>
              <w:rPr>
                <w:rFonts w:ascii="Times New Roman"/>
                <w:sz w:val="22"/>
              </w:rPr>
              <w:t>309,730,551</w:t>
            </w:r>
          </w:p>
        </w:tc>
        <w:tc>
          <w:tcPr>
            <w:tcW w:w="2765" w:type="dxa"/>
            <w:vMerge/>
            <w:tcBorders>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r>
      <w:tr>
        <w:trPr>
          <w:trHeight w:val="634" w:hRule="exact"/>
        </w:trPr>
        <w:tc>
          <w:tcPr>
            <w:tcW w:w="857" w:type="dxa"/>
            <w:tcBorders>
              <w:top w:val="single" w:sz="4" w:space="0" w:color="000000"/>
              <w:left w:val="single" w:sz="4" w:space="0" w:color="000000"/>
              <w:bottom w:val="single" w:sz="4" w:space="0" w:color="000000"/>
              <w:right w:val="single" w:sz="9" w:space="0" w:color="FFFFFF"/>
            </w:tcBorders>
          </w:tcPr>
          <w:p>
            <w:pPr>
              <w:pStyle w:val="TableParagraph"/>
              <w:spacing w:line="265" w:lineRule="exact"/>
              <w:ind w:left="22" w:right="-54"/>
              <w:jc w:val="left"/>
              <w:rPr>
                <w:rFonts w:ascii="宋体" w:hAnsi="宋体" w:cs="宋体" w:eastAsia="宋体" w:hint="default"/>
                <w:sz w:val="22"/>
                <w:szCs w:val="22"/>
              </w:rPr>
            </w:pPr>
            <w:r>
              <w:rPr>
                <w:rFonts w:ascii="宋体" w:hAnsi="宋体" w:cs="宋体" w:eastAsia="宋体" w:hint="default"/>
                <w:spacing w:val="46"/>
                <w:sz w:val="22"/>
                <w:szCs w:val="22"/>
              </w:rPr>
              <w:t>北京弘</w:t>
            </w:r>
            <w:r>
              <w:rPr>
                <w:rFonts w:ascii="宋体" w:hAnsi="宋体" w:cs="宋体" w:eastAsia="宋体" w:hint="default"/>
                <w:spacing w:val="-40"/>
                <w:sz w:val="22"/>
                <w:szCs w:val="22"/>
              </w:rPr>
              <w:t> </w:t>
            </w:r>
            <w:r>
              <w:rPr>
                <w:rFonts w:ascii="宋体" w:hAnsi="宋体" w:cs="宋体" w:eastAsia="宋体" w:hint="default"/>
                <w:sz w:val="22"/>
                <w:szCs w:val="22"/>
              </w:rPr>
            </w:r>
          </w:p>
          <w:p>
            <w:pPr>
              <w:pStyle w:val="TableParagraph"/>
              <w:spacing w:line="240" w:lineRule="auto" w:before="24"/>
              <w:ind w:left="22" w:right="-54"/>
              <w:jc w:val="left"/>
              <w:rPr>
                <w:rFonts w:ascii="宋体" w:hAnsi="宋体" w:cs="宋体" w:eastAsia="宋体" w:hint="default"/>
                <w:sz w:val="22"/>
                <w:szCs w:val="22"/>
              </w:rPr>
            </w:pPr>
            <w:r>
              <w:rPr>
                <w:rFonts w:ascii="宋体" w:hAnsi="宋体" w:cs="宋体" w:eastAsia="宋体" w:hint="default"/>
                <w:spacing w:val="46"/>
                <w:sz w:val="22"/>
                <w:szCs w:val="22"/>
              </w:rPr>
              <w:t>毅贰零</w:t>
            </w:r>
            <w:r>
              <w:rPr>
                <w:rFonts w:ascii="宋体" w:hAnsi="宋体" w:cs="宋体" w:eastAsia="宋体" w:hint="default"/>
                <w:spacing w:val="-40"/>
                <w:sz w:val="22"/>
                <w:szCs w:val="22"/>
              </w:rPr>
              <w:t> </w:t>
            </w:r>
            <w:r>
              <w:rPr>
                <w:rFonts w:ascii="宋体" w:hAnsi="宋体" w:cs="宋体" w:eastAsia="宋体" w:hint="default"/>
                <w:sz w:val="22"/>
                <w:szCs w:val="22"/>
              </w:rPr>
            </w:r>
          </w:p>
        </w:tc>
        <w:tc>
          <w:tcPr>
            <w:tcW w:w="132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98,765,436</w:t>
            </w:r>
            <w:r>
              <w:rPr>
                <w:rFonts w:ascii="Times New Roman"/>
                <w:sz w:val="22"/>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Times New Roman" w:hAnsi="Times New Roman" w:cs="Times New Roman" w:eastAsia="Times New Roman" w:hint="default"/>
                <w:sz w:val="22"/>
                <w:szCs w:val="22"/>
              </w:rPr>
            </w:pPr>
            <w:r>
              <w:rPr>
                <w:rFonts w:ascii="Times New Roman"/>
                <w:sz w:val="22"/>
              </w:rPr>
              <w:t>98,765,436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股东北京弘毅贰零壹零股权</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pacing w:val="5"/>
                <w:sz w:val="22"/>
                <w:szCs w:val="22"/>
              </w:rPr>
              <w:t>投资中心（有限合伙）认购</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2015 </w:t>
            </w:r>
            <w:r>
              <w:rPr>
                <w:rFonts w:ascii="宋体" w:hAnsi="宋体" w:cs="宋体" w:eastAsia="宋体" w:hint="default"/>
                <w:sz w:val="22"/>
                <w:szCs w:val="22"/>
              </w:rPr>
              <w:t>年 </w:t>
            </w:r>
            <w:r>
              <w:rPr>
                <w:rFonts w:ascii="Times New Roman" w:hAnsi="Times New Roman" w:cs="Times New Roman" w:eastAsia="Times New Roman" w:hint="default"/>
                <w:sz w:val="22"/>
                <w:szCs w:val="22"/>
              </w:rPr>
              <w:t>7 </w:t>
            </w:r>
            <w:r>
              <w:rPr>
                <w:rFonts w:ascii="宋体" w:hAnsi="宋体" w:cs="宋体" w:eastAsia="宋体" w:hint="default"/>
                <w:sz w:val="22"/>
                <w:szCs w:val="22"/>
              </w:rPr>
              <w:t>月</w:t>
            </w:r>
            <w:r>
              <w:rPr>
                <w:rFonts w:ascii="宋体" w:hAnsi="宋体" w:cs="宋体" w:eastAsia="宋体" w:hint="default"/>
                <w:spacing w:val="-22"/>
                <w:sz w:val="22"/>
                <w:szCs w:val="22"/>
              </w:rPr>
              <w:t> </w:t>
            </w:r>
            <w:r>
              <w:rPr>
                <w:rFonts w:ascii="Times New Roman" w:hAnsi="Times New Roman" w:cs="Times New Roman" w:eastAsia="Times New Roman" w:hint="default"/>
                <w:sz w:val="22"/>
                <w:szCs w:val="22"/>
              </w:rPr>
              <w:t>10</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footerReference w:type="default" r:id="rId24"/>
          <w:pgSz w:w="11910" w:h="16840"/>
          <w:pgMar w:footer="979" w:header="0" w:top="1100" w:bottom="1160" w:left="980" w:right="0"/>
          <w:pgNumType w:start="80"/>
        </w:sectPr>
      </w:pPr>
    </w:p>
    <w:p>
      <w:pPr>
        <w:spacing w:line="240" w:lineRule="auto" w:before="6"/>
        <w:rPr>
          <w:rFonts w:ascii="宋体" w:hAnsi="宋体" w:cs="宋体" w:eastAsia="宋体" w:hint="default"/>
          <w:sz w:val="24"/>
          <w:szCs w:val="24"/>
        </w:rPr>
      </w:pPr>
      <w:r>
        <w:rPr/>
        <w:pict>
          <v:group style="position:absolute;margin-left:98.419998pt;margin-top:104.219986pt;width:65.55pt;height:78.05pt;mso-position-horizontal-relative:page;mso-position-vertical-relative:page;z-index:-1831456" coordorigin="1968,2084" coordsize="1311,1561">
            <v:shape style="position:absolute;left:1968;top:2084;width:1311;height:1561" coordorigin="1968,2084" coordsize="1311,1561" path="m1968,3645l3279,3645,3279,2084,1968,2084,1968,3645xe" filled="true" fillcolor="#ffffff" stroked="false">
              <v:path arrowok="t"/>
              <v:fill type="solid"/>
            </v:shape>
            <w10:wrap type="none"/>
          </v:group>
        </w:pict>
      </w:r>
      <w:r>
        <w:rPr/>
        <w:pict>
          <v:group style="position:absolute;margin-left:478.920013pt;margin-top:104.219986pt;width:78.45pt;height:78.05pt;mso-position-horizontal-relative:page;mso-position-vertical-relative:page;z-index:-1831432" coordorigin="9578,2084" coordsize="1569,1561">
            <v:shape style="position:absolute;left:9578;top:2084;width:1569;height:1561" coordorigin="9578,2084" coordsize="1569,1561" path="m9578,3645l11147,3645,11147,2084,9578,2084,9578,3645xe" filled="true" fillcolor="#ffffff" stroked="false">
              <v:path arrowok="t"/>
              <v:fill type="solid"/>
            </v:shape>
            <w10:wrap type="none"/>
          </v:group>
        </w:pict>
      </w:r>
    </w:p>
    <w:tbl>
      <w:tblPr>
        <w:tblW w:w="0" w:type="auto"/>
        <w:jc w:val="left"/>
        <w:tblInd w:w="121" w:type="dxa"/>
        <w:tblLayout w:type="fixed"/>
        <w:tblCellMar>
          <w:top w:w="0" w:type="dxa"/>
          <w:left w:w="0" w:type="dxa"/>
          <w:bottom w:w="0" w:type="dxa"/>
          <w:right w:w="0" w:type="dxa"/>
        </w:tblCellMar>
        <w:tblLook w:val="01E0"/>
      </w:tblPr>
      <w:tblGrid>
        <w:gridCol w:w="857"/>
        <w:gridCol w:w="1321"/>
        <w:gridCol w:w="1156"/>
        <w:gridCol w:w="1047"/>
        <w:gridCol w:w="1321"/>
        <w:gridCol w:w="2765"/>
        <w:gridCol w:w="1579"/>
      </w:tblGrid>
      <w:tr>
        <w:trPr>
          <w:trHeight w:val="634"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股东名</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w w:val="99"/>
                <w:sz w:val="22"/>
                <w:szCs w:val="22"/>
              </w:rPr>
              <w:t>称</w:t>
            </w:r>
            <w:r>
              <w:rPr>
                <w:rFonts w:ascii="宋体" w:hAnsi="宋体" w:cs="宋体" w:eastAsia="宋体" w:hint="default"/>
                <w:sz w:val="22"/>
                <w:szCs w:val="22"/>
              </w:rPr>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期初限售股</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数</w:t>
            </w:r>
            <w:r>
              <w:rPr>
                <w:rFonts w:ascii="宋体" w:hAnsi="宋体" w:cs="宋体" w:eastAsia="宋体" w:hint="default"/>
                <w:sz w:val="22"/>
                <w:szCs w:val="22"/>
              </w:rPr>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本期解除限</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售股数</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78" w:right="0"/>
              <w:jc w:val="left"/>
              <w:rPr>
                <w:rFonts w:ascii="宋体" w:hAnsi="宋体" w:cs="宋体" w:eastAsia="宋体" w:hint="default"/>
                <w:sz w:val="22"/>
                <w:szCs w:val="22"/>
              </w:rPr>
            </w:pPr>
            <w:r>
              <w:rPr>
                <w:rFonts w:ascii="宋体" w:hAnsi="宋体" w:cs="宋体" w:eastAsia="宋体" w:hint="default"/>
                <w:sz w:val="22"/>
                <w:szCs w:val="22"/>
              </w:rPr>
              <w:t>本期增加</w:t>
            </w:r>
          </w:p>
          <w:p>
            <w:pPr>
              <w:pStyle w:val="TableParagraph"/>
              <w:spacing w:line="240" w:lineRule="auto" w:before="24"/>
              <w:ind w:left="78" w:right="0"/>
              <w:jc w:val="left"/>
              <w:rPr>
                <w:rFonts w:ascii="宋体" w:hAnsi="宋体" w:cs="宋体" w:eastAsia="宋体" w:hint="default"/>
                <w:sz w:val="22"/>
                <w:szCs w:val="22"/>
              </w:rPr>
            </w:pPr>
            <w:r>
              <w:rPr>
                <w:rFonts w:ascii="宋体" w:hAnsi="宋体" w:cs="宋体" w:eastAsia="宋体" w:hint="default"/>
                <w:sz w:val="22"/>
                <w:szCs w:val="22"/>
              </w:rPr>
              <w:t>限售股数</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期末限售股</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数</w:t>
            </w:r>
            <w:r>
              <w:rPr>
                <w:rFonts w:ascii="宋体" w:hAnsi="宋体" w:cs="宋体" w:eastAsia="宋体" w:hint="default"/>
                <w:sz w:val="22"/>
                <w:szCs w:val="22"/>
              </w:rPr>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限售原因</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123" w:right="0"/>
              <w:jc w:val="left"/>
              <w:rPr>
                <w:rFonts w:ascii="宋体" w:hAnsi="宋体" w:cs="宋体" w:eastAsia="宋体" w:hint="default"/>
                <w:sz w:val="22"/>
                <w:szCs w:val="22"/>
              </w:rPr>
            </w:pPr>
            <w:r>
              <w:rPr>
                <w:rFonts w:ascii="宋体" w:hAnsi="宋体" w:cs="宋体" w:eastAsia="宋体" w:hint="default"/>
                <w:sz w:val="22"/>
                <w:szCs w:val="22"/>
              </w:rPr>
              <w:t>解除限售日期</w:t>
            </w:r>
          </w:p>
        </w:tc>
      </w:tr>
      <w:tr>
        <w:trPr>
          <w:trHeight w:val="323" w:hRule="exact"/>
        </w:trPr>
        <w:tc>
          <w:tcPr>
            <w:tcW w:w="857" w:type="dxa"/>
            <w:tcBorders>
              <w:top w:val="single" w:sz="4" w:space="0" w:color="000000"/>
              <w:left w:val="single" w:sz="4" w:space="0" w:color="000000"/>
              <w:bottom w:val="nil" w:sz="6" w:space="0" w:color="auto"/>
              <w:right w:val="single" w:sz="4" w:space="0" w:color="000000"/>
            </w:tcBorders>
          </w:tcPr>
          <w:p>
            <w:pPr>
              <w:pStyle w:val="TableParagraph"/>
              <w:spacing w:line="266" w:lineRule="exact"/>
              <w:ind w:left="22" w:right="-47"/>
              <w:jc w:val="left"/>
              <w:rPr>
                <w:rFonts w:ascii="宋体" w:hAnsi="宋体" w:cs="宋体" w:eastAsia="宋体" w:hint="default"/>
                <w:sz w:val="22"/>
                <w:szCs w:val="22"/>
              </w:rPr>
            </w:pPr>
            <w:r>
              <w:rPr>
                <w:rFonts w:ascii="宋体" w:hAnsi="宋体" w:cs="宋体" w:eastAsia="宋体" w:hint="default"/>
                <w:spacing w:val="46"/>
                <w:sz w:val="22"/>
                <w:szCs w:val="22"/>
              </w:rPr>
              <w:t>壹零股</w:t>
            </w:r>
            <w:r>
              <w:rPr>
                <w:rFonts w:ascii="宋体" w:hAnsi="宋体" w:cs="宋体" w:eastAsia="宋体" w:hint="default"/>
                <w:spacing w:val="-40"/>
                <w:sz w:val="22"/>
                <w:szCs w:val="22"/>
              </w:rPr>
              <w:t> </w:t>
            </w:r>
            <w:r>
              <w:rPr>
                <w:rFonts w:ascii="宋体" w:hAnsi="宋体" w:cs="宋体" w:eastAsia="宋体" w:hint="default"/>
                <w:sz w:val="22"/>
                <w:szCs w:val="22"/>
              </w:rPr>
            </w:r>
          </w:p>
        </w:tc>
        <w:tc>
          <w:tcPr>
            <w:tcW w:w="1321" w:type="dxa"/>
            <w:tcBorders>
              <w:top w:val="single" w:sz="4" w:space="0" w:color="000000"/>
              <w:left w:val="single" w:sz="4" w:space="0" w:color="000000"/>
              <w:bottom w:val="nil" w:sz="6" w:space="0" w:color="auto"/>
              <w:right w:val="single" w:sz="4" w:space="0" w:color="000000"/>
            </w:tcBorders>
          </w:tcPr>
          <w:p>
            <w:pPr/>
          </w:p>
        </w:tc>
        <w:tc>
          <w:tcPr>
            <w:tcW w:w="1156"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321" w:type="dxa"/>
            <w:vMerge w:val="restart"/>
            <w:tcBorders>
              <w:top w:val="single" w:sz="4" w:space="0" w:color="000000"/>
              <w:left w:val="single" w:sz="4" w:space="0" w:color="000000"/>
              <w:right w:val="single" w:sz="4" w:space="0" w:color="000000"/>
            </w:tcBorders>
          </w:tcPr>
          <w:p>
            <w:pPr/>
          </w:p>
        </w:tc>
        <w:tc>
          <w:tcPr>
            <w:tcW w:w="2765" w:type="dxa"/>
            <w:tcBorders>
              <w:top w:val="single" w:sz="4" w:space="0" w:color="000000"/>
              <w:left w:val="single" w:sz="4" w:space="0" w:color="000000"/>
              <w:bottom w:val="nil" w:sz="6" w:space="0" w:color="auto"/>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w:t>
            </w:r>
            <w:r>
              <w:rPr>
                <w:rFonts w:ascii="宋体" w:hAnsi="宋体" w:cs="宋体" w:eastAsia="宋体" w:hint="default"/>
                <w:spacing w:val="-79"/>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年非公开发行股份</w:t>
            </w:r>
          </w:p>
        </w:tc>
        <w:tc>
          <w:tcPr>
            <w:tcW w:w="15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47"/>
              <w:jc w:val="left"/>
              <w:rPr>
                <w:rFonts w:ascii="宋体" w:hAnsi="宋体" w:cs="宋体" w:eastAsia="宋体" w:hint="default"/>
                <w:sz w:val="22"/>
                <w:szCs w:val="22"/>
              </w:rPr>
            </w:pPr>
            <w:r>
              <w:rPr>
                <w:rFonts w:ascii="宋体" w:hAnsi="宋体" w:cs="宋体" w:eastAsia="宋体" w:hint="default"/>
                <w:spacing w:val="46"/>
                <w:sz w:val="22"/>
                <w:szCs w:val="22"/>
              </w:rPr>
              <w:t>权投资</w:t>
            </w:r>
            <w:r>
              <w:rPr>
                <w:rFonts w:ascii="宋体" w:hAnsi="宋体" w:cs="宋体" w:eastAsia="宋体" w:hint="default"/>
                <w:spacing w:val="-40"/>
                <w:sz w:val="22"/>
                <w:szCs w:val="22"/>
              </w:rPr>
              <w:t> </w:t>
            </w:r>
            <w:r>
              <w:rPr>
                <w:rFonts w:ascii="宋体" w:hAnsi="宋体" w:cs="宋体" w:eastAsia="宋体" w:hint="default"/>
                <w:sz w:val="22"/>
                <w:szCs w:val="22"/>
              </w:rPr>
            </w:r>
          </w:p>
        </w:tc>
        <w:tc>
          <w:tcPr>
            <w:tcW w:w="1321" w:type="dxa"/>
            <w:tcBorders>
              <w:top w:val="nil" w:sz="6" w:space="0" w:color="auto"/>
              <w:left w:val="single" w:sz="4" w:space="0" w:color="000000"/>
              <w:bottom w:val="nil" w:sz="6" w:space="0" w:color="auto"/>
              <w:right w:val="single" w:sz="4" w:space="0" w:color="000000"/>
            </w:tcBorders>
          </w:tcPr>
          <w:p>
            <w:pPr/>
          </w:p>
        </w:tc>
        <w:tc>
          <w:tcPr>
            <w:tcW w:w="1156"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321" w:type="dxa"/>
            <w:vMerge/>
            <w:tcBorders>
              <w:left w:val="single" w:sz="4" w:space="0" w:color="000000"/>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t>98,765,436</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股</w:t>
            </w:r>
            <w:r>
              <w:rPr>
                <w:rFonts w:ascii="宋体" w:hAnsi="宋体" w:cs="宋体" w:eastAsia="宋体" w:hint="default"/>
                <w:spacing w:val="-96"/>
                <w:w w:val="99"/>
                <w:sz w:val="22"/>
                <w:szCs w:val="22"/>
              </w:rPr>
              <w:t>，</w:t>
            </w:r>
            <w:r>
              <w:rPr>
                <w:rFonts w:ascii="宋体" w:hAnsi="宋体" w:cs="宋体" w:eastAsia="宋体" w:hint="default"/>
                <w:w w:val="99"/>
                <w:sz w:val="22"/>
                <w:szCs w:val="22"/>
              </w:rPr>
              <w:t>该部分股票自</w:t>
            </w:r>
            <w:r>
              <w:rPr>
                <w:rFonts w:ascii="宋体" w:hAnsi="宋体" w:cs="宋体" w:eastAsia="宋体" w:hint="default"/>
                <w:sz w:val="22"/>
                <w:szCs w:val="22"/>
              </w:rPr>
            </w: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pacing w:val="-21"/>
                <w:sz w:val="22"/>
                <w:szCs w:val="22"/>
              </w:rPr>
              <w:t>中心（有</w:t>
            </w:r>
          </w:p>
        </w:tc>
        <w:tc>
          <w:tcPr>
            <w:tcW w:w="1321" w:type="dxa"/>
            <w:tcBorders>
              <w:top w:val="nil" w:sz="6" w:space="0" w:color="auto"/>
              <w:left w:val="single" w:sz="4" w:space="0" w:color="000000"/>
              <w:bottom w:val="nil" w:sz="6" w:space="0" w:color="auto"/>
              <w:right w:val="single" w:sz="4" w:space="0" w:color="000000"/>
            </w:tcBorders>
          </w:tcPr>
          <w:p>
            <w:pPr/>
          </w:p>
        </w:tc>
        <w:tc>
          <w:tcPr>
            <w:tcW w:w="1156"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321" w:type="dxa"/>
            <w:vMerge/>
            <w:tcBorders>
              <w:left w:val="single" w:sz="4" w:space="0" w:color="000000"/>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日起至</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2015</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z w:val="22"/>
                <w:szCs w:val="22"/>
              </w:rPr>
              <w:t>限合伙</w:t>
            </w: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176"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156"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321" w:type="dxa"/>
            <w:vMerge/>
            <w:tcBorders>
              <w:left w:val="single" w:sz="4" w:space="0" w:color="000000"/>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17"/>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日止限售</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个月，</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7"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1156"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321" w:type="dxa"/>
            <w:vMerge/>
            <w:tcBorders>
              <w:left w:val="single" w:sz="4" w:space="0" w:color="000000"/>
              <w:bottom w:val="single" w:sz="4" w:space="0" w:color="000000"/>
              <w:right w:val="single" w:sz="4" w:space="0" w:color="000000"/>
            </w:tcBorders>
          </w:tcPr>
          <w:p>
            <w:pPr/>
          </w:p>
        </w:tc>
        <w:tc>
          <w:tcPr>
            <w:tcW w:w="2765"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 </w:t>
            </w:r>
            <w:r>
              <w:rPr>
                <w:rFonts w:ascii="宋体" w:hAnsi="宋体" w:cs="宋体" w:eastAsia="宋体" w:hint="default"/>
                <w:sz w:val="22"/>
                <w:szCs w:val="22"/>
              </w:rPr>
              <w:t>日解除限售</w:t>
            </w:r>
          </w:p>
        </w:tc>
        <w:tc>
          <w:tcPr>
            <w:tcW w:w="1579"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r>
      <w:tr>
        <w:trPr>
          <w:trHeight w:val="322" w:hRule="exact"/>
        </w:trPr>
        <w:tc>
          <w:tcPr>
            <w:tcW w:w="857" w:type="dxa"/>
            <w:tcBorders>
              <w:top w:val="single" w:sz="4" w:space="0" w:color="000000"/>
              <w:left w:val="single" w:sz="4" w:space="0" w:color="000000"/>
              <w:bottom w:val="nil" w:sz="6" w:space="0" w:color="auto"/>
              <w:right w:val="single" w:sz="9" w:space="0" w:color="FFFFFF"/>
            </w:tcBorders>
          </w:tcPr>
          <w:p>
            <w:pPr>
              <w:pStyle w:val="TableParagraph"/>
              <w:spacing w:line="265" w:lineRule="exact"/>
              <w:ind w:left="22" w:right="-54"/>
              <w:jc w:val="left"/>
              <w:rPr>
                <w:rFonts w:ascii="宋体" w:hAnsi="宋体" w:cs="宋体" w:eastAsia="宋体" w:hint="default"/>
                <w:sz w:val="22"/>
                <w:szCs w:val="22"/>
              </w:rPr>
            </w:pPr>
            <w:r>
              <w:rPr>
                <w:rFonts w:ascii="宋体" w:hAnsi="宋体" w:cs="宋体" w:eastAsia="宋体" w:hint="default"/>
                <w:spacing w:val="46"/>
                <w:sz w:val="22"/>
                <w:szCs w:val="22"/>
              </w:rPr>
              <w:t>苏宁云</w:t>
            </w:r>
            <w:r>
              <w:rPr>
                <w:rFonts w:ascii="宋体" w:hAnsi="宋体" w:cs="宋体" w:eastAsia="宋体" w:hint="default"/>
                <w:spacing w:val="-40"/>
                <w:sz w:val="22"/>
                <w:szCs w:val="22"/>
              </w:rPr>
              <w:t> </w:t>
            </w:r>
            <w:r>
              <w:rPr>
                <w:rFonts w:ascii="宋体" w:hAnsi="宋体" w:cs="宋体" w:eastAsia="宋体" w:hint="default"/>
                <w:sz w:val="22"/>
                <w:szCs w:val="22"/>
              </w:rPr>
            </w:r>
          </w:p>
        </w:tc>
        <w:tc>
          <w:tcPr>
            <w:tcW w:w="1321"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61,056,374</w:t>
            </w:r>
            <w:r>
              <w:rPr>
                <w:rFonts w:ascii="Times New Roman"/>
                <w:sz w:val="22"/>
              </w:rPr>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61,056,374</w:t>
            </w:r>
            <w:r>
              <w:rPr>
                <w:rFonts w:ascii="Times New Roman"/>
                <w:sz w:val="22"/>
              </w:rPr>
            </w:r>
          </w:p>
        </w:tc>
        <w:tc>
          <w:tcPr>
            <w:tcW w:w="10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2765" w:type="dxa"/>
            <w:tcBorders>
              <w:top w:val="single" w:sz="4" w:space="0" w:color="000000"/>
              <w:left w:val="single" w:sz="4" w:space="0" w:color="000000"/>
              <w:bottom w:val="nil" w:sz="6" w:space="0" w:color="auto"/>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w:t>
            </w:r>
            <w:r>
              <w:rPr>
                <w:rFonts w:ascii="宋体" w:hAnsi="宋体" w:cs="宋体" w:eastAsia="宋体" w:hint="default"/>
                <w:spacing w:val="-80"/>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年员工持股计划资</w:t>
            </w:r>
          </w:p>
        </w:tc>
        <w:tc>
          <w:tcPr>
            <w:tcW w:w="1579" w:type="dxa"/>
            <w:tcBorders>
              <w:top w:val="single" w:sz="4" w:space="0" w:color="000000"/>
              <w:left w:val="single" w:sz="4" w:space="0" w:color="000000"/>
              <w:bottom w:val="nil" w:sz="6" w:space="0" w:color="auto"/>
              <w:right w:val="single" w:sz="4" w:space="0" w:color="000000"/>
            </w:tcBorders>
          </w:tcPr>
          <w:p>
            <w:pPr>
              <w:pStyle w:val="TableParagraph"/>
              <w:spacing w:line="282" w:lineRule="exact"/>
              <w:ind w:right="22"/>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2015 </w:t>
            </w:r>
            <w:r>
              <w:rPr>
                <w:rFonts w:ascii="宋体" w:hAnsi="宋体" w:cs="宋体" w:eastAsia="宋体" w:hint="default"/>
                <w:sz w:val="22"/>
                <w:szCs w:val="22"/>
              </w:rPr>
              <w:t>年 </w:t>
            </w:r>
            <w:r>
              <w:rPr>
                <w:rFonts w:ascii="Times New Roman" w:hAnsi="Times New Roman" w:cs="Times New Roman" w:eastAsia="Times New Roman" w:hint="default"/>
                <w:sz w:val="22"/>
                <w:szCs w:val="22"/>
              </w:rPr>
              <w:t>10 </w:t>
            </w:r>
            <w:r>
              <w:rPr>
                <w:rFonts w:ascii="宋体" w:hAnsi="宋体" w:cs="宋体" w:eastAsia="宋体" w:hint="default"/>
                <w:sz w:val="22"/>
                <w:szCs w:val="22"/>
              </w:rPr>
              <w:t>月</w:t>
            </w:r>
            <w:r>
              <w:rPr>
                <w:rFonts w:ascii="宋体" w:hAnsi="宋体" w:cs="宋体" w:eastAsia="宋体" w:hint="default"/>
                <w:spacing w:val="-22"/>
                <w:sz w:val="22"/>
                <w:szCs w:val="22"/>
              </w:rPr>
              <w:t> </w:t>
            </w:r>
            <w:r>
              <w:rPr>
                <w:rFonts w:ascii="Times New Roman" w:hAnsi="Times New Roman" w:cs="Times New Roman" w:eastAsia="Times New Roman" w:hint="default"/>
                <w:sz w:val="22"/>
                <w:szCs w:val="22"/>
              </w:rPr>
              <w:t>9</w:t>
            </w:r>
          </w:p>
        </w:tc>
      </w:tr>
      <w:tr>
        <w:trPr>
          <w:trHeight w:val="306"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47"/>
              <w:jc w:val="left"/>
              <w:rPr>
                <w:rFonts w:ascii="宋体" w:hAnsi="宋体" w:cs="宋体" w:eastAsia="宋体" w:hint="default"/>
                <w:sz w:val="22"/>
                <w:szCs w:val="22"/>
              </w:rPr>
            </w:pPr>
            <w:r>
              <w:rPr>
                <w:rFonts w:ascii="宋体" w:hAnsi="宋体" w:cs="宋体" w:eastAsia="宋体" w:hint="default"/>
                <w:spacing w:val="46"/>
                <w:sz w:val="22"/>
                <w:szCs w:val="22"/>
              </w:rPr>
              <w:t>商集团</w:t>
            </w:r>
            <w:r>
              <w:rPr>
                <w:rFonts w:ascii="宋体" w:hAnsi="宋体" w:cs="宋体" w:eastAsia="宋体" w:hint="default"/>
                <w:spacing w:val="-40"/>
                <w:sz w:val="22"/>
                <w:szCs w:val="22"/>
              </w:rPr>
              <w:t> </w:t>
            </w:r>
            <w:r>
              <w:rPr>
                <w:rFonts w:ascii="宋体" w:hAnsi="宋体" w:cs="宋体" w:eastAsia="宋体" w:hint="default"/>
                <w:sz w:val="22"/>
                <w:szCs w:val="22"/>
              </w:rPr>
            </w: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产管理机构安信证券股份有</w:t>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r>
      <w:tr>
        <w:trPr>
          <w:trHeight w:val="318"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47"/>
              <w:jc w:val="left"/>
              <w:rPr>
                <w:rFonts w:ascii="宋体" w:hAnsi="宋体" w:cs="宋体" w:eastAsia="宋体" w:hint="default"/>
                <w:sz w:val="22"/>
                <w:szCs w:val="22"/>
              </w:rPr>
            </w:pPr>
            <w:r>
              <w:rPr>
                <w:rFonts w:ascii="宋体" w:hAnsi="宋体" w:cs="宋体" w:eastAsia="宋体" w:hint="default"/>
                <w:spacing w:val="46"/>
                <w:sz w:val="22"/>
                <w:szCs w:val="22"/>
              </w:rPr>
              <w:t>股份有</w:t>
            </w:r>
            <w:r>
              <w:rPr>
                <w:rFonts w:ascii="宋体" w:hAnsi="宋体" w:cs="宋体" w:eastAsia="宋体" w:hint="default"/>
                <w:spacing w:val="-40"/>
                <w:sz w:val="22"/>
                <w:szCs w:val="22"/>
              </w:rPr>
              <w:t> </w:t>
            </w:r>
            <w:r>
              <w:rPr>
                <w:rFonts w:ascii="宋体" w:hAnsi="宋体" w:cs="宋体" w:eastAsia="宋体" w:hint="default"/>
                <w:sz w:val="22"/>
                <w:szCs w:val="22"/>
              </w:rPr>
            </w: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限公司于</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47"/>
              <w:jc w:val="left"/>
              <w:rPr>
                <w:rFonts w:ascii="宋体" w:hAnsi="宋体" w:cs="宋体" w:eastAsia="宋体" w:hint="default"/>
                <w:sz w:val="22"/>
                <w:szCs w:val="22"/>
              </w:rPr>
            </w:pPr>
            <w:r>
              <w:rPr>
                <w:rFonts w:ascii="宋体" w:hAnsi="宋体" w:cs="宋体" w:eastAsia="宋体" w:hint="default"/>
                <w:spacing w:val="46"/>
                <w:sz w:val="22"/>
                <w:szCs w:val="22"/>
              </w:rPr>
              <w:t>限公司</w:t>
            </w:r>
            <w:r>
              <w:rPr>
                <w:rFonts w:ascii="宋体" w:hAnsi="宋体" w:cs="宋体" w:eastAsia="宋体" w:hint="default"/>
                <w:spacing w:val="-40"/>
                <w:sz w:val="22"/>
                <w:szCs w:val="22"/>
              </w:rPr>
              <w:t> </w:t>
            </w:r>
            <w:r>
              <w:rPr>
                <w:rFonts w:ascii="宋体" w:hAnsi="宋体" w:cs="宋体" w:eastAsia="宋体" w:hint="default"/>
                <w:sz w:val="22"/>
                <w:szCs w:val="22"/>
              </w:rPr>
            </w: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前通过二级市场买入的方式</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 第</w:t>
            </w:r>
            <w:r>
              <w:rPr>
                <w:rFonts w:ascii="宋体" w:hAnsi="宋体" w:cs="宋体" w:eastAsia="宋体" w:hint="default"/>
                <w:spacing w:val="29"/>
                <w:sz w:val="22"/>
                <w:szCs w:val="22"/>
              </w:rPr>
              <w:t> </w:t>
            </w:r>
            <w:r>
              <w:rPr>
                <w:rFonts w:ascii="Times New Roman" w:hAnsi="Times New Roman" w:cs="Times New Roman" w:eastAsia="Times New Roman" w:hint="default"/>
                <w:sz w:val="22"/>
                <w:szCs w:val="22"/>
              </w:rPr>
              <w:t>1</w:t>
            </w: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完</w:t>
            </w:r>
            <w:r>
              <w:rPr>
                <w:rFonts w:ascii="宋体" w:hAnsi="宋体" w:cs="宋体" w:eastAsia="宋体" w:hint="default"/>
                <w:spacing w:val="-83"/>
                <w:sz w:val="22"/>
                <w:szCs w:val="22"/>
              </w:rPr>
              <w:t> </w:t>
            </w:r>
            <w:r>
              <w:rPr>
                <w:rFonts w:ascii="宋体" w:hAnsi="宋体" w:cs="宋体" w:eastAsia="宋体" w:hint="default"/>
                <w:sz w:val="22"/>
                <w:szCs w:val="22"/>
              </w:rPr>
              <w:t>成</w:t>
            </w:r>
            <w:r>
              <w:rPr>
                <w:rFonts w:ascii="宋体" w:hAnsi="宋体" w:cs="宋体" w:eastAsia="宋体" w:hint="default"/>
                <w:spacing w:val="-83"/>
                <w:sz w:val="22"/>
                <w:szCs w:val="22"/>
              </w:rPr>
              <w:t> </w:t>
            </w:r>
            <w:r>
              <w:rPr>
                <w:rFonts w:ascii="宋体" w:hAnsi="宋体" w:cs="宋体" w:eastAsia="宋体" w:hint="default"/>
                <w:sz w:val="22"/>
                <w:szCs w:val="22"/>
              </w:rPr>
              <w:t>公</w:t>
            </w:r>
            <w:r>
              <w:rPr>
                <w:rFonts w:ascii="宋体" w:hAnsi="宋体" w:cs="宋体" w:eastAsia="宋体" w:hint="default"/>
                <w:spacing w:val="-82"/>
                <w:sz w:val="22"/>
                <w:szCs w:val="22"/>
              </w:rPr>
              <w:t> </w:t>
            </w:r>
            <w:r>
              <w:rPr>
                <w:rFonts w:ascii="宋体" w:hAnsi="宋体" w:cs="宋体" w:eastAsia="宋体" w:hint="default"/>
                <w:sz w:val="22"/>
                <w:szCs w:val="22"/>
              </w:rPr>
              <w:t>司</w:t>
            </w:r>
            <w:r>
              <w:rPr>
                <w:rFonts w:ascii="宋体" w:hAnsi="宋体" w:cs="宋体" w:eastAsia="宋体" w:hint="default"/>
                <w:spacing w:val="-82"/>
                <w:sz w:val="22"/>
                <w:szCs w:val="22"/>
              </w:rPr>
              <w:t> </w:t>
            </w:r>
            <w:r>
              <w:rPr>
                <w:rFonts w:ascii="宋体" w:hAnsi="宋体" w:cs="宋体" w:eastAsia="宋体" w:hint="default"/>
                <w:sz w:val="22"/>
                <w:szCs w:val="22"/>
              </w:rPr>
              <w:t>股</w:t>
            </w:r>
            <w:r>
              <w:rPr>
                <w:rFonts w:ascii="宋体" w:hAnsi="宋体" w:cs="宋体" w:eastAsia="宋体" w:hint="default"/>
                <w:spacing w:val="-83"/>
                <w:sz w:val="22"/>
                <w:szCs w:val="22"/>
              </w:rPr>
              <w:t> </w:t>
            </w:r>
            <w:r>
              <w:rPr>
                <w:rFonts w:ascii="宋体" w:hAnsi="宋体" w:cs="宋体" w:eastAsia="宋体" w:hint="default"/>
                <w:sz w:val="22"/>
                <w:szCs w:val="22"/>
              </w:rPr>
              <w:t>票</w:t>
            </w:r>
            <w:r>
              <w:rPr>
                <w:rFonts w:ascii="宋体" w:hAnsi="宋体" w:cs="宋体" w:eastAsia="宋体" w:hint="default"/>
                <w:spacing w:val="-83"/>
                <w:sz w:val="22"/>
                <w:szCs w:val="22"/>
              </w:rPr>
              <w:t> </w:t>
            </w:r>
            <w:r>
              <w:rPr>
                <w:rFonts w:ascii="宋体" w:hAnsi="宋体" w:cs="宋体" w:eastAsia="宋体" w:hint="default"/>
                <w:sz w:val="22"/>
                <w:szCs w:val="22"/>
              </w:rPr>
              <w:t>购</w:t>
            </w:r>
            <w:r>
              <w:rPr>
                <w:rFonts w:ascii="宋体" w:hAnsi="宋体" w:cs="宋体" w:eastAsia="宋体" w:hint="default"/>
                <w:spacing w:val="-82"/>
                <w:sz w:val="22"/>
                <w:szCs w:val="22"/>
              </w:rPr>
              <w:t> </w:t>
            </w:r>
            <w:r>
              <w:rPr>
                <w:rFonts w:ascii="宋体" w:hAnsi="宋体" w:cs="宋体" w:eastAsia="宋体" w:hint="default"/>
                <w:sz w:val="22"/>
                <w:szCs w:val="22"/>
              </w:rPr>
              <w:t>买</w:t>
            </w:r>
            <w:r>
              <w:rPr>
                <w:rFonts w:ascii="宋体" w:hAnsi="宋体" w:cs="宋体" w:eastAsia="宋体" w:hint="default"/>
                <w:spacing w:val="-82"/>
                <w:sz w:val="22"/>
                <w:szCs w:val="22"/>
              </w:rPr>
              <w:t> </w:t>
            </w:r>
            <w:r>
              <w:rPr>
                <w:rFonts w:ascii="宋体" w:hAnsi="宋体" w:cs="宋体" w:eastAsia="宋体" w:hint="default"/>
                <w:sz w:val="22"/>
                <w:szCs w:val="22"/>
              </w:rPr>
              <w:t>，</w:t>
            </w:r>
            <w:r>
              <w:rPr>
                <w:rFonts w:ascii="宋体" w:hAnsi="宋体" w:cs="宋体" w:eastAsia="宋体" w:hint="default"/>
                <w:spacing w:val="-83"/>
                <w:sz w:val="22"/>
                <w:szCs w:val="22"/>
              </w:rPr>
              <w:t> </w:t>
            </w:r>
            <w:r>
              <w:rPr>
                <w:rFonts w:ascii="宋体" w:hAnsi="宋体" w:cs="宋体" w:eastAsia="宋体" w:hint="default"/>
                <w:sz w:val="22"/>
                <w:szCs w:val="22"/>
              </w:rPr>
              <w:t>并</w:t>
            </w:r>
            <w:r>
              <w:rPr>
                <w:rFonts w:ascii="宋体" w:hAnsi="宋体" w:cs="宋体" w:eastAsia="宋体" w:hint="default"/>
                <w:spacing w:val="-83"/>
                <w:sz w:val="22"/>
                <w:szCs w:val="22"/>
              </w:rPr>
              <w:t> </w:t>
            </w:r>
            <w:r>
              <w:rPr>
                <w:rFonts w:ascii="宋体" w:hAnsi="宋体" w:cs="宋体" w:eastAsia="宋体" w:hint="default"/>
                <w:sz w:val="22"/>
                <w:szCs w:val="22"/>
              </w:rPr>
              <w:t>于</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47"/>
              <w:jc w:val="left"/>
              <w:rPr>
                <w:rFonts w:ascii="宋体" w:hAnsi="宋体" w:cs="宋体" w:eastAsia="宋体" w:hint="default"/>
                <w:sz w:val="22"/>
                <w:szCs w:val="22"/>
              </w:rPr>
            </w:pPr>
            <w:r>
              <w:rPr>
                <w:rFonts w:ascii="宋体" w:hAnsi="宋体" w:cs="宋体" w:eastAsia="宋体" w:hint="default"/>
                <w:spacing w:val="46"/>
                <w:sz w:val="22"/>
                <w:szCs w:val="22"/>
              </w:rPr>
              <w:t>期员工</w:t>
            </w:r>
            <w:r>
              <w:rPr>
                <w:rFonts w:ascii="宋体" w:hAnsi="宋体" w:cs="宋体" w:eastAsia="宋体" w:hint="default"/>
                <w:spacing w:val="-40"/>
                <w:sz w:val="22"/>
                <w:szCs w:val="22"/>
              </w:rPr>
              <w:t> </w:t>
            </w:r>
            <w:r>
              <w:rPr>
                <w:rFonts w:ascii="宋体" w:hAnsi="宋体" w:cs="宋体" w:eastAsia="宋体" w:hint="default"/>
                <w:sz w:val="22"/>
                <w:szCs w:val="22"/>
              </w:rPr>
            </w: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0"/>
                <w:sz w:val="22"/>
                <w:szCs w:val="22"/>
              </w:rPr>
              <w:t> </w:t>
            </w:r>
            <w:r>
              <w:rPr>
                <w:rFonts w:ascii="宋体" w:hAnsi="宋体" w:cs="宋体" w:eastAsia="宋体" w:hint="default"/>
                <w:sz w:val="22"/>
                <w:szCs w:val="22"/>
              </w:rPr>
              <w:t>年</w:t>
            </w:r>
            <w:r>
              <w:rPr>
                <w:rFonts w:ascii="宋体" w:hAnsi="宋体" w:cs="宋体" w:eastAsia="宋体" w:hint="default"/>
                <w:spacing w:val="-75"/>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月</w:t>
            </w:r>
            <w:r>
              <w:rPr>
                <w:rFonts w:ascii="宋体" w:hAnsi="宋体" w:cs="宋体" w:eastAsia="宋体" w:hint="default"/>
                <w:spacing w:val="-75"/>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日公告具体情</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47"/>
              <w:jc w:val="left"/>
              <w:rPr>
                <w:rFonts w:ascii="宋体" w:hAnsi="宋体" w:cs="宋体" w:eastAsia="宋体" w:hint="default"/>
                <w:sz w:val="22"/>
                <w:szCs w:val="22"/>
              </w:rPr>
            </w:pPr>
            <w:r>
              <w:rPr>
                <w:rFonts w:ascii="宋体" w:hAnsi="宋体" w:cs="宋体" w:eastAsia="宋体" w:hint="default"/>
                <w:spacing w:val="46"/>
                <w:sz w:val="22"/>
                <w:szCs w:val="22"/>
              </w:rPr>
              <w:t>持股计</w:t>
            </w:r>
            <w:r>
              <w:rPr>
                <w:rFonts w:ascii="宋体" w:hAnsi="宋体" w:cs="宋体" w:eastAsia="宋体" w:hint="default"/>
                <w:spacing w:val="-40"/>
                <w:sz w:val="22"/>
                <w:szCs w:val="22"/>
              </w:rPr>
              <w:t> </w:t>
            </w:r>
            <w:r>
              <w:rPr>
                <w:rFonts w:ascii="宋体" w:hAnsi="宋体" w:cs="宋体" w:eastAsia="宋体" w:hint="default"/>
                <w:sz w:val="22"/>
                <w:szCs w:val="22"/>
              </w:rPr>
            </w: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况。根据相关规定，该计划</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划</w:t>
            </w:r>
            <w:r>
              <w:rPr>
                <w:rFonts w:ascii="宋体" w:hAnsi="宋体" w:cs="宋体" w:eastAsia="宋体" w:hint="default"/>
                <w:sz w:val="22"/>
                <w:szCs w:val="22"/>
              </w:rPr>
            </w: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所购买的股票锁定期自</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2014</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日起十二个月内不</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进行转让。截至 </w:t>
            </w:r>
            <w:r>
              <w:rPr>
                <w:rFonts w:ascii="Times New Roman" w:hAnsi="Times New Roman" w:cs="Times New Roman" w:eastAsia="Times New Roman" w:hint="default"/>
                <w:sz w:val="22"/>
                <w:szCs w:val="22"/>
              </w:rPr>
              <w:t>2015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10</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年员工持股计划</w:t>
            </w: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7"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765"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z w:val="22"/>
                <w:szCs w:val="22"/>
              </w:rPr>
              <w:t>限售期满。</w:t>
            </w:r>
          </w:p>
        </w:tc>
        <w:tc>
          <w:tcPr>
            <w:tcW w:w="1579"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tabs>
                <w:tab w:pos="463" w:val="left" w:leader="none"/>
              </w:tabs>
              <w:spacing w:line="265" w:lineRule="exact"/>
              <w:ind w:left="22" w:right="0"/>
              <w:jc w:val="left"/>
              <w:rPr>
                <w:rFonts w:ascii="宋体" w:hAnsi="宋体" w:cs="宋体" w:eastAsia="宋体" w:hint="default"/>
                <w:sz w:val="22"/>
                <w:szCs w:val="22"/>
              </w:rPr>
            </w:pPr>
            <w:r>
              <w:rPr>
                <w:rFonts w:ascii="宋体" w:hAnsi="宋体" w:cs="宋体" w:eastAsia="宋体" w:hint="default"/>
                <w:w w:val="95"/>
                <w:sz w:val="22"/>
                <w:szCs w:val="22"/>
              </w:rPr>
              <w:t>金</w:t>
              <w:tab/>
            </w:r>
            <w:r>
              <w:rPr>
                <w:rFonts w:ascii="宋体" w:hAnsi="宋体" w:cs="宋体" w:eastAsia="宋体" w:hint="default"/>
                <w:sz w:val="22"/>
                <w:szCs w:val="22"/>
              </w:rPr>
              <w:t>明</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93,750,874</w:t>
            </w:r>
            <w:r>
              <w:rPr>
                <w:rFonts w:ascii="Times New Roman"/>
                <w:sz w:val="22"/>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93,750,874</w:t>
            </w:r>
            <w:r>
              <w:rPr>
                <w:rFonts w:ascii="Times New Roman"/>
                <w:sz w:val="22"/>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高管锁定股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孙为民</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3,452,252</w:t>
            </w:r>
            <w:r>
              <w:rPr>
                <w:rFonts w:ascii="Times New Roman"/>
                <w:sz w:val="22"/>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3,452,252</w:t>
            </w:r>
            <w:r>
              <w:rPr>
                <w:rFonts w:ascii="Times New Roman"/>
                <w:sz w:val="22"/>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高管锁定股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tabs>
                <w:tab w:pos="463" w:val="left" w:leader="none"/>
              </w:tabs>
              <w:spacing w:line="265" w:lineRule="exact"/>
              <w:ind w:left="22" w:right="0"/>
              <w:jc w:val="left"/>
              <w:rPr>
                <w:rFonts w:ascii="宋体" w:hAnsi="宋体" w:cs="宋体" w:eastAsia="宋体" w:hint="default"/>
                <w:sz w:val="22"/>
                <w:szCs w:val="22"/>
              </w:rPr>
            </w:pPr>
            <w:r>
              <w:rPr>
                <w:rFonts w:ascii="宋体" w:hAnsi="宋体" w:cs="宋体" w:eastAsia="宋体" w:hint="default"/>
                <w:w w:val="95"/>
                <w:sz w:val="22"/>
                <w:szCs w:val="22"/>
              </w:rPr>
              <w:t>任</w:t>
              <w:tab/>
            </w:r>
            <w:r>
              <w:rPr>
                <w:rFonts w:ascii="宋体" w:hAnsi="宋体" w:cs="宋体" w:eastAsia="宋体" w:hint="default"/>
                <w:sz w:val="22"/>
                <w:szCs w:val="22"/>
              </w:rPr>
              <w:t>峻</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3,447,223</w:t>
            </w:r>
            <w:r>
              <w:rPr>
                <w:rFonts w:ascii="Times New Roman"/>
                <w:sz w:val="22"/>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3,447,223</w:t>
            </w:r>
            <w:r>
              <w:rPr>
                <w:rFonts w:ascii="Times New Roman"/>
                <w:sz w:val="22"/>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高管锁定股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孟祥胜</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5"/>
                <w:sz w:val="22"/>
              </w:rPr>
              <w:t>3,035,962</w:t>
            </w:r>
            <w:r>
              <w:rPr>
                <w:rFonts w:ascii="Times New Roman"/>
                <w:sz w:val="22"/>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5"/>
                <w:sz w:val="22"/>
              </w:rPr>
              <w:t>3,035,962</w:t>
            </w:r>
            <w:r>
              <w:rPr>
                <w:rFonts w:ascii="Times New Roman"/>
                <w:sz w:val="22"/>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高管锁定股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spacing w:val="-1"/>
                <w:sz w:val="22"/>
              </w:rPr>
              <w:t>2,503,385,399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159,821,810</w:t>
            </w:r>
            <w:r>
              <w:rPr>
                <w:rFonts w:ascii="Times New Roman"/>
                <w:sz w:val="22"/>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21,664,703</w:t>
            </w:r>
            <w:r>
              <w:rPr>
                <w:rFonts w:ascii="Times New Roman"/>
                <w:sz w:val="22"/>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spacing w:val="-1"/>
                <w:sz w:val="22"/>
              </w:rPr>
              <w:t>2,365,228,292</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w w:val="95"/>
                <w:sz w:val="22"/>
              </w:rPr>
              <w:t>--</w:t>
            </w:r>
            <w:r>
              <w:rPr>
                <w:rFonts w:ascii="Times New Roman"/>
                <w:sz w:val="22"/>
              </w:rPr>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w w:val="95"/>
                <w:sz w:val="22"/>
              </w:rPr>
              <w:t>--</w:t>
            </w:r>
            <w:r>
              <w:rPr>
                <w:rFonts w:ascii="Times New Roman"/>
                <w:sz w:val="22"/>
              </w:rPr>
            </w:r>
          </w:p>
        </w:tc>
      </w:tr>
    </w:tbl>
    <w:p>
      <w:pPr>
        <w:spacing w:line="240" w:lineRule="auto" w:before="2"/>
        <w:rPr>
          <w:rFonts w:ascii="宋体" w:hAnsi="宋体" w:cs="宋体" w:eastAsia="宋体" w:hint="default"/>
          <w:sz w:val="18"/>
          <w:szCs w:val="18"/>
        </w:rPr>
      </w:pPr>
    </w:p>
    <w:p>
      <w:pPr>
        <w:pStyle w:val="Heading2"/>
        <w:spacing w:line="240" w:lineRule="auto" w:before="26"/>
        <w:ind w:left="154" w:right="1082"/>
        <w:jc w:val="left"/>
        <w:rPr>
          <w:b w:val="0"/>
          <w:bCs w:val="0"/>
        </w:rPr>
      </w:pPr>
      <w:r>
        <w:rPr/>
        <w:pict>
          <v:group style="position:absolute;margin-left:98.419998pt;margin-top:-264.484375pt;width:65.55pt;height:171.6pt;mso-position-horizontal-relative:page;mso-position-vertical-relative:paragraph;z-index:-1831408" coordorigin="1968,-5290" coordsize="1311,3432">
            <v:shape style="position:absolute;left:1968;top:-5290;width:1311;height:3432" coordorigin="1968,-5290" coordsize="1311,3432" path="m1968,-1858l3279,-1858,3279,-5290,1968,-5290,1968,-1858xe" filled="true" fillcolor="#ffffff" stroked="false">
              <v:path arrowok="t"/>
              <v:fill type="solid"/>
            </v:shape>
            <w10:wrap type="none"/>
          </v:group>
        </w:pict>
      </w:r>
      <w:bookmarkStart w:name="二、证券发行与上市情况" w:id="123"/>
      <w:bookmarkEnd w:id="123"/>
      <w:r>
        <w:rPr>
          <w:b w:val="0"/>
          <w:bCs w:val="0"/>
        </w:rPr>
      </w:r>
      <w:r>
        <w:rPr/>
        <w:t>二、证券发行与上市情况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82"/>
        <w:jc w:val="left"/>
        <w:rPr>
          <w:b w:val="0"/>
          <w:bCs w:val="0"/>
        </w:rPr>
      </w:pPr>
      <w:bookmarkStart w:name="1、报告期内证券发行（不含优先股）情况" w:id="124"/>
      <w:bookmarkEnd w:id="12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4"/>
        <w:rPr>
          <w:rFonts w:ascii="宋体" w:hAnsi="宋体" w:cs="宋体" w:eastAsia="宋体" w:hint="default"/>
          <w:sz w:val="25"/>
          <w:szCs w:val="25"/>
        </w:rPr>
      </w:pPr>
    </w:p>
    <w:p>
      <w:pPr>
        <w:pStyle w:val="Heading4"/>
        <w:spacing w:line="240" w:lineRule="auto"/>
        <w:ind w:right="1082"/>
        <w:jc w:val="left"/>
        <w:rPr>
          <w:b w:val="0"/>
          <w:bCs w:val="0"/>
        </w:rPr>
      </w:pPr>
      <w:bookmarkStart w:name="2、公司股份总数及股东结构的变动、公司资产和负债结构的变动情况说明" w:id="125"/>
      <w:bookmarkEnd w:id="12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4"/>
        <w:rPr>
          <w:rFonts w:ascii="宋体" w:hAnsi="宋体" w:cs="宋体" w:eastAsia="宋体" w:hint="default"/>
          <w:sz w:val="25"/>
          <w:szCs w:val="25"/>
        </w:rPr>
      </w:pPr>
    </w:p>
    <w:p>
      <w:pPr>
        <w:pStyle w:val="Heading4"/>
        <w:spacing w:line="240" w:lineRule="auto"/>
        <w:ind w:right="1082"/>
        <w:jc w:val="left"/>
        <w:rPr>
          <w:b w:val="0"/>
          <w:bCs w:val="0"/>
        </w:rPr>
      </w:pPr>
      <w:bookmarkStart w:name="3、现存的内部职工股情况" w:id="126"/>
      <w:bookmarkEnd w:id="12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5"/>
          <w:szCs w:val="25"/>
        </w:rPr>
      </w:pPr>
    </w:p>
    <w:p>
      <w:pPr>
        <w:spacing w:line="484" w:lineRule="auto" w:before="0"/>
        <w:ind w:left="153" w:right="7012"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 </w:t>
      </w:r>
      <w:r>
        <w:rPr>
          <w:rFonts w:ascii="宋体" w:hAnsi="宋体" w:cs="宋体" w:eastAsia="宋体" w:hint="default"/>
          <w:sz w:val="22"/>
          <w:szCs w:val="22"/>
        </w:rPr>
        <w:t>适用 </w:t>
      </w: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53"/>
          <w:sz w:val="22"/>
          <w:szCs w:val="22"/>
        </w:rPr>
        <w:t> </w:t>
      </w:r>
      <w:r>
        <w:rPr>
          <w:rFonts w:ascii="宋体" w:hAnsi="宋体" w:cs="宋体" w:eastAsia="宋体" w:hint="default"/>
          <w:sz w:val="22"/>
          <w:szCs w:val="22"/>
        </w:rPr>
        <w:t>不适用</w:t>
      </w:r>
      <w:r>
        <w:rPr>
          <w:rFonts w:ascii="宋体" w:hAnsi="宋体" w:cs="宋体" w:eastAsia="宋体" w:hint="default"/>
          <w:w w:val="99"/>
          <w:sz w:val="22"/>
          <w:szCs w:val="22"/>
        </w:rPr>
        <w:t> </w:t>
      </w:r>
      <w:bookmarkStart w:name="三、股东和实际控制人情况" w:id="127"/>
      <w:bookmarkEnd w:id="127"/>
      <w:r>
        <w:rPr>
          <w:rFonts w:ascii="宋体" w:hAnsi="宋体" w:cs="宋体" w:eastAsia="宋体" w:hint="default"/>
          <w:w w:val="99"/>
          <w:sz w:val="22"/>
          <w:szCs w:val="22"/>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128"/>
      <w:bookmarkEnd w:id="12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、公司股东数量及持股情况</w:t>
      </w:r>
      <w:r>
        <w:rPr>
          <w:rFonts w:ascii="宋体" w:hAnsi="宋体" w:cs="宋体" w:eastAsia="宋体" w:hint="default"/>
          <w:sz w:val="22"/>
          <w:szCs w:val="22"/>
        </w:rPr>
      </w:r>
    </w:p>
    <w:p>
      <w:pPr>
        <w:spacing w:after="0" w:line="484" w:lineRule="auto"/>
        <w:jc w:val="left"/>
        <w:rPr>
          <w:rFonts w:ascii="宋体" w:hAnsi="宋体" w:cs="宋体" w:eastAsia="宋体" w:hint="default"/>
          <w:sz w:val="22"/>
          <w:szCs w:val="22"/>
        </w:rPr>
        <w:sectPr>
          <w:pgSz w:w="11910" w:h="16840"/>
          <w:pgMar w:header="0" w:footer="979" w:top="1100" w:bottom="1160" w:left="980" w:right="0"/>
        </w:sectPr>
      </w:pPr>
    </w:p>
    <w:p>
      <w:pPr>
        <w:spacing w:line="240" w:lineRule="auto" w:before="2"/>
        <w:rPr>
          <w:rFonts w:ascii="宋体" w:hAnsi="宋体" w:cs="宋体" w:eastAsia="宋体" w:hint="default"/>
          <w:b/>
          <w:bCs/>
          <w:sz w:val="22"/>
          <w:szCs w:val="22"/>
        </w:rPr>
      </w:pPr>
    </w:p>
    <w:p>
      <w:pPr>
        <w:pStyle w:val="BodyText"/>
        <w:spacing w:line="240" w:lineRule="auto" w:before="31"/>
        <w:ind w:left="0" w:right="1132"/>
        <w:jc w:val="right"/>
      </w:pPr>
      <w:r>
        <w:rPr>
          <w:w w:val="95"/>
        </w:rPr>
        <w:t>单位：股</w:t>
      </w:r>
      <w:r>
        <w:rPr/>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1264"/>
        <w:gridCol w:w="328"/>
        <w:gridCol w:w="694"/>
        <w:gridCol w:w="464"/>
        <w:gridCol w:w="671"/>
        <w:gridCol w:w="1126"/>
        <w:gridCol w:w="717"/>
        <w:gridCol w:w="439"/>
        <w:gridCol w:w="553"/>
      </w:tblGrid>
      <w:tr>
        <w:trPr>
          <w:trHeight w:val="12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660,735</w:t>
            </w:r>
          </w:p>
        </w:tc>
        <w:tc>
          <w:tcPr>
            <w:tcW w:w="11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1" w:right="0"/>
              <w:jc w:val="left"/>
              <w:rPr>
                <w:rFonts w:ascii="Times New Roman" w:hAnsi="Times New Roman" w:cs="Times New Roman" w:eastAsia="Times New Roman" w:hint="default"/>
                <w:sz w:val="18"/>
                <w:szCs w:val="18"/>
              </w:rPr>
            </w:pPr>
            <w:r>
              <w:rPr>
                <w:rFonts w:ascii="Times New Roman"/>
                <w:sz w:val="18"/>
              </w:rPr>
              <w:t>600,698</w:t>
            </w:r>
          </w:p>
        </w:tc>
        <w:tc>
          <w:tcPr>
            <w:tcW w:w="1157" w:type="dxa"/>
            <w:gridSpan w:val="2"/>
            <w:vMerge w:val="restart"/>
            <w:tcBorders>
              <w:top w:val="single" w:sz="4" w:space="0" w:color="000000"/>
              <w:left w:val="single" w:sz="4" w:space="0" w:color="000000"/>
              <w:right w:val="single" w:sz="4" w:space="0" w:color="000000"/>
            </w:tcBorders>
            <w:shd w:val="clear" w:color="auto" w:fill="D2D2D2"/>
          </w:tcPr>
          <w:p>
            <w:pPr/>
          </w:p>
        </w:tc>
        <w:tc>
          <w:tcPr>
            <w:tcW w:w="179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0</w:t>
            </w:r>
          </w:p>
        </w:tc>
        <w:tc>
          <w:tcPr>
            <w:tcW w:w="11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5" w:right="0"/>
              <w:jc w:val="both"/>
              <w:rPr>
                <w:rFonts w:ascii="宋体" w:hAnsi="宋体" w:cs="宋体" w:eastAsia="宋体" w:hint="default"/>
                <w:sz w:val="18"/>
                <w:szCs w:val="18"/>
              </w:rPr>
            </w:pPr>
            <w:r>
              <w:rPr>
                <w:rFonts w:ascii="宋体" w:hAnsi="宋体" w:cs="宋体" w:eastAsia="宋体" w:hint="default"/>
                <w:sz w:val="18"/>
                <w:szCs w:val="18"/>
              </w:rPr>
              <w:t>年度报告披露</w:t>
            </w:r>
          </w:p>
          <w:p>
            <w:pPr>
              <w:pStyle w:val="TableParagraph"/>
              <w:spacing w:line="237" w:lineRule="auto" w:before="1"/>
              <w:ind w:left="-5" w:right="69"/>
              <w:jc w:val="both"/>
              <w:rPr>
                <w:rFonts w:ascii="宋体" w:hAnsi="宋体" w:cs="宋体" w:eastAsia="宋体" w:hint="default"/>
                <w:sz w:val="18"/>
                <w:szCs w:val="18"/>
              </w:rPr>
            </w:pPr>
            <w:r>
              <w:rPr>
                <w:rFonts w:ascii="宋体" w:hAnsi="宋体" w:cs="宋体" w:eastAsia="宋体" w:hint="default"/>
                <w:sz w:val="18"/>
                <w:szCs w:val="18"/>
              </w:rPr>
              <w:t>日前上一月末 表决权恢复的 优先股股东总 数</w:t>
            </w:r>
          </w:p>
        </w:tc>
        <w:tc>
          <w:tcPr>
            <w:tcW w:w="553"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1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11" w:right="0"/>
              <w:jc w:val="both"/>
              <w:rPr>
                <w:rFonts w:ascii="宋体" w:hAnsi="宋体" w:cs="宋体" w:eastAsia="宋体" w:hint="default"/>
                <w:sz w:val="18"/>
                <w:szCs w:val="18"/>
              </w:rPr>
            </w:pPr>
            <w:r>
              <w:rPr>
                <w:rFonts w:ascii="宋体" w:hAnsi="宋体" w:cs="宋体" w:eastAsia="宋体" w:hint="default"/>
                <w:sz w:val="18"/>
                <w:szCs w:val="18"/>
              </w:rPr>
              <w:t>年度报告披露</w:t>
            </w:r>
          </w:p>
          <w:p>
            <w:pPr>
              <w:pStyle w:val="TableParagraph"/>
              <w:spacing w:line="237" w:lineRule="auto"/>
              <w:ind w:left="11" w:right="70"/>
              <w:jc w:val="both"/>
              <w:rPr>
                <w:rFonts w:ascii="宋体" w:hAnsi="宋体" w:cs="宋体" w:eastAsia="宋体" w:hint="default"/>
                <w:sz w:val="18"/>
                <w:szCs w:val="18"/>
              </w:rPr>
            </w:pPr>
            <w:r>
              <w:rPr>
                <w:rFonts w:ascii="宋体" w:hAnsi="宋体" w:cs="宋体" w:eastAsia="宋体" w:hint="default"/>
                <w:sz w:val="18"/>
                <w:szCs w:val="18"/>
              </w:rPr>
              <w:t>日前上一月末 普通股股东总 数</w:t>
            </w:r>
          </w:p>
        </w:tc>
        <w:tc>
          <w:tcPr>
            <w:tcW w:w="1685" w:type="dxa"/>
            <w:gridSpan w:val="3"/>
            <w:vMerge/>
            <w:tcBorders>
              <w:left w:val="single" w:sz="9" w:space="0" w:color="D2D2D2"/>
              <w:right w:val="single" w:sz="9" w:space="0" w:color="D2D2D2"/>
            </w:tcBorders>
          </w:tcPr>
          <w:p>
            <w:pPr/>
          </w:p>
        </w:tc>
        <w:tc>
          <w:tcPr>
            <w:tcW w:w="1157" w:type="dxa"/>
            <w:gridSpan w:val="2"/>
            <w:vMerge/>
            <w:tcBorders>
              <w:left w:val="single" w:sz="4" w:space="0" w:color="000000"/>
              <w:bottom w:val="nil" w:sz="6" w:space="0" w:color="auto"/>
              <w:right w:val="single" w:sz="4" w:space="0" w:color="000000"/>
            </w:tcBorders>
            <w:shd w:val="clear" w:color="auto" w:fill="D2D2D2"/>
          </w:tcPr>
          <w:p>
            <w:pPr/>
          </w:p>
        </w:tc>
        <w:tc>
          <w:tcPr>
            <w:tcW w:w="1796" w:type="dxa"/>
            <w:gridSpan w:val="2"/>
            <w:vMerge/>
            <w:tcBorders>
              <w:left w:val="single" w:sz="10" w:space="0" w:color="D2D2D2"/>
              <w:right w:val="single" w:sz="13" w:space="0" w:color="D2D2D2"/>
            </w:tcBorders>
          </w:tcPr>
          <w:p>
            <w:pPr/>
          </w:p>
        </w:tc>
        <w:tc>
          <w:tcPr>
            <w:tcW w:w="1156" w:type="dxa"/>
            <w:gridSpan w:val="2"/>
            <w:vMerge/>
            <w:tcBorders>
              <w:left w:val="single" w:sz="4" w:space="0" w:color="000000"/>
              <w:right w:val="single" w:sz="4" w:space="0" w:color="000000"/>
            </w:tcBorders>
            <w:shd w:val="clear" w:color="auto" w:fill="D2D2D2"/>
          </w:tcPr>
          <w:p>
            <w:pPr/>
          </w:p>
        </w:tc>
        <w:tc>
          <w:tcPr>
            <w:tcW w:w="553" w:type="dxa"/>
            <w:vMerge/>
            <w:tcBorders>
              <w:left w:val="single" w:sz="13" w:space="0" w:color="D2D2D2"/>
              <w:right w:val="single" w:sz="4" w:space="0" w:color="000000"/>
            </w:tcBorders>
          </w:tcPr>
          <w:p>
            <w:pPr/>
          </w:p>
        </w:tc>
      </w:tr>
      <w:tr>
        <w:trPr>
          <w:trHeight w:val="11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685" w:type="dxa"/>
            <w:gridSpan w:val="3"/>
            <w:vMerge/>
            <w:tcBorders>
              <w:left w:val="single" w:sz="9" w:space="0" w:color="D2D2D2"/>
              <w:right w:val="single" w:sz="9" w:space="0" w:color="D2D2D2"/>
            </w:tcBorders>
          </w:tcPr>
          <w:p>
            <w:pPr/>
          </w:p>
        </w:tc>
        <w:tc>
          <w:tcPr>
            <w:tcW w:w="11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报告期末表决</w:t>
            </w:r>
          </w:p>
          <w:p>
            <w:pPr>
              <w:pStyle w:val="TableParagraph"/>
              <w:spacing w:line="240" w:lineRule="auto"/>
              <w:ind w:left="22" w:right="44"/>
              <w:jc w:val="left"/>
              <w:rPr>
                <w:rFonts w:ascii="宋体" w:hAnsi="宋体" w:cs="宋体" w:eastAsia="宋体" w:hint="default"/>
                <w:sz w:val="18"/>
                <w:szCs w:val="18"/>
              </w:rPr>
            </w:pPr>
            <w:r>
              <w:rPr>
                <w:rFonts w:ascii="宋体" w:hAnsi="宋体" w:cs="宋体" w:eastAsia="宋体" w:hint="default"/>
                <w:sz w:val="18"/>
                <w:szCs w:val="18"/>
              </w:rPr>
              <w:t>权恢复的优先 股股东总数</w:t>
            </w:r>
          </w:p>
        </w:tc>
        <w:tc>
          <w:tcPr>
            <w:tcW w:w="1796" w:type="dxa"/>
            <w:gridSpan w:val="2"/>
            <w:vMerge/>
            <w:tcBorders>
              <w:left w:val="single" w:sz="10" w:space="0" w:color="D2D2D2"/>
              <w:right w:val="single" w:sz="13" w:space="0" w:color="D2D2D2"/>
            </w:tcBorders>
          </w:tcPr>
          <w:p>
            <w:pPr/>
          </w:p>
        </w:tc>
        <w:tc>
          <w:tcPr>
            <w:tcW w:w="1156" w:type="dxa"/>
            <w:gridSpan w:val="2"/>
            <w:vMerge/>
            <w:tcBorders>
              <w:left w:val="single" w:sz="4" w:space="0" w:color="000000"/>
              <w:right w:val="single" w:sz="4" w:space="0" w:color="000000"/>
            </w:tcBorders>
            <w:shd w:val="clear" w:color="auto" w:fill="D2D2D2"/>
          </w:tcPr>
          <w:p>
            <w:pPr/>
          </w:p>
        </w:tc>
        <w:tc>
          <w:tcPr>
            <w:tcW w:w="553" w:type="dxa"/>
            <w:vMerge/>
            <w:tcBorders>
              <w:left w:val="single" w:sz="13" w:space="0" w:color="D2D2D2"/>
              <w:right w:val="single" w:sz="4" w:space="0" w:color="000000"/>
            </w:tcBorders>
          </w:tcPr>
          <w:p>
            <w:pPr/>
          </w:p>
        </w:tc>
      </w:tr>
      <w:tr>
        <w:trPr>
          <w:trHeight w:val="467"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报告期末普通</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685" w:type="dxa"/>
            <w:gridSpan w:val="3"/>
            <w:vMerge/>
            <w:tcBorders>
              <w:left w:val="single" w:sz="9" w:space="0" w:color="D2D2D2"/>
              <w:right w:val="single" w:sz="9" w:space="0" w:color="D2D2D2"/>
            </w:tcBorders>
          </w:tcPr>
          <w:p>
            <w:pPr/>
          </w:p>
        </w:tc>
        <w:tc>
          <w:tcPr>
            <w:tcW w:w="1157" w:type="dxa"/>
            <w:gridSpan w:val="2"/>
            <w:vMerge/>
            <w:tcBorders>
              <w:left w:val="single" w:sz="4" w:space="0" w:color="000000"/>
              <w:right w:val="single" w:sz="4" w:space="0" w:color="000000"/>
            </w:tcBorders>
            <w:shd w:val="clear" w:color="auto" w:fill="D2D2D2"/>
          </w:tcPr>
          <w:p>
            <w:pPr/>
          </w:p>
        </w:tc>
        <w:tc>
          <w:tcPr>
            <w:tcW w:w="1796" w:type="dxa"/>
            <w:gridSpan w:val="2"/>
            <w:vMerge/>
            <w:tcBorders>
              <w:left w:val="single" w:sz="10" w:space="0" w:color="D2D2D2"/>
              <w:right w:val="single" w:sz="13" w:space="0" w:color="D2D2D2"/>
            </w:tcBorders>
          </w:tcPr>
          <w:p>
            <w:pPr/>
          </w:p>
        </w:tc>
        <w:tc>
          <w:tcPr>
            <w:tcW w:w="1156" w:type="dxa"/>
            <w:gridSpan w:val="2"/>
            <w:vMerge/>
            <w:tcBorders>
              <w:left w:val="single" w:sz="4" w:space="0" w:color="000000"/>
              <w:right w:val="single" w:sz="4" w:space="0" w:color="000000"/>
            </w:tcBorders>
            <w:shd w:val="clear" w:color="auto" w:fill="D2D2D2"/>
          </w:tcPr>
          <w:p>
            <w:pPr/>
          </w:p>
        </w:tc>
        <w:tc>
          <w:tcPr>
            <w:tcW w:w="553" w:type="dxa"/>
            <w:vMerge/>
            <w:tcBorders>
              <w:left w:val="single" w:sz="13" w:space="0" w:color="D2D2D2"/>
              <w:right w:val="single" w:sz="4" w:space="0" w:color="000000"/>
            </w:tcBorders>
          </w:tcPr>
          <w:p>
            <w:pPr/>
          </w:p>
        </w:tc>
      </w:tr>
      <w:tr>
        <w:trPr>
          <w:trHeight w:val="11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685" w:type="dxa"/>
            <w:gridSpan w:val="3"/>
            <w:vMerge/>
            <w:tcBorders>
              <w:left w:val="single" w:sz="9" w:space="0" w:color="D2D2D2"/>
              <w:right w:val="single" w:sz="9" w:space="0" w:color="D2D2D2"/>
            </w:tcBorders>
          </w:tcPr>
          <w:p>
            <w:pPr/>
          </w:p>
        </w:tc>
        <w:tc>
          <w:tcPr>
            <w:tcW w:w="1157" w:type="dxa"/>
            <w:gridSpan w:val="2"/>
            <w:vMerge/>
            <w:tcBorders>
              <w:left w:val="single" w:sz="4" w:space="0" w:color="000000"/>
              <w:bottom w:val="nil" w:sz="6" w:space="0" w:color="auto"/>
              <w:right w:val="single" w:sz="4" w:space="0" w:color="000000"/>
            </w:tcBorders>
            <w:shd w:val="clear" w:color="auto" w:fill="D2D2D2"/>
          </w:tcPr>
          <w:p>
            <w:pPr/>
          </w:p>
        </w:tc>
        <w:tc>
          <w:tcPr>
            <w:tcW w:w="1796" w:type="dxa"/>
            <w:gridSpan w:val="2"/>
            <w:vMerge/>
            <w:tcBorders>
              <w:left w:val="single" w:sz="10" w:space="0" w:color="D2D2D2"/>
              <w:right w:val="single" w:sz="13" w:space="0" w:color="D2D2D2"/>
            </w:tcBorders>
          </w:tcPr>
          <w:p>
            <w:pPr/>
          </w:p>
        </w:tc>
        <w:tc>
          <w:tcPr>
            <w:tcW w:w="1156" w:type="dxa"/>
            <w:gridSpan w:val="2"/>
            <w:vMerge/>
            <w:tcBorders>
              <w:left w:val="single" w:sz="4" w:space="0" w:color="000000"/>
              <w:right w:val="single" w:sz="4" w:space="0" w:color="000000"/>
            </w:tcBorders>
            <w:shd w:val="clear" w:color="auto" w:fill="D2D2D2"/>
          </w:tcPr>
          <w:p>
            <w:pPr/>
          </w:p>
        </w:tc>
        <w:tc>
          <w:tcPr>
            <w:tcW w:w="553" w:type="dxa"/>
            <w:vMerge/>
            <w:tcBorders>
              <w:left w:val="single" w:sz="13" w:space="0" w:color="D2D2D2"/>
              <w:right w:val="single" w:sz="4" w:space="0" w:color="000000"/>
            </w:tcBorders>
          </w:tcPr>
          <w:p>
            <w:pPr/>
          </w:p>
        </w:tc>
      </w:tr>
      <w:tr>
        <w:trPr>
          <w:trHeight w:val="29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7" w:space="0" w:color="D2D2D2"/>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685" w:type="dxa"/>
            <w:gridSpan w:val="3"/>
            <w:vMerge/>
            <w:tcBorders>
              <w:left w:val="single" w:sz="9" w:space="0" w:color="D2D2D2"/>
              <w:bottom w:val="single" w:sz="47" w:space="0" w:color="D2D2D2"/>
              <w:right w:val="single" w:sz="9" w:space="0" w:color="D2D2D2"/>
            </w:tcBorders>
          </w:tcPr>
          <w:p>
            <w:pPr/>
          </w:p>
        </w:tc>
        <w:tc>
          <w:tcPr>
            <w:tcW w:w="11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96" w:type="dxa"/>
            <w:gridSpan w:val="2"/>
            <w:vMerge/>
            <w:tcBorders>
              <w:left w:val="single" w:sz="10" w:space="0" w:color="D2D2D2"/>
              <w:bottom w:val="single" w:sz="47" w:space="0" w:color="D2D2D2"/>
              <w:right w:val="single" w:sz="13" w:space="0" w:color="D2D2D2"/>
            </w:tcBorders>
          </w:tcPr>
          <w:p>
            <w:pPr/>
          </w:p>
        </w:tc>
        <w:tc>
          <w:tcPr>
            <w:tcW w:w="1156" w:type="dxa"/>
            <w:gridSpan w:val="2"/>
            <w:vMerge/>
            <w:tcBorders>
              <w:left w:val="single" w:sz="4" w:space="0" w:color="000000"/>
              <w:bottom w:val="single" w:sz="4" w:space="0" w:color="000000"/>
              <w:right w:val="single" w:sz="4" w:space="0" w:color="000000"/>
            </w:tcBorders>
            <w:shd w:val="clear" w:color="auto" w:fill="D2D2D2"/>
          </w:tcPr>
          <w:p>
            <w:pPr/>
          </w:p>
        </w:tc>
        <w:tc>
          <w:tcPr>
            <w:tcW w:w="553" w:type="dxa"/>
            <w:vMerge/>
            <w:tcBorders>
              <w:left w:val="single" w:sz="13" w:space="0" w:color="D2D2D2"/>
              <w:bottom w:val="single" w:sz="47" w:space="0" w:color="D2D2D2"/>
              <w:right w:val="single" w:sz="4" w:space="0" w:color="000000"/>
            </w:tcBorders>
          </w:tcPr>
          <w:p>
            <w:pPr/>
          </w:p>
        </w:tc>
      </w:tr>
      <w:tr>
        <w:trPr>
          <w:trHeight w:val="412" w:hRule="exact"/>
        </w:trPr>
        <w:tc>
          <w:tcPr>
            <w:tcW w:w="99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34" w:hRule="exact"/>
        </w:trPr>
        <w:tc>
          <w:tcPr>
            <w:tcW w:w="14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4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left="446" w:right="85"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left="55" w:right="5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111" w:right="0"/>
              <w:jc w:val="lef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32" w:lineRule="exact" w:before="24"/>
              <w:ind w:left="381" w:right="111" w:hanging="270"/>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111" w:right="0"/>
              <w:jc w:val="left"/>
              <w:rPr>
                <w:rFonts w:ascii="宋体" w:hAnsi="宋体" w:cs="宋体" w:eastAsia="宋体" w:hint="default"/>
                <w:sz w:val="18"/>
                <w:szCs w:val="18"/>
              </w:rPr>
            </w:pPr>
            <w:r>
              <w:rPr>
                <w:rFonts w:ascii="宋体" w:hAnsi="宋体" w:cs="宋体" w:eastAsia="宋体" w:hint="default"/>
                <w:sz w:val="18"/>
                <w:szCs w:val="18"/>
              </w:rPr>
              <w:t>持有无限售</w:t>
            </w:r>
          </w:p>
          <w:p>
            <w:pPr>
              <w:pStyle w:val="TableParagraph"/>
              <w:spacing w:line="232" w:lineRule="exact" w:before="24"/>
              <w:ind w:left="381" w:right="102" w:hanging="270"/>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17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22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03" w:hRule="exact"/>
        </w:trPr>
        <w:tc>
          <w:tcPr>
            <w:tcW w:w="14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8" w:lineRule="exact"/>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8" w:lineRule="exact"/>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64" w:type="dxa"/>
            <w:vMerge/>
            <w:tcBorders>
              <w:left w:val="single" w:sz="4" w:space="0" w:color="000000"/>
              <w:right w:val="single" w:sz="4" w:space="0" w:color="000000"/>
            </w:tcBorders>
            <w:shd w:val="clear" w:color="auto" w:fill="D2D2D2"/>
          </w:tcPr>
          <w:p>
            <w:pPr/>
          </w:p>
        </w:tc>
        <w:tc>
          <w:tcPr>
            <w:tcW w:w="102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shd w:val="clear" w:color="auto" w:fill="D2D2D2"/>
          </w:tcPr>
          <w:p>
            <w:pPr/>
          </w:p>
        </w:tc>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174" w:lineRule="exact"/>
              <w:ind w:left="7" w:right="0"/>
              <w:jc w:val="center"/>
              <w:rPr>
                <w:rFonts w:ascii="宋体" w:hAnsi="宋体" w:cs="宋体" w:eastAsia="宋体" w:hint="default"/>
                <w:sz w:val="18"/>
                <w:szCs w:val="18"/>
              </w:rPr>
            </w:pPr>
            <w:r>
              <w:rPr>
                <w:rFonts w:ascii="宋体" w:hAnsi="宋体" w:cs="宋体" w:eastAsia="宋体" w:hint="default"/>
                <w:sz w:val="18"/>
                <w:szCs w:val="18"/>
              </w:rPr>
              <w:t>股份状</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态</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41" w:hRule="exact"/>
        </w:trPr>
        <w:tc>
          <w:tcPr>
            <w:tcW w:w="14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102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717"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r>
      <w:tr>
        <w:trPr>
          <w:trHeight w:val="4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张近东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00" w:right="0"/>
              <w:jc w:val="left"/>
              <w:rPr>
                <w:rFonts w:ascii="Times New Roman" w:hAnsi="Times New Roman" w:cs="Times New Roman" w:eastAsia="Times New Roman" w:hint="default"/>
                <w:sz w:val="18"/>
                <w:szCs w:val="18"/>
              </w:rPr>
            </w:pPr>
            <w:r>
              <w:rPr>
                <w:rFonts w:ascii="Times New Roman"/>
                <w:sz w:val="18"/>
              </w:rPr>
              <w:t>26.44%</w:t>
            </w:r>
          </w:p>
        </w:tc>
        <w:tc>
          <w:tcPr>
            <w:tcW w:w="1264" w:type="dxa"/>
            <w:tcBorders>
              <w:top w:val="single" w:sz="53" w:space="0" w:color="D2D2D2"/>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1,951,811,430</w:t>
            </w:r>
          </w:p>
        </w:tc>
        <w:tc>
          <w:tcPr>
            <w:tcW w:w="1021" w:type="dxa"/>
            <w:gridSpan w:val="2"/>
            <w:tcBorders>
              <w:top w:val="single" w:sz="53" w:space="0" w:color="D2D2D2"/>
              <w:left w:val="single" w:sz="4" w:space="0" w:color="000000"/>
              <w:bottom w:val="single" w:sz="4" w:space="0" w:color="000000"/>
              <w:right w:val="single" w:sz="4" w:space="0" w:color="000000"/>
            </w:tcBorders>
          </w:tcPr>
          <w:p>
            <w:pPr/>
          </w:p>
        </w:tc>
        <w:tc>
          <w:tcPr>
            <w:tcW w:w="1134" w:type="dxa"/>
            <w:gridSpan w:val="2"/>
            <w:tcBorders>
              <w:top w:val="single" w:sz="6" w:space="0" w:color="000000"/>
              <w:left w:val="single" w:sz="4" w:space="0" w:color="000000"/>
              <w:bottom w:val="single" w:sz="4" w:space="0" w:color="000000"/>
              <w:right w:val="single" w:sz="4" w:space="0" w:color="000000"/>
            </w:tcBorders>
          </w:tcPr>
          <w:p>
            <w:pPr>
              <w:pStyle w:val="TableParagraph"/>
              <w:spacing w:line="190" w:lineRule="exact"/>
              <w:ind w:left="71" w:right="0"/>
              <w:jc w:val="left"/>
              <w:rPr>
                <w:rFonts w:ascii="Times New Roman" w:hAnsi="Times New Roman" w:cs="Times New Roman" w:eastAsia="Times New Roman" w:hint="default"/>
                <w:sz w:val="18"/>
                <w:szCs w:val="18"/>
              </w:rPr>
            </w:pPr>
            <w:r>
              <w:rPr>
                <w:rFonts w:ascii="Times New Roman"/>
                <w:sz w:val="18"/>
              </w:rPr>
              <w:t>1,951,811,430</w:t>
            </w:r>
          </w:p>
          <w:p>
            <w:pPr>
              <w:pStyle w:val="TableParagraph"/>
              <w:spacing w:line="237" w:lineRule="exact"/>
              <w:ind w:left="42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tcBorders>
              <w:top w:val="single" w:sz="6"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1" w:type="dxa"/>
            <w:gridSpan w:val="2"/>
            <w:tcBorders>
              <w:top w:val="single" w:sz="51" w:space="0" w:color="D2D2D2"/>
              <w:left w:val="single" w:sz="4" w:space="0" w:color="000000"/>
              <w:bottom w:val="single" w:sz="4" w:space="0" w:color="000000"/>
              <w:right w:val="single" w:sz="4" w:space="0" w:color="000000"/>
            </w:tcBorders>
          </w:tcPr>
          <w:p>
            <w:pPr>
              <w:pStyle w:val="TableParagraph"/>
              <w:spacing w:line="133" w:lineRule="exact"/>
              <w:ind w:left="5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37" w:lineRule="exact"/>
              <w:ind w:left="28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7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苏宁电器集团有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00" w:right="0"/>
              <w:jc w:val="left"/>
              <w:rPr>
                <w:rFonts w:ascii="Times New Roman" w:hAnsi="Times New Roman" w:cs="Times New Roman" w:eastAsia="Times New Roman" w:hint="default"/>
                <w:sz w:val="18"/>
                <w:szCs w:val="18"/>
              </w:rPr>
            </w:pPr>
            <w:r>
              <w:rPr>
                <w:rFonts w:ascii="Times New Roman"/>
                <w:sz w:val="18"/>
              </w:rPr>
              <w:t>14.60%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1,078,141,079</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07" w:right="0"/>
              <w:jc w:val="left"/>
              <w:rPr>
                <w:rFonts w:ascii="Times New Roman" w:hAnsi="Times New Roman" w:cs="Times New Roman" w:eastAsia="Times New Roman" w:hint="default"/>
                <w:sz w:val="18"/>
                <w:szCs w:val="18"/>
              </w:rPr>
            </w:pPr>
            <w:r>
              <w:rPr>
                <w:rFonts w:ascii="Times New Roman"/>
                <w:sz w:val="18"/>
              </w:rPr>
              <w:t>-9,200,872</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
              <w:jc w:val="right"/>
              <w:rPr>
                <w:rFonts w:ascii="Times New Roman" w:hAnsi="Times New Roman" w:cs="Times New Roman" w:eastAsia="Times New Roman" w:hint="default"/>
                <w:sz w:val="18"/>
                <w:szCs w:val="18"/>
              </w:rPr>
            </w:pPr>
            <w:r>
              <w:rPr>
                <w:rFonts w:ascii="Times New Roman"/>
                <w:spacing w:val="-1"/>
                <w:sz w:val="18"/>
              </w:rPr>
              <w:t>1,078,141,079</w:t>
            </w:r>
          </w:p>
        </w:tc>
        <w:tc>
          <w:tcPr>
            <w:tcW w:w="71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苏宁控股集团有</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90" w:right="0"/>
              <w:jc w:val="left"/>
              <w:rPr>
                <w:rFonts w:ascii="Times New Roman" w:hAnsi="Times New Roman" w:cs="Times New Roman" w:eastAsia="Times New Roman" w:hint="default"/>
                <w:sz w:val="18"/>
                <w:szCs w:val="18"/>
              </w:rPr>
            </w:pPr>
            <w:r>
              <w:rPr>
                <w:rFonts w:ascii="Times New Roman"/>
                <w:sz w:val="18"/>
              </w:rPr>
              <w:t>4.20%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309,730,551</w:t>
            </w:r>
          </w:p>
        </w:tc>
        <w:tc>
          <w:tcPr>
            <w:tcW w:w="1021"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194" w:lineRule="exact" w:before="9"/>
              <w:ind w:left="200" w:right="0"/>
              <w:jc w:val="left"/>
              <w:rPr>
                <w:rFonts w:ascii="Times New Roman" w:hAnsi="Times New Roman" w:cs="Times New Roman" w:eastAsia="Times New Roman" w:hint="default"/>
                <w:sz w:val="18"/>
                <w:szCs w:val="18"/>
              </w:rPr>
            </w:pPr>
            <w:r>
              <w:rPr>
                <w:rFonts w:ascii="Times New Roman"/>
                <w:sz w:val="18"/>
              </w:rPr>
              <w:t>309,730,551</w:t>
            </w:r>
          </w:p>
          <w:p>
            <w:pPr>
              <w:pStyle w:val="TableParagraph"/>
              <w:spacing w:line="236" w:lineRule="exact"/>
              <w:ind w:left="42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194" w:lineRule="exact" w:before="9"/>
              <w:ind w:left="58" w:right="0"/>
              <w:jc w:val="left"/>
              <w:rPr>
                <w:rFonts w:ascii="Times New Roman" w:hAnsi="Times New Roman" w:cs="Times New Roman" w:eastAsia="Times New Roman" w:hint="default"/>
                <w:sz w:val="18"/>
                <w:szCs w:val="18"/>
              </w:rPr>
            </w:pPr>
            <w:r>
              <w:rPr>
                <w:rFonts w:ascii="Times New Roman"/>
                <w:sz w:val="18"/>
              </w:rPr>
              <w:t>288,065,848</w:t>
            </w:r>
          </w:p>
          <w:p>
            <w:pPr>
              <w:pStyle w:val="TableParagraph"/>
              <w:spacing w:line="236" w:lineRule="exact"/>
              <w:ind w:left="28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24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陈金凤</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Times New Roman" w:hAnsi="Times New Roman" w:cs="Times New Roman" w:eastAsia="Times New Roman" w:hint="default"/>
                <w:sz w:val="18"/>
                <w:szCs w:val="18"/>
              </w:rPr>
            </w:pPr>
            <w:r>
              <w:rPr>
                <w:rFonts w:ascii="Times New Roman"/>
                <w:sz w:val="18"/>
              </w:rPr>
              <w:t>2.49%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184,127,709</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Times New Roman" w:hAnsi="Times New Roman" w:cs="Times New Roman" w:eastAsia="Times New Roman" w:hint="default"/>
                <w:sz w:val="18"/>
                <w:szCs w:val="18"/>
              </w:rPr>
            </w:pPr>
            <w:r>
              <w:rPr>
                <w:rFonts w:ascii="Times New Roman"/>
                <w:sz w:val="18"/>
              </w:rPr>
              <w:t>-12,004,661</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Times New Roman" w:hAnsi="Times New Roman" w:cs="Times New Roman" w:eastAsia="Times New Roman" w:hint="default"/>
                <w:sz w:val="18"/>
                <w:szCs w:val="18"/>
              </w:rPr>
            </w:pPr>
            <w:r>
              <w:rPr>
                <w:rFonts w:ascii="Times New Roman"/>
                <w:sz w:val="18"/>
              </w:rPr>
              <w:t>184,127,709</w:t>
            </w:r>
          </w:p>
        </w:tc>
        <w:tc>
          <w:tcPr>
            <w:tcW w:w="71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金明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90" w:right="0"/>
              <w:jc w:val="left"/>
              <w:rPr>
                <w:rFonts w:ascii="Times New Roman" w:hAnsi="Times New Roman" w:cs="Times New Roman" w:eastAsia="Times New Roman" w:hint="default"/>
                <w:sz w:val="18"/>
                <w:szCs w:val="18"/>
              </w:rPr>
            </w:pPr>
            <w:r>
              <w:rPr>
                <w:rFonts w:ascii="Times New Roman"/>
                <w:sz w:val="18"/>
              </w:rPr>
              <w:t>1.69%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125,001,165</w:t>
            </w:r>
          </w:p>
        </w:tc>
        <w:tc>
          <w:tcPr>
            <w:tcW w:w="1021"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266" w:right="0"/>
              <w:jc w:val="center"/>
              <w:rPr>
                <w:rFonts w:ascii="Times New Roman" w:hAnsi="Times New Roman" w:cs="Times New Roman" w:eastAsia="Times New Roman" w:hint="default"/>
                <w:sz w:val="18"/>
                <w:szCs w:val="18"/>
              </w:rPr>
            </w:pPr>
            <w:r>
              <w:rPr>
                <w:rFonts w:ascii="Times New Roman"/>
                <w:sz w:val="18"/>
              </w:rPr>
              <w:t>93,750,874</w:t>
            </w:r>
          </w:p>
          <w:p>
            <w:pPr>
              <w:pStyle w:val="TableParagraph"/>
              <w:spacing w:line="237" w:lineRule="exact"/>
              <w:ind w:left="40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z w:val="18"/>
              </w:rPr>
              <w:t>31,250,291</w:t>
            </w:r>
          </w:p>
        </w:tc>
        <w:tc>
          <w:tcPr>
            <w:tcW w:w="71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境内国有法人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90" w:right="0"/>
              <w:jc w:val="left"/>
              <w:rPr>
                <w:rFonts w:ascii="Times New Roman" w:hAnsi="Times New Roman" w:cs="Times New Roman" w:eastAsia="Times New Roman" w:hint="default"/>
                <w:sz w:val="18"/>
                <w:szCs w:val="18"/>
              </w:rPr>
            </w:pPr>
            <w:r>
              <w:rPr>
                <w:rFonts w:ascii="Times New Roman"/>
                <w:sz w:val="18"/>
              </w:rPr>
              <w:t>0.99%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73,231,900</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73,231,900</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
              <w:jc w:val="right"/>
              <w:rPr>
                <w:rFonts w:ascii="Times New Roman" w:hAnsi="Times New Roman" w:cs="Times New Roman" w:eastAsia="Times New Roman" w:hint="default"/>
                <w:sz w:val="18"/>
                <w:szCs w:val="18"/>
              </w:rPr>
            </w:pPr>
            <w:r>
              <w:rPr>
                <w:rFonts w:ascii="Times New Roman"/>
                <w:sz w:val="18"/>
              </w:rPr>
              <w:t>73,231,900</w:t>
            </w:r>
          </w:p>
        </w:tc>
        <w:tc>
          <w:tcPr>
            <w:tcW w:w="71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苏宁云商集团股</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份有限公司－第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期员工持股计划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0.83%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61,056,374</w:t>
            </w:r>
          </w:p>
        </w:tc>
        <w:tc>
          <w:tcPr>
            <w:tcW w:w="1021"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26"/>
              <w:ind w:left="275" w:right="0"/>
              <w:jc w:val="center"/>
              <w:rPr>
                <w:rFonts w:ascii="Times New Roman" w:hAnsi="Times New Roman" w:cs="Times New Roman" w:eastAsia="Times New Roman" w:hint="default"/>
                <w:sz w:val="18"/>
                <w:szCs w:val="18"/>
              </w:rPr>
            </w:pPr>
            <w:r>
              <w:rPr>
                <w:rFonts w:ascii="Times New Roman"/>
                <w:sz w:val="18"/>
              </w:rPr>
              <w:t>61,056,374</w:t>
            </w:r>
          </w:p>
          <w:p>
            <w:pPr>
              <w:pStyle w:val="TableParagraph"/>
              <w:spacing w:line="237" w:lineRule="exact"/>
              <w:ind w:left="410"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北京弘毅贰零壹</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零股权投资中心</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0.67%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49,632,003</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-49,133,433</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49,632,003</w:t>
            </w:r>
          </w:p>
        </w:tc>
        <w:tc>
          <w:tcPr>
            <w:tcW w:w="71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蒋勇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0" w:right="0"/>
              <w:jc w:val="left"/>
              <w:rPr>
                <w:rFonts w:ascii="Times New Roman" w:hAnsi="Times New Roman" w:cs="Times New Roman" w:eastAsia="Times New Roman" w:hint="default"/>
                <w:sz w:val="18"/>
                <w:szCs w:val="18"/>
              </w:rPr>
            </w:pPr>
            <w:r>
              <w:rPr>
                <w:rFonts w:ascii="Times New Roman"/>
                <w:sz w:val="18"/>
              </w:rPr>
              <w:t>0.66%</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49,038,171</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7" w:right="0"/>
              <w:jc w:val="left"/>
              <w:rPr>
                <w:rFonts w:ascii="Times New Roman" w:hAnsi="Times New Roman" w:cs="Times New Roman" w:eastAsia="Times New Roman" w:hint="default"/>
                <w:sz w:val="18"/>
                <w:szCs w:val="18"/>
              </w:rPr>
            </w:pPr>
            <w:r>
              <w:rPr>
                <w:rFonts w:ascii="Times New Roman"/>
                <w:sz w:val="18"/>
              </w:rPr>
              <w:t>-9,026,409</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
              <w:jc w:val="right"/>
              <w:rPr>
                <w:rFonts w:ascii="Times New Roman" w:hAnsi="Times New Roman" w:cs="Times New Roman" w:eastAsia="Times New Roman" w:hint="default"/>
                <w:sz w:val="18"/>
                <w:szCs w:val="18"/>
              </w:rPr>
            </w:pPr>
            <w:r>
              <w:rPr>
                <w:rFonts w:ascii="Times New Roman"/>
                <w:sz w:val="18"/>
              </w:rPr>
              <w:t>49,038,171</w:t>
            </w:r>
          </w:p>
        </w:tc>
        <w:tc>
          <w:tcPr>
            <w:tcW w:w="71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r>
      <w:tr>
        <w:trPr>
          <w:trHeight w:val="94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中国民生信托有</w:t>
            </w:r>
          </w:p>
          <w:p>
            <w:pPr>
              <w:pStyle w:val="TableParagraph"/>
              <w:spacing w:line="230" w:lineRule="auto" w:before="7"/>
              <w:ind w:left="22" w:right="23"/>
              <w:jc w:val="left"/>
              <w:rPr>
                <w:rFonts w:ascii="宋体" w:hAnsi="宋体" w:cs="宋体" w:eastAsia="宋体" w:hint="default"/>
                <w:sz w:val="18"/>
                <w:szCs w:val="18"/>
              </w:rPr>
            </w:pPr>
            <w:r>
              <w:rPr>
                <w:rFonts w:ascii="宋体" w:hAnsi="宋体" w:cs="宋体" w:eastAsia="宋体" w:hint="default"/>
                <w:sz w:val="18"/>
                <w:szCs w:val="18"/>
              </w:rPr>
              <w:t>限公司－民生信 托价值精选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期证 券投资资金信托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90" w:right="0"/>
              <w:jc w:val="left"/>
              <w:rPr>
                <w:rFonts w:ascii="Times New Roman" w:hAnsi="Times New Roman" w:cs="Times New Roman" w:eastAsia="Times New Roman" w:hint="default"/>
                <w:sz w:val="18"/>
                <w:szCs w:val="18"/>
              </w:rPr>
            </w:pPr>
            <w:r>
              <w:rPr>
                <w:rFonts w:ascii="Times New Roman"/>
                <w:sz w:val="18"/>
              </w:rPr>
              <w:t>0.52%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38,758,206</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sz w:val="18"/>
              </w:rPr>
              <w:t>38,758,206</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3"/>
              <w:jc w:val="right"/>
              <w:rPr>
                <w:rFonts w:ascii="Times New Roman" w:hAnsi="Times New Roman" w:cs="Times New Roman" w:eastAsia="Times New Roman" w:hint="default"/>
                <w:sz w:val="18"/>
                <w:szCs w:val="18"/>
              </w:rPr>
            </w:pPr>
            <w:r>
              <w:rPr>
                <w:rFonts w:ascii="Times New Roman"/>
                <w:sz w:val="18"/>
              </w:rPr>
              <w:t>38,758,206</w:t>
            </w:r>
          </w:p>
        </w:tc>
        <w:tc>
          <w:tcPr>
            <w:tcW w:w="71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704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2"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7042" w:type="dxa"/>
            <w:gridSpan w:val="11"/>
            <w:vMerge w:val="restart"/>
            <w:tcBorders>
              <w:top w:val="single" w:sz="4" w:space="0" w:color="000000"/>
              <w:left w:val="single" w:sz="10" w:space="0" w:color="D2D2D2"/>
              <w:right w:val="single" w:sz="4" w:space="0" w:color="000000"/>
            </w:tcBorders>
          </w:tcPr>
          <w:p>
            <w:pPr>
              <w:pStyle w:val="TableParagraph"/>
              <w:spacing w:line="211"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、张近东先生持有苏宁控股集团有限公司</w:t>
            </w:r>
            <w:r>
              <w:rPr>
                <w:rFonts w:ascii="宋体" w:hAnsi="宋体" w:cs="宋体" w:eastAsia="宋体" w:hint="default"/>
                <w:spacing w:val="-12"/>
                <w:sz w:val="18"/>
                <w:szCs w:val="18"/>
              </w:rPr>
              <w:t> </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股权，张近东先生与苏宁控股集团有限公</w:t>
            </w:r>
          </w:p>
          <w:p>
            <w:pPr>
              <w:pStyle w:val="TableParagraph"/>
              <w:spacing w:line="227" w:lineRule="exact"/>
              <w:ind w:left="15" w:right="0"/>
              <w:jc w:val="left"/>
              <w:rPr>
                <w:rFonts w:ascii="宋体" w:hAnsi="宋体" w:cs="宋体" w:eastAsia="宋体" w:hint="default"/>
                <w:sz w:val="18"/>
                <w:szCs w:val="18"/>
              </w:rPr>
            </w:pPr>
            <w:r>
              <w:rPr>
                <w:rFonts w:ascii="宋体" w:hAnsi="宋体" w:cs="宋体" w:eastAsia="宋体" w:hint="default"/>
                <w:sz w:val="18"/>
                <w:szCs w:val="18"/>
              </w:rPr>
              <w:t>司构成一致行动人关系；</w:t>
            </w:r>
          </w:p>
          <w:p>
            <w:pPr>
              <w:pStyle w:val="TableParagraph"/>
              <w:spacing w:line="232" w:lineRule="auto" w:before="5"/>
              <w:ind w:left="15"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、张近东先生持有苏宁电器集团有限公司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48.10%</w:t>
            </w:r>
            <w:r>
              <w:rPr>
                <w:rFonts w:ascii="宋体" w:hAnsi="宋体" w:cs="宋体" w:eastAsia="宋体" w:hint="default"/>
                <w:sz w:val="18"/>
                <w:szCs w:val="18"/>
              </w:rPr>
              <w:t>股权，为其第二大股东，张近东先生与 苏宁电器集团有限公司构成关联关系。 </w:t>
            </w:r>
            <w:r>
              <w:rPr>
                <w:rFonts w:ascii="宋体" w:hAnsi="宋体" w:cs="宋体" w:eastAsia="宋体" w:hint="default"/>
                <w:spacing w:val="-1"/>
                <w:sz w:val="18"/>
                <w:szCs w:val="18"/>
              </w:rPr>
              <w:t>除前述关联关系外，未知公司前十名主要股东、前十名无限售条件股东之间是否存在其他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关联关系，也未知是否存在《上市公司收购管理办法》中规定的一致行动人的情况。</w:t>
            </w:r>
          </w:p>
        </w:tc>
      </w:tr>
      <w:tr>
        <w:trPr>
          <w:trHeight w:val="468" w:hRule="exact"/>
        </w:trPr>
        <w:tc>
          <w:tcPr>
            <w:tcW w:w="288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明</w:t>
            </w:r>
          </w:p>
        </w:tc>
        <w:tc>
          <w:tcPr>
            <w:tcW w:w="7042" w:type="dxa"/>
            <w:gridSpan w:val="11"/>
            <w:vMerge/>
            <w:tcBorders>
              <w:left w:val="single" w:sz="10" w:space="0" w:color="D2D2D2"/>
              <w:right w:val="single" w:sz="4" w:space="0" w:color="000000"/>
            </w:tcBorders>
          </w:tcPr>
          <w:p>
            <w:pPr/>
          </w:p>
        </w:tc>
      </w:tr>
      <w:tr>
        <w:trPr>
          <w:trHeight w:val="508"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7042" w:type="dxa"/>
            <w:gridSpan w:val="11"/>
            <w:vMerge/>
            <w:tcBorders>
              <w:left w:val="single" w:sz="10" w:space="0" w:color="D2D2D2"/>
              <w:bottom w:val="single" w:sz="33" w:space="0" w:color="D2D2D2"/>
              <w:right w:val="single" w:sz="4" w:space="0" w:color="000000"/>
            </w:tcBorders>
          </w:tcPr>
          <w:p>
            <w:pPr/>
          </w:p>
        </w:tc>
      </w:tr>
      <w:tr>
        <w:trPr>
          <w:trHeight w:val="377" w:hRule="exact"/>
        </w:trPr>
        <w:tc>
          <w:tcPr>
            <w:tcW w:w="99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14" w:hRule="exact"/>
        </w:trPr>
        <w:tc>
          <w:tcPr>
            <w:tcW w:w="288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37"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39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50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1" w:lineRule="exact"/>
              <w:ind w:right="37"/>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7" w:hRule="exact"/>
        </w:trPr>
        <w:tc>
          <w:tcPr>
            <w:tcW w:w="2882" w:type="dxa"/>
            <w:gridSpan w:val="4"/>
            <w:vMerge/>
            <w:tcBorders>
              <w:left w:val="single" w:sz="4" w:space="0" w:color="000000"/>
              <w:bottom w:val="single" w:sz="4" w:space="0" w:color="000000"/>
              <w:right w:val="single" w:sz="4" w:space="0" w:color="000000"/>
            </w:tcBorders>
            <w:shd w:val="clear" w:color="auto" w:fill="D2D2D2"/>
          </w:tcPr>
          <w:p>
            <w:pPr/>
          </w:p>
        </w:tc>
        <w:tc>
          <w:tcPr>
            <w:tcW w:w="3537" w:type="dxa"/>
            <w:gridSpan w:val="6"/>
            <w:vMerge/>
            <w:tcBorders>
              <w:left w:val="single" w:sz="4" w:space="0" w:color="000000"/>
              <w:bottom w:val="single" w:sz="4" w:space="0" w:color="000000"/>
              <w:right w:val="single" w:sz="4" w:space="0" w:color="000000"/>
            </w:tcBorders>
            <w:shd w:val="clear" w:color="auto" w:fill="D2D2D2"/>
          </w:tcPr>
          <w:p>
            <w:pP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51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7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04" w:hRule="exact"/>
        </w:trPr>
        <w:tc>
          <w:tcPr>
            <w:tcW w:w="2882" w:type="dxa"/>
            <w:gridSpan w:val="4"/>
            <w:tcBorders>
              <w:top w:val="single" w:sz="48" w:space="0" w:color="D2D2D2"/>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3537" w:type="dxa"/>
            <w:gridSpan w:val="6"/>
            <w:tcBorders>
              <w:top w:val="single" w:sz="48" w:space="0" w:color="D2D2D2"/>
              <w:left w:val="single" w:sz="4" w:space="0" w:color="000000"/>
              <w:bottom w:val="single" w:sz="4" w:space="0" w:color="000000"/>
              <w:right w:val="single" w:sz="13" w:space="0" w:color="D2D2D2"/>
            </w:tcBorders>
          </w:tcPr>
          <w:p>
            <w:pPr>
              <w:pStyle w:val="TableParagraph"/>
              <w:spacing w:line="240" w:lineRule="auto" w:before="14"/>
              <w:ind w:right="50"/>
              <w:jc w:val="right"/>
              <w:rPr>
                <w:rFonts w:ascii="Times New Roman" w:hAnsi="Times New Roman" w:cs="Times New Roman" w:eastAsia="Times New Roman" w:hint="default"/>
                <w:sz w:val="18"/>
                <w:szCs w:val="18"/>
              </w:rPr>
            </w:pPr>
            <w:r>
              <w:rPr>
                <w:rFonts w:ascii="Times New Roman"/>
                <w:spacing w:val="-1"/>
                <w:sz w:val="18"/>
              </w:rPr>
              <w:t>1,078,141,079</w:t>
            </w:r>
          </w:p>
        </w:tc>
        <w:tc>
          <w:tcPr>
            <w:tcW w:w="1796"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1"/>
              <w:ind w:left="3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9" w:space="0" w:color="D2D2D2"/>
              <w:bottom w:val="single" w:sz="4" w:space="0" w:color="000000"/>
              <w:right w:val="single" w:sz="13" w:space="0" w:color="D2D2D2"/>
            </w:tcBorders>
          </w:tcPr>
          <w:p>
            <w:pPr>
              <w:pStyle w:val="TableParagraph"/>
              <w:spacing w:line="240" w:lineRule="auto" w:before="70"/>
              <w:ind w:left="634" w:right="0"/>
              <w:jc w:val="left"/>
              <w:rPr>
                <w:rFonts w:ascii="Times New Roman" w:hAnsi="Times New Roman" w:cs="Times New Roman" w:eastAsia="Times New Roman" w:hint="default"/>
                <w:sz w:val="18"/>
                <w:szCs w:val="18"/>
              </w:rPr>
            </w:pPr>
            <w:r>
              <w:rPr>
                <w:rFonts w:ascii="Times New Roman"/>
                <w:sz w:val="18"/>
              </w:rPr>
              <w:t>1,078,141,079</w:t>
            </w:r>
          </w:p>
        </w:tc>
      </w:tr>
      <w:tr>
        <w:trPr>
          <w:trHeight w:val="24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陈金凤</w:t>
            </w:r>
          </w:p>
        </w:tc>
        <w:tc>
          <w:tcPr>
            <w:tcW w:w="35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1"/>
              <w:jc w:val="right"/>
              <w:rPr>
                <w:rFonts w:ascii="Times New Roman" w:hAnsi="Times New Roman" w:cs="Times New Roman" w:eastAsia="Times New Roman" w:hint="default"/>
                <w:sz w:val="18"/>
                <w:szCs w:val="18"/>
              </w:rPr>
            </w:pPr>
            <w:r>
              <w:rPr>
                <w:rFonts w:ascii="Times New Roman"/>
                <w:sz w:val="18"/>
              </w:rPr>
              <w:t>184,127,709</w:t>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75" w:right="0"/>
              <w:jc w:val="left"/>
              <w:rPr>
                <w:rFonts w:ascii="Times New Roman" w:hAnsi="Times New Roman" w:cs="Times New Roman" w:eastAsia="Times New Roman" w:hint="default"/>
                <w:sz w:val="18"/>
                <w:szCs w:val="18"/>
              </w:rPr>
            </w:pPr>
            <w:r>
              <w:rPr>
                <w:rFonts w:ascii="Times New Roman"/>
                <w:sz w:val="18"/>
              </w:rPr>
              <w:t>184,127,709</w:t>
            </w:r>
          </w:p>
        </w:tc>
      </w:tr>
      <w:tr>
        <w:trPr>
          <w:trHeight w:val="24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5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1"/>
              <w:jc w:val="right"/>
              <w:rPr>
                <w:rFonts w:ascii="Times New Roman" w:hAnsi="Times New Roman" w:cs="Times New Roman" w:eastAsia="Times New Roman" w:hint="default"/>
                <w:sz w:val="18"/>
                <w:szCs w:val="18"/>
              </w:rPr>
            </w:pPr>
            <w:r>
              <w:rPr>
                <w:rFonts w:ascii="Times New Roman"/>
                <w:sz w:val="18"/>
              </w:rPr>
              <w:t>73,231,900</w:t>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65" w:right="0"/>
              <w:jc w:val="left"/>
              <w:rPr>
                <w:rFonts w:ascii="Times New Roman" w:hAnsi="Times New Roman" w:cs="Times New Roman" w:eastAsia="Times New Roman" w:hint="default"/>
                <w:sz w:val="18"/>
                <w:szCs w:val="18"/>
              </w:rPr>
            </w:pPr>
            <w:r>
              <w:rPr>
                <w:rFonts w:ascii="Times New Roman"/>
                <w:sz w:val="18"/>
              </w:rPr>
              <w:t>73,231,900</w:t>
            </w:r>
          </w:p>
        </w:tc>
      </w:tr>
      <w:tr>
        <w:trPr>
          <w:trHeight w:val="476"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苏宁云商集团股份有限公司－第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期员工持股计划</w:t>
            </w:r>
          </w:p>
        </w:tc>
        <w:tc>
          <w:tcPr>
            <w:tcW w:w="35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1"/>
              <w:jc w:val="right"/>
              <w:rPr>
                <w:rFonts w:ascii="Times New Roman" w:hAnsi="Times New Roman" w:cs="Times New Roman" w:eastAsia="Times New Roman" w:hint="default"/>
                <w:sz w:val="18"/>
                <w:szCs w:val="18"/>
              </w:rPr>
            </w:pPr>
            <w:r>
              <w:rPr>
                <w:rFonts w:ascii="Times New Roman"/>
                <w:sz w:val="18"/>
              </w:rPr>
              <w:t>61,056,374</w:t>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65" w:right="0"/>
              <w:jc w:val="left"/>
              <w:rPr>
                <w:rFonts w:ascii="Times New Roman" w:hAnsi="Times New Roman" w:cs="Times New Roman" w:eastAsia="Times New Roman" w:hint="default"/>
                <w:sz w:val="18"/>
                <w:szCs w:val="18"/>
              </w:rPr>
            </w:pPr>
            <w:r>
              <w:rPr>
                <w:rFonts w:ascii="Times New Roman"/>
                <w:sz w:val="18"/>
              </w:rPr>
              <w:t>61,056,374</w:t>
            </w:r>
          </w:p>
        </w:tc>
      </w:tr>
      <w:tr>
        <w:trPr>
          <w:trHeight w:val="478"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北京弘毅贰零壹零股权投资中心（有</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35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1"/>
              <w:jc w:val="right"/>
              <w:rPr>
                <w:rFonts w:ascii="Times New Roman" w:hAnsi="Times New Roman" w:cs="Times New Roman" w:eastAsia="Times New Roman" w:hint="default"/>
                <w:sz w:val="18"/>
                <w:szCs w:val="18"/>
              </w:rPr>
            </w:pPr>
            <w:r>
              <w:rPr>
                <w:rFonts w:ascii="Times New Roman"/>
                <w:sz w:val="18"/>
              </w:rPr>
              <w:t>49,632,003</w:t>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65" w:right="0"/>
              <w:jc w:val="left"/>
              <w:rPr>
                <w:rFonts w:ascii="Times New Roman" w:hAnsi="Times New Roman" w:cs="Times New Roman" w:eastAsia="Times New Roman" w:hint="default"/>
                <w:sz w:val="18"/>
                <w:szCs w:val="18"/>
              </w:rPr>
            </w:pPr>
            <w:r>
              <w:rPr>
                <w:rFonts w:ascii="Times New Roman"/>
                <w:sz w:val="18"/>
              </w:rPr>
              <w:t>49,632,003</w:t>
            </w:r>
          </w:p>
        </w:tc>
      </w:tr>
      <w:tr>
        <w:trPr>
          <w:trHeight w:val="24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蒋勇</w:t>
            </w:r>
          </w:p>
        </w:tc>
        <w:tc>
          <w:tcPr>
            <w:tcW w:w="35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1"/>
              <w:jc w:val="right"/>
              <w:rPr>
                <w:rFonts w:ascii="Times New Roman" w:hAnsi="Times New Roman" w:cs="Times New Roman" w:eastAsia="Times New Roman" w:hint="default"/>
                <w:sz w:val="18"/>
                <w:szCs w:val="18"/>
              </w:rPr>
            </w:pPr>
            <w:r>
              <w:rPr>
                <w:rFonts w:ascii="Times New Roman"/>
                <w:sz w:val="18"/>
              </w:rPr>
              <w:t>49,038,171</w:t>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5" w:right="0"/>
              <w:jc w:val="left"/>
              <w:rPr>
                <w:rFonts w:ascii="Times New Roman" w:hAnsi="Times New Roman" w:cs="Times New Roman" w:eastAsia="Times New Roman" w:hint="default"/>
                <w:sz w:val="18"/>
                <w:szCs w:val="18"/>
              </w:rPr>
            </w:pPr>
            <w:r>
              <w:rPr>
                <w:rFonts w:ascii="Times New Roman"/>
                <w:sz w:val="18"/>
              </w:rPr>
              <w:t>49,038,171</w:t>
            </w:r>
          </w:p>
        </w:tc>
      </w:tr>
      <w:tr>
        <w:trPr>
          <w:trHeight w:val="476"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中国民生信托有限公司－民生信托</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价值精选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期证券投资资金信托</w:t>
            </w:r>
          </w:p>
        </w:tc>
        <w:tc>
          <w:tcPr>
            <w:tcW w:w="35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1"/>
              <w:jc w:val="right"/>
              <w:rPr>
                <w:rFonts w:ascii="Times New Roman" w:hAnsi="Times New Roman" w:cs="Times New Roman" w:eastAsia="Times New Roman" w:hint="default"/>
                <w:sz w:val="18"/>
                <w:szCs w:val="18"/>
              </w:rPr>
            </w:pPr>
            <w:r>
              <w:rPr>
                <w:rFonts w:ascii="Times New Roman"/>
                <w:sz w:val="18"/>
              </w:rPr>
              <w:t>38,758,206</w:t>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65" w:right="0"/>
              <w:jc w:val="left"/>
              <w:rPr>
                <w:rFonts w:ascii="Times New Roman" w:hAnsi="Times New Roman" w:cs="Times New Roman" w:eastAsia="Times New Roman" w:hint="default"/>
                <w:sz w:val="18"/>
                <w:szCs w:val="18"/>
              </w:rPr>
            </w:pPr>
            <w:r>
              <w:rPr>
                <w:rFonts w:ascii="Times New Roman"/>
                <w:sz w:val="18"/>
              </w:rPr>
              <w:t>38,758,206</w:t>
            </w:r>
          </w:p>
        </w:tc>
      </w:tr>
      <w:tr>
        <w:trPr>
          <w:trHeight w:val="24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金明</w:t>
            </w:r>
          </w:p>
        </w:tc>
        <w:tc>
          <w:tcPr>
            <w:tcW w:w="35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1"/>
              <w:jc w:val="right"/>
              <w:rPr>
                <w:rFonts w:ascii="Times New Roman" w:hAnsi="Times New Roman" w:cs="Times New Roman" w:eastAsia="Times New Roman" w:hint="default"/>
                <w:sz w:val="18"/>
                <w:szCs w:val="18"/>
              </w:rPr>
            </w:pPr>
            <w:r>
              <w:rPr>
                <w:rFonts w:ascii="Times New Roman"/>
                <w:sz w:val="18"/>
              </w:rPr>
              <w:t>31,250,291</w:t>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5" w:right="0"/>
              <w:jc w:val="left"/>
              <w:rPr>
                <w:rFonts w:ascii="Times New Roman" w:hAnsi="Times New Roman" w:cs="Times New Roman" w:eastAsia="Times New Roman" w:hint="default"/>
                <w:sz w:val="18"/>
                <w:szCs w:val="18"/>
              </w:rPr>
            </w:pPr>
            <w:r>
              <w:rPr>
                <w:rFonts w:ascii="Times New Roman"/>
                <w:sz w:val="18"/>
              </w:rPr>
              <w:t>31,250,291</w:t>
            </w:r>
          </w:p>
        </w:tc>
      </w:tr>
      <w:tr>
        <w:trPr>
          <w:trHeight w:val="24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全国社保基金四一七组合</w:t>
            </w:r>
          </w:p>
        </w:tc>
        <w:tc>
          <w:tcPr>
            <w:tcW w:w="35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1"/>
              <w:jc w:val="right"/>
              <w:rPr>
                <w:rFonts w:ascii="Times New Roman" w:hAnsi="Times New Roman" w:cs="Times New Roman" w:eastAsia="Times New Roman" w:hint="default"/>
                <w:sz w:val="18"/>
                <w:szCs w:val="18"/>
              </w:rPr>
            </w:pPr>
            <w:r>
              <w:rPr>
                <w:rFonts w:ascii="Times New Roman"/>
                <w:sz w:val="18"/>
              </w:rPr>
              <w:t>23,329,481</w:t>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5" w:right="0"/>
              <w:jc w:val="left"/>
              <w:rPr>
                <w:rFonts w:ascii="Times New Roman" w:hAnsi="Times New Roman" w:cs="Times New Roman" w:eastAsia="Times New Roman" w:hint="default"/>
                <w:sz w:val="18"/>
                <w:szCs w:val="18"/>
              </w:rPr>
            </w:pPr>
            <w:r>
              <w:rPr>
                <w:rFonts w:ascii="Times New Roman"/>
                <w:sz w:val="18"/>
              </w:rPr>
              <w:t>23,329,481</w:t>
            </w:r>
          </w:p>
        </w:tc>
      </w:tr>
      <w:tr>
        <w:trPr>
          <w:trHeight w:val="24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中国民生信托有限公司－民生信托</w:t>
            </w:r>
          </w:p>
        </w:tc>
        <w:tc>
          <w:tcPr>
            <w:tcW w:w="35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1"/>
              <w:jc w:val="right"/>
              <w:rPr>
                <w:rFonts w:ascii="Times New Roman" w:hAnsi="Times New Roman" w:cs="Times New Roman" w:eastAsia="Times New Roman" w:hint="default"/>
                <w:sz w:val="18"/>
                <w:szCs w:val="18"/>
              </w:rPr>
            </w:pPr>
            <w:r>
              <w:rPr>
                <w:rFonts w:ascii="Times New Roman"/>
                <w:sz w:val="18"/>
              </w:rPr>
              <w:t>20,000,000</w:t>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5" w:right="0"/>
              <w:jc w:val="left"/>
              <w:rPr>
                <w:rFonts w:ascii="Times New Roman" w:hAnsi="Times New Roman" w:cs="Times New Roman" w:eastAsia="Times New Roman" w:hint="default"/>
                <w:sz w:val="18"/>
                <w:szCs w:val="18"/>
              </w:rPr>
            </w:pPr>
            <w:r>
              <w:rPr>
                <w:rFonts w:ascii="Times New Roman"/>
                <w:sz w:val="18"/>
              </w:rPr>
              <w:t>20,000,000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82"/>
        <w:gridCol w:w="3498"/>
        <w:gridCol w:w="1844"/>
        <w:gridCol w:w="1700"/>
      </w:tblGrid>
      <w:tr>
        <w:trPr>
          <w:trHeight w:val="24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价值精选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期证券投资资金信托</w:t>
            </w:r>
          </w:p>
        </w:tc>
        <w:tc>
          <w:tcPr>
            <w:tcW w:w="349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30"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7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上述股东关联关系或一致行动的说明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45"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34" w:lineRule="exact"/>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务情况说明</w:t>
            </w:r>
          </w:p>
        </w:tc>
        <w:tc>
          <w:tcPr>
            <w:tcW w:w="7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、苏宁电器集团有限公司普通证券账户持有公司股票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508,141,079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股，客户信用交易担保</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、陈金凤普通证券账户持有公司股票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114,127,709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股，客户信用交易担保证券账户持有公</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5"/>
        <w:rPr>
          <w:rFonts w:ascii="宋体" w:hAnsi="宋体" w:cs="宋体" w:eastAsia="宋体" w:hint="default"/>
          <w:sz w:val="10"/>
          <w:szCs w:val="10"/>
        </w:rPr>
      </w:pPr>
    </w:p>
    <w:p>
      <w:pPr>
        <w:spacing w:line="316" w:lineRule="auto" w:before="38"/>
        <w:ind w:left="153" w:right="1082"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：公司控股股东、实际控制人张近东先生积极参与</w:t>
      </w:r>
      <w:r>
        <w:rPr>
          <w:rFonts w:ascii="Times New Roman" w:hAnsi="Times New Roman" w:cs="Times New Roman" w:eastAsia="Times New Roman" w:hint="default"/>
          <w:sz w:val="20"/>
          <w:szCs w:val="20"/>
        </w:rPr>
        <w:t>“</w:t>
      </w:r>
      <w:r>
        <w:rPr>
          <w:rFonts w:ascii="宋体" w:hAnsi="宋体" w:cs="宋体" w:eastAsia="宋体" w:hint="default"/>
          <w:sz w:val="20"/>
          <w:szCs w:val="20"/>
        </w:rPr>
        <w:t>中小企业板首</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家公司关于坚定发展信心、维护市场</w:t>
      </w:r>
      <w:r>
        <w:rPr>
          <w:rFonts w:ascii="宋体" w:hAnsi="宋体" w:cs="宋体" w:eastAsia="宋体" w:hint="default"/>
          <w:w w:val="100"/>
          <w:sz w:val="20"/>
          <w:szCs w:val="20"/>
        </w:rPr>
        <w:t> </w:t>
      </w:r>
      <w:r>
        <w:rPr>
          <w:rFonts w:ascii="宋体" w:hAnsi="宋体" w:cs="宋体" w:eastAsia="宋体" w:hint="default"/>
          <w:spacing w:val="-2"/>
          <w:sz w:val="20"/>
          <w:szCs w:val="20"/>
        </w:rPr>
        <w:t>稳定的倡议书</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，以实际行动表明其对于资本市场、中小板以及企业长期发展的强烈信心，并向公司递交了《关</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pacing w:val="-3"/>
          <w:w w:val="100"/>
          <w:sz w:val="20"/>
          <w:szCs w:val="20"/>
        </w:rPr>
        <w:t>于追加股份限售承诺的函》。张近东先生承诺其及其全资子公司苏宁控股集团有限公司合计持有的全部公司</w:t>
      </w:r>
      <w:r>
        <w:rPr>
          <w:rFonts w:ascii="宋体" w:hAnsi="宋体" w:cs="宋体" w:eastAsia="宋体" w:hint="default"/>
          <w:spacing w:val="-89"/>
          <w:w w:val="100"/>
          <w:sz w:val="20"/>
          <w:szCs w:val="20"/>
        </w:rPr>
        <w:t> </w:t>
      </w:r>
      <w:r>
        <w:rPr>
          <w:rFonts w:ascii="宋体" w:hAnsi="宋体" w:cs="宋体" w:eastAsia="宋体" w:hint="default"/>
          <w:spacing w:val="-89"/>
          <w:w w:val="100"/>
          <w:sz w:val="20"/>
          <w:szCs w:val="20"/>
        </w:rPr>
      </w:r>
      <w:r>
        <w:rPr>
          <w:rFonts w:ascii="Times New Roman" w:hAnsi="Times New Roman" w:cs="Times New Roman" w:eastAsia="Times New Roman" w:hint="default"/>
          <w:sz w:val="20"/>
          <w:szCs w:val="20"/>
        </w:rPr>
        <w:t>2,261,541,981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股股份自</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日起三十六个月内不进行转让；</w:t>
      </w:r>
    </w:p>
    <w:p>
      <w:pPr>
        <w:spacing w:before="11"/>
        <w:ind w:left="153" w:right="1082"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：作为公司董事，金明先生其所持有的公司股份需按照国家有关法律法规及规范性文件进行锁定；</w:t>
      </w:r>
    </w:p>
    <w:p>
      <w:pPr>
        <w:spacing w:line="319" w:lineRule="auto" w:before="82"/>
        <w:ind w:left="153" w:right="1131" w:firstLine="0"/>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w:t>
      </w:r>
      <w:r>
        <w:rPr>
          <w:rFonts w:ascii="宋体" w:hAnsi="宋体" w:cs="宋体" w:eastAsia="宋体" w:hint="default"/>
          <w:sz w:val="20"/>
          <w:szCs w:val="20"/>
        </w:rPr>
        <w:t>：公司股东股票质押主要原因为张近东先生全资子公司苏宁控股集团有限公司认购公司</w:t>
      </w:r>
      <w:r>
        <w:rPr>
          <w:rFonts w:ascii="宋体" w:hAnsi="宋体" w:cs="宋体" w:eastAsia="宋体" w:hint="default"/>
          <w:spacing w:val="-54"/>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年非公开发行</w:t>
      </w:r>
      <w:r>
        <w:rPr>
          <w:rFonts w:ascii="宋体" w:hAnsi="宋体" w:cs="宋体" w:eastAsia="宋体" w:hint="default"/>
          <w:w w:val="100"/>
          <w:sz w:val="20"/>
          <w:szCs w:val="20"/>
        </w:rPr>
        <w:t> </w:t>
      </w:r>
      <w:r>
        <w:rPr>
          <w:rFonts w:ascii="宋体" w:hAnsi="宋体" w:cs="宋体" w:eastAsia="宋体" w:hint="default"/>
          <w:sz w:val="20"/>
          <w:szCs w:val="20"/>
        </w:rPr>
        <w:t>股份进行融资等相关融资事项提供质押担保，及张近东先生为向公司员工持股计划提供借款支持，以其持有的</w:t>
      </w:r>
      <w:r>
        <w:rPr>
          <w:rFonts w:ascii="宋体" w:hAnsi="宋体" w:cs="宋体" w:eastAsia="宋体" w:hint="default"/>
          <w:w w:val="100"/>
          <w:sz w:val="20"/>
          <w:szCs w:val="20"/>
        </w:rPr>
        <w:t> </w:t>
      </w:r>
      <w:r>
        <w:rPr>
          <w:rFonts w:ascii="宋体" w:hAnsi="宋体" w:cs="宋体" w:eastAsia="宋体" w:hint="default"/>
          <w:sz w:val="20"/>
          <w:szCs w:val="20"/>
        </w:rPr>
        <w:t>公司股份办理质押式回购业务取得资金。张近东先生原以其持有的</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1.78</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亿股股份向安信证券股份有限公司办理</w:t>
      </w:r>
    </w:p>
    <w:p>
      <w:pPr>
        <w:spacing w:line="312" w:lineRule="auto" w:before="9"/>
        <w:ind w:left="153" w:right="1126" w:firstLine="0"/>
        <w:jc w:val="left"/>
        <w:rPr>
          <w:rFonts w:ascii="宋体" w:hAnsi="宋体" w:cs="宋体" w:eastAsia="宋体" w:hint="default"/>
          <w:sz w:val="20"/>
          <w:szCs w:val="20"/>
        </w:rPr>
      </w:pPr>
      <w:r>
        <w:rPr>
          <w:rFonts w:ascii="宋体" w:hAnsi="宋体" w:cs="宋体" w:eastAsia="宋体" w:hint="default"/>
          <w:sz w:val="20"/>
          <w:szCs w:val="20"/>
        </w:rPr>
        <w:t>股票质押式回购业务，</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月份张近东先生以</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亿股份向安信证券办理新一期股票质押式回购业务，对原</w:t>
      </w:r>
      <w:r>
        <w:rPr>
          <w:rFonts w:ascii="宋体" w:hAnsi="宋体" w:cs="宋体" w:eastAsia="宋体" w:hint="default"/>
          <w:w w:val="100"/>
          <w:sz w:val="20"/>
          <w:szCs w:val="20"/>
        </w:rPr>
        <w:t> </w:t>
      </w:r>
      <w:r>
        <w:rPr>
          <w:rFonts w:ascii="宋体" w:hAnsi="宋体" w:cs="宋体" w:eastAsia="宋体" w:hint="default"/>
          <w:sz w:val="20"/>
          <w:szCs w:val="20"/>
        </w:rPr>
        <w:t>业务进行了置换，原质押股份解除。</w:t>
      </w:r>
    </w:p>
    <w:p>
      <w:pPr>
        <w:spacing w:before="37"/>
        <w:ind w:left="153" w:right="1082"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4</w:t>
      </w:r>
      <w:r>
        <w:rPr>
          <w:rFonts w:ascii="宋体" w:hAnsi="宋体" w:cs="宋体" w:eastAsia="宋体" w:hint="default"/>
          <w:spacing w:val="-4"/>
          <w:sz w:val="20"/>
          <w:szCs w:val="20"/>
        </w:rPr>
        <w:t>：公司</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2014 </w:t>
      </w:r>
      <w:r>
        <w:rPr>
          <w:rFonts w:ascii="宋体" w:hAnsi="宋体" w:cs="宋体" w:eastAsia="宋体" w:hint="default"/>
          <w:sz w:val="20"/>
          <w:szCs w:val="20"/>
        </w:rPr>
        <w:t>年员工持股计划资产管理机构安信证券股份有限公司于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日前通过二级市场买入</w:t>
      </w:r>
    </w:p>
    <w:p>
      <w:pPr>
        <w:spacing w:before="82"/>
        <w:ind w:left="153" w:right="1082" w:firstLine="0"/>
        <w:jc w:val="left"/>
        <w:rPr>
          <w:rFonts w:ascii="宋体" w:hAnsi="宋体" w:cs="宋体" w:eastAsia="宋体" w:hint="default"/>
          <w:sz w:val="20"/>
          <w:szCs w:val="20"/>
        </w:rPr>
      </w:pPr>
      <w:r>
        <w:rPr>
          <w:rFonts w:ascii="宋体" w:hAnsi="宋体" w:cs="宋体" w:eastAsia="宋体" w:hint="default"/>
          <w:sz w:val="20"/>
          <w:szCs w:val="20"/>
        </w:rPr>
        <w:t>的方式完成公司股票购买，并于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日公告具体情况。根据相关规定，该计划所购买的股票锁定期</w:t>
      </w:r>
    </w:p>
    <w:p>
      <w:pPr>
        <w:spacing w:before="82"/>
        <w:ind w:left="153" w:right="1082" w:firstLine="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日起十二个月内不进行转让。</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年员工持股计划于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日起限售期满。</w:t>
      </w:r>
    </w:p>
    <w:p>
      <w:pPr>
        <w:spacing w:line="240" w:lineRule="auto" w:before="3"/>
        <w:rPr>
          <w:rFonts w:ascii="宋体" w:hAnsi="宋体" w:cs="宋体" w:eastAsia="宋体" w:hint="default"/>
          <w:sz w:val="18"/>
          <w:szCs w:val="18"/>
        </w:rPr>
      </w:pPr>
    </w:p>
    <w:p>
      <w:pPr>
        <w:spacing w:before="0"/>
        <w:ind w:left="153" w:right="1082" w:firstLine="0"/>
        <w:jc w:val="left"/>
        <w:rPr>
          <w:rFonts w:ascii="宋体" w:hAnsi="宋体" w:cs="宋体" w:eastAsia="宋体" w:hint="default"/>
          <w:sz w:val="20"/>
          <w:szCs w:val="20"/>
        </w:rPr>
      </w:pPr>
      <w:r>
        <w:rPr>
          <w:rFonts w:ascii="宋体" w:hAnsi="宋体" w:cs="宋体" w:eastAsia="宋体" w:hint="default"/>
          <w:sz w:val="20"/>
          <w:szCs w:val="20"/>
        </w:rPr>
        <w:t>公司前</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名普通股股东、前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名无限售条件普通股股东在报告期内是否进行约定购回交易</w:t>
      </w:r>
    </w:p>
    <w:p>
      <w:pPr>
        <w:spacing w:before="82"/>
        <w:ind w:left="153" w:right="1082"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9"/>
          <w:sz w:val="20"/>
          <w:szCs w:val="20"/>
        </w:rPr>
        <w:t> </w:t>
      </w:r>
      <w:r>
        <w:rPr>
          <w:rFonts w:ascii="宋体" w:hAnsi="宋体" w:cs="宋体" w:eastAsia="宋体" w:hint="default"/>
          <w:sz w:val="20"/>
          <w:szCs w:val="20"/>
        </w:rPr>
        <w:t>否</w:t>
      </w:r>
    </w:p>
    <w:p>
      <w:pPr>
        <w:spacing w:before="82"/>
        <w:ind w:left="154" w:right="1082" w:firstLine="0"/>
        <w:jc w:val="left"/>
        <w:rPr>
          <w:rFonts w:ascii="宋体" w:hAnsi="宋体" w:cs="宋体" w:eastAsia="宋体" w:hint="default"/>
          <w:sz w:val="20"/>
          <w:szCs w:val="20"/>
        </w:rPr>
      </w:pPr>
      <w:r>
        <w:rPr>
          <w:rFonts w:ascii="宋体" w:hAnsi="宋体" w:cs="宋体" w:eastAsia="宋体" w:hint="default"/>
          <w:sz w:val="20"/>
          <w:szCs w:val="20"/>
        </w:rPr>
        <w:t>公司前</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名普通股股东、前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名无限售条件普通股股东在报告期内未进行约定购回交易。</w:t>
      </w:r>
    </w:p>
    <w:p>
      <w:pPr>
        <w:spacing w:line="240" w:lineRule="auto" w:before="2"/>
        <w:rPr>
          <w:rFonts w:ascii="宋体" w:hAnsi="宋体" w:cs="宋体" w:eastAsia="宋体" w:hint="default"/>
          <w:sz w:val="26"/>
          <w:szCs w:val="26"/>
        </w:rPr>
      </w:pPr>
    </w:p>
    <w:p>
      <w:pPr>
        <w:spacing w:line="501" w:lineRule="auto" w:before="0"/>
        <w:ind w:left="153" w:right="8113" w:firstLine="0"/>
        <w:jc w:val="left"/>
        <w:rPr>
          <w:rFonts w:ascii="宋体" w:hAnsi="宋体" w:cs="宋体" w:eastAsia="宋体" w:hint="default"/>
          <w:sz w:val="22"/>
          <w:szCs w:val="22"/>
        </w:rPr>
      </w:pPr>
      <w:r>
        <w:rPr/>
        <w:pict>
          <v:shape style="position:absolute;margin-left:56.459999pt;margin-top:49.68766pt;width:479.2pt;height:111.7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32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44" w:right="0"/>
                          <w:jc w:val="left"/>
                          <w:rPr>
                            <w:rFonts w:ascii="宋体" w:hAnsi="宋体" w:cs="宋体" w:eastAsia="宋体" w:hint="default"/>
                            <w:sz w:val="22"/>
                            <w:szCs w:val="22"/>
                          </w:rPr>
                        </w:pPr>
                        <w:r>
                          <w:rPr>
                            <w:rFonts w:ascii="宋体" w:hAnsi="宋体" w:cs="宋体" w:eastAsia="宋体" w:hint="default"/>
                            <w:sz w:val="22"/>
                            <w:szCs w:val="22"/>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是否取得其他国家或地区居留权</w:t>
                        </w:r>
                      </w:p>
                    </w:tc>
                  </w:tr>
                  <w:tr>
                    <w:trPr>
                      <w:trHeight w:val="32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张近东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94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sz w:val="22"/>
                            <w:szCs w:val="22"/>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pacing w:val="-3"/>
                            <w:sz w:val="22"/>
                            <w:szCs w:val="22"/>
                          </w:rPr>
                          <w:t>苏宁云商集团股份有限公司董事长、中国人民政治协商会议第十</w:t>
                        </w:r>
                      </w:p>
                      <w:p>
                        <w:pPr>
                          <w:pStyle w:val="TableParagraph"/>
                          <w:spacing w:line="259" w:lineRule="auto" w:before="24"/>
                          <w:ind w:left="23" w:right="23"/>
                          <w:jc w:val="left"/>
                          <w:rPr>
                            <w:rFonts w:ascii="宋体" w:hAnsi="宋体" w:cs="宋体" w:eastAsia="宋体" w:hint="default"/>
                            <w:sz w:val="22"/>
                            <w:szCs w:val="22"/>
                          </w:rPr>
                        </w:pPr>
                        <w:r>
                          <w:rPr>
                            <w:rFonts w:ascii="宋体" w:hAnsi="宋体" w:cs="宋体" w:eastAsia="宋体" w:hint="default"/>
                            <w:spacing w:val="-3"/>
                            <w:sz w:val="22"/>
                            <w:szCs w:val="22"/>
                          </w:rPr>
                          <w:t>二届全国委员会委员、中国民间商会副会长、中国上市公司协会</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副会长。</w:t>
                        </w:r>
                      </w:p>
                    </w:tc>
                  </w:tr>
                  <w:tr>
                    <w:trPr>
                      <w:trHeight w:val="63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报告期内控股和参股的其他境内外</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上市公司的股权情况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p>
              </w:txbxContent>
            </v:textbox>
            <w10:wrap type="none"/>
          </v:shape>
        </w:pict>
      </w:r>
      <w:bookmarkStart w:name="2、公司控股股东情况" w:id="129"/>
      <w:bookmarkEnd w:id="129"/>
      <w:r>
        <w:rPr/>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、公司控股股东情况</w:t>
      </w:r>
      <w:r>
        <w:rPr>
          <w:rFonts w:ascii="宋体" w:hAnsi="宋体" w:cs="宋体" w:eastAsia="宋体" w:hint="default"/>
          <w:b/>
          <w:bCs/>
          <w:spacing w:val="1"/>
          <w:w w:val="99"/>
          <w:sz w:val="22"/>
          <w:szCs w:val="22"/>
        </w:rPr>
        <w:t> </w:t>
      </w:r>
      <w:r>
        <w:rPr>
          <w:rFonts w:ascii="宋体" w:hAnsi="宋体" w:cs="宋体" w:eastAsia="宋体" w:hint="default"/>
          <w:sz w:val="22"/>
          <w:szCs w:val="22"/>
        </w:rPr>
        <w:t>控股股东性质：自然人控股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31"/>
        <w:ind w:left="154" w:right="1082"/>
        <w:jc w:val="left"/>
      </w:pPr>
      <w:r>
        <w:rPr/>
        <w:t>控股股东报告期内变更</w:t>
      </w:r>
    </w:p>
    <w:p>
      <w:pPr>
        <w:pStyle w:val="BodyText"/>
        <w:spacing w:line="283" w:lineRule="auto" w:before="71"/>
        <w:ind w:right="7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公司报告期控股股东未发生变更。</w:t>
      </w:r>
    </w:p>
    <w:p>
      <w:pPr>
        <w:spacing w:after="0" w:line="283" w:lineRule="auto"/>
        <w:jc w:val="left"/>
        <w:sectPr>
          <w:pgSz w:w="11910" w:h="16840"/>
          <w:pgMar w:header="0" w:footer="979" w:top="1100" w:bottom="1160" w:left="980" w:right="0"/>
        </w:sectPr>
      </w:pPr>
    </w:p>
    <w:p>
      <w:pPr>
        <w:spacing w:line="240" w:lineRule="auto" w:before="5"/>
        <w:rPr>
          <w:rFonts w:ascii="宋体" w:hAnsi="宋体" w:cs="宋体" w:eastAsia="宋体" w:hint="default"/>
          <w:sz w:val="20"/>
          <w:szCs w:val="20"/>
        </w:rPr>
      </w:pPr>
    </w:p>
    <w:p>
      <w:pPr>
        <w:spacing w:line="501" w:lineRule="auto" w:before="31"/>
        <w:ind w:left="153" w:right="7893" w:firstLine="0"/>
        <w:jc w:val="left"/>
        <w:rPr>
          <w:rFonts w:ascii="宋体" w:hAnsi="宋体" w:cs="宋体" w:eastAsia="宋体" w:hint="default"/>
          <w:sz w:val="22"/>
          <w:szCs w:val="22"/>
        </w:rPr>
      </w:pPr>
      <w:r>
        <w:rPr/>
        <w:pict>
          <v:shape style="position:absolute;margin-left:56.459999pt;margin-top:51.237629pt;width:479.2pt;height:111.7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32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934" w:right="0"/>
                          <w:jc w:val="left"/>
                          <w:rPr>
                            <w:rFonts w:ascii="宋体" w:hAnsi="宋体" w:cs="宋体" w:eastAsia="宋体" w:hint="default"/>
                            <w:sz w:val="22"/>
                            <w:szCs w:val="22"/>
                          </w:rPr>
                        </w:pPr>
                        <w:r>
                          <w:rPr>
                            <w:rFonts w:ascii="宋体" w:hAnsi="宋体" w:cs="宋体" w:eastAsia="宋体" w:hint="default"/>
                            <w:sz w:val="22"/>
                            <w:szCs w:val="22"/>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是否取得其他国家或地区居留权</w:t>
                        </w:r>
                      </w:p>
                    </w:tc>
                  </w:tr>
                  <w:tr>
                    <w:trPr>
                      <w:trHeight w:val="32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hAnsi="宋体" w:cs="宋体" w:eastAsia="宋体" w:hint="default"/>
                            <w:sz w:val="22"/>
                            <w:szCs w:val="22"/>
                          </w:rPr>
                          <w:t>张近东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hAnsi="宋体" w:cs="宋体" w:eastAsia="宋体" w:hint="default"/>
                            <w:sz w:val="22"/>
                            <w:szCs w:val="22"/>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94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sz w:val="22"/>
                            <w:szCs w:val="22"/>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pacing w:val="-3"/>
                            <w:sz w:val="22"/>
                            <w:szCs w:val="22"/>
                          </w:rPr>
                          <w:t>苏宁云商集团股份有限公司董事长、中国人民政治协商会议第十</w:t>
                        </w:r>
                      </w:p>
                      <w:p>
                        <w:pPr>
                          <w:pStyle w:val="TableParagraph"/>
                          <w:spacing w:line="259" w:lineRule="auto" w:before="24"/>
                          <w:ind w:left="23" w:right="23"/>
                          <w:jc w:val="left"/>
                          <w:rPr>
                            <w:rFonts w:ascii="宋体" w:hAnsi="宋体" w:cs="宋体" w:eastAsia="宋体" w:hint="default"/>
                            <w:sz w:val="22"/>
                            <w:szCs w:val="22"/>
                          </w:rPr>
                        </w:pPr>
                        <w:r>
                          <w:rPr>
                            <w:rFonts w:ascii="宋体" w:hAnsi="宋体" w:cs="宋体" w:eastAsia="宋体" w:hint="default"/>
                            <w:spacing w:val="-3"/>
                            <w:sz w:val="22"/>
                            <w:szCs w:val="22"/>
                          </w:rPr>
                          <w:t>二届全国委员会委员、中国民间商会副会长、中国上市公司协会</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副会长。</w:t>
                        </w:r>
                      </w:p>
                    </w:tc>
                  </w:tr>
                  <w:tr>
                    <w:trPr>
                      <w:trHeight w:val="63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过去</w:t>
                        </w:r>
                        <w:r>
                          <w:rPr>
                            <w:rFonts w:ascii="宋体" w:hAnsi="宋体" w:cs="宋体" w:eastAsia="宋体" w:hint="default"/>
                            <w:spacing w:val="-82"/>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7"/>
                            <w:sz w:val="22"/>
                            <w:szCs w:val="22"/>
                          </w:rPr>
                          <w:t> </w:t>
                        </w:r>
                        <w:r>
                          <w:rPr>
                            <w:rFonts w:ascii="宋体" w:hAnsi="宋体" w:cs="宋体" w:eastAsia="宋体" w:hint="default"/>
                            <w:sz w:val="22"/>
                            <w:szCs w:val="22"/>
                          </w:rPr>
                          <w:t>年曾控股的境内外上市公司</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p>
              </w:txbxContent>
            </v:textbox>
            <w10:wrap type="none"/>
          </v:shape>
        </w:pict>
      </w:r>
      <w:bookmarkStart w:name="3、公司实际控制人情况" w:id="130"/>
      <w:bookmarkEnd w:id="130"/>
      <w:r>
        <w:rPr/>
      </w: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、公司实际控制人情况</w:t>
      </w:r>
      <w:r>
        <w:rPr>
          <w:rFonts w:ascii="宋体" w:hAnsi="宋体" w:cs="宋体" w:eastAsia="宋体" w:hint="default"/>
          <w:b/>
          <w:bCs/>
          <w:spacing w:val="1"/>
          <w:w w:val="99"/>
          <w:sz w:val="22"/>
          <w:szCs w:val="22"/>
        </w:rPr>
        <w:t> </w:t>
      </w:r>
      <w:r>
        <w:rPr>
          <w:rFonts w:ascii="宋体" w:hAnsi="宋体" w:cs="宋体" w:eastAsia="宋体" w:hint="default"/>
          <w:sz w:val="22"/>
          <w:szCs w:val="22"/>
        </w:rPr>
        <w:t>实际控制人性质：境内自然人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31"/>
        <w:ind w:left="154" w:right="1082"/>
        <w:jc w:val="left"/>
      </w:pPr>
      <w:r>
        <w:rPr/>
        <w:t>实际控制人报告期内变更</w:t>
      </w:r>
    </w:p>
    <w:p>
      <w:pPr>
        <w:pStyle w:val="BodyText"/>
        <w:spacing w:line="283" w:lineRule="auto" w:before="71"/>
        <w:ind w:right="7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公司报告期实际控制人未发生变更。</w:t>
      </w:r>
    </w:p>
    <w:p>
      <w:pPr>
        <w:spacing w:line="240" w:lineRule="auto" w:before="4"/>
        <w:rPr>
          <w:rFonts w:ascii="宋体" w:hAnsi="宋体" w:cs="宋体" w:eastAsia="宋体" w:hint="default"/>
          <w:sz w:val="32"/>
          <w:szCs w:val="32"/>
        </w:rPr>
      </w:pPr>
    </w:p>
    <w:p>
      <w:pPr>
        <w:pStyle w:val="BodyText"/>
        <w:spacing w:line="240" w:lineRule="auto"/>
        <w:ind w:right="1082"/>
        <w:jc w:val="left"/>
      </w:pPr>
      <w:r>
        <w:rPr/>
        <w:t>公司与实际控制人之间的产权及控制关系的方框图</w:t>
      </w:r>
    </w:p>
    <w:p>
      <w:pPr>
        <w:spacing w:line="240" w:lineRule="auto" w:before="11"/>
        <w:rPr>
          <w:rFonts w:ascii="宋体" w:hAnsi="宋体" w:cs="宋体" w:eastAsia="宋体" w:hint="default"/>
          <w:sz w:val="10"/>
          <w:szCs w:val="10"/>
        </w:rPr>
      </w:pPr>
    </w:p>
    <w:tbl>
      <w:tblPr>
        <w:tblW w:w="0" w:type="auto"/>
        <w:jc w:val="left"/>
        <w:tblInd w:w="3819" w:type="dxa"/>
        <w:tblLayout w:type="fixed"/>
        <w:tblCellMar>
          <w:top w:w="0" w:type="dxa"/>
          <w:left w:w="0" w:type="dxa"/>
          <w:bottom w:w="0" w:type="dxa"/>
          <w:right w:w="0" w:type="dxa"/>
        </w:tblCellMar>
        <w:tblLook w:val="01E0"/>
      </w:tblPr>
      <w:tblGrid>
        <w:gridCol w:w="271"/>
        <w:gridCol w:w="848"/>
        <w:gridCol w:w="904"/>
        <w:gridCol w:w="238"/>
      </w:tblGrid>
      <w:tr>
        <w:trPr>
          <w:trHeight w:val="565" w:hRule="exact"/>
        </w:trPr>
        <w:tc>
          <w:tcPr>
            <w:tcW w:w="2261" w:type="dxa"/>
            <w:gridSpan w:val="4"/>
            <w:tcBorders>
              <w:top w:val="single" w:sz="16" w:space="0" w:color="404040"/>
              <w:left w:val="single" w:sz="12" w:space="0" w:color="404040"/>
              <w:bottom w:val="single" w:sz="12" w:space="0" w:color="404040"/>
              <w:right w:val="single" w:sz="12" w:space="0" w:color="404040"/>
            </w:tcBorders>
          </w:tcPr>
          <w:p>
            <w:pPr>
              <w:pStyle w:val="TableParagraph"/>
              <w:spacing w:line="240" w:lineRule="auto" w:before="79"/>
              <w:ind w:right="21"/>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hadow/>
                <w:sz w:val="20"/>
                <w:szCs w:val="20"/>
              </w:rPr>
              <w:t>张近东</w:t>
            </w:r>
            <w:r>
              <w:rPr>
                <w:rFonts w:ascii="宋体" w:hAnsi="宋体" w:cs="宋体" w:eastAsia="宋体" w:hint="default"/>
                <w:shadow w:val="0"/>
                <w:sz w:val="20"/>
                <w:szCs w:val="20"/>
              </w:rPr>
            </w:r>
          </w:p>
        </w:tc>
      </w:tr>
      <w:tr>
        <w:trPr>
          <w:trHeight w:val="309" w:hRule="exact"/>
        </w:trPr>
        <w:tc>
          <w:tcPr>
            <w:tcW w:w="271" w:type="dxa"/>
            <w:tcBorders>
              <w:top w:val="single" w:sz="12" w:space="0" w:color="404040"/>
              <w:left w:val="nil" w:sz="6" w:space="0" w:color="auto"/>
              <w:bottom w:val="nil" w:sz="6" w:space="0" w:color="auto"/>
              <w:right w:val="single" w:sz="8" w:space="0" w:color="404040"/>
            </w:tcBorders>
          </w:tcPr>
          <w:p>
            <w:pPr/>
          </w:p>
        </w:tc>
        <w:tc>
          <w:tcPr>
            <w:tcW w:w="848" w:type="dxa"/>
            <w:tcBorders>
              <w:top w:val="single" w:sz="12" w:space="0" w:color="404040"/>
              <w:left w:val="single" w:sz="8" w:space="0" w:color="404040"/>
              <w:bottom w:val="nil" w:sz="6" w:space="0" w:color="auto"/>
              <w:right w:val="single" w:sz="8" w:space="0" w:color="404040"/>
            </w:tcBorders>
          </w:tcPr>
          <w:p>
            <w:pPr/>
          </w:p>
        </w:tc>
        <w:tc>
          <w:tcPr>
            <w:tcW w:w="904" w:type="dxa"/>
            <w:tcBorders>
              <w:top w:val="single" w:sz="12" w:space="0" w:color="404040"/>
              <w:left w:val="single" w:sz="8" w:space="0" w:color="404040"/>
              <w:bottom w:val="nil" w:sz="6" w:space="0" w:color="auto"/>
              <w:right w:val="single" w:sz="8" w:space="0" w:color="404040"/>
            </w:tcBorders>
          </w:tcPr>
          <w:p>
            <w:pPr/>
          </w:p>
        </w:tc>
        <w:tc>
          <w:tcPr>
            <w:tcW w:w="238" w:type="dxa"/>
            <w:tcBorders>
              <w:top w:val="single" w:sz="12" w:space="0" w:color="404040"/>
              <w:left w:val="single" w:sz="8" w:space="0" w:color="404040"/>
              <w:bottom w:val="nil" w:sz="6" w:space="0" w:color="auto"/>
              <w:right w:val="nil" w:sz="6" w:space="0" w:color="auto"/>
            </w:tcBorders>
          </w:tcPr>
          <w:p>
            <w:pPr/>
          </w:p>
        </w:tc>
      </w:tr>
      <w:tr>
        <w:trPr>
          <w:trHeight w:val="678" w:hRule="exact"/>
        </w:trPr>
        <w:tc>
          <w:tcPr>
            <w:tcW w:w="1119" w:type="dxa"/>
            <w:gridSpan w:val="2"/>
            <w:tcBorders>
              <w:top w:val="nil" w:sz="6" w:space="0" w:color="auto"/>
              <w:left w:val="nil" w:sz="6" w:space="0" w:color="auto"/>
              <w:bottom w:val="nil" w:sz="6" w:space="0" w:color="auto"/>
              <w:right w:val="single" w:sz="8" w:space="0" w:color="404040"/>
            </w:tcBorders>
          </w:tcPr>
          <w:p>
            <w:pPr>
              <w:pStyle w:val="TableParagraph"/>
              <w:spacing w:line="185" w:lineRule="exact"/>
              <w:ind w:left="32" w:right="0"/>
              <w:jc w:val="left"/>
              <w:rPr>
                <w:rFonts w:ascii="Calibri" w:hAnsi="Calibri" w:cs="Calibri" w:eastAsia="Calibri" w:hint="default"/>
                <w:sz w:val="16"/>
                <w:szCs w:val="16"/>
              </w:rPr>
            </w:pPr>
            <w:r>
              <w:rPr>
                <w:rFonts w:ascii="Calibri"/>
                <w:sz w:val="16"/>
              </w:rPr>
              <w:t>48.10%</w:t>
            </w:r>
          </w:p>
        </w:tc>
        <w:tc>
          <w:tcPr>
            <w:tcW w:w="1142" w:type="dxa"/>
            <w:gridSpan w:val="2"/>
            <w:tcBorders>
              <w:top w:val="nil" w:sz="6" w:space="0" w:color="auto"/>
              <w:left w:val="single" w:sz="8" w:space="0" w:color="404040"/>
              <w:bottom w:val="nil" w:sz="6" w:space="0" w:color="auto"/>
              <w:right w:val="nil" w:sz="6" w:space="0" w:color="auto"/>
            </w:tcBorders>
          </w:tcPr>
          <w:p>
            <w:pPr>
              <w:pStyle w:val="TableParagraph"/>
              <w:spacing w:line="185" w:lineRule="exact"/>
              <w:ind w:left="716" w:right="0"/>
              <w:jc w:val="left"/>
              <w:rPr>
                <w:rFonts w:ascii="Calibri" w:hAnsi="Calibri" w:cs="Calibri" w:eastAsia="Calibri" w:hint="default"/>
                <w:sz w:val="16"/>
                <w:szCs w:val="16"/>
              </w:rPr>
            </w:pPr>
            <w:r>
              <w:rPr>
                <w:rFonts w:ascii="Calibri"/>
                <w:sz w:val="16"/>
              </w:rPr>
              <w:t>100%</w:t>
            </w:r>
          </w:p>
        </w:tc>
      </w:tr>
    </w:tbl>
    <w:p>
      <w:pPr>
        <w:spacing w:line="182" w:lineRule="exact" w:before="0"/>
        <w:ind w:left="0" w:right="1017" w:firstLine="0"/>
        <w:jc w:val="center"/>
        <w:rPr>
          <w:rFonts w:ascii="Calibri" w:hAnsi="Calibri" w:cs="Calibri" w:eastAsia="Calibri" w:hint="default"/>
          <w:sz w:val="16"/>
          <w:szCs w:val="16"/>
        </w:rPr>
      </w:pPr>
      <w:r>
        <w:rPr/>
        <w:pict>
          <v:group style="position:absolute;margin-left:155.052414pt;margin-top:-24.893288pt;width:115.15pt;height:60.5pt;mso-position-horizontal-relative:page;mso-position-vertical-relative:paragraph;z-index:-1831264" coordorigin="3101,-498" coordsize="2303,1210">
            <v:group style="position:absolute;left:3139;top:-131;width:2262;height:560" coordorigin="3139,-131" coordsize="2262,560">
              <v:shape style="position:absolute;left:3139;top:-131;width:2262;height:560" coordorigin="3139,-131" coordsize="2262,560" path="m3139,428l5401,428,5401,-131,3139,-131,3139,428e" filled="false" stroked="true" strokeweight=".247982pt" strokecolor="#cdcdcd">
                <v:path arrowok="t"/>
              </v:shape>
            </v:group>
            <v:group style="position:absolute;left:3104;top:-167;width:2262;height:572" coordorigin="3104,-167" coordsize="2262,572">
              <v:shape style="position:absolute;left:3104;top:-167;width:2262;height:572" coordorigin="3104,-167" coordsize="2262,572" path="m3104,405l5365,405,5365,-167,3104,-167,3104,405e" filled="false" stroked="true" strokeweight=".247985pt" strokecolor="#404040">
                <v:path arrowok="t"/>
              </v:shape>
            </v:group>
            <v:group style="position:absolute;left:5085;top:-488;width:2;height:221" coordorigin="5085,-488" coordsize="2,221">
              <v:shape style="position:absolute;left:5085;top:-488;width:2;height:221" coordorigin="5085,-488" coordsize="0,221" path="m5085,-488l5085,-268e" filled="false" stroked="true" strokeweight=".997007pt" strokecolor="#404040">
                <v:path arrowok="t"/>
              </v:shape>
              <v:shape style="position:absolute;left:5015;top:-301;width:140;height:140" type="#_x0000_t75" stroked="false">
                <v:imagedata r:id="rId25" o:title=""/>
              </v:shape>
            </v:group>
            <v:group style="position:absolute;left:5085;top:400;width:2;height:302" coordorigin="5085,400" coordsize="2,302">
              <v:shape style="position:absolute;left:5085;top:400;width:2;height:302" coordorigin="5085,400" coordsize="0,302" path="m5085,400l5085,702e" filled="false" stroked="true" strokeweight=".997007pt" strokecolor="#404040">
                <v:path arrowok="t"/>
              </v:shape>
              <v:shape style="position:absolute;left:3121;top:-149;width:2262;height:566" type="#_x0000_t202" filled="false" stroked="false">
                <v:textbox inset="0,0,0,0">
                  <w:txbxContent>
                    <w:p>
                      <w:pPr>
                        <w:spacing w:before="100"/>
                        <w:ind w:left="141"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hadow/>
                          <w:sz w:val="20"/>
                          <w:szCs w:val="20"/>
                        </w:rPr>
                        <w:t>苏宁电器集团有限公司</w:t>
                      </w:r>
                      <w:r>
                        <w:rPr>
                          <w:rFonts w:ascii="宋体" w:hAnsi="宋体" w:cs="宋体" w:eastAsia="宋体" w:hint="default"/>
                          <w:shadow w:val="0"/>
                          <w:sz w:val="20"/>
                          <w:szCs w:val="20"/>
                        </w:rPr>
                      </w:r>
                    </w:p>
                  </w:txbxContent>
                </v:textbox>
                <w10:wrap type="none"/>
              </v:shape>
            </v:group>
            <w10:wrap type="none"/>
          </v:group>
        </w:pict>
      </w:r>
      <w:r>
        <w:rPr/>
        <w:pict>
          <v:group style="position:absolute;margin-left:324.942352pt;margin-top:-24.893288pt;width:114.55pt;height:60.5pt;mso-position-horizontal-relative:page;mso-position-vertical-relative:paragraph;z-index:-1831216" coordorigin="6499,-498" coordsize="2291,1210">
            <v:group style="position:absolute;left:6525;top:-131;width:2262;height:560" coordorigin="6525,-131" coordsize="2262,560">
              <v:shape style="position:absolute;left:6525;top:-131;width:2262;height:560" coordorigin="6525,-131" coordsize="2262,560" path="m6525,428l8786,428,8786,-131,6525,-131,6525,428e" filled="false" stroked="true" strokeweight=".247982pt" strokecolor="#cdcdcd">
                <v:path arrowok="t"/>
              </v:shape>
            </v:group>
            <v:group style="position:absolute;left:6501;top:-167;width:2262;height:572" coordorigin="6501,-167" coordsize="2262,572">
              <v:shape style="position:absolute;left:6501;top:-167;width:2262;height:572" coordorigin="6501,-167" coordsize="2262,572" path="m6501,405l8763,405,8763,-167,6501,-167,6501,405e" filled="false" stroked="true" strokeweight=".247985pt" strokecolor="#404040">
                <v:path arrowok="t"/>
              </v:shape>
            </v:group>
            <v:group style="position:absolute;left:6838;top:-488;width:2;height:221" coordorigin="6838,-488" coordsize="2,221">
              <v:shape style="position:absolute;left:6838;top:-488;width:2;height:221" coordorigin="6838,-488" coordsize="0,221" path="m6838,-488l6838,-268e" filled="false" stroked="true" strokeweight=".997007pt" strokecolor="#404040">
                <v:path arrowok="t"/>
              </v:shape>
              <v:shape style="position:absolute;left:6767;top:-301;width:140;height:140" type="#_x0000_t75" stroked="false">
                <v:imagedata r:id="rId26" o:title=""/>
              </v:shape>
            </v:group>
            <v:group style="position:absolute;left:6838;top:400;width:2;height:302" coordorigin="6838,400" coordsize="2,302">
              <v:shape style="position:absolute;left:6838;top:400;width:2;height:302" coordorigin="6838,400" coordsize="0,302" path="m6838,400l6838,702e" filled="false" stroked="true" strokeweight=".997007pt" strokecolor="#404040">
                <v:path arrowok="t"/>
              </v:shape>
              <v:shape style="position:absolute;left:6513;top:-149;width:2262;height:566" type="#_x0000_t202" filled="false" stroked="false">
                <v:textbox inset="0,0,0,0">
                  <w:txbxContent>
                    <w:p>
                      <w:pPr>
                        <w:spacing w:before="100"/>
                        <w:ind w:left="118"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hadow/>
                          <w:sz w:val="20"/>
                          <w:szCs w:val="20"/>
                        </w:rPr>
                        <w:t>苏宁控股集团有限公司</w:t>
                      </w:r>
                      <w:r>
                        <w:rPr>
                          <w:rFonts w:ascii="宋体" w:hAnsi="宋体" w:cs="宋体" w:eastAsia="宋体" w:hint="default"/>
                          <w:shadow w:val="0"/>
                          <w:sz w:val="20"/>
                          <w:szCs w:val="20"/>
                        </w:rPr>
                      </w:r>
                    </w:p>
                  </w:txbxContent>
                </v:textbox>
                <w10:wrap type="none"/>
              </v:shape>
            </v:group>
            <w10:wrap type="none"/>
          </v:group>
        </w:pict>
      </w:r>
      <w:r>
        <w:rPr>
          <w:rFonts w:ascii="Calibri"/>
          <w:sz w:val="16"/>
        </w:rPr>
        <w:t>26.44%</w:t>
      </w:r>
    </w:p>
    <w:p>
      <w:pPr>
        <w:spacing w:line="240" w:lineRule="auto" w:before="0"/>
        <w:rPr>
          <w:rFonts w:ascii="Calibri" w:hAnsi="Calibri" w:cs="Calibri" w:eastAsia="Calibri" w:hint="default"/>
          <w:sz w:val="20"/>
          <w:szCs w:val="20"/>
        </w:rPr>
      </w:pPr>
    </w:p>
    <w:p>
      <w:pPr>
        <w:spacing w:line="240" w:lineRule="auto" w:before="1"/>
        <w:rPr>
          <w:rFonts w:ascii="Calibri" w:hAnsi="Calibri" w:cs="Calibri" w:eastAsia="Calibri" w:hint="default"/>
          <w:sz w:val="16"/>
          <w:szCs w:val="16"/>
        </w:rPr>
      </w:pPr>
    </w:p>
    <w:p>
      <w:pPr>
        <w:tabs>
          <w:tab w:pos="1792" w:val="left" w:leader="none"/>
        </w:tabs>
        <w:spacing w:before="66"/>
        <w:ind w:left="0" w:right="1002" w:firstLine="0"/>
        <w:jc w:val="center"/>
        <w:rPr>
          <w:rFonts w:ascii="Calibri" w:hAnsi="Calibri" w:cs="Calibri" w:eastAsia="Calibri" w:hint="default"/>
          <w:sz w:val="16"/>
          <w:szCs w:val="16"/>
        </w:rPr>
      </w:pPr>
      <w:r>
        <w:rPr/>
        <w:pict>
          <v:group style="position:absolute;margin-left:293.152161pt;margin-top:-22.136099pt;width:7.05pt;height:50.35pt;mso-position-horizontal-relative:page;mso-position-vertical-relative:paragraph;z-index:-1831192" coordorigin="5863,-443" coordsize="141,1007">
            <v:group style="position:absolute;left:5933;top:-433;width:2;height:892" coordorigin="5933,-433" coordsize="2,892">
              <v:shape style="position:absolute;left:5933;top:-433;width:2;height:892" coordorigin="5933,-433" coordsize="0,892" path="m5933,-433l5933,459e" filled="false" stroked="true" strokeweight=".997007pt" strokecolor="#404040">
                <v:path arrowok="t"/>
              </v:shape>
              <v:shape style="position:absolute;left:5863;top:425;width:140;height:140" type="#_x0000_t75" stroked="false">
                <v:imagedata r:id="rId27" o:title=""/>
              </v:shape>
            </v:group>
            <w10:wrap type="none"/>
          </v:group>
        </w:pict>
      </w:r>
      <w:r>
        <w:rPr>
          <w:rFonts w:ascii="Calibri"/>
          <w:w w:val="95"/>
          <w:sz w:val="16"/>
        </w:rPr>
        <w:t>14.60%</w:t>
        <w:tab/>
      </w:r>
      <w:r>
        <w:rPr>
          <w:rFonts w:ascii="Calibri"/>
          <w:sz w:val="16"/>
        </w:rPr>
        <w:t>4.20%</w:t>
      </w:r>
    </w:p>
    <w:p>
      <w:pPr>
        <w:tabs>
          <w:tab w:pos="5787" w:val="left" w:leader="none"/>
        </w:tabs>
        <w:spacing w:line="304" w:lineRule="exact"/>
        <w:ind w:left="4035" w:right="0" w:firstLine="0"/>
        <w:rPr>
          <w:rFonts w:ascii="Calibri" w:hAnsi="Calibri" w:cs="Calibri" w:eastAsia="Calibri" w:hint="default"/>
          <w:sz w:val="20"/>
          <w:szCs w:val="20"/>
        </w:rPr>
      </w:pPr>
      <w:r>
        <w:rPr>
          <w:rFonts w:ascii="Calibri"/>
          <w:position w:val="-5"/>
          <w:sz w:val="20"/>
        </w:rPr>
        <w:pict>
          <v:group style="width:7.05pt;height:15.25pt;mso-position-horizontal-relative:char;mso-position-vertical-relative:line" coordorigin="0,0" coordsize="141,305">
            <v:group style="position:absolute;left:70;top:10;width:2;height:190" coordorigin="70,10" coordsize="2,190">
              <v:shape style="position:absolute;left:70;top:10;width:2;height:190" coordorigin="70,10" coordsize="0,190" path="m70,10l70,199e" filled="false" stroked="true" strokeweight=".997007pt" strokecolor="#404040">
                <v:path arrowok="t"/>
              </v:shape>
              <v:shape style="position:absolute;left:0;top:165;width:140;height:140" type="#_x0000_t75" stroked="false">
                <v:imagedata r:id="rId28" o:title=""/>
              </v:shape>
            </v:group>
          </v:group>
        </w:pict>
      </w:r>
      <w:r>
        <w:rPr>
          <w:rFonts w:ascii="Calibri"/>
          <w:position w:val="-5"/>
          <w:sz w:val="20"/>
        </w:rPr>
      </w:r>
      <w:r>
        <w:rPr>
          <w:rFonts w:ascii="Calibri"/>
          <w:position w:val="-5"/>
          <w:sz w:val="20"/>
        </w:rPr>
        <w:tab/>
      </w:r>
      <w:r>
        <w:rPr>
          <w:rFonts w:ascii="Calibri"/>
          <w:position w:val="-5"/>
          <w:sz w:val="20"/>
        </w:rPr>
        <w:pict>
          <v:group style="width:7.05pt;height:15.25pt;mso-position-horizontal-relative:char;mso-position-vertical-relative:line" coordorigin="0,0" coordsize="141,305">
            <v:group style="position:absolute;left:70;top:10;width:2;height:190" coordorigin="70,10" coordsize="2,190">
              <v:shape style="position:absolute;left:70;top:10;width:2;height:190" coordorigin="70,10" coordsize="0,190" path="m70,10l70,199e" filled="false" stroked="true" strokeweight=".997007pt" strokecolor="#404040">
                <v:path arrowok="t"/>
              </v:shape>
              <v:shape style="position:absolute;left:0;top:165;width:140;height:140" type="#_x0000_t75" stroked="false">
                <v:imagedata r:id="rId29" o:title=""/>
              </v:shape>
            </v:group>
          </v:group>
        </w:pict>
      </w:r>
      <w:r>
        <w:rPr>
          <w:rFonts w:ascii="Calibri"/>
          <w:position w:val="-5"/>
          <w:sz w:val="20"/>
        </w:rPr>
      </w:r>
    </w:p>
    <w:p>
      <w:pPr>
        <w:spacing w:line="559" w:lineRule="exact"/>
        <w:ind w:left="3834" w:right="0" w:firstLine="0"/>
        <w:rPr>
          <w:rFonts w:ascii="Calibri" w:hAnsi="Calibri" w:cs="Calibri" w:eastAsia="Calibri" w:hint="default"/>
          <w:sz w:val="20"/>
          <w:szCs w:val="20"/>
        </w:rPr>
      </w:pPr>
      <w:r>
        <w:rPr>
          <w:rFonts w:ascii="Calibri" w:hAnsi="Calibri" w:cs="Calibri" w:eastAsia="Calibri" w:hint="default"/>
          <w:position w:val="-10"/>
          <w:sz w:val="20"/>
          <w:szCs w:val="20"/>
        </w:rPr>
        <w:pict>
          <v:shape style="width:127.45pt;height:28pt;mso-position-horizontal-relative:char;mso-position-vertical-relative:line" type="#_x0000_t202" filled="false" stroked="true" strokeweight="1.444375pt" strokecolor="#404040">
            <w10:anchorlock/>
            <v:textbox inset="0,0,0,0">
              <w:txbxContent>
                <w:p>
                  <w:pPr>
                    <w:spacing w:before="84"/>
                    <w:ind w:left="49"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hadow/>
                      <w:sz w:val="20"/>
                      <w:szCs w:val="20"/>
                    </w:rPr>
                    <w:t>苏宁云商集团股份有限公司</w:t>
                  </w:r>
                  <w:r>
                    <w:rPr>
                      <w:rFonts w:ascii="宋体" w:hAnsi="宋体" w:cs="宋体" w:eastAsia="宋体" w:hint="default"/>
                      <w:shadow w:val="0"/>
                      <w:sz w:val="20"/>
                      <w:szCs w:val="20"/>
                    </w:rPr>
                  </w:r>
                </w:p>
              </w:txbxContent>
            </v:textbox>
            <v:stroke linestyle="thinThin"/>
          </v:shape>
        </w:pict>
      </w:r>
      <w:r>
        <w:rPr>
          <w:rFonts w:ascii="Calibri" w:hAnsi="Calibri" w:cs="Calibri" w:eastAsia="Calibri" w:hint="default"/>
          <w:position w:val="-10"/>
          <w:sz w:val="20"/>
          <w:szCs w:val="20"/>
        </w:rPr>
      </w:r>
    </w:p>
    <w:p>
      <w:pPr>
        <w:spacing w:line="240" w:lineRule="auto" w:before="0"/>
        <w:rPr>
          <w:rFonts w:ascii="Calibri" w:hAnsi="Calibri" w:cs="Calibri" w:eastAsia="Calibri" w:hint="default"/>
          <w:sz w:val="16"/>
          <w:szCs w:val="16"/>
        </w:rPr>
      </w:pPr>
    </w:p>
    <w:p>
      <w:pPr>
        <w:spacing w:line="240" w:lineRule="auto" w:before="0"/>
        <w:rPr>
          <w:rFonts w:ascii="Calibri" w:hAnsi="Calibri" w:cs="Calibri" w:eastAsia="Calibri" w:hint="default"/>
          <w:sz w:val="23"/>
          <w:szCs w:val="23"/>
        </w:rPr>
      </w:pPr>
    </w:p>
    <w:p>
      <w:pPr>
        <w:pStyle w:val="BodyText"/>
        <w:spacing w:line="240" w:lineRule="auto"/>
        <w:ind w:left="154" w:right="1082"/>
        <w:jc w:val="left"/>
      </w:pPr>
      <w:r>
        <w:rPr/>
        <w:t>实际控制人通过信托或其他资产管理方式控制公司</w:t>
      </w:r>
    </w:p>
    <w:p>
      <w:pPr>
        <w:pStyle w:val="BodyText"/>
        <w:spacing w:line="240" w:lineRule="auto" w:before="111"/>
        <w:ind w:left="15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2"/>
        <w:rPr>
          <w:rFonts w:ascii="宋体" w:hAnsi="宋体" w:cs="宋体" w:eastAsia="宋体" w:hint="default"/>
          <w:sz w:val="25"/>
          <w:szCs w:val="25"/>
        </w:rPr>
      </w:pPr>
    </w:p>
    <w:p>
      <w:pPr>
        <w:pStyle w:val="Heading4"/>
        <w:spacing w:line="240" w:lineRule="auto"/>
        <w:ind w:left="154" w:right="1082"/>
        <w:jc w:val="left"/>
        <w:rPr>
          <w:b w:val="0"/>
          <w:bCs w:val="0"/>
        </w:rPr>
      </w:pPr>
      <w:bookmarkStart w:name="4、其他持股在10%以上的法人股东" w:id="131"/>
      <w:bookmarkEnd w:id="131"/>
      <w:r>
        <w:rPr>
          <w:b w:val="0"/>
          <w:bCs w:val="0"/>
        </w:rPr>
      </w:r>
      <w:r>
        <w:rPr>
          <w:rFonts w:ascii="Times New Roman" w:hAnsi="Times New Roman" w:cs="Times New Roman" w:eastAsia="Times New Roman" w:hint="default"/>
        </w:rPr>
        <w:t>4</w:t>
      </w:r>
      <w:r>
        <w:rPr/>
        <w:t>、其他持股在</w:t>
      </w:r>
      <w:r>
        <w:rPr>
          <w:spacing w:val="-61"/>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992"/>
        <w:gridCol w:w="1276"/>
        <w:gridCol w:w="1276"/>
        <w:gridCol w:w="4323"/>
      </w:tblGrid>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184" w:right="0"/>
              <w:jc w:val="left"/>
              <w:rPr>
                <w:rFonts w:ascii="宋体" w:hAnsi="宋体" w:cs="宋体" w:eastAsia="宋体" w:hint="default"/>
                <w:sz w:val="22"/>
                <w:szCs w:val="22"/>
              </w:rPr>
            </w:pPr>
            <w:r>
              <w:rPr>
                <w:rFonts w:ascii="宋体" w:hAnsi="宋体" w:cs="宋体" w:eastAsia="宋体" w:hint="default"/>
                <w:sz w:val="22"/>
                <w:szCs w:val="22"/>
              </w:rPr>
              <w:t>法人股东名称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法定代表</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191" w:right="0"/>
              <w:jc w:val="left"/>
              <w:rPr>
                <w:rFonts w:ascii="宋体" w:hAnsi="宋体" w:cs="宋体" w:eastAsia="宋体" w:hint="default"/>
                <w:sz w:val="22"/>
                <w:szCs w:val="22"/>
              </w:rPr>
            </w:pPr>
            <w:r>
              <w:rPr>
                <w:rFonts w:ascii="宋体" w:hAnsi="宋体" w:cs="宋体" w:eastAsia="宋体" w:hint="default"/>
                <w:sz w:val="22"/>
                <w:szCs w:val="22"/>
              </w:rPr>
              <w:t>成立日期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注册资本</w:t>
            </w:r>
          </w:p>
        </w:tc>
        <w:tc>
          <w:tcPr>
            <w:tcW w:w="4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945" w:right="0"/>
              <w:jc w:val="left"/>
              <w:rPr>
                <w:rFonts w:ascii="宋体" w:hAnsi="宋体" w:cs="宋体" w:eastAsia="宋体" w:hint="default"/>
                <w:sz w:val="22"/>
                <w:szCs w:val="22"/>
              </w:rPr>
            </w:pPr>
            <w:r>
              <w:rPr>
                <w:rFonts w:ascii="宋体" w:hAnsi="宋体" w:cs="宋体" w:eastAsia="宋体" w:hint="default"/>
                <w:sz w:val="22"/>
                <w:szCs w:val="22"/>
              </w:rPr>
              <w:t>主要经营业务或管理活动</w:t>
            </w:r>
          </w:p>
        </w:tc>
      </w:tr>
      <w:tr>
        <w:trPr>
          <w:trHeight w:val="250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8"/>
                <w:sz w:val="22"/>
                <w:szCs w:val="22"/>
              </w:rPr>
              <w:t>苏宁电器集团有</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卜扬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月</w:t>
            </w:r>
          </w:p>
          <w:p>
            <w:pPr>
              <w:pStyle w:val="TableParagraph"/>
              <w:spacing w:line="240" w:lineRule="auto" w:before="7"/>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7"/>
              <w:jc w:val="center"/>
              <w:rPr>
                <w:rFonts w:ascii="宋体" w:hAnsi="宋体" w:cs="宋体" w:eastAsia="宋体" w:hint="default"/>
                <w:sz w:val="22"/>
                <w:szCs w:val="22"/>
              </w:rPr>
            </w:pPr>
            <w:r>
              <w:rPr>
                <w:rFonts w:ascii="Times New Roman" w:hAnsi="Times New Roman" w:cs="Times New Roman" w:eastAsia="Times New Roman" w:hint="default"/>
                <w:sz w:val="22"/>
                <w:szCs w:val="22"/>
              </w:rPr>
              <w:t>171,429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万元</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pacing w:val="4"/>
                <w:sz w:val="22"/>
                <w:szCs w:val="22"/>
              </w:rPr>
              <w:t>家用电器及配件的制造、销售及售后服务，</w:t>
            </w:r>
          </w:p>
          <w:p>
            <w:pPr>
              <w:pStyle w:val="TableParagraph"/>
              <w:spacing w:line="259" w:lineRule="auto" w:before="24"/>
              <w:ind w:left="22" w:right="26"/>
              <w:jc w:val="both"/>
              <w:rPr>
                <w:rFonts w:ascii="宋体" w:hAnsi="宋体" w:cs="宋体" w:eastAsia="宋体" w:hint="default"/>
                <w:sz w:val="22"/>
                <w:szCs w:val="22"/>
              </w:rPr>
            </w:pPr>
            <w:r>
              <w:rPr>
                <w:rFonts w:ascii="宋体" w:hAnsi="宋体" w:cs="宋体" w:eastAsia="宋体" w:hint="default"/>
                <w:spacing w:val="4"/>
                <w:sz w:val="22"/>
                <w:szCs w:val="22"/>
              </w:rPr>
              <w:t>汽车专用照明电器、电子元件、电工器材和</w:t>
            </w:r>
            <w:r>
              <w:rPr>
                <w:rFonts w:ascii="宋体" w:hAnsi="宋体" w:cs="宋体" w:eastAsia="宋体" w:hint="default"/>
                <w:w w:val="99"/>
                <w:sz w:val="22"/>
                <w:szCs w:val="22"/>
              </w:rPr>
              <w:t> </w:t>
            </w:r>
            <w:r>
              <w:rPr>
                <w:rFonts w:ascii="宋体" w:hAnsi="宋体" w:cs="宋体" w:eastAsia="宋体" w:hint="default"/>
                <w:spacing w:val="4"/>
                <w:sz w:val="22"/>
                <w:szCs w:val="22"/>
              </w:rPr>
              <w:t>电气信号设备加工制造，房屋租赁、维修，</w:t>
            </w:r>
            <w:r>
              <w:rPr>
                <w:rFonts w:ascii="宋体" w:hAnsi="宋体" w:cs="宋体" w:eastAsia="宋体" w:hint="default"/>
                <w:w w:val="99"/>
                <w:sz w:val="22"/>
                <w:szCs w:val="22"/>
              </w:rPr>
              <w:t> </w:t>
            </w:r>
            <w:r>
              <w:rPr>
                <w:rFonts w:ascii="宋体" w:hAnsi="宋体" w:cs="宋体" w:eastAsia="宋体" w:hint="default"/>
                <w:spacing w:val="4"/>
                <w:sz w:val="22"/>
                <w:szCs w:val="22"/>
              </w:rPr>
              <w:t>物业管理，室内装饰，园林绿化，经济信息</w:t>
            </w:r>
            <w:r>
              <w:rPr>
                <w:rFonts w:ascii="宋体" w:hAnsi="宋体" w:cs="宋体" w:eastAsia="宋体" w:hint="default"/>
                <w:w w:val="99"/>
                <w:sz w:val="22"/>
                <w:szCs w:val="22"/>
              </w:rPr>
              <w:t> </w:t>
            </w:r>
            <w:r>
              <w:rPr>
                <w:rFonts w:ascii="宋体" w:hAnsi="宋体" w:cs="宋体" w:eastAsia="宋体" w:hint="default"/>
                <w:spacing w:val="4"/>
                <w:sz w:val="22"/>
                <w:szCs w:val="22"/>
              </w:rPr>
              <w:t>咨询，实业投资，酒店管理，汽车出租，健</w:t>
            </w:r>
            <w:r>
              <w:rPr>
                <w:rFonts w:ascii="宋体" w:hAnsi="宋体" w:cs="宋体" w:eastAsia="宋体" w:hint="default"/>
                <w:w w:val="99"/>
                <w:sz w:val="22"/>
                <w:szCs w:val="22"/>
              </w:rPr>
              <w:t> </w:t>
            </w:r>
            <w:r>
              <w:rPr>
                <w:rFonts w:ascii="宋体" w:hAnsi="宋体" w:cs="宋体" w:eastAsia="宋体" w:hint="default"/>
                <w:spacing w:val="4"/>
                <w:sz w:val="22"/>
                <w:szCs w:val="22"/>
              </w:rPr>
              <w:t>身服务，票务服务，停车场服务，百货、黄</w:t>
            </w:r>
            <w:r>
              <w:rPr>
                <w:rFonts w:ascii="宋体" w:hAnsi="宋体" w:cs="宋体" w:eastAsia="宋体" w:hint="default"/>
                <w:w w:val="99"/>
                <w:sz w:val="22"/>
                <w:szCs w:val="22"/>
              </w:rPr>
              <w:t> </w:t>
            </w:r>
            <w:r>
              <w:rPr>
                <w:rFonts w:ascii="宋体" w:hAnsi="宋体" w:cs="宋体" w:eastAsia="宋体" w:hint="default"/>
                <w:spacing w:val="4"/>
                <w:sz w:val="22"/>
                <w:szCs w:val="22"/>
              </w:rPr>
              <w:t>金、珠宝玉器、工艺美术品、鲜花、国产及</w:t>
            </w:r>
            <w:r>
              <w:rPr>
                <w:rFonts w:ascii="宋体" w:hAnsi="宋体" w:cs="宋体" w:eastAsia="宋体" w:hint="default"/>
                <w:w w:val="99"/>
                <w:sz w:val="22"/>
                <w:szCs w:val="22"/>
              </w:rPr>
              <w:t> </w:t>
            </w:r>
            <w:r>
              <w:rPr>
                <w:rFonts w:ascii="宋体" w:hAnsi="宋体" w:cs="宋体" w:eastAsia="宋体" w:hint="default"/>
                <w:spacing w:val="4"/>
                <w:sz w:val="22"/>
                <w:szCs w:val="22"/>
              </w:rPr>
              <w:t>进口化妆品、电梯、机电产品、建筑工程设</w:t>
            </w:r>
          </w:p>
        </w:tc>
      </w:tr>
    </w:tbl>
    <w:p>
      <w:pPr>
        <w:spacing w:after="0" w:line="259" w:lineRule="auto"/>
        <w:jc w:val="both"/>
        <w:rPr>
          <w:rFonts w:ascii="宋体" w:hAnsi="宋体" w:cs="宋体" w:eastAsia="宋体" w:hint="default"/>
          <w:sz w:val="22"/>
          <w:szCs w:val="22"/>
        </w:rPr>
        <w:sectPr>
          <w:pgSz w:w="11910" w:h="16840"/>
          <w:pgMar w:header="0" w:footer="979" w:top="1100" w:bottom="1160" w:left="980" w:right="0"/>
        </w:sectPr>
      </w:pPr>
    </w:p>
    <w:p>
      <w:pPr>
        <w:spacing w:line="240" w:lineRule="auto" w:before="2"/>
        <w:rPr>
          <w:rFonts w:ascii="宋体" w:hAnsi="宋体" w:cs="宋体" w:eastAsia="宋体" w:hint="default"/>
          <w:b/>
          <w:bCs/>
          <w:sz w:val="24"/>
          <w:szCs w:val="24"/>
        </w:rPr>
      </w:pPr>
    </w:p>
    <w:p>
      <w:pPr>
        <w:spacing w:line="3462" w:lineRule="exact"/>
        <w:ind w:left="149" w:right="0" w:firstLine="0"/>
        <w:rPr>
          <w:rFonts w:ascii="宋体" w:hAnsi="宋体" w:cs="宋体" w:eastAsia="宋体" w:hint="default"/>
          <w:sz w:val="20"/>
          <w:szCs w:val="20"/>
        </w:rPr>
      </w:pPr>
      <w:r>
        <w:rPr>
          <w:rFonts w:ascii="宋体" w:hAnsi="宋体" w:cs="宋体" w:eastAsia="宋体" w:hint="default"/>
          <w:position w:val="-68"/>
          <w:sz w:val="20"/>
          <w:szCs w:val="20"/>
        </w:rPr>
        <w:pict>
          <v:group style="width:482.7pt;height:173.15pt;mso-position-horizontal-relative:char;mso-position-vertical-relative:line" coordorigin="0,0" coordsize="9654,3463">
            <v:group style="position:absolute;left:10;top:10;width:1693;height:2" coordorigin="10,10" coordsize="1693,2">
              <v:shape style="position:absolute;left:10;top:10;width:1693;height:2" coordorigin="10,10" coordsize="1693,0" path="m10,10l1702,10e" filled="false" stroked="true" strokeweight=".48pt" strokecolor="#000000">
                <v:path arrowok="t"/>
              </v:shape>
            </v:group>
            <v:group style="position:absolute;left:1712;top:10;width:983;height:2" coordorigin="1712,10" coordsize="983,2">
              <v:shape style="position:absolute;left:1712;top:10;width:983;height:2" coordorigin="1712,10" coordsize="983,0" path="m1712,10l2694,10e" filled="false" stroked="true" strokeweight=".48pt" strokecolor="#000000">
                <v:path arrowok="t"/>
              </v:shape>
            </v:group>
            <v:group style="position:absolute;left:2704;top:10;width:1267;height:2" coordorigin="2704,10" coordsize="1267,2">
              <v:shape style="position:absolute;left:2704;top:10;width:1267;height:2" coordorigin="2704,10" coordsize="1267,0" path="m2704,10l3970,10e" filled="false" stroked="true" strokeweight=".48pt" strokecolor="#000000">
                <v:path arrowok="t"/>
              </v:shape>
            </v:group>
            <v:group style="position:absolute;left:3980;top:10;width:1266;height:2" coordorigin="3980,10" coordsize="1266,2">
              <v:shape style="position:absolute;left:3980;top:10;width:1266;height:2" coordorigin="3980,10" coordsize="1266,0" path="m3980,10l5246,10e" filled="false" stroked="true" strokeweight=".48pt" strokecolor="#000000">
                <v:path arrowok="t"/>
              </v:shape>
            </v:group>
            <v:group style="position:absolute;left:5256;top:10;width:4314;height:2" coordorigin="5256,10" coordsize="4314,2">
              <v:shape style="position:absolute;left:5256;top:10;width:4314;height:2" coordorigin="5256,10" coordsize="4314,0" path="m5256,10l9569,10e" filled="false" stroked="true" strokeweight=".48pt" strokecolor="#000000">
                <v:path arrowok="t"/>
              </v:shape>
            </v:group>
            <v:group style="position:absolute;left:5;top:5;width:2;height:3453" coordorigin="5,5" coordsize="2,3453">
              <v:shape style="position:absolute;left:5;top:5;width:2;height:3453" coordorigin="5,5" coordsize="0,3453" path="m5,5l5,3458e" filled="false" stroked="true" strokeweight=".48pt" strokecolor="#000000">
                <v:path arrowok="t"/>
              </v:shape>
            </v:group>
            <v:group style="position:absolute;left:10;top:3453;width:1693;height:2" coordorigin="10,3453" coordsize="1693,2">
              <v:shape style="position:absolute;left:10;top:3453;width:1693;height:2" coordorigin="10,3453" coordsize="1693,0" path="m10,3453l1702,3453e" filled="false" stroked="true" strokeweight=".48pt" strokecolor="#000000">
                <v:path arrowok="t"/>
              </v:shape>
            </v:group>
            <v:group style="position:absolute;left:1707;top:5;width:2;height:3453" coordorigin="1707,5" coordsize="2,3453">
              <v:shape style="position:absolute;left:1707;top:5;width:2;height:3453" coordorigin="1707,5" coordsize="0,3453" path="m1707,5l1707,3458e" filled="false" stroked="true" strokeweight=".48pt" strokecolor="#000000">
                <v:path arrowok="t"/>
              </v:shape>
            </v:group>
            <v:group style="position:absolute;left:1712;top:3453;width:983;height:2" coordorigin="1712,3453" coordsize="983,2">
              <v:shape style="position:absolute;left:1712;top:3453;width:983;height:2" coordorigin="1712,3453" coordsize="983,0" path="m1712,3453l2694,3453e" filled="false" stroked="true" strokeweight=".48pt" strokecolor="#000000">
                <v:path arrowok="t"/>
              </v:shape>
            </v:group>
            <v:group style="position:absolute;left:2699;top:5;width:2;height:3453" coordorigin="2699,5" coordsize="2,3453">
              <v:shape style="position:absolute;left:2699;top:5;width:2;height:3453" coordorigin="2699,5" coordsize="0,3453" path="m2699,5l2699,3458e" filled="false" stroked="true" strokeweight=".48pt" strokecolor="#000000">
                <v:path arrowok="t"/>
              </v:shape>
            </v:group>
            <v:group style="position:absolute;left:2704;top:3453;width:1267;height:2" coordorigin="2704,3453" coordsize="1267,2">
              <v:shape style="position:absolute;left:2704;top:3453;width:1267;height:2" coordorigin="2704,3453" coordsize="1267,0" path="m2704,3453l3970,3453e" filled="false" stroked="true" strokeweight=".48pt" strokecolor="#000000">
                <v:path arrowok="t"/>
              </v:shape>
            </v:group>
            <v:group style="position:absolute;left:3975;top:5;width:2;height:3453" coordorigin="3975,5" coordsize="2,3453">
              <v:shape style="position:absolute;left:3975;top:5;width:2;height:3453" coordorigin="3975,5" coordsize="0,3453" path="m3975,5l3975,3458e" filled="false" stroked="true" strokeweight=".48pt" strokecolor="#000000">
                <v:path arrowok="t"/>
              </v:shape>
            </v:group>
            <v:group style="position:absolute;left:3980;top:3453;width:1266;height:2" coordorigin="3980,3453" coordsize="1266,2">
              <v:shape style="position:absolute;left:3980;top:3453;width:1266;height:2" coordorigin="3980,3453" coordsize="1266,0" path="m3980,3453l5246,3453e" filled="false" stroked="true" strokeweight=".48pt" strokecolor="#000000">
                <v:path arrowok="t"/>
              </v:shape>
            </v:group>
            <v:group style="position:absolute;left:5251;top:5;width:2;height:3453" coordorigin="5251,5" coordsize="2,3453">
              <v:shape style="position:absolute;left:5251;top:5;width:2;height:3453" coordorigin="5251,5" coordsize="0,3453" path="m5251,5l5251,3458e" filled="false" stroked="true" strokeweight=".48pt" strokecolor="#000000">
                <v:path arrowok="t"/>
              </v:shape>
            </v:group>
            <v:group style="position:absolute;left:5256;top:3453;width:4314;height:2" coordorigin="5256,3453" coordsize="4314,2">
              <v:shape style="position:absolute;left:5256;top:3453;width:4314;height:2" coordorigin="5256,3453" coordsize="4314,0" path="m5256,3453l9569,3453e" filled="false" stroked="true" strokeweight=".48pt" strokecolor="#000000">
                <v:path arrowok="t"/>
              </v:shape>
            </v:group>
            <v:group style="position:absolute;left:9574;top:5;width:2;height:3453" coordorigin="9574,5" coordsize="2,3453">
              <v:shape style="position:absolute;left:9574;top:5;width:2;height:3453" coordorigin="9574,5" coordsize="0,3453" path="m9574,5l9574,3458e" filled="false" stroked="true" strokeweight=".48pt" strokecolor="#000000">
                <v:path arrowok="t"/>
              </v:shape>
              <v:shape style="position:absolute;left:0;top:0;width:9654;height:3463" type="#_x0000_t202" filled="false" stroked="false">
                <v:textbox inset="0,0,0,0">
                  <w:txbxContent>
                    <w:p>
                      <w:pPr>
                        <w:spacing w:line="259" w:lineRule="auto" w:before="0"/>
                        <w:ind w:left="5278" w:right="0" w:firstLine="0"/>
                        <w:jc w:val="left"/>
                        <w:rPr>
                          <w:rFonts w:ascii="宋体" w:hAnsi="宋体" w:cs="宋体" w:eastAsia="宋体" w:hint="default"/>
                          <w:sz w:val="22"/>
                          <w:szCs w:val="22"/>
                        </w:rPr>
                      </w:pPr>
                      <w:r>
                        <w:rPr>
                          <w:rFonts w:ascii="宋体" w:hAnsi="宋体" w:cs="宋体" w:eastAsia="宋体" w:hint="default"/>
                          <w:spacing w:val="4"/>
                          <w:sz w:val="22"/>
                          <w:szCs w:val="22"/>
                        </w:rPr>
                        <w:t>备、计算机设备、办公设备的销售，洗衣服</w:t>
                      </w:r>
                      <w:r>
                        <w:rPr>
                          <w:rFonts w:ascii="宋体" w:hAnsi="宋体" w:cs="宋体" w:eastAsia="宋体" w:hint="default"/>
                          <w:w w:val="99"/>
                          <w:sz w:val="22"/>
                          <w:szCs w:val="22"/>
                        </w:rPr>
                        <w:t> </w:t>
                      </w:r>
                      <w:r>
                        <w:rPr>
                          <w:rFonts w:ascii="宋体" w:hAnsi="宋体" w:cs="宋体" w:eastAsia="宋体" w:hint="default"/>
                          <w:spacing w:val="4"/>
                          <w:sz w:val="22"/>
                          <w:szCs w:val="22"/>
                        </w:rPr>
                        <w:t>务，柜台、场地租赁，国内商品展示服务，</w:t>
                      </w:r>
                      <w:r>
                        <w:rPr>
                          <w:rFonts w:ascii="宋体" w:hAnsi="宋体" w:cs="宋体" w:eastAsia="宋体" w:hint="default"/>
                          <w:w w:val="99"/>
                          <w:sz w:val="22"/>
                          <w:szCs w:val="22"/>
                        </w:rPr>
                        <w:t> </w:t>
                      </w:r>
                      <w:r>
                        <w:rPr>
                          <w:rFonts w:ascii="宋体" w:hAnsi="宋体" w:cs="宋体" w:eastAsia="宋体" w:hint="default"/>
                          <w:spacing w:val="4"/>
                          <w:sz w:val="22"/>
                          <w:szCs w:val="22"/>
                        </w:rPr>
                        <w:t>企业形象策划，人才培训，自营和代理各类</w:t>
                      </w:r>
                      <w:r>
                        <w:rPr>
                          <w:rFonts w:ascii="宋体" w:hAnsi="宋体" w:cs="宋体" w:eastAsia="宋体" w:hint="default"/>
                          <w:w w:val="99"/>
                          <w:sz w:val="22"/>
                          <w:szCs w:val="22"/>
                        </w:rPr>
                        <w:t> </w:t>
                      </w:r>
                      <w:r>
                        <w:rPr>
                          <w:rFonts w:ascii="宋体" w:hAnsi="宋体" w:cs="宋体" w:eastAsia="宋体" w:hint="default"/>
                          <w:spacing w:val="-2"/>
                          <w:sz w:val="22"/>
                          <w:szCs w:val="22"/>
                        </w:rPr>
                        <w:t>商品及技术的进出口业务，计算机软件开发、</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2"/>
                          <w:sz w:val="22"/>
                          <w:szCs w:val="22"/>
                        </w:rPr>
                        <w:t>销售、系统集成，企业管理服务，会务服务，</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4"/>
                          <w:sz w:val="22"/>
                          <w:szCs w:val="22"/>
                        </w:rPr>
                        <w:t>中、西餐制售，音像制品零售茶座，卷烟、</w:t>
                      </w:r>
                      <w:r>
                        <w:rPr>
                          <w:rFonts w:ascii="宋体" w:hAnsi="宋体" w:cs="宋体" w:eastAsia="宋体" w:hint="default"/>
                          <w:w w:val="99"/>
                          <w:sz w:val="22"/>
                          <w:szCs w:val="22"/>
                        </w:rPr>
                        <w:t> </w:t>
                      </w:r>
                      <w:r>
                        <w:rPr>
                          <w:rFonts w:ascii="宋体" w:hAnsi="宋体" w:cs="宋体" w:eastAsia="宋体" w:hint="default"/>
                          <w:spacing w:val="-2"/>
                          <w:sz w:val="22"/>
                          <w:szCs w:val="22"/>
                        </w:rPr>
                        <w:t>烟丝、雪茄烟零售，国内版图书、期刊零售，</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2"/>
                          <w:sz w:val="22"/>
                          <w:szCs w:val="22"/>
                        </w:rPr>
                        <w:t>预包装食品兼散装食品的批发与零售、住宿，</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7"/>
                          <w:sz w:val="22"/>
                          <w:szCs w:val="22"/>
                        </w:rPr>
                        <w:t>酒吧，洗浴，游泳，电讯服务。（依法须经批</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pacing w:val="4"/>
                          <w:sz w:val="22"/>
                          <w:szCs w:val="22"/>
                        </w:rPr>
                        <w:t>准的项目，经相关部门批准后方可开展经营</w:t>
                      </w:r>
                      <w:r>
                        <w:rPr>
                          <w:rFonts w:ascii="宋体" w:hAnsi="宋体" w:cs="宋体" w:eastAsia="宋体" w:hint="default"/>
                          <w:w w:val="99"/>
                          <w:sz w:val="22"/>
                          <w:szCs w:val="22"/>
                        </w:rPr>
                        <w:t> </w:t>
                      </w:r>
                      <w:r>
                        <w:rPr>
                          <w:rFonts w:ascii="宋体" w:hAnsi="宋体" w:cs="宋体" w:eastAsia="宋体" w:hint="default"/>
                          <w:sz w:val="22"/>
                          <w:szCs w:val="22"/>
                        </w:rPr>
                        <w:t>活动）</w:t>
                      </w:r>
                    </w:p>
                  </w:txbxContent>
                </v:textbox>
                <w10:wrap type="none"/>
              </v:shape>
            </v:group>
          </v:group>
        </w:pict>
      </w:r>
      <w:r>
        <w:rPr>
          <w:rFonts w:ascii="宋体" w:hAnsi="宋体" w:cs="宋体" w:eastAsia="宋体" w:hint="default"/>
          <w:position w:val="-68"/>
          <w:sz w:val="20"/>
          <w:szCs w:val="20"/>
        </w:rPr>
      </w:r>
    </w:p>
    <w:p>
      <w:pPr>
        <w:spacing w:line="240" w:lineRule="auto" w:before="7"/>
        <w:rPr>
          <w:rFonts w:ascii="宋体" w:hAnsi="宋体" w:cs="宋体" w:eastAsia="宋体" w:hint="default"/>
          <w:b/>
          <w:bCs/>
          <w:sz w:val="18"/>
          <w:szCs w:val="18"/>
        </w:rPr>
      </w:pPr>
    </w:p>
    <w:p>
      <w:pPr>
        <w:pStyle w:val="Heading4"/>
        <w:spacing w:line="240" w:lineRule="auto" w:before="31"/>
        <w:ind w:left="154" w:right="1082"/>
        <w:jc w:val="left"/>
        <w:rPr>
          <w:b w:val="0"/>
          <w:bCs w:val="0"/>
        </w:rPr>
      </w:pPr>
      <w:bookmarkStart w:name="5、控股股东、实际控制人、重组方及其他承诺主体股份限制减持情况" w:id="132"/>
      <w:bookmarkEnd w:id="13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15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082"/>
        <w:jc w:val="left"/>
        <w:rPr>
          <w:b w:val="0"/>
          <w:bCs w:val="0"/>
        </w:rPr>
      </w:pPr>
      <w:bookmarkStart w:name="第七节 优先股相关情况" w:id="133"/>
      <w:bookmarkEnd w:id="133"/>
      <w:r>
        <w:rPr>
          <w:b w:val="0"/>
          <w:bCs w:val="0"/>
        </w:rPr>
      </w:r>
      <w:bookmarkStart w:name="_bookmark6" w:id="134"/>
      <w:bookmarkEnd w:id="13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BodyText"/>
        <w:spacing w:line="283" w:lineRule="auto" w:before="31"/>
        <w:ind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报告期公司不存在优先股。</w:t>
      </w:r>
    </w:p>
    <w:p>
      <w:pPr>
        <w:spacing w:after="0" w:line="283"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1082"/>
        <w:jc w:val="left"/>
        <w:rPr>
          <w:b w:val="0"/>
          <w:bCs w:val="0"/>
        </w:rPr>
      </w:pPr>
      <w:bookmarkStart w:name="第八节 董事、监事、高级管理人员和员工情况" w:id="135"/>
      <w:bookmarkEnd w:id="135"/>
      <w:r>
        <w:rPr>
          <w:b w:val="0"/>
          <w:bCs w:val="0"/>
        </w:rPr>
      </w:r>
      <w:bookmarkStart w:name="_bookmark7" w:id="136"/>
      <w:bookmarkEnd w:id="136"/>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82"/>
        <w:jc w:val="left"/>
        <w:rPr>
          <w:b w:val="0"/>
          <w:bCs w:val="0"/>
        </w:rPr>
      </w:pPr>
      <w:bookmarkStart w:name="一、董事、监事和高级管理人员持股变动" w:id="137"/>
      <w:bookmarkEnd w:id="13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778"/>
        <w:gridCol w:w="784"/>
        <w:gridCol w:w="785"/>
        <w:gridCol w:w="520"/>
        <w:gridCol w:w="568"/>
        <w:gridCol w:w="992"/>
        <w:gridCol w:w="1060"/>
        <w:gridCol w:w="1320"/>
        <w:gridCol w:w="785"/>
        <w:gridCol w:w="785"/>
        <w:gridCol w:w="1320"/>
      </w:tblGrid>
      <w:tr>
        <w:trPr>
          <w:trHeight w:val="125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83"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职务</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288" w:right="84" w:hanging="201"/>
              <w:jc w:val="left"/>
              <w:rPr>
                <w:rFonts w:ascii="宋体" w:hAnsi="宋体" w:cs="宋体" w:eastAsia="宋体" w:hint="default"/>
                <w:sz w:val="20"/>
                <w:szCs w:val="20"/>
              </w:rPr>
            </w:pPr>
            <w:r>
              <w:rPr>
                <w:rFonts w:ascii="宋体" w:hAnsi="宋体" w:cs="宋体" w:eastAsia="宋体" w:hint="default"/>
                <w:sz w:val="20"/>
                <w:szCs w:val="20"/>
              </w:rPr>
              <w:t>任职状</w:t>
            </w:r>
            <w:r>
              <w:rPr>
                <w:rFonts w:ascii="宋体" w:hAnsi="宋体" w:cs="宋体" w:eastAsia="宋体" w:hint="default"/>
                <w:w w:val="100"/>
                <w:sz w:val="20"/>
                <w:szCs w:val="20"/>
              </w:rPr>
              <w:t> </w:t>
            </w:r>
            <w:r>
              <w:rPr>
                <w:rFonts w:ascii="宋体" w:hAnsi="宋体" w:cs="宋体" w:eastAsia="宋体" w:hint="default"/>
                <w:sz w:val="20"/>
                <w:szCs w:val="20"/>
              </w:rPr>
              <w:t>态</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55" w:right="0"/>
              <w:jc w:val="left"/>
              <w:rPr>
                <w:rFonts w:ascii="宋体" w:hAnsi="宋体" w:cs="宋体" w:eastAsia="宋体" w:hint="default"/>
                <w:sz w:val="20"/>
                <w:szCs w:val="20"/>
              </w:rPr>
            </w:pPr>
            <w:r>
              <w:rPr>
                <w:rFonts w:ascii="宋体" w:hAnsi="宋体" w:cs="宋体" w:eastAsia="宋体" w:hint="default"/>
                <w:sz w:val="20"/>
                <w:szCs w:val="20"/>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77"/>
              <w:jc w:val="right"/>
              <w:rPr>
                <w:rFonts w:ascii="宋体" w:hAnsi="宋体" w:cs="宋体" w:eastAsia="宋体" w:hint="default"/>
                <w:sz w:val="20"/>
                <w:szCs w:val="20"/>
              </w:rPr>
            </w:pPr>
            <w:r>
              <w:rPr>
                <w:rFonts w:ascii="宋体" w:hAnsi="宋体" w:cs="宋体" w:eastAsia="宋体" w:hint="default"/>
                <w:sz w:val="20"/>
                <w:szCs w:val="20"/>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291" w:right="87" w:hanging="201"/>
              <w:jc w:val="left"/>
              <w:rPr>
                <w:rFonts w:ascii="宋体" w:hAnsi="宋体" w:cs="宋体" w:eastAsia="宋体" w:hint="default"/>
                <w:sz w:val="20"/>
                <w:szCs w:val="20"/>
              </w:rPr>
            </w:pPr>
            <w:r>
              <w:rPr>
                <w:rFonts w:ascii="宋体" w:hAnsi="宋体" w:cs="宋体" w:eastAsia="宋体" w:hint="default"/>
                <w:sz w:val="20"/>
                <w:szCs w:val="20"/>
              </w:rPr>
              <w:t>任期起始</w:t>
            </w:r>
            <w:r>
              <w:rPr>
                <w:rFonts w:ascii="宋体" w:hAnsi="宋体" w:cs="宋体" w:eastAsia="宋体" w:hint="default"/>
                <w:w w:val="100"/>
                <w:sz w:val="20"/>
                <w:szCs w:val="20"/>
              </w:rPr>
              <w:t> </w:t>
            </w:r>
            <w:r>
              <w:rPr>
                <w:rFonts w:ascii="宋体" w:hAnsi="宋体" w:cs="宋体" w:eastAsia="宋体" w:hint="default"/>
                <w:sz w:val="20"/>
                <w:szCs w:val="20"/>
              </w:rPr>
              <w:t>日期</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423" w:right="23" w:hanging="400"/>
              <w:jc w:val="left"/>
              <w:rPr>
                <w:rFonts w:ascii="宋体" w:hAnsi="宋体" w:cs="宋体" w:eastAsia="宋体" w:hint="default"/>
                <w:sz w:val="20"/>
                <w:szCs w:val="20"/>
              </w:rPr>
            </w:pPr>
            <w:r>
              <w:rPr>
                <w:rFonts w:ascii="宋体" w:hAnsi="宋体" w:cs="宋体" w:eastAsia="宋体" w:hint="default"/>
                <w:sz w:val="20"/>
                <w:szCs w:val="20"/>
              </w:rPr>
              <w:t>任期终止日</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期初持股数</w:t>
            </w:r>
          </w:p>
          <w:p>
            <w:pPr>
              <w:pStyle w:val="TableParagraph"/>
              <w:spacing w:line="240" w:lineRule="auto" w:before="50"/>
              <w:ind w:right="1"/>
              <w:jc w:val="center"/>
              <w:rPr>
                <w:rFonts w:ascii="宋体" w:hAnsi="宋体" w:cs="宋体" w:eastAsia="宋体" w:hint="default"/>
                <w:sz w:val="20"/>
                <w:szCs w:val="20"/>
              </w:rPr>
            </w:pPr>
            <w:r>
              <w:rPr>
                <w:rFonts w:ascii="宋体" w:hAnsi="宋体" w:cs="宋体" w:eastAsia="宋体" w:hint="default"/>
                <w:sz w:val="20"/>
                <w:szCs w:val="20"/>
              </w:rPr>
              <w:t>（股）</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86" w:right="87"/>
              <w:jc w:val="both"/>
              <w:rPr>
                <w:rFonts w:ascii="宋体" w:hAnsi="宋体" w:cs="宋体" w:eastAsia="宋体" w:hint="default"/>
                <w:sz w:val="20"/>
                <w:szCs w:val="20"/>
              </w:rPr>
            </w:pPr>
            <w:r>
              <w:rPr>
                <w:rFonts w:ascii="宋体" w:hAnsi="宋体" w:cs="宋体" w:eastAsia="宋体" w:hint="default"/>
                <w:sz w:val="20"/>
                <w:szCs w:val="20"/>
              </w:rPr>
              <w:t>本期增</w:t>
            </w:r>
            <w:r>
              <w:rPr>
                <w:rFonts w:ascii="宋体" w:hAnsi="宋体" w:cs="宋体" w:eastAsia="宋体" w:hint="default"/>
                <w:w w:val="100"/>
                <w:sz w:val="20"/>
                <w:szCs w:val="20"/>
              </w:rPr>
              <w:t> </w:t>
            </w:r>
            <w:r>
              <w:rPr>
                <w:rFonts w:ascii="宋体" w:hAnsi="宋体" w:cs="宋体" w:eastAsia="宋体" w:hint="default"/>
                <w:sz w:val="20"/>
                <w:szCs w:val="20"/>
              </w:rPr>
              <w:t>持股份</w:t>
            </w:r>
            <w:r>
              <w:rPr>
                <w:rFonts w:ascii="宋体" w:hAnsi="宋体" w:cs="宋体" w:eastAsia="宋体" w:hint="default"/>
                <w:w w:val="100"/>
                <w:sz w:val="20"/>
                <w:szCs w:val="20"/>
              </w:rPr>
              <w:t> </w:t>
            </w:r>
            <w:r>
              <w:rPr>
                <w:rFonts w:ascii="宋体" w:hAnsi="宋体" w:cs="宋体" w:eastAsia="宋体" w:hint="default"/>
                <w:sz w:val="20"/>
                <w:szCs w:val="20"/>
              </w:rPr>
              <w:t>数量</w:t>
            </w:r>
          </w:p>
          <w:p>
            <w:pPr>
              <w:pStyle w:val="TableParagraph"/>
              <w:spacing w:line="240" w:lineRule="auto" w:before="12"/>
              <w:ind w:left="86" w:right="0"/>
              <w:jc w:val="both"/>
              <w:rPr>
                <w:rFonts w:ascii="宋体" w:hAnsi="宋体" w:cs="宋体" w:eastAsia="宋体" w:hint="default"/>
                <w:sz w:val="20"/>
                <w:szCs w:val="20"/>
              </w:rPr>
            </w:pPr>
            <w:r>
              <w:rPr>
                <w:rFonts w:ascii="宋体" w:hAnsi="宋体" w:cs="宋体" w:eastAsia="宋体" w:hint="default"/>
                <w:sz w:val="20"/>
                <w:szCs w:val="20"/>
              </w:rPr>
              <w:t>（股）</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86" w:right="85"/>
              <w:jc w:val="both"/>
              <w:rPr>
                <w:rFonts w:ascii="宋体" w:hAnsi="宋体" w:cs="宋体" w:eastAsia="宋体" w:hint="default"/>
                <w:sz w:val="20"/>
                <w:szCs w:val="20"/>
              </w:rPr>
            </w:pPr>
            <w:r>
              <w:rPr>
                <w:rFonts w:ascii="宋体" w:hAnsi="宋体" w:cs="宋体" w:eastAsia="宋体" w:hint="default"/>
                <w:sz w:val="20"/>
                <w:szCs w:val="20"/>
              </w:rPr>
              <w:t>本期减</w:t>
            </w:r>
            <w:r>
              <w:rPr>
                <w:rFonts w:ascii="宋体" w:hAnsi="宋体" w:cs="宋体" w:eastAsia="宋体" w:hint="default"/>
                <w:w w:val="100"/>
                <w:sz w:val="20"/>
                <w:szCs w:val="20"/>
              </w:rPr>
              <w:t> </w:t>
            </w:r>
            <w:r>
              <w:rPr>
                <w:rFonts w:ascii="宋体" w:hAnsi="宋体" w:cs="宋体" w:eastAsia="宋体" w:hint="default"/>
                <w:sz w:val="20"/>
                <w:szCs w:val="20"/>
              </w:rPr>
              <w:t>持股份</w:t>
            </w:r>
            <w:r>
              <w:rPr>
                <w:rFonts w:ascii="宋体" w:hAnsi="宋体" w:cs="宋体" w:eastAsia="宋体" w:hint="default"/>
                <w:w w:val="100"/>
                <w:sz w:val="20"/>
                <w:szCs w:val="20"/>
              </w:rPr>
              <w:t> </w:t>
            </w:r>
            <w:r>
              <w:rPr>
                <w:rFonts w:ascii="宋体" w:hAnsi="宋体" w:cs="宋体" w:eastAsia="宋体" w:hint="default"/>
                <w:sz w:val="20"/>
                <w:szCs w:val="20"/>
              </w:rPr>
              <w:t>数量</w:t>
            </w:r>
          </w:p>
          <w:p>
            <w:pPr>
              <w:pStyle w:val="TableParagraph"/>
              <w:spacing w:line="240" w:lineRule="auto" w:before="12"/>
              <w:ind w:left="86" w:right="0"/>
              <w:jc w:val="both"/>
              <w:rPr>
                <w:rFonts w:ascii="宋体" w:hAnsi="宋体" w:cs="宋体" w:eastAsia="宋体" w:hint="default"/>
                <w:sz w:val="20"/>
                <w:szCs w:val="20"/>
              </w:rPr>
            </w:pPr>
            <w:r>
              <w:rPr>
                <w:rFonts w:ascii="宋体" w:hAnsi="宋体" w:cs="宋体" w:eastAsia="宋体" w:hint="default"/>
                <w:sz w:val="20"/>
                <w:szCs w:val="20"/>
              </w:rPr>
              <w:t>（股）</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期末持股数</w:t>
            </w:r>
          </w:p>
          <w:p>
            <w:pPr>
              <w:pStyle w:val="TableParagraph"/>
              <w:spacing w:line="240" w:lineRule="auto" w:before="50"/>
              <w:ind w:right="1"/>
              <w:jc w:val="center"/>
              <w:rPr>
                <w:rFonts w:ascii="宋体" w:hAnsi="宋体" w:cs="宋体" w:eastAsia="宋体" w:hint="default"/>
                <w:sz w:val="20"/>
                <w:szCs w:val="20"/>
              </w:rPr>
            </w:pPr>
            <w:r>
              <w:rPr>
                <w:rFonts w:ascii="宋体" w:hAnsi="宋体" w:cs="宋体" w:eastAsia="宋体" w:hint="default"/>
                <w:sz w:val="20"/>
                <w:szCs w:val="20"/>
              </w:rPr>
              <w:t>（股）</w:t>
            </w:r>
          </w:p>
        </w:tc>
      </w:tr>
      <w:tr>
        <w:trPr>
          <w:trHeight w:val="63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张近东</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1,951,811,430</w:t>
            </w: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1,951,811,430</w:t>
            </w:r>
          </w:p>
        </w:tc>
      </w:tr>
      <w:tr>
        <w:trPr>
          <w:trHeight w:val="63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孙为民</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49"/>
              <w:jc w:val="left"/>
              <w:rPr>
                <w:rFonts w:ascii="宋体" w:hAnsi="宋体" w:cs="宋体" w:eastAsia="宋体" w:hint="default"/>
                <w:sz w:val="20"/>
                <w:szCs w:val="20"/>
              </w:rPr>
            </w:pPr>
            <w:r>
              <w:rPr>
                <w:rFonts w:ascii="宋体" w:hAnsi="宋体" w:cs="宋体" w:eastAsia="宋体" w:hint="default"/>
                <w:sz w:val="20"/>
                <w:szCs w:val="20"/>
              </w:rPr>
              <w:t>副董事</w:t>
            </w:r>
            <w:r>
              <w:rPr>
                <w:rFonts w:ascii="宋体" w:hAnsi="宋体" w:cs="宋体" w:eastAsia="宋体" w:hint="default"/>
                <w:w w:val="100"/>
                <w:sz w:val="20"/>
                <w:szCs w:val="20"/>
              </w:rPr>
              <w:t> </w:t>
            </w:r>
            <w:r>
              <w:rPr>
                <w:rFonts w:ascii="宋体" w:hAnsi="宋体" w:cs="宋体" w:eastAsia="宋体" w:hint="default"/>
                <w:sz w:val="20"/>
                <w:szCs w:val="20"/>
              </w:rPr>
              <w:t>长</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4,603,003</w:t>
            </w: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4,603,003</w:t>
            </w:r>
          </w:p>
        </w:tc>
      </w:tr>
      <w:tr>
        <w:trPr>
          <w:trHeight w:val="635"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20"/>
                <w:szCs w:val="20"/>
              </w:rPr>
            </w:pPr>
            <w:r>
              <w:rPr>
                <w:rFonts w:ascii="宋体" w:hAnsi="宋体" w:cs="宋体" w:eastAsia="宋体" w:hint="default"/>
                <w:sz w:val="20"/>
                <w:szCs w:val="20"/>
              </w:rPr>
              <w:t>金明</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9"/>
              <w:jc w:val="left"/>
              <w:rPr>
                <w:rFonts w:ascii="宋体" w:hAnsi="宋体" w:cs="宋体" w:eastAsia="宋体" w:hint="default"/>
                <w:sz w:val="20"/>
                <w:szCs w:val="20"/>
              </w:rPr>
            </w:pPr>
            <w:r>
              <w:rPr>
                <w:rFonts w:ascii="宋体" w:hAnsi="宋体" w:cs="宋体" w:eastAsia="宋体" w:hint="default"/>
                <w:spacing w:val="-18"/>
                <w:sz w:val="20"/>
                <w:szCs w:val="20"/>
              </w:rPr>
              <w:t>董事、总</w:t>
            </w:r>
            <w:r>
              <w:rPr>
                <w:rFonts w:ascii="宋体" w:hAnsi="宋体" w:cs="宋体" w:eastAsia="宋体" w:hint="default"/>
                <w:w w:val="100"/>
                <w:sz w:val="20"/>
                <w:szCs w:val="20"/>
              </w:rPr>
              <w:t> </w:t>
            </w:r>
            <w:r>
              <w:rPr>
                <w:rFonts w:ascii="宋体" w:hAnsi="宋体" w:cs="宋体" w:eastAsia="宋体" w:hint="default"/>
                <w:sz w:val="20"/>
                <w:szCs w:val="20"/>
              </w:rPr>
              <w:t>裁</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125,001,165</w:t>
            </w: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125,001,165</w:t>
            </w:r>
          </w:p>
        </w:tc>
      </w:tr>
      <w:tr>
        <w:trPr>
          <w:trHeight w:val="63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孟祥胜</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9"/>
              <w:jc w:val="left"/>
              <w:rPr>
                <w:rFonts w:ascii="宋体" w:hAnsi="宋体" w:cs="宋体" w:eastAsia="宋体" w:hint="default"/>
                <w:sz w:val="20"/>
                <w:szCs w:val="20"/>
              </w:rPr>
            </w:pPr>
            <w:r>
              <w:rPr>
                <w:rFonts w:ascii="宋体" w:hAnsi="宋体" w:cs="宋体" w:eastAsia="宋体" w:hint="default"/>
                <w:spacing w:val="-18"/>
                <w:sz w:val="20"/>
                <w:szCs w:val="20"/>
              </w:rPr>
              <w:t>董事、副</w:t>
            </w:r>
            <w:r>
              <w:rPr>
                <w:rFonts w:ascii="宋体" w:hAnsi="宋体" w:cs="宋体" w:eastAsia="宋体" w:hint="default"/>
                <w:w w:val="100"/>
                <w:sz w:val="20"/>
                <w:szCs w:val="20"/>
              </w:rPr>
              <w:t> </w:t>
            </w:r>
            <w:r>
              <w:rPr>
                <w:rFonts w:ascii="宋体" w:hAnsi="宋体" w:cs="宋体" w:eastAsia="宋体" w:hint="default"/>
                <w:sz w:val="20"/>
                <w:szCs w:val="20"/>
              </w:rPr>
              <w:t>总裁</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4,047,949</w:t>
            </w: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4,047,949</w:t>
            </w:r>
          </w:p>
        </w:tc>
      </w:tr>
      <w:tr>
        <w:trPr>
          <w:trHeight w:val="946"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任峻</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9"/>
              <w:jc w:val="both"/>
              <w:rPr>
                <w:rFonts w:ascii="宋体" w:hAnsi="宋体" w:cs="宋体" w:eastAsia="宋体" w:hint="default"/>
                <w:sz w:val="20"/>
                <w:szCs w:val="20"/>
              </w:rPr>
            </w:pPr>
            <w:r>
              <w:rPr>
                <w:rFonts w:ascii="宋体" w:hAnsi="宋体" w:cs="宋体" w:eastAsia="宋体" w:hint="default"/>
                <w:spacing w:val="-18"/>
                <w:sz w:val="20"/>
                <w:szCs w:val="20"/>
              </w:rPr>
              <w:t>董事、副</w:t>
            </w:r>
            <w:r>
              <w:rPr>
                <w:rFonts w:ascii="宋体" w:hAnsi="宋体" w:cs="宋体" w:eastAsia="宋体" w:hint="default"/>
                <w:w w:val="100"/>
                <w:sz w:val="20"/>
                <w:szCs w:val="20"/>
              </w:rPr>
              <w:t> </w:t>
            </w:r>
            <w:r>
              <w:rPr>
                <w:rFonts w:ascii="宋体" w:hAnsi="宋体" w:cs="宋体" w:eastAsia="宋体" w:hint="default"/>
                <w:spacing w:val="-18"/>
                <w:sz w:val="20"/>
                <w:szCs w:val="20"/>
              </w:rPr>
              <w:t>总裁、董</w:t>
            </w:r>
            <w:r>
              <w:rPr>
                <w:rFonts w:ascii="宋体" w:hAnsi="宋体" w:cs="宋体" w:eastAsia="宋体" w:hint="default"/>
                <w:w w:val="100"/>
                <w:sz w:val="20"/>
                <w:szCs w:val="20"/>
              </w:rPr>
              <w:t> </w:t>
            </w:r>
            <w:r>
              <w:rPr>
                <w:rFonts w:ascii="宋体" w:hAnsi="宋体" w:cs="宋体" w:eastAsia="宋体" w:hint="default"/>
                <w:sz w:val="20"/>
                <w:szCs w:val="20"/>
              </w:rPr>
              <w:t>秘</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4,596,297</w:t>
            </w: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4,596,297</w:t>
            </w:r>
          </w:p>
        </w:tc>
      </w:tr>
      <w:tr>
        <w:trPr>
          <w:trHeight w:val="635"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20"/>
                <w:szCs w:val="20"/>
              </w:rPr>
            </w:pPr>
            <w:r>
              <w:rPr>
                <w:rFonts w:ascii="宋体" w:hAnsi="宋体" w:cs="宋体" w:eastAsia="宋体" w:hint="default"/>
                <w:sz w:val="20"/>
                <w:szCs w:val="20"/>
              </w:rPr>
              <w:t>陈俊杰</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徐光华</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49"/>
              <w:jc w:val="left"/>
              <w:rPr>
                <w:rFonts w:ascii="宋体" w:hAnsi="宋体" w:cs="宋体" w:eastAsia="宋体" w:hint="default"/>
                <w:sz w:val="20"/>
                <w:szCs w:val="20"/>
              </w:rPr>
            </w:pPr>
            <w:r>
              <w:rPr>
                <w:rFonts w:ascii="宋体" w:hAnsi="宋体" w:cs="宋体" w:eastAsia="宋体" w:hint="default"/>
                <w:sz w:val="20"/>
                <w:szCs w:val="20"/>
              </w:rPr>
              <w:t>独立董</w:t>
            </w:r>
            <w:r>
              <w:rPr>
                <w:rFonts w:ascii="宋体" w:hAnsi="宋体" w:cs="宋体" w:eastAsia="宋体" w:hint="default"/>
                <w:w w:val="100"/>
                <w:sz w:val="20"/>
                <w:szCs w:val="20"/>
              </w:rPr>
              <w:t> </w:t>
            </w:r>
            <w:r>
              <w:rPr>
                <w:rFonts w:ascii="宋体" w:hAnsi="宋体" w:cs="宋体" w:eastAsia="宋体" w:hint="default"/>
                <w:sz w:val="20"/>
                <w:szCs w:val="20"/>
              </w:rPr>
              <w:t>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沈厚才</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49"/>
              <w:jc w:val="left"/>
              <w:rPr>
                <w:rFonts w:ascii="宋体" w:hAnsi="宋体" w:cs="宋体" w:eastAsia="宋体" w:hint="default"/>
                <w:sz w:val="20"/>
                <w:szCs w:val="20"/>
              </w:rPr>
            </w:pPr>
            <w:r>
              <w:rPr>
                <w:rFonts w:ascii="宋体" w:hAnsi="宋体" w:cs="宋体" w:eastAsia="宋体" w:hint="default"/>
                <w:sz w:val="20"/>
                <w:szCs w:val="20"/>
              </w:rPr>
              <w:t>独立董</w:t>
            </w:r>
            <w:r>
              <w:rPr>
                <w:rFonts w:ascii="宋体" w:hAnsi="宋体" w:cs="宋体" w:eastAsia="宋体" w:hint="default"/>
                <w:w w:val="100"/>
                <w:sz w:val="20"/>
                <w:szCs w:val="20"/>
              </w:rPr>
              <w:t> </w:t>
            </w:r>
            <w:r>
              <w:rPr>
                <w:rFonts w:ascii="宋体" w:hAnsi="宋体" w:cs="宋体" w:eastAsia="宋体" w:hint="default"/>
                <w:sz w:val="20"/>
                <w:szCs w:val="20"/>
              </w:rPr>
              <w:t>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20"/>
                <w:szCs w:val="20"/>
              </w:rPr>
            </w:pPr>
            <w:r>
              <w:rPr>
                <w:rFonts w:ascii="宋体" w:hAnsi="宋体" w:cs="宋体" w:eastAsia="宋体" w:hint="default"/>
                <w:sz w:val="20"/>
                <w:szCs w:val="20"/>
              </w:rPr>
              <w:t>王全胜</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49"/>
              <w:jc w:val="left"/>
              <w:rPr>
                <w:rFonts w:ascii="宋体" w:hAnsi="宋体" w:cs="宋体" w:eastAsia="宋体" w:hint="default"/>
                <w:sz w:val="20"/>
                <w:szCs w:val="20"/>
              </w:rPr>
            </w:pPr>
            <w:r>
              <w:rPr>
                <w:rFonts w:ascii="宋体" w:hAnsi="宋体" w:cs="宋体" w:eastAsia="宋体" w:hint="default"/>
                <w:sz w:val="20"/>
                <w:szCs w:val="20"/>
              </w:rPr>
              <w:t>独立董</w:t>
            </w:r>
            <w:r>
              <w:rPr>
                <w:rFonts w:ascii="宋体" w:hAnsi="宋体" w:cs="宋体" w:eastAsia="宋体" w:hint="default"/>
                <w:w w:val="100"/>
                <w:sz w:val="20"/>
                <w:szCs w:val="20"/>
              </w:rPr>
              <w:t> </w:t>
            </w:r>
            <w:r>
              <w:rPr>
                <w:rFonts w:ascii="宋体" w:hAnsi="宋体" w:cs="宋体" w:eastAsia="宋体" w:hint="default"/>
                <w:sz w:val="20"/>
                <w:szCs w:val="20"/>
              </w:rPr>
              <w:t>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李建颖</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49"/>
              <w:jc w:val="left"/>
              <w:rPr>
                <w:rFonts w:ascii="宋体" w:hAnsi="宋体" w:cs="宋体" w:eastAsia="宋体" w:hint="default"/>
                <w:sz w:val="20"/>
                <w:szCs w:val="20"/>
              </w:rPr>
            </w:pPr>
            <w:r>
              <w:rPr>
                <w:rFonts w:ascii="宋体" w:hAnsi="宋体" w:cs="宋体" w:eastAsia="宋体" w:hint="default"/>
                <w:sz w:val="20"/>
                <w:szCs w:val="20"/>
              </w:rPr>
              <w:t>监事会</w:t>
            </w:r>
            <w:r>
              <w:rPr>
                <w:rFonts w:ascii="宋体" w:hAnsi="宋体" w:cs="宋体" w:eastAsia="宋体" w:hint="default"/>
                <w:w w:val="100"/>
                <w:sz w:val="20"/>
                <w:szCs w:val="20"/>
              </w:rPr>
              <w:t> </w:t>
            </w:r>
            <w:r>
              <w:rPr>
                <w:rFonts w:ascii="宋体" w:hAnsi="宋体" w:cs="宋体" w:eastAsia="宋体" w:hint="default"/>
                <w:sz w:val="20"/>
                <w:szCs w:val="20"/>
              </w:rPr>
              <w:t>主席</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汪晓玲</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20"/>
                <w:szCs w:val="20"/>
              </w:rPr>
            </w:pPr>
            <w:r>
              <w:rPr>
                <w:rFonts w:ascii="宋体" w:hAnsi="宋体" w:cs="宋体" w:eastAsia="宋体" w:hint="default"/>
                <w:sz w:val="20"/>
                <w:szCs w:val="20"/>
              </w:rPr>
              <w:t>华志松</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肖忠祥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49"/>
              <w:jc w:val="left"/>
              <w:rPr>
                <w:rFonts w:ascii="宋体" w:hAnsi="宋体" w:cs="宋体" w:eastAsia="宋体" w:hint="default"/>
                <w:sz w:val="20"/>
                <w:szCs w:val="20"/>
              </w:rPr>
            </w:pPr>
            <w:r>
              <w:rPr>
                <w:rFonts w:ascii="宋体" w:hAnsi="宋体" w:cs="宋体" w:eastAsia="宋体" w:hint="default"/>
                <w:sz w:val="20"/>
                <w:szCs w:val="20"/>
              </w:rPr>
              <w:t>财务负</w:t>
            </w:r>
            <w:r>
              <w:rPr>
                <w:rFonts w:ascii="宋体" w:hAnsi="宋体" w:cs="宋体" w:eastAsia="宋体" w:hint="default"/>
                <w:w w:val="100"/>
                <w:sz w:val="20"/>
                <w:szCs w:val="20"/>
              </w:rPr>
              <w:t> </w:t>
            </w:r>
            <w:r>
              <w:rPr>
                <w:rFonts w:ascii="宋体" w:hAnsi="宋体" w:cs="宋体" w:eastAsia="宋体" w:hint="default"/>
                <w:sz w:val="20"/>
                <w:szCs w:val="20"/>
              </w:rPr>
              <w:t>责人</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48"/>
              <w:jc w:val="right"/>
              <w:rPr>
                <w:rFonts w:ascii="宋体" w:hAnsi="宋体" w:cs="宋体" w:eastAsia="宋体" w:hint="default"/>
                <w:sz w:val="20"/>
                <w:szCs w:val="20"/>
              </w:rPr>
            </w:pPr>
            <w:r>
              <w:rPr>
                <w:rFonts w:ascii="宋体" w:hAnsi="宋体" w:cs="宋体" w:eastAsia="宋体" w:hint="default"/>
                <w:sz w:val="20"/>
                <w:szCs w:val="20"/>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2016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317"/>
              <w:jc w:val="right"/>
              <w:rPr>
                <w:rFonts w:ascii="Times New Roman" w:hAnsi="Times New Roman" w:cs="Times New Roman" w:eastAsia="Times New Roman" w:hint="default"/>
                <w:sz w:val="20"/>
                <w:szCs w:val="20"/>
              </w:rPr>
            </w:pPr>
            <w:r>
              <w:rPr>
                <w:rFonts w:ascii="Times New Roman"/>
                <w:sz w:val="20"/>
              </w:rPr>
              <w:t>--</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sz w:val="20"/>
              </w:rPr>
              <w:t>--</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2,090,059,844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2,090,059,844</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82"/>
        <w:jc w:val="left"/>
        <w:rPr>
          <w:b w:val="0"/>
          <w:bCs w:val="0"/>
        </w:rPr>
      </w:pPr>
      <w:bookmarkStart w:name="二、公司董事、监事、高级管理人员变动情况" w:id="138"/>
      <w:bookmarkEnd w:id="138"/>
      <w:r>
        <w:rPr>
          <w:b w:val="0"/>
          <w:bCs w:val="0"/>
        </w:rPr>
      </w:r>
      <w:r>
        <w:rPr/>
        <w:t>二、公司董事、监事、高级管理人员变动情况</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left="594" w:right="1082"/>
        <w:jc w:val="left"/>
      </w:pPr>
      <w:r>
        <w:rPr/>
        <w:t>报告期内，公司董事、监事、高级管理人员未发生变动。</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082"/>
        <w:jc w:val="left"/>
        <w:rPr>
          <w:b w:val="0"/>
          <w:bCs w:val="0"/>
        </w:rPr>
      </w:pPr>
      <w:bookmarkStart w:name="三、任职情况" w:id="139"/>
      <w:bookmarkEnd w:id="139"/>
      <w:r>
        <w:rPr>
          <w:b w:val="0"/>
          <w:bCs w:val="0"/>
        </w:rPr>
      </w:r>
      <w:r>
        <w:rPr/>
        <w:t>三、任职情况</w:t>
      </w:r>
      <w:r>
        <w:rPr>
          <w:b w:val="0"/>
          <w:bCs w:val="0"/>
        </w:rPr>
      </w:r>
    </w:p>
    <w:p>
      <w:pPr>
        <w:spacing w:line="240" w:lineRule="auto" w:before="11"/>
        <w:rPr>
          <w:rFonts w:ascii="宋体" w:hAnsi="宋体" w:cs="宋体" w:eastAsia="宋体" w:hint="default"/>
          <w:b/>
          <w:bCs/>
          <w:sz w:val="29"/>
          <w:szCs w:val="29"/>
        </w:rPr>
      </w:pPr>
    </w:p>
    <w:p>
      <w:pPr>
        <w:pStyle w:val="BodyText"/>
        <w:spacing w:line="379" w:lineRule="auto"/>
        <w:ind w:left="594" w:right="1082"/>
        <w:jc w:val="left"/>
      </w:pPr>
      <w:r>
        <w:rPr/>
        <w:t>公司现任董事、监事、高级管理人员专业背景、主要工作经历以及目前在公司的主要职责</w:t>
      </w:r>
      <w:r>
        <w:rPr>
          <w:w w:val="99"/>
        </w:rPr>
        <w:t> </w:t>
      </w: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spacing w:val="1"/>
          <w:w w:val="99"/>
        </w:rPr>
        <w:t> </w:t>
      </w:r>
      <w:r>
        <w:rPr>
          <w:spacing w:val="-1"/>
          <w:w w:val="95"/>
        </w:rPr>
        <w:t>张近东先生：中国国籍，</w:t>
      </w:r>
      <w:r>
        <w:rPr>
          <w:rFonts w:ascii="Times New Roman" w:hAnsi="Times New Roman" w:cs="Times New Roman" w:eastAsia="Times New Roman" w:hint="default"/>
          <w:spacing w:val="-1"/>
          <w:w w:val="95"/>
        </w:rPr>
        <w:t>1963</w:t>
      </w:r>
      <w:r>
        <w:rPr>
          <w:spacing w:val="-1"/>
          <w:w w:val="95"/>
        </w:rPr>
        <w:t>年出生，汉族，本科学历。曾任江苏苏宁交家电有限公司董事长兼</w:t>
      </w:r>
      <w:r>
        <w:rPr>
          <w:spacing w:val="-1"/>
        </w:rPr>
      </w:r>
    </w:p>
    <w:p>
      <w:pPr>
        <w:pStyle w:val="BodyText"/>
        <w:spacing w:line="391" w:lineRule="auto" w:before="22"/>
        <w:ind w:right="0"/>
        <w:jc w:val="left"/>
      </w:pPr>
      <w:r>
        <w:rPr/>
        <w:t>总经理、中国人民政治协商会议第十、十一届全国委员会委员、中华全国工商业联合会常委、中华全</w:t>
      </w:r>
      <w:r>
        <w:rPr>
          <w:w w:val="99"/>
        </w:rPr>
        <w:t> </w:t>
      </w:r>
      <w:r>
        <w:rPr>
          <w:spacing w:val="-4"/>
        </w:rPr>
        <w:t>国工商业联合会副主席、江苏省第十一届人民代表大会代表，现任苏宁云商集团股份有限公司董事长、</w:t>
      </w:r>
      <w:r>
        <w:rPr>
          <w:spacing w:val="-101"/>
        </w:rPr>
        <w:t> </w:t>
      </w:r>
      <w:r>
        <w:rPr>
          <w:spacing w:val="-101"/>
        </w:rPr>
      </w:r>
      <w:r>
        <w:rPr/>
        <w:t>中国人民政治协商会议第十二届全国委员会委员、中国民间商会副会长、中国上市公司协会副会长。</w:t>
      </w:r>
      <w:r>
        <w:rPr>
          <w:spacing w:val="-75"/>
        </w:rPr>
        <w:t> </w:t>
      </w:r>
      <w:r>
        <w:rPr>
          <w:spacing w:val="-75"/>
        </w:rPr>
      </w:r>
      <w:r>
        <w:rPr/>
        <w:t>无在其他单位任职或兼职情况。</w:t>
      </w:r>
    </w:p>
    <w:p>
      <w:pPr>
        <w:pStyle w:val="BodyText"/>
        <w:spacing w:line="379" w:lineRule="auto" w:before="41"/>
        <w:ind w:right="1131" w:firstLine="440"/>
        <w:jc w:val="both"/>
      </w:pPr>
      <w:r>
        <w:rPr>
          <w:spacing w:val="-1"/>
        </w:rPr>
        <w:t>孙为民先生：中国国籍，</w:t>
      </w:r>
      <w:r>
        <w:rPr>
          <w:rFonts w:ascii="Times New Roman" w:hAnsi="Times New Roman" w:cs="Times New Roman" w:eastAsia="Times New Roman" w:hint="default"/>
          <w:spacing w:val="-1"/>
        </w:rPr>
        <w:t>1963</w:t>
      </w:r>
      <w:r>
        <w:rPr>
          <w:spacing w:val="-1"/>
        </w:rPr>
        <w:t>年出生，汉族，硕士学历。曾在南京理工大学执教，曾任苏宁交家</w:t>
      </w:r>
      <w:r>
        <w:rPr>
          <w:w w:val="99"/>
        </w:rPr>
        <w:t> </w:t>
      </w:r>
      <w:r>
        <w:rPr>
          <w:spacing w:val="-6"/>
        </w:rPr>
        <w:t>电（集团）有限公司副总裁、苏宁电器股份有限公司总裁，现任苏宁云商集团股份有限公司副董事长、</w:t>
      </w:r>
      <w:r>
        <w:rPr>
          <w:w w:val="99"/>
        </w:rPr>
        <w:t> </w:t>
      </w:r>
      <w:r>
        <w:rPr>
          <w:spacing w:val="-1"/>
        </w:rPr>
        <w:t>中国连锁经营协会副会长、清华大学中国零售研究院专家委员、江苏省工商联副主席。孙为民先生还</w:t>
      </w:r>
      <w:r>
        <w:rPr>
          <w:w w:val="99"/>
        </w:rPr>
        <w:t> </w:t>
      </w:r>
      <w:r>
        <w:rPr>
          <w:spacing w:val="-1"/>
        </w:rPr>
        <w:t>担任公司下属子公司</w:t>
      </w:r>
      <w:r>
        <w:rPr>
          <w:rFonts w:ascii="Times New Roman" w:hAnsi="Times New Roman" w:cs="Times New Roman" w:eastAsia="Times New Roman" w:hint="default"/>
          <w:spacing w:val="-1"/>
        </w:rPr>
        <w:t>—</w:t>
      </w:r>
      <w:r>
        <w:rPr>
          <w:spacing w:val="-1"/>
        </w:rPr>
        <w:t>陕西苏宁云商销售有限公司、江苏苏宁商业投资有限公司、西安苏宁云商贸易</w:t>
      </w:r>
      <w:r>
        <w:rPr>
          <w:w w:val="99"/>
        </w:rPr>
        <w:t> </w:t>
      </w:r>
      <w:r>
        <w:rPr/>
        <w:t>有限公司法定代表人。无在其他单位任职或兼职情况。</w:t>
      </w:r>
    </w:p>
    <w:p>
      <w:pPr>
        <w:pStyle w:val="BodyText"/>
        <w:spacing w:line="376" w:lineRule="auto" w:before="52"/>
        <w:ind w:right="1130" w:firstLine="440"/>
        <w:jc w:val="both"/>
      </w:pPr>
      <w:r>
        <w:rPr>
          <w:spacing w:val="-1"/>
        </w:rPr>
        <w:t>金明先生：中国国籍，</w:t>
      </w:r>
      <w:r>
        <w:rPr>
          <w:rFonts w:ascii="Times New Roman" w:hAnsi="Times New Roman" w:cs="Times New Roman" w:eastAsia="Times New Roman" w:hint="default"/>
          <w:spacing w:val="-1"/>
        </w:rPr>
        <w:t>1971</w:t>
      </w:r>
      <w:r>
        <w:rPr>
          <w:spacing w:val="-1"/>
        </w:rPr>
        <w:t>年出生，汉族，本科学历。曾任苏宁交家电（集团）有限公司营销管</w:t>
      </w:r>
      <w:r>
        <w:rPr>
          <w:w w:val="99"/>
        </w:rPr>
        <w:t> </w:t>
      </w:r>
      <w:r>
        <w:rPr>
          <w:spacing w:val="-1"/>
        </w:rPr>
        <w:t>理中心总监，苏宁电器股份有限公司副总裁，现任苏宁云商集团股份有限公司董事、总裁。金明先生</w:t>
      </w:r>
      <w:r>
        <w:rPr>
          <w:w w:val="99"/>
        </w:rPr>
        <w:t> </w:t>
      </w:r>
      <w:r>
        <w:rPr/>
        <w:t>还担任公司下属子公司</w:t>
      </w:r>
      <w:r>
        <w:rPr>
          <w:rFonts w:ascii="Times New Roman" w:hAnsi="Times New Roman" w:cs="Times New Roman" w:eastAsia="Times New Roman" w:hint="default"/>
        </w:rPr>
        <w:t>—</w:t>
      </w:r>
      <w:r>
        <w:rPr>
          <w:rFonts w:ascii="Times New Roman" w:hAnsi="Times New Roman" w:cs="Times New Roman" w:eastAsia="Times New Roman" w:hint="default"/>
        </w:rPr>
        <w:t>Granda</w:t>
      </w:r>
      <w:r>
        <w:rPr>
          <w:rFonts w:ascii="Times New Roman" w:hAnsi="Times New Roman" w:cs="Times New Roman" w:eastAsia="Times New Roman" w:hint="default"/>
          <w:spacing w:val="-11"/>
        </w:rPr>
        <w:t> </w:t>
      </w:r>
      <w:r>
        <w:rPr>
          <w:rFonts w:ascii="Times New Roman" w:hAnsi="Times New Roman" w:cs="Times New Roman" w:eastAsia="Times New Roman" w:hint="default"/>
        </w:rPr>
        <w:t>Magic</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Great</w:t>
      </w:r>
      <w:r>
        <w:rPr>
          <w:rFonts w:ascii="Times New Roman" w:hAnsi="Times New Roman" w:cs="Times New Roman" w:eastAsia="Times New Roman" w:hint="default"/>
          <w:spacing w:val="-11"/>
        </w:rPr>
        <w:t> </w:t>
      </w:r>
      <w:r>
        <w:rPr>
          <w:rFonts w:ascii="Times New Roman" w:hAnsi="Times New Roman" w:cs="Times New Roman" w:eastAsia="Times New Roman" w:hint="default"/>
        </w:rPr>
        <w:t>Elite</w:t>
      </w:r>
      <w:r>
        <w:rPr>
          <w:rFonts w:ascii="Times New Roman" w:hAnsi="Times New Roman" w:cs="Times New Roman" w:eastAsia="Times New Roman" w:hint="default"/>
          <w:spacing w:val="-12"/>
        </w:rPr>
        <w:t> </w:t>
      </w:r>
      <w:r>
        <w:rPr>
          <w:rFonts w:ascii="Times New Roman" w:hAnsi="Times New Roman" w:cs="Times New Roman" w:eastAsia="Times New Roman" w:hint="default"/>
        </w:rPr>
        <w:t>Limited</w:t>
      </w:r>
      <w:r>
        <w:rPr/>
        <w:t>、香港苏宁电器有限公司等子公司</w:t>
      </w:r>
      <w:r>
        <w:rPr>
          <w:w w:val="99"/>
        </w:rPr>
        <w:t> </w:t>
      </w:r>
      <w:r>
        <w:rPr/>
        <w:t>担任法定代表人。无在其他单位任职或兼职情况。</w:t>
      </w:r>
    </w:p>
    <w:p>
      <w:pPr>
        <w:pStyle w:val="BodyText"/>
        <w:spacing w:line="376" w:lineRule="auto" w:before="54"/>
        <w:ind w:left="154" w:right="1130" w:firstLine="440"/>
        <w:jc w:val="right"/>
      </w:pPr>
      <w:r>
        <w:rPr>
          <w:spacing w:val="-1"/>
          <w:w w:val="95"/>
        </w:rPr>
        <w:t>孟祥胜先生：中国国籍，</w:t>
      </w:r>
      <w:r>
        <w:rPr>
          <w:rFonts w:ascii="Times New Roman" w:hAnsi="Times New Roman" w:cs="Times New Roman" w:eastAsia="Times New Roman" w:hint="default"/>
          <w:spacing w:val="-1"/>
          <w:w w:val="95"/>
        </w:rPr>
        <w:t>1972</w:t>
      </w:r>
      <w:r>
        <w:rPr>
          <w:spacing w:val="-1"/>
          <w:w w:val="95"/>
        </w:rPr>
        <w:t>年出生，汉族，本科学历。曾任海尔药业浙江市场部经理、南京东</w:t>
      </w:r>
      <w:r>
        <w:rPr>
          <w:w w:val="99"/>
        </w:rPr>
        <w:t> </w:t>
      </w:r>
      <w:r>
        <w:rPr>
          <w:spacing w:val="-6"/>
          <w:w w:val="99"/>
        </w:rPr>
        <w:t>方智业管理咨询顾问，现任苏宁云商集团股份有限公司董事、副总裁。无在其他单位任职或兼职情况。</w:t>
      </w:r>
      <w:r>
        <w:rPr>
          <w:w w:val="99"/>
        </w:rPr>
        <w:t> </w:t>
      </w:r>
      <w:r>
        <w:rPr>
          <w:spacing w:val="-1"/>
          <w:w w:val="95"/>
        </w:rPr>
        <w:t>任峻先生：中国国籍，</w:t>
      </w:r>
      <w:r>
        <w:rPr>
          <w:rFonts w:ascii="Times New Roman" w:hAnsi="Times New Roman" w:cs="Times New Roman" w:eastAsia="Times New Roman" w:hint="default"/>
          <w:spacing w:val="-1"/>
          <w:w w:val="95"/>
        </w:rPr>
        <w:t>1977</w:t>
      </w:r>
      <w:r>
        <w:rPr>
          <w:spacing w:val="-1"/>
          <w:w w:val="95"/>
        </w:rPr>
        <w:t>年出生，汉族，本科学历。现任苏宁云商集团股份有限公司董事、副</w:t>
      </w:r>
      <w:r>
        <w:rPr>
          <w:w w:val="99"/>
        </w:rPr>
        <w:t> </w:t>
      </w:r>
      <w:r>
        <w:rPr>
          <w:spacing w:val="-1"/>
          <w:w w:val="95"/>
        </w:rPr>
        <w:t>总裁、董事会秘书，兼任苏宁消费金融有限公司董事，苏宁金石（天津）基金管理有限公司董事、法</w:t>
      </w:r>
      <w:r>
        <w:rPr>
          <w:spacing w:val="-1"/>
        </w:rPr>
      </w:r>
    </w:p>
    <w:p>
      <w:pPr>
        <w:pStyle w:val="BodyText"/>
        <w:spacing w:line="240" w:lineRule="auto" w:before="54"/>
        <w:ind w:left="154" w:right="1082"/>
        <w:jc w:val="left"/>
      </w:pPr>
      <w:r>
        <w:rPr/>
        <w:t>定代表人。</w:t>
      </w:r>
    </w:p>
    <w:p>
      <w:pPr>
        <w:pStyle w:val="BodyText"/>
        <w:spacing w:line="372" w:lineRule="auto" w:before="180"/>
        <w:ind w:left="154" w:right="1133" w:firstLine="440"/>
        <w:jc w:val="both"/>
      </w:pPr>
      <w:r>
        <w:rPr>
          <w:spacing w:val="-1"/>
          <w:w w:val="95"/>
        </w:rPr>
        <w:t>陈俊杰先生：中国国籍，</w:t>
      </w:r>
      <w:r>
        <w:rPr>
          <w:rFonts w:ascii="Times New Roman" w:hAnsi="Times New Roman" w:cs="Times New Roman" w:eastAsia="Times New Roman" w:hint="default"/>
          <w:spacing w:val="-1"/>
          <w:w w:val="95"/>
        </w:rPr>
        <w:t>1958</w:t>
      </w:r>
      <w:r>
        <w:rPr>
          <w:spacing w:val="-1"/>
          <w:w w:val="95"/>
        </w:rPr>
        <w:t>年出生，汉族，博士学历。东南大学智能网络与测控系统研究所所</w:t>
      </w:r>
      <w:r>
        <w:rPr>
          <w:spacing w:val="-99"/>
          <w:w w:val="95"/>
        </w:rPr>
        <w:t> </w:t>
      </w:r>
      <w:r>
        <w:rPr>
          <w:spacing w:val="-99"/>
          <w:w w:val="95"/>
        </w:rPr>
      </w:r>
      <w:r>
        <w:rPr>
          <w:spacing w:val="-1"/>
          <w:w w:val="95"/>
        </w:rPr>
        <w:t>长兼东南大学智能信息与虚拟测控系统研究所所长、教授、博士生导师。现兼任国内外多个学术机构</w:t>
      </w:r>
      <w:r>
        <w:rPr>
          <w:spacing w:val="48"/>
          <w:w w:val="95"/>
        </w:rPr>
        <w:t> </w:t>
      </w:r>
      <w:r>
        <w:rPr>
          <w:spacing w:val="48"/>
          <w:w w:val="95"/>
        </w:rPr>
      </w:r>
      <w:r>
        <w:rPr/>
        <w:t>和团体的骨干职务，并且是国家科学技术奖励评审委员会评审专家、国家</w:t>
      </w:r>
      <w:r>
        <w:rPr>
          <w:rFonts w:ascii="Times New Roman" w:hAnsi="Times New Roman" w:cs="Times New Roman" w:eastAsia="Times New Roman" w:hint="default"/>
        </w:rPr>
        <w:t>863</w:t>
      </w:r>
      <w:r>
        <w:rPr/>
        <w:t>高技术项目评审专家、</w:t>
      </w:r>
      <w:r>
        <w:rPr>
          <w:spacing w:val="-66"/>
        </w:rPr>
        <w:t> </w:t>
      </w:r>
      <w:r>
        <w:rPr>
          <w:spacing w:val="-66"/>
        </w:rPr>
      </w:r>
      <w:r>
        <w:rPr>
          <w:spacing w:val="-1"/>
        </w:rPr>
        <w:t>江苏省科技咨询专家等以及国际国内</w:t>
      </w:r>
      <w:r>
        <w:rPr>
          <w:rFonts w:ascii="Times New Roman" w:hAnsi="Times New Roman" w:cs="Times New Roman" w:eastAsia="Times New Roman" w:hint="default"/>
          <w:spacing w:val="-1"/>
        </w:rPr>
        <w:t>20</w:t>
      </w:r>
      <w:r>
        <w:rPr>
          <w:spacing w:val="-1"/>
        </w:rPr>
        <w:t>多个学术刊物编委及特约审稿专家。拥有无线传感器网络和物</w:t>
      </w:r>
      <w:r>
        <w:rPr>
          <w:w w:val="99"/>
        </w:rPr>
        <w:t> </w:t>
      </w:r>
      <w:r>
        <w:rPr>
          <w:spacing w:val="-1"/>
        </w:rPr>
        <w:t>联网领域的国家专利</w:t>
      </w:r>
      <w:r>
        <w:rPr>
          <w:rFonts w:ascii="Times New Roman" w:hAnsi="Times New Roman" w:cs="Times New Roman" w:eastAsia="Times New Roman" w:hint="default"/>
          <w:spacing w:val="-1"/>
        </w:rPr>
        <w:t>50</w:t>
      </w:r>
      <w:r>
        <w:rPr>
          <w:spacing w:val="-1"/>
        </w:rPr>
        <w:t>多项，其中国家发明专利</w:t>
      </w:r>
      <w:r>
        <w:rPr>
          <w:rFonts w:ascii="Times New Roman" w:hAnsi="Times New Roman" w:cs="Times New Roman" w:eastAsia="Times New Roman" w:hint="default"/>
          <w:spacing w:val="-1"/>
        </w:rPr>
        <w:t>23</w:t>
      </w:r>
      <w:r>
        <w:rPr>
          <w:spacing w:val="-1"/>
        </w:rPr>
        <w:t>项，并获多项省部级科技进步奖，是中国无线传感</w:t>
      </w:r>
      <w:r>
        <w:rPr>
          <w:w w:val="99"/>
        </w:rPr>
        <w:t> </w:t>
      </w:r>
      <w:r>
        <w:rPr/>
        <w:t>器网络和物联网领域的资深专家。本公司董事，无在其他上市公司兼任董事情形。</w:t>
      </w:r>
    </w:p>
    <w:p>
      <w:pPr>
        <w:pStyle w:val="BodyText"/>
        <w:spacing w:line="240" w:lineRule="auto" w:before="59"/>
        <w:ind w:left="594" w:right="0"/>
        <w:jc w:val="left"/>
      </w:pPr>
      <w:r>
        <w:rPr/>
        <w:t>徐光华先生：中国国籍，</w:t>
      </w:r>
      <w:r>
        <w:rPr>
          <w:rFonts w:ascii="Times New Roman" w:hAnsi="Times New Roman" w:cs="Times New Roman" w:eastAsia="Times New Roman" w:hint="default"/>
        </w:rPr>
        <w:t>1963</w:t>
      </w:r>
      <w:r>
        <w:rPr/>
        <w:t>年出生，汉族，博士学历。南京理工大学经济管理学院会计学系主</w:t>
      </w:r>
    </w:p>
    <w:p>
      <w:pPr>
        <w:spacing w:after="0" w:line="240" w:lineRule="auto"/>
        <w:jc w:val="left"/>
        <w:sectPr>
          <w:pgSz w:w="11910" w:h="16840"/>
          <w:pgMar w:header="0" w:footer="979" w:top="1100" w:bottom="1160" w:left="980" w:right="0"/>
        </w:sectPr>
      </w:pPr>
    </w:p>
    <w:p>
      <w:pPr>
        <w:spacing w:line="240" w:lineRule="auto" w:before="3"/>
        <w:rPr>
          <w:rFonts w:ascii="宋体" w:hAnsi="宋体" w:cs="宋体" w:eastAsia="宋体" w:hint="default"/>
          <w:sz w:val="26"/>
          <w:szCs w:val="26"/>
        </w:rPr>
      </w:pPr>
    </w:p>
    <w:p>
      <w:pPr>
        <w:pStyle w:val="BodyText"/>
        <w:spacing w:line="391" w:lineRule="auto" w:before="31"/>
        <w:ind w:right="0"/>
        <w:jc w:val="left"/>
      </w:pPr>
      <w:r>
        <w:rPr/>
        <w:t>任、会计学教授、博士生导师，经管学院教授委员会常务委员，南京理工大学会计学学科带头人，九</w:t>
      </w:r>
      <w:r>
        <w:rPr>
          <w:w w:val="99"/>
        </w:rPr>
        <w:t> </w:t>
      </w:r>
      <w:r>
        <w:rPr/>
        <w:t>三学社南京理工大学委员，南京市玄武区政协委员。现兼任中国会计学会高等工科院校分会副会长、</w:t>
      </w:r>
      <w:r>
        <w:rPr>
          <w:spacing w:val="-75"/>
        </w:rPr>
        <w:t> </w:t>
      </w:r>
      <w:r>
        <w:rPr>
          <w:spacing w:val="-75"/>
        </w:rPr>
      </w:r>
      <w:r>
        <w:rPr/>
        <w:t>江苏省审计学会常务理事、江苏省总会计师协会理事，国家自科基金、国家社科基金和霍英东教育基</w:t>
      </w:r>
      <w:r>
        <w:rPr>
          <w:w w:val="99"/>
        </w:rPr>
        <w:t> </w:t>
      </w:r>
      <w:r>
        <w:rPr/>
        <w:t>金等同行评审专家。本公司独立董事，同时兼任金陵饭店股份有限公司独立董事、江苏舜天船舶股份</w:t>
      </w:r>
      <w:r>
        <w:rPr>
          <w:w w:val="99"/>
        </w:rPr>
        <w:t> </w:t>
      </w:r>
      <w:r>
        <w:rPr/>
        <w:t>有限公司独立董事。</w:t>
      </w:r>
    </w:p>
    <w:p>
      <w:pPr>
        <w:pStyle w:val="BodyText"/>
        <w:spacing w:line="379" w:lineRule="auto" w:before="41"/>
        <w:ind w:right="0" w:firstLine="440"/>
        <w:jc w:val="left"/>
      </w:pPr>
      <w:r>
        <w:rPr/>
        <w:t>沈厚才先生：中国国籍，</w:t>
      </w:r>
      <w:r>
        <w:rPr>
          <w:rFonts w:ascii="Times New Roman" w:hAnsi="Times New Roman" w:cs="Times New Roman" w:eastAsia="Times New Roman" w:hint="default"/>
        </w:rPr>
        <w:t>1964</w:t>
      </w:r>
      <w:r>
        <w:rPr/>
        <w:t>年出生，汉族，博士学历。南京大学工程管理学院教授、管理科学</w:t>
      </w:r>
      <w:r>
        <w:rPr>
          <w:w w:val="99"/>
        </w:rPr>
        <w:t> </w:t>
      </w:r>
      <w:r>
        <w:rPr>
          <w:spacing w:val="-4"/>
        </w:rPr>
        <w:t>与工程专业博士生导师、管理科学与工程系系主任，同时还兼数学系运筹学与控制论专业硕士生导师，</w:t>
      </w:r>
      <w:r>
        <w:rPr>
          <w:spacing w:val="-101"/>
        </w:rPr>
        <w:t> </w:t>
      </w:r>
      <w:r>
        <w:rPr>
          <w:spacing w:val="-101"/>
        </w:rPr>
      </w:r>
      <w:r>
        <w:rPr/>
        <w:t>目前为</w:t>
      </w:r>
      <w:r>
        <w:rPr>
          <w:rFonts w:ascii="Times New Roman" w:hAnsi="Times New Roman" w:cs="Times New Roman" w:eastAsia="Times New Roman" w:hint="default"/>
        </w:rPr>
        <w:t>Production and Operations Management</w:t>
      </w:r>
      <w:r>
        <w:rPr>
          <w:rFonts w:ascii="Times New Roman" w:hAnsi="Times New Roman" w:cs="Times New Roman" w:eastAsia="Times New Roman" w:hint="default"/>
          <w:spacing w:val="16"/>
        </w:rPr>
        <w:t> </w:t>
      </w:r>
      <w:r>
        <w:rPr>
          <w:rFonts w:ascii="Times New Roman" w:hAnsi="Times New Roman" w:cs="Times New Roman" w:eastAsia="Times New Roman" w:hint="default"/>
        </w:rPr>
        <w:t>Society</w:t>
      </w:r>
      <w:r>
        <w:rPr/>
        <w:t>会员，中国运筹学学会会员，并兼任中国管理学</w:t>
      </w:r>
      <w:r>
        <w:rPr>
          <w:w w:val="99"/>
        </w:rPr>
        <w:t> </w:t>
      </w:r>
      <w:r>
        <w:rPr/>
        <w:t>会生产与运作管理分委会委员、中国运筹学会随机服务与运作管理分会常务理事、《运筹与管理》杂</w:t>
      </w:r>
      <w:r>
        <w:rPr>
          <w:w w:val="99"/>
        </w:rPr>
        <w:t> </w:t>
      </w:r>
      <w:r>
        <w:rPr/>
        <w:t>志编委。本公司独立董事，无在其他上市公司兼任董事情形。</w:t>
      </w:r>
    </w:p>
    <w:p>
      <w:pPr>
        <w:pStyle w:val="BodyText"/>
        <w:spacing w:line="379" w:lineRule="auto" w:before="52"/>
        <w:ind w:right="1133" w:firstLine="440"/>
        <w:jc w:val="both"/>
      </w:pPr>
      <w:r>
        <w:rPr>
          <w:spacing w:val="-6"/>
        </w:rPr>
        <w:t>王全胜先生：中国国籍，</w:t>
      </w:r>
      <w:r>
        <w:rPr>
          <w:rFonts w:ascii="Times New Roman" w:hAnsi="Times New Roman" w:cs="Times New Roman" w:eastAsia="Times New Roman" w:hint="default"/>
          <w:spacing w:val="-6"/>
        </w:rPr>
        <w:t>1968</w:t>
      </w:r>
      <w:r>
        <w:rPr>
          <w:spacing w:val="-6"/>
        </w:rPr>
        <w:t>年出生，汉族，博士学历。南京大学商学院营销与电子商务系主任、</w:t>
      </w:r>
      <w:r>
        <w:rPr>
          <w:w w:val="99"/>
        </w:rPr>
        <w:t> </w:t>
      </w:r>
      <w:r>
        <w:rPr>
          <w:spacing w:val="-1"/>
        </w:rPr>
        <w:t>教授、博士生导师。本公司独立董事，同时兼任深圳广田装饰集团股份有限公司、天泽信息产业股份</w:t>
      </w:r>
      <w:r>
        <w:rPr>
          <w:w w:val="99"/>
        </w:rPr>
        <w:t> </w:t>
      </w:r>
      <w:r>
        <w:rPr/>
        <w:t>有限公司独立董事。</w:t>
      </w:r>
    </w:p>
    <w:p>
      <w:pPr>
        <w:pStyle w:val="BodyText"/>
        <w:spacing w:line="369" w:lineRule="auto" w:before="52"/>
        <w:ind w:left="594" w:right="1082" w:firstLine="1"/>
        <w:jc w:val="left"/>
      </w:pPr>
      <w:r>
        <w:rPr>
          <w:rFonts w:ascii="Times New Roman" w:hAnsi="Times New Roman" w:cs="Times New Roman" w:eastAsia="Times New Roman" w:hint="default"/>
          <w:b/>
          <w:bCs/>
        </w:rPr>
        <w:t>2</w:t>
      </w:r>
      <w:r>
        <w:rPr>
          <w:rFonts w:ascii="宋体" w:hAnsi="宋体" w:cs="宋体" w:eastAsia="宋体" w:hint="default"/>
          <w:b/>
          <w:bCs/>
        </w:rPr>
        <w:t>、监事</w:t>
      </w:r>
      <w:r>
        <w:rPr>
          <w:rFonts w:ascii="宋体" w:hAnsi="宋体" w:cs="宋体" w:eastAsia="宋体" w:hint="default"/>
          <w:b/>
          <w:bCs/>
          <w:spacing w:val="1"/>
          <w:w w:val="99"/>
        </w:rPr>
        <w:t> </w:t>
      </w:r>
      <w:r>
        <w:rPr>
          <w:spacing w:val="-1"/>
          <w:w w:val="95"/>
        </w:rPr>
        <w:t>李建颖女士：中国国籍，</w:t>
      </w:r>
      <w:r>
        <w:rPr>
          <w:rFonts w:ascii="Times New Roman" w:hAnsi="Times New Roman" w:cs="Times New Roman" w:eastAsia="Times New Roman" w:hint="default"/>
          <w:spacing w:val="-1"/>
          <w:w w:val="95"/>
        </w:rPr>
        <w:t>1968</w:t>
      </w:r>
      <w:r>
        <w:rPr>
          <w:spacing w:val="-1"/>
          <w:w w:val="95"/>
        </w:rPr>
        <w:t>年出生，汉族，本科学历。曾在南京市紫金无线电厂任职，曾任苏</w:t>
      </w:r>
      <w:r>
        <w:rPr>
          <w:spacing w:val="-1"/>
        </w:rPr>
      </w:r>
    </w:p>
    <w:p>
      <w:pPr>
        <w:pStyle w:val="BodyText"/>
        <w:spacing w:line="391" w:lineRule="auto" w:before="32"/>
        <w:ind w:right="1117"/>
        <w:jc w:val="left"/>
      </w:pPr>
      <w:r>
        <w:rPr>
          <w:spacing w:val="-1"/>
        </w:rPr>
        <w:t>宁电器股份有限公司结算管理中心总监、第四届监事会主席，现任物流集团财务管理中心总监、第五</w:t>
      </w:r>
      <w:r>
        <w:rPr>
          <w:w w:val="99"/>
        </w:rPr>
        <w:t> </w:t>
      </w:r>
      <w:r>
        <w:rPr/>
        <w:t>届监事会主席。无在其他单位任职或兼职情况。</w:t>
      </w:r>
    </w:p>
    <w:p>
      <w:pPr>
        <w:pStyle w:val="BodyText"/>
        <w:spacing w:line="379" w:lineRule="auto" w:before="41"/>
        <w:ind w:right="1130" w:firstLine="440"/>
        <w:jc w:val="both"/>
      </w:pPr>
      <w:r>
        <w:rPr>
          <w:spacing w:val="-1"/>
        </w:rPr>
        <w:t>汪晓玲女士：中国国籍，</w:t>
      </w:r>
      <w:r>
        <w:rPr>
          <w:rFonts w:ascii="Times New Roman" w:hAnsi="Times New Roman" w:cs="Times New Roman" w:eastAsia="Times New Roman" w:hint="default"/>
          <w:spacing w:val="-1"/>
        </w:rPr>
        <w:t>1973</w:t>
      </w:r>
      <w:r>
        <w:rPr>
          <w:spacing w:val="-1"/>
        </w:rPr>
        <w:t>年出生，汉族，本科学历。曾任南京新闻发展公司办公室主任、苏</w:t>
      </w:r>
      <w:r>
        <w:rPr>
          <w:w w:val="99"/>
        </w:rPr>
        <w:t> </w:t>
      </w:r>
      <w:r>
        <w:rPr>
          <w:spacing w:val="-1"/>
        </w:rPr>
        <w:t>宁电器股份有限公司财务管理中心预算中心总监、第四届监事会监事，现任公司财务管理总部执行总</w:t>
      </w:r>
      <w:r>
        <w:rPr>
          <w:w w:val="99"/>
        </w:rPr>
        <w:t> </w:t>
      </w:r>
      <w:r>
        <w:rPr/>
        <w:t>裁助理、第五届监事会监事。无在其他单位任职或兼职情况。</w:t>
      </w:r>
    </w:p>
    <w:p>
      <w:pPr>
        <w:pStyle w:val="BodyText"/>
        <w:spacing w:line="379" w:lineRule="auto" w:before="52"/>
        <w:ind w:right="1132" w:firstLine="440"/>
        <w:jc w:val="both"/>
      </w:pPr>
      <w:r>
        <w:rPr>
          <w:spacing w:val="-1"/>
        </w:rPr>
        <w:t>华志松先生：中国国籍，</w:t>
      </w:r>
      <w:r>
        <w:rPr>
          <w:rFonts w:ascii="Times New Roman" w:hAnsi="Times New Roman" w:cs="Times New Roman" w:eastAsia="Times New Roman" w:hint="default"/>
          <w:spacing w:val="-1"/>
        </w:rPr>
        <w:t>1981</w:t>
      </w:r>
      <w:r>
        <w:rPr>
          <w:spacing w:val="-1"/>
        </w:rPr>
        <w:t>年出生，本科学历，</w:t>
      </w:r>
      <w:r>
        <w:rPr>
          <w:rFonts w:ascii="Times New Roman" w:hAnsi="Times New Roman" w:cs="Times New Roman" w:eastAsia="Times New Roman" w:hint="default"/>
          <w:spacing w:val="-1"/>
        </w:rPr>
        <w:t>2004</w:t>
      </w:r>
      <w:r>
        <w:rPr>
          <w:spacing w:val="-1"/>
        </w:rPr>
        <w:t>年进入公司，先后担任公司总裁办计划专</w:t>
      </w:r>
      <w:r>
        <w:rPr>
          <w:w w:val="99"/>
        </w:rPr>
        <w:t> </w:t>
      </w:r>
      <w:r>
        <w:rPr>
          <w:spacing w:val="-1"/>
        </w:rPr>
        <w:t>员、财务总部办主任、财务会计部经理，现任公司财务管理总部财务规划中心总监。无在其他单位任</w:t>
      </w:r>
      <w:r>
        <w:rPr>
          <w:w w:val="99"/>
        </w:rPr>
        <w:t> </w:t>
      </w:r>
      <w:r>
        <w:rPr/>
        <w:t>职或兼职情况。</w:t>
      </w:r>
    </w:p>
    <w:p>
      <w:pPr>
        <w:pStyle w:val="BodyText"/>
        <w:spacing w:line="379" w:lineRule="auto" w:before="52"/>
        <w:ind w:left="594" w:right="896" w:firstLine="1"/>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spacing w:val="1"/>
          <w:w w:val="99"/>
        </w:rPr>
        <w:t> </w:t>
      </w:r>
      <w:r>
        <w:rPr/>
        <w:t>公司总裁金明先生，副总裁孟祥胜先生，副总裁、董秘任峻先生简历见前述董事介绍。</w:t>
      </w:r>
      <w:r>
        <w:rPr>
          <w:w w:val="99"/>
        </w:rPr>
        <w:t> </w:t>
      </w:r>
      <w:r>
        <w:rPr/>
        <w:t>财务负责人肖忠祥先生：中国国籍，</w:t>
      </w:r>
      <w:r>
        <w:rPr>
          <w:rFonts w:ascii="Times New Roman" w:hAnsi="Times New Roman" w:cs="Times New Roman" w:eastAsia="Times New Roman" w:hint="default"/>
        </w:rPr>
        <w:t>1971</w:t>
      </w:r>
      <w:r>
        <w:rPr/>
        <w:t>年出生，汉族，本科学历。曾任南京无线电八厂会计、</w:t>
      </w:r>
    </w:p>
    <w:p>
      <w:pPr>
        <w:pStyle w:val="BodyText"/>
        <w:spacing w:line="391" w:lineRule="auto" w:before="22"/>
        <w:ind w:right="1082"/>
        <w:jc w:val="left"/>
      </w:pPr>
      <w:r>
        <w:rPr>
          <w:spacing w:val="-1"/>
          <w:w w:val="95"/>
        </w:rPr>
        <w:t>苏宁电器股份有限公司财务部经理、财务服务中心总监、第四届监事会职工代表监事。现任公司财务</w:t>
      </w:r>
      <w:r>
        <w:rPr>
          <w:spacing w:val="49"/>
          <w:w w:val="95"/>
        </w:rPr>
        <w:t> </w:t>
      </w:r>
      <w:r>
        <w:rPr>
          <w:spacing w:val="49"/>
          <w:w w:val="95"/>
        </w:rPr>
      </w:r>
      <w:r>
        <w:rPr/>
        <w:t>负责人。无在其他单位任职或兼职情况。</w:t>
      </w:r>
    </w:p>
    <w:p>
      <w:pPr>
        <w:spacing w:after="0" w:line="391" w:lineRule="auto"/>
        <w:jc w:val="left"/>
        <w:sectPr>
          <w:pgSz w:w="11910" w:h="16840"/>
          <w:pgMar w:header="0" w:footer="979" w:top="1100" w:bottom="1160" w:left="980" w:right="0"/>
        </w:sectPr>
      </w:pPr>
    </w:p>
    <w:p>
      <w:pPr>
        <w:spacing w:line="240" w:lineRule="auto" w:before="3"/>
        <w:rPr>
          <w:rFonts w:ascii="宋体" w:hAnsi="宋体" w:cs="宋体" w:eastAsia="宋体" w:hint="default"/>
          <w:sz w:val="26"/>
          <w:szCs w:val="26"/>
        </w:rPr>
      </w:pPr>
    </w:p>
    <w:p>
      <w:pPr>
        <w:pStyle w:val="BodyText"/>
        <w:spacing w:line="240" w:lineRule="auto" w:before="31"/>
        <w:ind w:left="594" w:right="1082"/>
        <w:jc w:val="left"/>
      </w:pPr>
      <w:r>
        <w:rPr/>
        <w:t>在股东单位任职情况</w:t>
      </w:r>
    </w:p>
    <w:p>
      <w:pPr>
        <w:pStyle w:val="BodyText"/>
        <w:spacing w:line="369" w:lineRule="auto" w:before="180"/>
        <w:ind w:left="594" w:right="8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在其他单位任职情况</w:t>
      </w:r>
    </w:p>
    <w:p>
      <w:pPr>
        <w:pStyle w:val="BodyText"/>
        <w:spacing w:line="240" w:lineRule="auto" w:before="61"/>
        <w:ind w:left="59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2268"/>
        <w:gridCol w:w="1560"/>
        <w:gridCol w:w="1416"/>
        <w:gridCol w:w="1419"/>
        <w:gridCol w:w="1204"/>
      </w:tblGrid>
      <w:tr>
        <w:trPr>
          <w:trHeight w:val="94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22"/>
                <w:szCs w:val="22"/>
              </w:rPr>
            </w:pPr>
            <w:r>
              <w:rPr>
                <w:rFonts w:ascii="宋体" w:hAnsi="宋体" w:cs="宋体" w:eastAsia="宋体" w:hint="default"/>
                <w:sz w:val="22"/>
                <w:szCs w:val="22"/>
              </w:rPr>
              <w:t>任职人员姓名</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334" w:right="115" w:hanging="221"/>
              <w:jc w:val="left"/>
              <w:rPr>
                <w:rFonts w:ascii="宋体" w:hAnsi="宋体" w:cs="宋体" w:eastAsia="宋体" w:hint="default"/>
                <w:sz w:val="22"/>
                <w:szCs w:val="22"/>
              </w:rPr>
            </w:pPr>
            <w:r>
              <w:rPr>
                <w:rFonts w:ascii="宋体" w:hAnsi="宋体" w:cs="宋体" w:eastAsia="宋体" w:hint="default"/>
                <w:sz w:val="22"/>
                <w:szCs w:val="22"/>
              </w:rPr>
              <w:t>在其他单位担</w:t>
            </w:r>
            <w:r>
              <w:rPr>
                <w:rFonts w:ascii="宋体" w:hAnsi="宋体" w:cs="宋体" w:eastAsia="宋体" w:hint="default"/>
                <w:w w:val="99"/>
                <w:sz w:val="22"/>
                <w:szCs w:val="22"/>
              </w:rPr>
              <w:t> </w:t>
            </w:r>
            <w:r>
              <w:rPr>
                <w:rFonts w:ascii="宋体" w:hAnsi="宋体" w:cs="宋体" w:eastAsia="宋体" w:hint="default"/>
                <w:sz w:val="22"/>
                <w:szCs w:val="22"/>
              </w:rPr>
              <w:t>任的职务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3" w:right="0"/>
              <w:jc w:val="left"/>
              <w:rPr>
                <w:rFonts w:ascii="宋体" w:hAnsi="宋体" w:cs="宋体" w:eastAsia="宋体" w:hint="default"/>
                <w:sz w:val="22"/>
                <w:szCs w:val="22"/>
              </w:rPr>
            </w:pPr>
            <w:r>
              <w:rPr>
                <w:rFonts w:ascii="宋体" w:hAnsi="宋体" w:cs="宋体" w:eastAsia="宋体" w:hint="default"/>
                <w:sz w:val="22"/>
                <w:szCs w:val="22"/>
              </w:rPr>
              <w:t>任期起始日期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22"/>
                <w:szCs w:val="22"/>
              </w:rPr>
            </w:pPr>
            <w:r>
              <w:rPr>
                <w:rFonts w:ascii="宋体" w:hAnsi="宋体" w:cs="宋体" w:eastAsia="宋体" w:hint="default"/>
                <w:sz w:val="22"/>
                <w:szCs w:val="22"/>
              </w:rPr>
              <w:t>任期终止日期</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5" w:right="0"/>
              <w:jc w:val="left"/>
              <w:rPr>
                <w:rFonts w:ascii="宋体" w:hAnsi="宋体" w:cs="宋体" w:eastAsia="宋体" w:hint="default"/>
                <w:sz w:val="22"/>
                <w:szCs w:val="22"/>
              </w:rPr>
            </w:pPr>
            <w:r>
              <w:rPr>
                <w:rFonts w:ascii="宋体" w:hAnsi="宋体" w:cs="宋体" w:eastAsia="宋体" w:hint="default"/>
                <w:sz w:val="22"/>
                <w:szCs w:val="22"/>
              </w:rPr>
              <w:t>在其他单位</w:t>
            </w:r>
          </w:p>
          <w:p>
            <w:pPr>
              <w:pStyle w:val="TableParagraph"/>
              <w:spacing w:line="259" w:lineRule="auto" w:before="24"/>
              <w:ind w:left="266" w:right="47" w:hanging="221"/>
              <w:jc w:val="left"/>
              <w:rPr>
                <w:rFonts w:ascii="宋体" w:hAnsi="宋体" w:cs="宋体" w:eastAsia="宋体" w:hint="default"/>
                <w:sz w:val="22"/>
                <w:szCs w:val="22"/>
              </w:rPr>
            </w:pPr>
            <w:r>
              <w:rPr>
                <w:rFonts w:ascii="宋体" w:hAnsi="宋体" w:cs="宋体" w:eastAsia="宋体" w:hint="default"/>
                <w:sz w:val="22"/>
                <w:szCs w:val="22"/>
              </w:rPr>
              <w:t>是否领取报</w:t>
            </w:r>
            <w:r>
              <w:rPr>
                <w:rFonts w:ascii="宋体" w:hAnsi="宋体" w:cs="宋体" w:eastAsia="宋体" w:hint="default"/>
                <w:w w:val="99"/>
                <w:sz w:val="22"/>
                <w:szCs w:val="22"/>
              </w:rPr>
              <w:t> </w:t>
            </w:r>
            <w:r>
              <w:rPr>
                <w:rFonts w:ascii="宋体" w:hAnsi="宋体" w:cs="宋体" w:eastAsia="宋体" w:hint="default"/>
                <w:sz w:val="22"/>
                <w:szCs w:val="22"/>
              </w:rPr>
              <w:t>酬津贴</w:t>
            </w:r>
          </w:p>
        </w:tc>
      </w:tr>
      <w:tr>
        <w:trPr>
          <w:trHeight w:val="63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王全胜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深圳广田装饰集团股份</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年</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月</w:t>
            </w:r>
            <w:r>
              <w:rPr>
                <w:rFonts w:ascii="宋体" w:hAnsi="宋体" w:cs="宋体" w:eastAsia="宋体" w:hint="default"/>
                <w:spacing w:val="-73"/>
                <w:sz w:val="22"/>
                <w:szCs w:val="22"/>
              </w:rPr>
              <w:t> </w:t>
            </w:r>
            <w:r>
              <w:rPr>
                <w:rFonts w:ascii="Times New Roman" w:hAnsi="Times New Roman" w:cs="Times New Roman" w:eastAsia="Times New Roman" w:hint="default"/>
                <w:sz w:val="22"/>
                <w:szCs w:val="22"/>
              </w:rPr>
              <w:t>16</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73"/>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15</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王全胜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天泽信息产业股份有限</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年</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月</w:t>
            </w:r>
            <w:r>
              <w:rPr>
                <w:rFonts w:ascii="宋体" w:hAnsi="宋体" w:cs="宋体" w:eastAsia="宋体" w:hint="default"/>
                <w:spacing w:val="-73"/>
                <w:sz w:val="22"/>
                <w:szCs w:val="22"/>
              </w:rPr>
              <w:t> </w:t>
            </w:r>
            <w:r>
              <w:rPr>
                <w:rFonts w:ascii="Times New Roman" w:hAnsi="Times New Roman" w:cs="Times New Roman" w:eastAsia="Times New Roman" w:hint="default"/>
                <w:sz w:val="22"/>
                <w:szCs w:val="22"/>
              </w:rPr>
              <w:t>17</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73"/>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16</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徐光华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2"/>
              <w:jc w:val="center"/>
              <w:rPr>
                <w:rFonts w:ascii="宋体" w:hAnsi="宋体" w:cs="宋体" w:eastAsia="宋体" w:hint="default"/>
                <w:sz w:val="22"/>
                <w:szCs w:val="22"/>
              </w:rPr>
            </w:pPr>
            <w:r>
              <w:rPr>
                <w:rFonts w:ascii="宋体" w:hAnsi="宋体" w:cs="宋体" w:eastAsia="宋体" w:hint="default"/>
                <w:sz w:val="22"/>
                <w:szCs w:val="22"/>
              </w:rPr>
              <w:t>金陵饭店股份有限公司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72"/>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月</w:t>
            </w:r>
            <w:r>
              <w:rPr>
                <w:rFonts w:ascii="宋体" w:hAnsi="宋体" w:cs="宋体" w:eastAsia="宋体" w:hint="default"/>
                <w:spacing w:val="-72"/>
                <w:sz w:val="22"/>
                <w:szCs w:val="22"/>
              </w:rPr>
              <w:t> </w:t>
            </w:r>
            <w:r>
              <w:rPr>
                <w:rFonts w:ascii="Times New Roman" w:hAnsi="Times New Roman" w:cs="Times New Roman" w:eastAsia="Times New Roman" w:hint="default"/>
                <w:spacing w:val="-8"/>
                <w:sz w:val="22"/>
                <w:szCs w:val="22"/>
              </w:rPr>
              <w:t>11</w:t>
            </w:r>
            <w:r>
              <w:rPr>
                <w:rFonts w:ascii="Times New Roman" w:hAnsi="Times New Roman" w:cs="Times New Roman" w:eastAsia="Times New Roman" w:hint="default"/>
                <w:sz w:val="22"/>
                <w:szCs w:val="22"/>
              </w:rPr>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7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25</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徐光华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江苏舜天船舶股份有限</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p>
            <w:pPr>
              <w:pStyle w:val="TableParagraph"/>
              <w:spacing w:line="240" w:lineRule="auto" w:before="7"/>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p>
            <w:pPr>
              <w:pStyle w:val="TableParagraph"/>
              <w:spacing w:line="240" w:lineRule="auto" w:before="7"/>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09 </w:t>
            </w:r>
            <w:r>
              <w:rPr>
                <w:rFonts w:ascii="宋体" w:hAnsi="宋体" w:cs="宋体" w:eastAsia="宋体" w:hint="default"/>
                <w:sz w:val="22"/>
                <w:szCs w:val="22"/>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任峻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2"/>
              <w:jc w:val="center"/>
              <w:rPr>
                <w:rFonts w:ascii="宋体" w:hAnsi="宋体" w:cs="宋体" w:eastAsia="宋体" w:hint="default"/>
                <w:sz w:val="22"/>
                <w:szCs w:val="22"/>
              </w:rPr>
            </w:pPr>
            <w:r>
              <w:rPr>
                <w:rFonts w:ascii="宋体" w:hAnsi="宋体" w:cs="宋体" w:eastAsia="宋体" w:hint="default"/>
                <w:sz w:val="22"/>
                <w:szCs w:val="22"/>
              </w:rPr>
              <w:t>苏宁消费金融有限公司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72"/>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月</w:t>
            </w:r>
            <w:r>
              <w:rPr>
                <w:rFonts w:ascii="宋体" w:hAnsi="宋体" w:cs="宋体" w:eastAsia="宋体" w:hint="default"/>
                <w:spacing w:val="-72"/>
                <w:sz w:val="22"/>
                <w:szCs w:val="22"/>
              </w:rPr>
              <w:t> </w:t>
            </w:r>
            <w:r>
              <w:rPr>
                <w:rFonts w:ascii="Times New Roman" w:hAnsi="Times New Roman" w:cs="Times New Roman" w:eastAsia="Times New Roman" w:hint="default"/>
                <w:spacing w:val="-8"/>
                <w:sz w:val="22"/>
                <w:szCs w:val="22"/>
              </w:rPr>
              <w:t>11</w:t>
            </w:r>
            <w:r>
              <w:rPr>
                <w:rFonts w:ascii="Times New Roman" w:hAnsi="Times New Roman" w:cs="Times New Roman" w:eastAsia="Times New Roman" w:hint="default"/>
                <w:sz w:val="22"/>
                <w:szCs w:val="22"/>
              </w:rPr>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73"/>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10</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任峻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苏宁金石（天津）基金</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6"/>
                <w:sz w:val="22"/>
                <w:szCs w:val="22"/>
              </w:rPr>
              <w:t>董事、法定代表</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7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30</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在其他单位任职</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情况的说明</w:t>
            </w:r>
          </w:p>
        </w:tc>
        <w:tc>
          <w:tcPr>
            <w:tcW w:w="78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6"/>
        <w:rPr>
          <w:rFonts w:ascii="宋体" w:hAnsi="宋体" w:cs="宋体" w:eastAsia="宋体" w:hint="default"/>
          <w:sz w:val="25"/>
          <w:szCs w:val="25"/>
        </w:rPr>
      </w:pPr>
    </w:p>
    <w:p>
      <w:pPr>
        <w:spacing w:before="35"/>
        <w:ind w:left="574" w:right="1082" w:firstLine="0"/>
        <w:jc w:val="left"/>
        <w:rPr>
          <w:rFonts w:ascii="宋体" w:hAnsi="宋体" w:cs="宋体" w:eastAsia="宋体" w:hint="default"/>
          <w:sz w:val="21"/>
          <w:szCs w:val="21"/>
        </w:rPr>
      </w:pPr>
      <w:r>
        <w:rPr>
          <w:rFonts w:ascii="宋体" w:hAnsi="宋体" w:cs="宋体" w:eastAsia="宋体" w:hint="default"/>
          <w:sz w:val="21"/>
          <w:szCs w:val="21"/>
        </w:rPr>
        <w:t>公司现任及报告期内离任董事、监事和高级管理人员近三年证券监管机构处罚的情况</w:t>
      </w:r>
    </w:p>
    <w:p>
      <w:pPr>
        <w:spacing w:before="84"/>
        <w:ind w:left="573" w:right="10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4"/>
          <w:szCs w:val="24"/>
        </w:rPr>
      </w:pPr>
    </w:p>
    <w:p>
      <w:pPr>
        <w:pStyle w:val="Heading2"/>
        <w:spacing w:line="240" w:lineRule="auto"/>
        <w:ind w:left="154" w:right="1082"/>
        <w:jc w:val="left"/>
        <w:rPr>
          <w:b w:val="0"/>
          <w:bCs w:val="0"/>
        </w:rPr>
      </w:pPr>
      <w:bookmarkStart w:name="四、董事、监事、高级管理人员报酬情况" w:id="140"/>
      <w:bookmarkEnd w:id="140"/>
      <w:r>
        <w:rPr>
          <w:b w:val="0"/>
          <w:bCs w:val="0"/>
        </w:rPr>
      </w:r>
      <w:r>
        <w:rPr/>
        <w:t>四、董事、监事、高级管理人员报酬情况</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left="594" w:right="1116"/>
        <w:jc w:val="left"/>
      </w:pPr>
      <w:r>
        <w:rPr/>
        <w:t>董事、监事、高级管理人员报酬的决策程序、确定依据、实际支付情况：</w:t>
      </w:r>
      <w:r>
        <w:rPr>
          <w:w w:val="99"/>
        </w:rPr>
        <w:t> </w:t>
      </w:r>
      <w:r>
        <w:rPr>
          <w:spacing w:val="-1"/>
        </w:rPr>
        <w:t>公司第五届董事会第五次会议审议通过《关于调整公司财务负责人薪酬的议案》，同意自</w:t>
      </w:r>
      <w:r>
        <w:rPr>
          <w:rFonts w:ascii="Times New Roman" w:hAnsi="Times New Roman" w:cs="Times New Roman" w:eastAsia="Times New Roman" w:hint="default"/>
          <w:spacing w:val="-1"/>
        </w:rPr>
        <w:t>2014</w:t>
      </w:r>
      <w:r>
        <w:rPr>
          <w:spacing w:val="-1"/>
        </w:rPr>
        <w:t>年</w:t>
      </w:r>
    </w:p>
    <w:p>
      <w:pPr>
        <w:pStyle w:val="BodyText"/>
        <w:spacing w:line="369" w:lineRule="auto" w:before="10"/>
        <w:ind w:left="594" w:right="1082" w:hanging="441"/>
        <w:jc w:val="left"/>
      </w:pPr>
      <w:r>
        <w:rPr/>
        <w:t>起肖忠祥先生年薪调整为</w:t>
      </w:r>
      <w:r>
        <w:rPr>
          <w:rFonts w:ascii="Times New Roman" w:hAnsi="Times New Roman" w:cs="Times New Roman" w:eastAsia="Times New Roman" w:hint="default"/>
        </w:rPr>
        <w:t>40</w:t>
      </w:r>
      <w:r>
        <w:rPr/>
        <w:t>万元</w:t>
      </w:r>
      <w:r>
        <w:rPr>
          <w:rFonts w:ascii="Times New Roman" w:hAnsi="Times New Roman" w:cs="Times New Roman" w:eastAsia="Times New Roman" w:hint="default"/>
        </w:rPr>
        <w:t>/</w:t>
      </w:r>
      <w:r>
        <w:rPr/>
        <w:t>年（含税）。</w:t>
      </w:r>
      <w:r>
        <w:rPr>
          <w:w w:val="99"/>
        </w:rPr>
        <w:t> </w:t>
      </w:r>
      <w:r>
        <w:rPr>
          <w:spacing w:val="-1"/>
          <w:w w:val="95"/>
        </w:rPr>
        <w:t>公司第五届监事会第四次会议审议、</w:t>
      </w:r>
      <w:r>
        <w:rPr>
          <w:rFonts w:ascii="Times New Roman" w:hAnsi="Times New Roman" w:cs="Times New Roman" w:eastAsia="Times New Roman" w:hint="default"/>
          <w:spacing w:val="-1"/>
          <w:w w:val="95"/>
        </w:rPr>
        <w:t>2013</w:t>
      </w:r>
      <w:r>
        <w:rPr>
          <w:spacing w:val="-1"/>
          <w:w w:val="95"/>
        </w:rPr>
        <w:t>年年度股东大会决议通过《关于调整公司部分监事薪酬</w:t>
      </w:r>
      <w:r>
        <w:rPr>
          <w:spacing w:val="-1"/>
        </w:rPr>
      </w:r>
    </w:p>
    <w:p>
      <w:pPr>
        <w:pStyle w:val="BodyText"/>
        <w:spacing w:line="369" w:lineRule="auto" w:before="32"/>
        <w:ind w:left="594" w:right="1082" w:hanging="441"/>
        <w:jc w:val="left"/>
      </w:pPr>
      <w:r>
        <w:rPr/>
        <w:t>的议案》，同意公司监事汪晓玲女士自</w:t>
      </w:r>
      <w:r>
        <w:rPr>
          <w:rFonts w:ascii="Times New Roman" w:hAnsi="Times New Roman" w:cs="Times New Roman" w:eastAsia="Times New Roman" w:hint="default"/>
        </w:rPr>
        <w:t>2014</w:t>
      </w:r>
      <w:r>
        <w:rPr/>
        <w:t>年起年薪调整为</w:t>
      </w:r>
      <w:r>
        <w:rPr>
          <w:rFonts w:ascii="Times New Roman" w:hAnsi="Times New Roman" w:cs="Times New Roman" w:eastAsia="Times New Roman" w:hint="default"/>
        </w:rPr>
        <w:t>30</w:t>
      </w:r>
      <w:r>
        <w:rPr/>
        <w:t>万元</w:t>
      </w:r>
      <w:r>
        <w:rPr>
          <w:rFonts w:ascii="Times New Roman" w:hAnsi="Times New Roman" w:cs="Times New Roman" w:eastAsia="Times New Roman" w:hint="default"/>
        </w:rPr>
        <w:t>/</w:t>
      </w:r>
      <w:r>
        <w:rPr/>
        <w:t>年（含税）。</w:t>
      </w:r>
      <w:r>
        <w:rPr>
          <w:w w:val="99"/>
        </w:rPr>
        <w:t> </w:t>
      </w:r>
      <w:r>
        <w:rPr>
          <w:spacing w:val="-2"/>
        </w:rPr>
        <w:t>公司董事、监事及高级管理人员按其职责根据相关考核指标领取报酬。公司独立董事年度津贴为</w:t>
      </w:r>
    </w:p>
    <w:p>
      <w:pPr>
        <w:pStyle w:val="BodyText"/>
        <w:spacing w:line="240" w:lineRule="auto" w:before="61"/>
        <w:ind w:right="1082"/>
        <w:jc w:val="left"/>
      </w:pPr>
      <w:r>
        <w:rPr>
          <w:rFonts w:ascii="Times New Roman" w:hAnsi="Times New Roman" w:cs="Times New Roman" w:eastAsia="Times New Roman" w:hint="default"/>
        </w:rPr>
        <w:t>10</w:t>
      </w:r>
      <w:r>
        <w:rPr/>
        <w:t>万元</w:t>
      </w:r>
      <w:r>
        <w:rPr>
          <w:rFonts w:ascii="Times New Roman" w:hAnsi="Times New Roman" w:cs="Times New Roman" w:eastAsia="Times New Roman" w:hint="default"/>
        </w:rPr>
        <w:t>/</w:t>
      </w:r>
      <w:r>
        <w:rPr/>
        <w:t>年（含税）。</w:t>
      </w:r>
    </w:p>
    <w:p>
      <w:pPr>
        <w:spacing w:line="240" w:lineRule="auto" w:before="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979" w:top="1100" w:bottom="1160" w:left="980" w:right="0"/>
        </w:sectPr>
      </w:pPr>
    </w:p>
    <w:p>
      <w:pPr>
        <w:pStyle w:val="BodyText"/>
        <w:spacing w:line="326" w:lineRule="auto" w:before="31"/>
        <w:ind w:left="594" w:right="0"/>
        <w:jc w:val="left"/>
      </w:pPr>
      <w:r>
        <w:rPr>
          <w:rFonts w:ascii="Times New Roman" w:hAnsi="Times New Roman" w:cs="Times New Roman" w:eastAsia="Times New Roman" w:hint="default"/>
          <w:w w:val="95"/>
        </w:rPr>
        <w:t>2015</w:t>
      </w:r>
      <w:r>
        <w:rPr>
          <w:w w:val="95"/>
        </w:rPr>
        <w:t>年度，公司实际支付董事、监事及高级管理人员税前报酬共计</w:t>
      </w:r>
      <w:r>
        <w:rPr>
          <w:rFonts w:ascii="Times New Roman" w:hAnsi="Times New Roman" w:cs="Times New Roman" w:eastAsia="Times New Roman" w:hint="default"/>
          <w:w w:val="95"/>
        </w:rPr>
        <w:t>855</w:t>
      </w:r>
      <w:r>
        <w:rPr>
          <w:w w:val="95"/>
        </w:rPr>
        <w:t>万元。</w:t>
      </w:r>
      <w:r>
        <w:rPr>
          <w:spacing w:val="45"/>
          <w:w w:val="95"/>
        </w:rPr>
        <w:t> </w:t>
      </w:r>
      <w:r>
        <w:rPr/>
        <w:t>公司报告期内董事、监事和高级管理人员报酬情况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0"/>
        <w:ind w:left="594" w:right="0" w:firstLine="0"/>
        <w:jc w:val="left"/>
        <w:rPr>
          <w:rFonts w:ascii="宋体" w:hAnsi="宋体" w:cs="宋体" w:eastAsia="宋体" w:hint="default"/>
          <w:sz w:val="20"/>
          <w:szCs w:val="20"/>
        </w:rPr>
      </w:pP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10" w:h="16840"/>
          <w:pgMar w:top="1060" w:bottom="1160" w:left="980" w:right="0"/>
          <w:cols w:num="2" w:equalWidth="0">
            <w:col w:w="7967" w:space="233"/>
            <w:col w:w="2730"/>
          </w:cols>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23"/>
        <w:gridCol w:w="1984"/>
        <w:gridCol w:w="708"/>
        <w:gridCol w:w="710"/>
        <w:gridCol w:w="1032"/>
        <w:gridCol w:w="1724"/>
        <w:gridCol w:w="2515"/>
      </w:tblGrid>
      <w:tr>
        <w:trPr>
          <w:trHeight w:val="634"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306"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148" w:right="0"/>
              <w:jc w:val="left"/>
              <w:rPr>
                <w:rFonts w:ascii="宋体" w:hAnsi="宋体" w:cs="宋体" w:eastAsia="宋体" w:hint="default"/>
                <w:sz w:val="20"/>
                <w:szCs w:val="20"/>
              </w:rPr>
            </w:pPr>
            <w:r>
              <w:rPr>
                <w:rFonts w:ascii="宋体" w:hAnsi="宋体" w:cs="宋体" w:eastAsia="宋体" w:hint="default"/>
                <w:sz w:val="20"/>
                <w:szCs w:val="20"/>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年龄</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111" w:right="0"/>
              <w:jc w:val="left"/>
              <w:rPr>
                <w:rFonts w:ascii="宋体" w:hAnsi="宋体" w:cs="宋体" w:eastAsia="宋体" w:hint="default"/>
                <w:sz w:val="20"/>
                <w:szCs w:val="20"/>
              </w:rPr>
            </w:pPr>
            <w:r>
              <w:rPr>
                <w:rFonts w:ascii="宋体" w:hAnsi="宋体" w:cs="宋体" w:eastAsia="宋体" w:hint="default"/>
                <w:sz w:val="20"/>
                <w:szCs w:val="20"/>
              </w:rPr>
              <w:t>任职状态</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456" w:right="54" w:hanging="400"/>
              <w:jc w:val="left"/>
              <w:rPr>
                <w:rFonts w:ascii="宋体" w:hAnsi="宋体" w:cs="宋体" w:eastAsia="宋体" w:hint="default"/>
                <w:sz w:val="20"/>
                <w:szCs w:val="20"/>
              </w:rPr>
            </w:pPr>
            <w:r>
              <w:rPr>
                <w:rFonts w:ascii="宋体" w:hAnsi="宋体" w:cs="宋体" w:eastAsia="宋体" w:hint="default"/>
                <w:sz w:val="20"/>
                <w:szCs w:val="20"/>
              </w:rPr>
              <w:t>从公司获得的税前</w:t>
            </w:r>
            <w:r>
              <w:rPr>
                <w:rFonts w:ascii="宋体" w:hAnsi="宋体" w:cs="宋体" w:eastAsia="宋体" w:hint="default"/>
                <w:w w:val="100"/>
                <w:sz w:val="20"/>
                <w:szCs w:val="20"/>
              </w:rPr>
              <w:t> </w:t>
            </w:r>
            <w:r>
              <w:rPr>
                <w:rFonts w:ascii="宋体" w:hAnsi="宋体" w:cs="宋体" w:eastAsia="宋体" w:hint="default"/>
                <w:sz w:val="20"/>
                <w:szCs w:val="20"/>
              </w:rPr>
              <w:t>报酬总额</w:t>
            </w:r>
          </w:p>
        </w:tc>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right="50"/>
              <w:jc w:val="right"/>
              <w:rPr>
                <w:rFonts w:ascii="宋体" w:hAnsi="宋体" w:cs="宋体" w:eastAsia="宋体" w:hint="default"/>
                <w:sz w:val="20"/>
                <w:szCs w:val="20"/>
              </w:rPr>
            </w:pPr>
            <w:r>
              <w:rPr>
                <w:rFonts w:ascii="宋体" w:hAnsi="宋体" w:cs="宋体" w:eastAsia="宋体" w:hint="default"/>
                <w:spacing w:val="-1"/>
                <w:sz w:val="20"/>
                <w:szCs w:val="20"/>
              </w:rPr>
              <w:t>是否在公司关联方获取报酬</w:t>
            </w:r>
          </w:p>
        </w:tc>
      </w:tr>
      <w:tr>
        <w:trPr>
          <w:trHeight w:val="32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张近东</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53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z w:val="20"/>
              </w:rPr>
              <w:t>180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孙为民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53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150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tabs>
                <w:tab w:pos="423" w:val="left" w:leader="none"/>
              </w:tabs>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金</w:t>
              <w:tab/>
              <w:t>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45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150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孟祥胜</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44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z w:val="20"/>
              </w:rPr>
              <w:t>100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tabs>
                <w:tab w:pos="423" w:val="left" w:leader="none"/>
              </w:tabs>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任</w:t>
              <w:tab/>
              <w:t>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董事、副总裁、董秘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39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100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陈俊杰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57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徐光华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52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z w:val="20"/>
              </w:rPr>
              <w:t>10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沈厚才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51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王全胜</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47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李建颖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47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z w:val="20"/>
              </w:rPr>
              <w:t>40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汪晓玲</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43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30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华志松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34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25</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肖忠祥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财务负责人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45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z w:val="20"/>
              </w:rPr>
              <w:t>40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3"/>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sz w:val="20"/>
              </w:rPr>
              <w:t>--</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855</w:t>
            </w:r>
          </w:p>
        </w:tc>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8"/>
        <w:rPr>
          <w:rFonts w:ascii="宋体" w:hAnsi="宋体" w:cs="宋体" w:eastAsia="宋体" w:hint="default"/>
          <w:sz w:val="27"/>
          <w:szCs w:val="27"/>
        </w:rPr>
      </w:pPr>
    </w:p>
    <w:p>
      <w:pPr>
        <w:pStyle w:val="BodyText"/>
        <w:spacing w:line="240" w:lineRule="auto" w:before="31"/>
        <w:ind w:left="594" w:right="1082"/>
        <w:jc w:val="left"/>
      </w:pPr>
      <w:r>
        <w:rPr/>
        <w:t>公司董事、监事、高级管理人员报告期内被授予的股权激励情况</w:t>
      </w:r>
    </w:p>
    <w:p>
      <w:pPr>
        <w:spacing w:line="484" w:lineRule="auto" w:before="71"/>
        <w:ind w:left="154" w:right="7329"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 </w:t>
      </w:r>
      <w:r>
        <w:rPr>
          <w:rFonts w:ascii="宋体" w:hAnsi="宋体" w:cs="宋体" w:eastAsia="宋体" w:hint="default"/>
          <w:sz w:val="22"/>
          <w:szCs w:val="22"/>
        </w:rPr>
        <w:t>适用 </w:t>
      </w: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54"/>
          <w:sz w:val="22"/>
          <w:szCs w:val="22"/>
        </w:rPr>
        <w:t> </w:t>
      </w:r>
      <w:r>
        <w:rPr>
          <w:rFonts w:ascii="宋体" w:hAnsi="宋体" w:cs="宋体" w:eastAsia="宋体" w:hint="default"/>
          <w:sz w:val="22"/>
          <w:szCs w:val="22"/>
        </w:rPr>
        <w:t>不适用</w:t>
      </w:r>
      <w:r>
        <w:rPr>
          <w:rFonts w:ascii="宋体" w:hAnsi="宋体" w:cs="宋体" w:eastAsia="宋体" w:hint="default"/>
          <w:w w:val="99"/>
          <w:sz w:val="22"/>
          <w:szCs w:val="22"/>
        </w:rPr>
        <w:t> </w:t>
      </w:r>
      <w:bookmarkStart w:name="五、公司员工情况" w:id="141"/>
      <w:bookmarkEnd w:id="141"/>
      <w:r>
        <w:rPr>
          <w:rFonts w:ascii="宋体" w:hAnsi="宋体" w:cs="宋体" w:eastAsia="宋体" w:hint="default"/>
          <w:w w:val="99"/>
          <w:sz w:val="22"/>
          <w:szCs w:val="22"/>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42"/>
      <w:bookmarkEnd w:id="142"/>
      <w:r>
        <w:rPr>
          <w:rFonts w:ascii="宋体" w:hAnsi="宋体" w:cs="宋体" w:eastAsia="宋体" w:hint="default"/>
          <w:b/>
          <w:bCs/>
          <w:w w:val="99"/>
          <w:sz w:val="24"/>
          <w:szCs w:val="24"/>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、员工数量、专业构成及教育程度</w:t>
      </w:r>
      <w:r>
        <w:rPr>
          <w:rFonts w:ascii="宋体" w:hAnsi="宋体" w:cs="宋体" w:eastAsia="宋体" w:hint="default"/>
          <w:sz w:val="22"/>
          <w:szCs w:val="22"/>
        </w:rPr>
      </w:r>
    </w:p>
    <w:p>
      <w:pPr>
        <w:spacing w:line="240" w:lineRule="auto" w:before="12"/>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5809"/>
        <w:gridCol w:w="3760"/>
      </w:tblGrid>
      <w:tr>
        <w:trPr>
          <w:trHeight w:val="313" w:hRule="exact"/>
        </w:trPr>
        <w:tc>
          <w:tcPr>
            <w:tcW w:w="5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z w:val="22"/>
                <w:szCs w:val="22"/>
              </w:rPr>
              <w:t>母公司在职员工的数量（注）</w:t>
            </w:r>
          </w:p>
        </w:tc>
        <w:tc>
          <w:tcPr>
            <w:tcW w:w="3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2"/>
                <w:szCs w:val="22"/>
              </w:rPr>
            </w:pPr>
            <w:r>
              <w:rPr>
                <w:rFonts w:ascii="Times New Roman"/>
                <w:w w:val="95"/>
                <w:sz w:val="22"/>
              </w:rPr>
              <w:t>12,773</w:t>
            </w:r>
            <w:r>
              <w:rPr>
                <w:rFonts w:ascii="Times New Roman"/>
                <w:sz w:val="22"/>
              </w:rPr>
            </w:r>
          </w:p>
        </w:tc>
      </w:tr>
      <w:tr>
        <w:trPr>
          <w:trHeight w:val="304" w:hRule="exact"/>
        </w:trPr>
        <w:tc>
          <w:tcPr>
            <w:tcW w:w="5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2"/>
                <w:szCs w:val="22"/>
              </w:rPr>
            </w:pPr>
            <w:r>
              <w:rPr>
                <w:rFonts w:ascii="宋体" w:hAnsi="宋体" w:cs="宋体" w:eastAsia="宋体" w:hint="default"/>
                <w:sz w:val="22"/>
                <w:szCs w:val="22"/>
              </w:rPr>
              <w:t>主要子公司在职员工的数量（注）</w:t>
            </w:r>
          </w:p>
        </w:tc>
        <w:tc>
          <w:tcPr>
            <w:tcW w:w="3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2"/>
                <w:szCs w:val="22"/>
              </w:rPr>
            </w:pPr>
            <w:r>
              <w:rPr>
                <w:rFonts w:ascii="Times New Roman"/>
                <w:w w:val="95"/>
                <w:sz w:val="22"/>
              </w:rPr>
              <w:t>12,178</w:t>
            </w:r>
            <w:r>
              <w:rPr>
                <w:rFonts w:ascii="Times New Roman"/>
                <w:sz w:val="22"/>
              </w:rPr>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在职员工的数量合计</w:t>
            </w:r>
          </w:p>
        </w:tc>
        <w:tc>
          <w:tcPr>
            <w:tcW w:w="3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24,951</w:t>
            </w:r>
            <w:r>
              <w:rPr>
                <w:rFonts w:ascii="Times New Roman"/>
                <w:sz w:val="22"/>
              </w:rPr>
            </w:r>
          </w:p>
        </w:tc>
      </w:tr>
      <w:tr>
        <w:trPr>
          <w:trHeight w:val="296" w:hRule="exact"/>
        </w:trPr>
        <w:tc>
          <w:tcPr>
            <w:tcW w:w="5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当期领取薪酬员工总人数</w:t>
            </w:r>
          </w:p>
        </w:tc>
        <w:tc>
          <w:tcPr>
            <w:tcW w:w="3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32,920</w:t>
            </w:r>
            <w:r>
              <w:rPr>
                <w:rFonts w:ascii="Times New Roman"/>
                <w:sz w:val="22"/>
              </w:rPr>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母公司及主要子公司需承担费用的离退休职工人数</w:t>
            </w:r>
          </w:p>
        </w:tc>
        <w:tc>
          <w:tcPr>
            <w:tcW w:w="3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295"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在职员工专业构成</w:t>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sz w:val="22"/>
                <w:szCs w:val="22"/>
              </w:rPr>
              <w:t>专业构成类别</w:t>
            </w:r>
          </w:p>
        </w:tc>
        <w:tc>
          <w:tcPr>
            <w:tcW w:w="3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217" w:right="0"/>
              <w:jc w:val="left"/>
              <w:rPr>
                <w:rFonts w:ascii="宋体" w:hAnsi="宋体" w:cs="宋体" w:eastAsia="宋体" w:hint="default"/>
                <w:sz w:val="22"/>
                <w:szCs w:val="22"/>
              </w:rPr>
            </w:pPr>
            <w:r>
              <w:rPr>
                <w:rFonts w:ascii="宋体" w:hAnsi="宋体" w:cs="宋体" w:eastAsia="宋体" w:hint="default"/>
                <w:sz w:val="22"/>
                <w:szCs w:val="22"/>
              </w:rPr>
              <w:t>专业构成人数</w:t>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运营体系人员</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5,276</w:t>
            </w:r>
            <w:r>
              <w:rPr>
                <w:rFonts w:ascii="Times New Roman"/>
                <w:sz w:val="22"/>
              </w:rPr>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信息体系人员</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spacing w:val="-2"/>
                <w:sz w:val="22"/>
              </w:rPr>
              <w:t>3,118</w:t>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采购体系人员</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2,760</w:t>
            </w:r>
            <w:r>
              <w:rPr>
                <w:rFonts w:ascii="Times New Roman"/>
                <w:sz w:val="22"/>
              </w:rPr>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职能体系人员</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Times New Roman" w:hAnsi="Times New Roman" w:cs="Times New Roman" w:eastAsia="Times New Roman" w:hint="default"/>
                <w:sz w:val="22"/>
                <w:szCs w:val="22"/>
              </w:rPr>
            </w:pPr>
            <w:r>
              <w:rPr>
                <w:rFonts w:ascii="Times New Roman"/>
                <w:w w:val="95"/>
                <w:sz w:val="22"/>
              </w:rPr>
              <w:t>1,322</w:t>
            </w:r>
            <w:r>
              <w:rPr>
                <w:rFonts w:ascii="Times New Roman"/>
                <w:sz w:val="22"/>
              </w:rPr>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财务体系人员</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Times New Roman" w:hAnsi="Times New Roman" w:cs="Times New Roman" w:eastAsia="Times New Roman" w:hint="default"/>
                <w:sz w:val="22"/>
                <w:szCs w:val="22"/>
              </w:rPr>
            </w:pPr>
            <w:r>
              <w:rPr>
                <w:rFonts w:ascii="Times New Roman"/>
                <w:w w:val="95"/>
                <w:sz w:val="22"/>
              </w:rPr>
              <w:t>1,451</w:t>
            </w:r>
            <w:r>
              <w:rPr>
                <w:rFonts w:ascii="Times New Roman"/>
                <w:sz w:val="22"/>
              </w:rPr>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服务体系人员</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780</w:t>
            </w:r>
            <w:r>
              <w:rPr>
                <w:rFonts w:ascii="Times New Roman"/>
                <w:sz w:val="22"/>
              </w:rPr>
            </w:r>
          </w:p>
        </w:tc>
      </w:tr>
      <w:tr>
        <w:trPr>
          <w:trHeight w:val="296"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终端作业人员</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spacing w:val="-1"/>
                <w:sz w:val="22"/>
              </w:rPr>
              <w:t>10,244</w:t>
            </w:r>
          </w:p>
        </w:tc>
      </w:tr>
      <w:tr>
        <w:trPr>
          <w:trHeight w:val="296" w:hRule="exact"/>
        </w:trPr>
        <w:tc>
          <w:tcPr>
            <w:tcW w:w="5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2"/>
                <w:szCs w:val="22"/>
              </w:rPr>
            </w:pPr>
            <w:r>
              <w:rPr>
                <w:rFonts w:ascii="Times New Roman"/>
                <w:w w:val="95"/>
                <w:sz w:val="22"/>
              </w:rPr>
              <w:t>24,951</w:t>
            </w:r>
            <w:r>
              <w:rPr>
                <w:rFonts w:ascii="Times New Roman"/>
                <w:sz w:val="22"/>
              </w:rPr>
            </w:r>
          </w:p>
        </w:tc>
      </w:tr>
      <w:tr>
        <w:trPr>
          <w:trHeight w:val="295"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在职员工教育程度</w:t>
            </w:r>
          </w:p>
        </w:tc>
      </w:tr>
      <w:tr>
        <w:trPr>
          <w:trHeight w:val="296" w:hRule="exact"/>
        </w:trPr>
        <w:tc>
          <w:tcPr>
            <w:tcW w:w="5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sz w:val="22"/>
                <w:szCs w:val="22"/>
              </w:rPr>
              <w:t>教育程度类别</w:t>
            </w:r>
          </w:p>
        </w:tc>
        <w:tc>
          <w:tcPr>
            <w:tcW w:w="3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4" w:right="0"/>
              <w:jc w:val="center"/>
              <w:rPr>
                <w:rFonts w:ascii="宋体" w:hAnsi="宋体" w:cs="宋体" w:eastAsia="宋体" w:hint="default"/>
                <w:sz w:val="22"/>
                <w:szCs w:val="22"/>
              </w:rPr>
            </w:pPr>
            <w:r>
              <w:rPr>
                <w:rFonts w:ascii="宋体" w:hAnsi="宋体" w:cs="宋体" w:eastAsia="宋体" w:hint="default"/>
                <w:sz w:val="22"/>
                <w:szCs w:val="22"/>
              </w:rPr>
              <w:t>数量</w:t>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本科及以上</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8,621</w:t>
            </w:r>
            <w:r>
              <w:rPr>
                <w:rFonts w:ascii="Times New Roman"/>
                <w:sz w:val="22"/>
              </w:rPr>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大专</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8,890</w:t>
            </w:r>
            <w:r>
              <w:rPr>
                <w:rFonts w:ascii="Times New Roman"/>
                <w:sz w:val="22"/>
              </w:rPr>
            </w:r>
          </w:p>
        </w:tc>
      </w:tr>
      <w:tr>
        <w:trPr>
          <w:trHeight w:val="295"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 w:right="0"/>
              <w:jc w:val="left"/>
              <w:rPr>
                <w:rFonts w:ascii="宋体" w:hAnsi="宋体" w:cs="宋体" w:eastAsia="宋体" w:hint="default"/>
                <w:sz w:val="22"/>
                <w:szCs w:val="22"/>
              </w:rPr>
            </w:pPr>
            <w:r>
              <w:rPr>
                <w:rFonts w:ascii="宋体" w:hAnsi="宋体" w:cs="宋体" w:eastAsia="宋体" w:hint="default"/>
                <w:sz w:val="22"/>
                <w:szCs w:val="22"/>
              </w:rPr>
              <w:t>中专</w:t>
            </w:r>
            <w:r>
              <w:rPr>
                <w:rFonts w:ascii="Times New Roman" w:hAnsi="Times New Roman" w:cs="Times New Roman" w:eastAsia="Times New Roman" w:hint="default"/>
                <w:sz w:val="22"/>
                <w:szCs w:val="22"/>
              </w:rPr>
              <w:t>/</w:t>
            </w:r>
            <w:r>
              <w:rPr>
                <w:rFonts w:ascii="宋体" w:hAnsi="宋体" w:cs="宋体" w:eastAsia="宋体" w:hint="default"/>
                <w:sz w:val="22"/>
                <w:szCs w:val="22"/>
              </w:rPr>
              <w:t>高中</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Times New Roman" w:hAnsi="Times New Roman" w:cs="Times New Roman" w:eastAsia="Times New Roman" w:hint="default"/>
                <w:sz w:val="22"/>
                <w:szCs w:val="22"/>
              </w:rPr>
            </w:pPr>
            <w:r>
              <w:rPr>
                <w:rFonts w:ascii="Times New Roman"/>
                <w:w w:val="95"/>
                <w:sz w:val="22"/>
              </w:rPr>
              <w:t>6,577</w:t>
            </w:r>
            <w:r>
              <w:rPr>
                <w:rFonts w:ascii="Times New Roman"/>
                <w:sz w:val="22"/>
              </w:rPr>
            </w:r>
          </w:p>
        </w:tc>
      </w:tr>
    </w:tbl>
    <w:p>
      <w:pPr>
        <w:spacing w:after="0" w:line="250" w:lineRule="exact"/>
        <w:jc w:val="right"/>
        <w:rPr>
          <w:rFonts w:ascii="Times New Roman" w:hAnsi="Times New Roman" w:cs="Times New Roman" w:eastAsia="Times New Roman" w:hint="default"/>
          <w:sz w:val="22"/>
          <w:szCs w:val="22"/>
        </w:rPr>
        <w:sectPr>
          <w:pgSz w:w="11910" w:h="16840"/>
          <w:pgMar w:header="0"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5812"/>
        <w:gridCol w:w="3756"/>
      </w:tblGrid>
      <w:tr>
        <w:trPr>
          <w:trHeight w:val="295"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Times New Roman" w:hAnsi="Times New Roman" w:cs="Times New Roman" w:eastAsia="Times New Roman" w:hint="default"/>
                <w:sz w:val="22"/>
                <w:szCs w:val="22"/>
              </w:rPr>
            </w:pPr>
            <w:r>
              <w:rPr>
                <w:rFonts w:ascii="Times New Roman"/>
                <w:w w:val="95"/>
                <w:sz w:val="22"/>
              </w:rPr>
              <w:t>863</w:t>
            </w:r>
            <w:r>
              <w:rPr>
                <w:rFonts w:ascii="Times New Roman"/>
                <w:sz w:val="22"/>
              </w:rPr>
            </w:r>
          </w:p>
        </w:tc>
      </w:tr>
      <w:tr>
        <w:trPr>
          <w:trHeight w:val="296"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2"/>
                <w:szCs w:val="22"/>
              </w:rPr>
            </w:pPr>
            <w:r>
              <w:rPr>
                <w:rFonts w:ascii="Times New Roman"/>
                <w:w w:val="95"/>
                <w:sz w:val="22"/>
              </w:rPr>
              <w:t>24,951</w:t>
            </w:r>
            <w:r>
              <w:rPr>
                <w:rFonts w:ascii="Times New Roman"/>
                <w:sz w:val="22"/>
              </w:rPr>
            </w:r>
          </w:p>
        </w:tc>
      </w:tr>
    </w:tbl>
    <w:p>
      <w:pPr>
        <w:pStyle w:val="BodyText"/>
        <w:spacing w:line="240" w:lineRule="auto" w:before="18"/>
        <w:ind w:left="154" w:right="1082"/>
        <w:jc w:val="left"/>
      </w:pPr>
      <w:r>
        <w:rPr/>
        <w:t>注：</w:t>
      </w:r>
      <w:r>
        <w:rPr>
          <w:rFonts w:ascii="Times New Roman" w:hAnsi="Times New Roman" w:cs="Times New Roman" w:eastAsia="Times New Roman" w:hint="default"/>
        </w:rPr>
        <w:t>1</w:t>
      </w:r>
      <w:r>
        <w:rPr/>
        <w:t>、母公司在职员工的数量按照公司总部加南京地区统计列示；</w:t>
      </w:r>
    </w:p>
    <w:p>
      <w:pPr>
        <w:pStyle w:val="BodyText"/>
        <w:spacing w:line="240" w:lineRule="auto" w:before="47"/>
        <w:ind w:left="154" w:right="1082"/>
        <w:jc w:val="left"/>
      </w:pPr>
      <w:r>
        <w:rPr>
          <w:rFonts w:ascii="Times New Roman" w:hAnsi="Times New Roman" w:cs="Times New Roman" w:eastAsia="Times New Roman" w:hint="default"/>
        </w:rPr>
        <w:t>2</w:t>
      </w:r>
      <w:r>
        <w:rPr/>
        <w:t>、主要子公司为报告期内中国大陆地区销售前</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名地区总部在职员工数量；</w:t>
      </w:r>
    </w:p>
    <w:p>
      <w:pPr>
        <w:spacing w:line="240" w:lineRule="auto" w:before="7"/>
        <w:rPr>
          <w:rFonts w:ascii="宋体" w:hAnsi="宋体" w:cs="宋体" w:eastAsia="宋体" w:hint="default"/>
          <w:sz w:val="23"/>
          <w:szCs w:val="23"/>
        </w:rPr>
      </w:pPr>
    </w:p>
    <w:p>
      <w:pPr>
        <w:pStyle w:val="Heading4"/>
        <w:spacing w:line="240" w:lineRule="auto"/>
        <w:ind w:right="1082"/>
        <w:jc w:val="left"/>
        <w:rPr>
          <w:b w:val="0"/>
          <w:bCs w:val="0"/>
        </w:rPr>
      </w:pPr>
      <w:bookmarkStart w:name="2、薪酬政策" w:id="143"/>
      <w:bookmarkEnd w:id="14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29"/>
          <w:szCs w:val="29"/>
        </w:rPr>
      </w:pPr>
    </w:p>
    <w:p>
      <w:pPr>
        <w:pStyle w:val="BodyText"/>
        <w:spacing w:line="391" w:lineRule="auto"/>
        <w:ind w:right="1082" w:firstLine="440"/>
        <w:jc w:val="left"/>
      </w:pPr>
      <w:r>
        <w:rPr>
          <w:spacing w:val="-7"/>
        </w:rPr>
        <w:t>公司为在职员工提供薪酬包括工资、奖金、津贴和补贴、职工福利费、医疗保险费、工伤保险费、</w:t>
      </w:r>
      <w:r>
        <w:rPr>
          <w:w w:val="99"/>
        </w:rPr>
        <w:t> </w:t>
      </w:r>
      <w:r>
        <w:rPr/>
        <w:t>生育保险费、住房公积金、工会和教育经费、短期带薪缺勤等。</w:t>
      </w:r>
    </w:p>
    <w:p>
      <w:pPr>
        <w:spacing w:line="240" w:lineRule="auto" w:before="3"/>
        <w:rPr>
          <w:rFonts w:ascii="宋体" w:hAnsi="宋体" w:cs="宋体" w:eastAsia="宋体" w:hint="default"/>
          <w:sz w:val="20"/>
          <w:szCs w:val="20"/>
        </w:rPr>
      </w:pPr>
    </w:p>
    <w:p>
      <w:pPr>
        <w:pStyle w:val="Heading4"/>
        <w:spacing w:line="240" w:lineRule="auto"/>
        <w:ind w:right="1082"/>
        <w:jc w:val="left"/>
        <w:rPr>
          <w:b w:val="0"/>
          <w:bCs w:val="0"/>
        </w:rPr>
      </w:pPr>
      <w:bookmarkStart w:name="3、培训计划" w:id="144"/>
      <w:bookmarkEnd w:id="14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9"/>
          <w:szCs w:val="29"/>
        </w:rPr>
      </w:pPr>
    </w:p>
    <w:p>
      <w:pPr>
        <w:pStyle w:val="BodyText"/>
        <w:spacing w:line="379" w:lineRule="auto"/>
        <w:ind w:right="1012" w:firstLine="440"/>
        <w:jc w:val="left"/>
      </w:pPr>
      <w:r>
        <w:rPr>
          <w:spacing w:val="2"/>
        </w:rPr>
        <w:t>一直以来，苏宁都秉持</w:t>
      </w:r>
      <w:r>
        <w:rPr>
          <w:rFonts w:ascii="Times New Roman" w:hAnsi="Times New Roman" w:cs="Times New Roman" w:eastAsia="Times New Roman" w:hint="default"/>
          <w:spacing w:val="2"/>
        </w:rPr>
        <w:t>“</w:t>
      </w:r>
      <w:r>
        <w:rPr>
          <w:spacing w:val="2"/>
        </w:rPr>
        <w:t>人力资本是比货币资本更为重要的资本</w:t>
      </w:r>
      <w:r>
        <w:rPr>
          <w:rFonts w:ascii="Times New Roman" w:hAnsi="Times New Roman" w:cs="Times New Roman" w:eastAsia="Times New Roman" w:hint="default"/>
          <w:spacing w:val="2"/>
        </w:rPr>
        <w:t>”</w:t>
      </w:r>
      <w:r>
        <w:rPr>
          <w:spacing w:val="2"/>
        </w:rPr>
        <w:t>，重视人才的培养和培训工作。</w:t>
      </w:r>
      <w:r>
        <w:rPr>
          <w:w w:val="99"/>
        </w:rPr>
        <w:t> </w:t>
      </w:r>
      <w:r>
        <w:rPr/>
        <w:t>公司为员工提供强有力的培训支持体系，通过大数据、云计算等先进的互联网技术，实现学习数据及</w:t>
      </w:r>
      <w:r>
        <w:rPr>
          <w:w w:val="99"/>
        </w:rPr>
        <w:t> </w:t>
      </w:r>
      <w:r>
        <w:rPr/>
        <w:t>资源的整合，为员工提供随时随地的学习成长环境，帮助员工快速成长，实现自身价值。</w:t>
      </w:r>
    </w:p>
    <w:p>
      <w:pPr>
        <w:pStyle w:val="BodyText"/>
        <w:spacing w:line="391" w:lineRule="auto" w:before="52"/>
        <w:ind w:right="1134" w:firstLine="440"/>
        <w:jc w:val="both"/>
      </w:pPr>
      <w:r>
        <w:rPr>
          <w:spacing w:val="-2"/>
        </w:rPr>
        <w:t>为适应公司各项业务发展的需要，公司组织企业文化建设、专业能力建设等培训项目，并以苏宁</w:t>
      </w:r>
      <w:r>
        <w:rPr>
          <w:w w:val="99"/>
        </w:rPr>
        <w:t> </w:t>
      </w:r>
      <w:r>
        <w:rPr>
          <w:spacing w:val="-1"/>
          <w:w w:val="95"/>
        </w:rPr>
        <w:t>大学为载体，开展苏宁讲坛、企业交流等活动，邀请社会优秀人士走进苏宁，为员工提供广阔的知识</w:t>
      </w:r>
      <w:r>
        <w:rPr>
          <w:spacing w:val="49"/>
          <w:w w:val="95"/>
        </w:rPr>
        <w:t> </w:t>
      </w:r>
      <w:r>
        <w:rPr>
          <w:spacing w:val="49"/>
          <w:w w:val="95"/>
        </w:rPr>
      </w:r>
      <w:r>
        <w:rPr/>
        <w:t>交流平台，提高员工的业务素养和工作能力。</w:t>
      </w:r>
    </w:p>
    <w:p>
      <w:pPr>
        <w:spacing w:line="240" w:lineRule="auto" w:before="3"/>
        <w:rPr>
          <w:rFonts w:ascii="宋体" w:hAnsi="宋体" w:cs="宋体" w:eastAsia="宋体" w:hint="default"/>
          <w:sz w:val="20"/>
          <w:szCs w:val="20"/>
        </w:rPr>
      </w:pPr>
    </w:p>
    <w:p>
      <w:pPr>
        <w:pStyle w:val="Heading4"/>
        <w:spacing w:line="240" w:lineRule="auto"/>
        <w:ind w:right="1082"/>
        <w:jc w:val="left"/>
        <w:rPr>
          <w:b w:val="0"/>
          <w:bCs w:val="0"/>
        </w:rPr>
      </w:pPr>
      <w:bookmarkStart w:name="4、劳务外包情况" w:id="145"/>
      <w:bookmarkEnd w:id="14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6"/>
        <w:rPr>
          <w:rFonts w:ascii="宋体" w:hAnsi="宋体" w:cs="宋体" w:eastAsia="宋体" w:hint="default"/>
          <w:b/>
          <w:bCs/>
          <w:sz w:val="23"/>
          <w:szCs w:val="23"/>
        </w:rPr>
      </w:pPr>
    </w:p>
    <w:p>
      <w:pPr>
        <w:pStyle w:val="BodyText"/>
        <w:tabs>
          <w:tab w:pos="494" w:val="left" w:leader="none"/>
        </w:tabs>
        <w:spacing w:line="240" w:lineRule="auto"/>
        <w:ind w:right="1082"/>
        <w:jc w:val="left"/>
      </w:pPr>
      <w:r>
        <w:rPr>
          <w:rFonts w:ascii="Times New Roman" w:hAnsi="Times New Roman" w:cs="Times New Roman" w:eastAsia="Times New Roman" w:hint="default"/>
          <w:w w:val="95"/>
        </w:rPr>
        <w:t>√</w:t>
        <w:tab/>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848"/>
        <w:gridCol w:w="4847"/>
      </w:tblGrid>
      <w:tr>
        <w:trPr>
          <w:trHeight w:val="432" w:hRule="exact"/>
        </w:trPr>
        <w:tc>
          <w:tcPr>
            <w:tcW w:w="484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22"/>
                <w:szCs w:val="22"/>
              </w:rPr>
            </w:pPr>
            <w:r>
              <w:rPr>
                <w:rFonts w:ascii="宋体" w:hAnsi="宋体" w:cs="宋体" w:eastAsia="宋体" w:hint="default"/>
                <w:sz w:val="22"/>
                <w:szCs w:val="22"/>
              </w:rPr>
              <w:t>劳务外包的工时总数（小时）</w:t>
            </w:r>
          </w:p>
        </w:tc>
        <w:tc>
          <w:tcPr>
            <w:tcW w:w="484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2"/>
              <w:ind w:right="122"/>
              <w:jc w:val="right"/>
              <w:rPr>
                <w:rFonts w:ascii="宋体" w:hAnsi="宋体" w:cs="宋体" w:eastAsia="宋体" w:hint="default"/>
                <w:sz w:val="22"/>
                <w:szCs w:val="22"/>
              </w:rPr>
            </w:pPr>
            <w:r>
              <w:rPr>
                <w:rFonts w:ascii="宋体" w:hAnsi="宋体" w:cs="宋体" w:eastAsia="宋体" w:hint="default"/>
                <w:w w:val="95"/>
                <w:sz w:val="22"/>
                <w:szCs w:val="22"/>
              </w:rPr>
              <w:t>不适用</w:t>
            </w:r>
            <w:r>
              <w:rPr>
                <w:rFonts w:ascii="宋体" w:hAnsi="宋体" w:cs="宋体" w:eastAsia="宋体" w:hint="default"/>
                <w:sz w:val="22"/>
                <w:szCs w:val="22"/>
              </w:rPr>
            </w:r>
          </w:p>
        </w:tc>
      </w:tr>
      <w:tr>
        <w:trPr>
          <w:trHeight w:val="422" w:hRule="exact"/>
        </w:trPr>
        <w:tc>
          <w:tcPr>
            <w:tcW w:w="484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2"/>
                <w:szCs w:val="22"/>
              </w:rPr>
            </w:pPr>
            <w:r>
              <w:rPr>
                <w:rFonts w:ascii="宋体" w:hAnsi="宋体" w:cs="宋体" w:eastAsia="宋体" w:hint="default"/>
                <w:sz w:val="22"/>
                <w:szCs w:val="22"/>
              </w:rPr>
              <w:t>劳务外包支付的报酬总额（亿元）</w:t>
            </w:r>
          </w:p>
        </w:tc>
        <w:tc>
          <w:tcPr>
            <w:tcW w:w="484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2"/>
                <w:szCs w:val="22"/>
              </w:rPr>
            </w:pPr>
            <w:r>
              <w:rPr>
                <w:rFonts w:ascii="Times New Roman"/>
                <w:w w:val="95"/>
                <w:sz w:val="22"/>
              </w:rPr>
              <w:t>9.28</w:t>
            </w:r>
            <w:r>
              <w:rPr>
                <w:rFonts w:ascii="Times New Roman"/>
                <w:sz w:val="22"/>
              </w:rPr>
            </w:r>
          </w:p>
        </w:tc>
      </w:tr>
    </w:tbl>
    <w:p>
      <w:pPr>
        <w:pStyle w:val="BodyText"/>
        <w:spacing w:line="244" w:lineRule="auto" w:before="18"/>
        <w:ind w:right="1082"/>
        <w:jc w:val="left"/>
      </w:pPr>
      <w:r>
        <w:rPr>
          <w:spacing w:val="-6"/>
        </w:rPr>
        <w:t>注：公司劳务外包主要发生在物流、售后、客服体系，按照与劳务公司签订的作业模式结算报酬，</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49"/>
        </w:rPr>
        <w:t> </w:t>
      </w:r>
      <w:r>
        <w:rPr/>
        <w:t>年公司劳务外包支付报酬总额为</w:t>
      </w:r>
      <w:r>
        <w:rPr>
          <w:spacing w:val="-58"/>
        </w:rPr>
        <w:t> </w:t>
      </w:r>
      <w:r>
        <w:rPr>
          <w:rFonts w:ascii="Times New Roman" w:hAnsi="Times New Roman" w:cs="Times New Roman" w:eastAsia="Times New Roman" w:hint="default"/>
        </w:rPr>
        <w:t>9.28</w:t>
      </w:r>
      <w:r>
        <w:rPr>
          <w:rFonts w:ascii="Times New Roman" w:hAnsi="Times New Roman" w:cs="Times New Roman" w:eastAsia="Times New Roman" w:hint="default"/>
          <w:spacing w:val="-3"/>
        </w:rPr>
        <w:t> </w:t>
      </w:r>
      <w:r>
        <w:rPr/>
        <w:t>亿元。</w:t>
      </w:r>
    </w:p>
    <w:p>
      <w:pPr>
        <w:spacing w:after="0" w:line="244"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九节 公司治理" w:id="146"/>
      <w:bookmarkEnd w:id="146"/>
      <w:r>
        <w:rPr>
          <w:b w:val="0"/>
          <w:bCs w:val="0"/>
        </w:rPr>
      </w:r>
      <w:bookmarkStart w:name="_bookmark8" w:id="147"/>
      <w:bookmarkEnd w:id="14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48"/>
      <w:bookmarkEnd w:id="148"/>
      <w:r>
        <w:rPr>
          <w:b w:val="0"/>
          <w:bCs w:val="0"/>
        </w:rPr>
      </w:r>
      <w:r>
        <w:rPr/>
        <w:t>一、公司治理的基本状况</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left="594" w:right="1082"/>
        <w:jc w:val="left"/>
      </w:pPr>
      <w:r>
        <w:rPr/>
        <w:t>公司治理的实际状况与中国证监会发布的有关上市公司治理的规范性文件不存在重大差异。</w:t>
      </w:r>
      <w:r>
        <w:rPr>
          <w:w w:val="99"/>
        </w:rPr>
        <w:t> </w:t>
      </w:r>
      <w:r>
        <w:rPr>
          <w:spacing w:val="-2"/>
        </w:rPr>
        <w:t>报告期内，公司按照法律法规要求健全公司治理结构，完善公司各项内部控制制度，提升公司规</w:t>
      </w:r>
    </w:p>
    <w:p>
      <w:pPr>
        <w:pStyle w:val="BodyText"/>
        <w:spacing w:line="240" w:lineRule="auto" w:before="41"/>
        <w:ind w:right="0"/>
        <w:jc w:val="both"/>
      </w:pPr>
      <w:r>
        <w:rPr/>
        <w:t>范运作水平。</w:t>
      </w:r>
    </w:p>
    <w:p>
      <w:pPr>
        <w:pStyle w:val="BodyText"/>
        <w:spacing w:line="369" w:lineRule="auto" w:before="180"/>
        <w:ind w:left="594" w:right="1082"/>
        <w:jc w:val="left"/>
      </w:pPr>
      <w:r>
        <w:rPr/>
        <w:t>（</w:t>
      </w:r>
      <w:r>
        <w:rPr>
          <w:rFonts w:ascii="Times New Roman" w:hAnsi="Times New Roman" w:cs="Times New Roman" w:eastAsia="Times New Roman" w:hint="default"/>
        </w:rPr>
        <w:t>1</w:t>
      </w:r>
      <w:r>
        <w:rPr/>
        <w:t>）关于股东及股东大会</w:t>
      </w:r>
      <w:r>
        <w:rPr>
          <w:w w:val="99"/>
        </w:rPr>
        <w:t> </w:t>
      </w:r>
      <w:r>
        <w:rPr>
          <w:spacing w:val="-2"/>
        </w:rPr>
        <w:t>公司通过路演、深交所互动易、电子邮件、投资者交流会等多种方式建立与股东间的互动，报告</w:t>
      </w:r>
    </w:p>
    <w:p>
      <w:pPr>
        <w:pStyle w:val="BodyText"/>
        <w:spacing w:line="379" w:lineRule="auto" w:before="61"/>
        <w:ind w:right="1132"/>
        <w:jc w:val="both"/>
      </w:pPr>
      <w:r>
        <w:rPr>
          <w:spacing w:val="-1"/>
        </w:rPr>
        <w:t>期内公司举办年度报告网上说明会、</w:t>
      </w:r>
      <w:r>
        <w:rPr>
          <w:rFonts w:ascii="Times New Roman" w:hAnsi="Times New Roman" w:cs="Times New Roman" w:eastAsia="Times New Roman" w:hint="default"/>
          <w:spacing w:val="-1"/>
        </w:rPr>
        <w:t>2015</w:t>
      </w:r>
      <w:r>
        <w:rPr>
          <w:spacing w:val="-1"/>
        </w:rPr>
        <w:t>年投资者交流会等专项股东交流活动，搭建公司与股东之间</w:t>
      </w:r>
      <w:r>
        <w:rPr>
          <w:w w:val="99"/>
        </w:rPr>
        <w:t> </w:t>
      </w:r>
      <w:r>
        <w:rPr>
          <w:spacing w:val="-1"/>
        </w:rPr>
        <w:t>的沟通渠道；年度内公司召开五次股东大会，审议通过了全部议案内容，网络投票和中小投资者单独</w:t>
      </w:r>
      <w:r>
        <w:rPr>
          <w:w w:val="99"/>
        </w:rPr>
        <w:t> </w:t>
      </w:r>
      <w:r>
        <w:rPr/>
        <w:t>计票并披露作为股东大会常规机制予以建立实施。</w:t>
      </w:r>
    </w:p>
    <w:p>
      <w:pPr>
        <w:pStyle w:val="BodyText"/>
        <w:spacing w:line="369" w:lineRule="auto" w:before="52"/>
        <w:ind w:left="594" w:right="0"/>
        <w:jc w:val="left"/>
      </w:pPr>
      <w:r>
        <w:rPr/>
        <w:t>（</w:t>
      </w:r>
      <w:r>
        <w:rPr>
          <w:rFonts w:ascii="Times New Roman" w:hAnsi="Times New Roman" w:cs="Times New Roman" w:eastAsia="Times New Roman" w:hint="default"/>
        </w:rPr>
        <w:t>2</w:t>
      </w:r>
      <w:r>
        <w:rPr/>
        <w:t>）关于董事及董事会</w:t>
      </w:r>
      <w:r>
        <w:rPr>
          <w:w w:val="99"/>
        </w:rPr>
        <w:t> </w:t>
      </w:r>
      <w:r>
        <w:rPr/>
        <w:t>报告期内，公司全体董事勤勉尽责，董事会及各专门委员会高效运作，审议决策公司各类事项，</w:t>
      </w:r>
    </w:p>
    <w:p>
      <w:pPr>
        <w:pStyle w:val="BodyText"/>
        <w:spacing w:line="240" w:lineRule="auto" w:before="61"/>
        <w:ind w:right="0"/>
        <w:jc w:val="both"/>
      </w:pPr>
      <w:r>
        <w:rPr/>
        <w:t>确保了公司规范运作。</w:t>
      </w:r>
    </w:p>
    <w:p>
      <w:pPr>
        <w:pStyle w:val="BodyText"/>
        <w:spacing w:line="369" w:lineRule="auto" w:before="180"/>
        <w:ind w:left="594" w:right="1082"/>
        <w:jc w:val="left"/>
      </w:pPr>
      <w:r>
        <w:rPr/>
        <w:t>（</w:t>
      </w:r>
      <w:r>
        <w:rPr>
          <w:rFonts w:ascii="Times New Roman" w:hAnsi="Times New Roman" w:cs="Times New Roman" w:eastAsia="Times New Roman" w:hint="default"/>
        </w:rPr>
        <w:t>3</w:t>
      </w:r>
      <w:r>
        <w:rPr/>
        <w:t>）关于监事及监事会</w:t>
      </w:r>
      <w:r>
        <w:rPr>
          <w:w w:val="99"/>
        </w:rPr>
        <w:t> </w:t>
      </w:r>
      <w:r>
        <w:rPr>
          <w:spacing w:val="-2"/>
        </w:rPr>
        <w:t>全体监事勤勉尽责，充分发挥监事会职责，对公司财务以及董事、高级管理人员履行职责的合法</w:t>
      </w:r>
    </w:p>
    <w:p>
      <w:pPr>
        <w:pStyle w:val="BodyText"/>
        <w:spacing w:line="391" w:lineRule="auto" w:before="61"/>
        <w:ind w:left="594" w:right="0" w:hanging="441"/>
        <w:jc w:val="left"/>
      </w:pPr>
      <w:r>
        <w:rPr/>
        <w:t>合规性进行监督，维护公司及股东的合法权益。</w:t>
      </w:r>
      <w:r>
        <w:rPr>
          <w:w w:val="99"/>
        </w:rPr>
        <w:t> </w:t>
      </w:r>
      <w:r>
        <w:rPr/>
        <w:t>报告期内，公司监事列席董事会会议，听取公司管理层、财务负责人关于公司</w:t>
      </w:r>
      <w:r>
        <w:rPr>
          <w:rFonts w:ascii="Times New Roman" w:hAnsi="Times New Roman" w:cs="Times New Roman" w:eastAsia="Times New Roman" w:hint="default"/>
        </w:rPr>
        <w:t>2014</w:t>
      </w:r>
      <w:r>
        <w:rPr/>
        <w:t>年年度报告、</w:t>
      </w:r>
    </w:p>
    <w:p>
      <w:pPr>
        <w:pStyle w:val="BodyText"/>
        <w:spacing w:line="240" w:lineRule="auto" w:before="10"/>
        <w:ind w:right="0"/>
        <w:jc w:val="both"/>
      </w:pPr>
      <w:r>
        <w:rPr>
          <w:rFonts w:ascii="Times New Roman" w:hAnsi="Times New Roman" w:cs="Times New Roman" w:eastAsia="Times New Roman" w:hint="default"/>
        </w:rPr>
        <w:t>2015</w:t>
      </w:r>
      <w:r>
        <w:rPr/>
        <w:t>年半年度报告内容汇报，并对公司投资理财、关联交易、募集资金等重要事项发表合规意见。</w:t>
      </w:r>
    </w:p>
    <w:p>
      <w:pPr>
        <w:pStyle w:val="BodyText"/>
        <w:spacing w:line="369" w:lineRule="auto" w:before="163"/>
        <w:ind w:left="594" w:right="1082"/>
        <w:jc w:val="left"/>
      </w:pPr>
      <w:r>
        <w:rPr/>
        <w:t>（</w:t>
      </w:r>
      <w:r>
        <w:rPr>
          <w:rFonts w:ascii="Times New Roman" w:hAnsi="Times New Roman" w:cs="Times New Roman" w:eastAsia="Times New Roman" w:hint="default"/>
        </w:rPr>
        <w:t>4</w:t>
      </w:r>
      <w:r>
        <w:rPr/>
        <w:t>）关于绩效评价与激励约束机制</w:t>
      </w:r>
      <w:r>
        <w:rPr>
          <w:w w:val="99"/>
        </w:rPr>
        <w:t> </w:t>
      </w:r>
      <w:r>
        <w:rPr>
          <w:spacing w:val="-2"/>
        </w:rPr>
        <w:t>公司通过建立公正透明的董事、监事和高级管理人员的绩效评价标准和激励约束机制，设立具有</w:t>
      </w:r>
    </w:p>
    <w:p>
      <w:pPr>
        <w:pStyle w:val="BodyText"/>
        <w:spacing w:line="391" w:lineRule="auto" w:before="61"/>
        <w:ind w:right="1132"/>
        <w:jc w:val="both"/>
      </w:pPr>
      <w:r>
        <w:rPr>
          <w:spacing w:val="-1"/>
        </w:rPr>
        <w:t>竞争性的岗位绩效考核机制，促进管理绩效的提升。公司董事会薪酬与考核委员会负责组织实施对公</w:t>
      </w:r>
      <w:r>
        <w:rPr>
          <w:w w:val="99"/>
        </w:rPr>
        <w:t> </w:t>
      </w:r>
      <w:r>
        <w:rPr>
          <w:spacing w:val="-1"/>
        </w:rPr>
        <w:t>司董事、高级管理人员的绩效评价，对于公司监事结合所任公司岗位，依据公司内部管理绩效进行考</w:t>
      </w:r>
      <w:r>
        <w:rPr>
          <w:w w:val="99"/>
        </w:rPr>
        <w:t> </w:t>
      </w:r>
      <w:r>
        <w:rPr/>
        <w:t>核。</w:t>
      </w:r>
    </w:p>
    <w:p>
      <w:pPr>
        <w:pStyle w:val="BodyText"/>
        <w:spacing w:line="369" w:lineRule="auto" w:before="41"/>
        <w:ind w:left="594" w:right="1082"/>
        <w:jc w:val="left"/>
      </w:pPr>
      <w:r>
        <w:rPr/>
        <w:t>（</w:t>
      </w:r>
      <w:r>
        <w:rPr>
          <w:rFonts w:ascii="Times New Roman" w:hAnsi="Times New Roman" w:cs="Times New Roman" w:eastAsia="Times New Roman" w:hint="default"/>
        </w:rPr>
        <w:t>5</w:t>
      </w:r>
      <w:r>
        <w:rPr/>
        <w:t>）关于相关利益者</w:t>
      </w:r>
      <w:r>
        <w:rPr>
          <w:w w:val="99"/>
        </w:rPr>
        <w:t> </w:t>
      </w:r>
      <w:r>
        <w:rPr>
          <w:spacing w:val="-2"/>
        </w:rPr>
        <w:t>公司能够充分尊重和维护相关利益者的合法权益，积极与相关利益者合作，加强与各方的沟通和</w:t>
      </w:r>
    </w:p>
    <w:p>
      <w:pPr>
        <w:pStyle w:val="BodyText"/>
        <w:spacing w:line="240" w:lineRule="auto" w:before="61"/>
        <w:ind w:right="0"/>
        <w:jc w:val="both"/>
      </w:pPr>
      <w:r>
        <w:rPr/>
        <w:t>交流，实现股东、员工、社会等各方利益的均衡，以推动公司持续、稳定、健康地发展。</w:t>
      </w:r>
    </w:p>
    <w:p>
      <w:pPr>
        <w:spacing w:after="0" w:line="240" w:lineRule="auto"/>
        <w:jc w:val="both"/>
        <w:sectPr>
          <w:pgSz w:w="11910" w:h="16840"/>
          <w:pgMar w:header="0" w:footer="979" w:top="1100" w:bottom="1160" w:left="980" w:right="0"/>
        </w:sectPr>
      </w:pPr>
    </w:p>
    <w:p>
      <w:pPr>
        <w:spacing w:line="240" w:lineRule="auto" w:before="3"/>
        <w:rPr>
          <w:rFonts w:ascii="宋体" w:hAnsi="宋体" w:cs="宋体" w:eastAsia="宋体" w:hint="default"/>
          <w:sz w:val="26"/>
          <w:szCs w:val="26"/>
        </w:rPr>
      </w:pPr>
    </w:p>
    <w:p>
      <w:pPr>
        <w:pStyle w:val="BodyText"/>
        <w:spacing w:line="369" w:lineRule="auto" w:before="31"/>
        <w:ind w:left="594" w:right="1082"/>
        <w:jc w:val="left"/>
      </w:pPr>
      <w:r>
        <w:rPr/>
        <w:t>（</w:t>
      </w:r>
      <w:r>
        <w:rPr>
          <w:rFonts w:ascii="Times New Roman" w:hAnsi="Times New Roman" w:cs="Times New Roman" w:eastAsia="Times New Roman" w:hint="default"/>
        </w:rPr>
        <w:t>6</w:t>
      </w:r>
      <w:r>
        <w:rPr/>
        <w:t>）关于信息披露与透明度</w:t>
      </w:r>
      <w:r>
        <w:rPr>
          <w:w w:val="99"/>
        </w:rPr>
        <w:t> </w:t>
      </w:r>
      <w:r>
        <w:rPr>
          <w:spacing w:val="-2"/>
        </w:rPr>
        <w:t>公司严格按照《信息披露管理制度》、《投资者关系管理制度》的要求，加强公司信息披露的规</w:t>
      </w:r>
    </w:p>
    <w:p>
      <w:pPr>
        <w:pStyle w:val="BodyText"/>
        <w:spacing w:line="391" w:lineRule="auto" w:before="61"/>
        <w:ind w:right="0"/>
        <w:jc w:val="left"/>
      </w:pPr>
      <w:r>
        <w:rPr/>
        <w:t>范性，由公司董事会秘书负责信息披露工作、接待投资者来访和咨询，公司严格按照有关规定真实、</w:t>
      </w:r>
      <w:r>
        <w:rPr>
          <w:spacing w:val="-69"/>
        </w:rPr>
        <w:t> </w:t>
      </w:r>
      <w:r>
        <w:rPr>
          <w:spacing w:val="-69"/>
        </w:rPr>
      </w:r>
      <w:r>
        <w:rPr/>
        <w:t>准确、完整、及时地披露有关信息，确保公司所有股东能够以平等的机会获得信息。</w:t>
      </w:r>
    </w:p>
    <w:p>
      <w:pPr>
        <w:spacing w:line="240" w:lineRule="auto" w:before="1"/>
        <w:rPr>
          <w:rFonts w:ascii="宋体" w:hAnsi="宋体" w:cs="宋体" w:eastAsia="宋体" w:hint="default"/>
          <w:sz w:val="19"/>
          <w:szCs w:val="19"/>
        </w:rPr>
      </w:pPr>
    </w:p>
    <w:p>
      <w:pPr>
        <w:pStyle w:val="Heading2"/>
        <w:spacing w:line="240" w:lineRule="auto"/>
        <w:ind w:right="1082"/>
        <w:jc w:val="left"/>
        <w:rPr>
          <w:b w:val="0"/>
          <w:bCs w:val="0"/>
        </w:rPr>
      </w:pPr>
      <w:bookmarkStart w:name="二、公司相对于控股股东在业务、人员、资产、机构、财务等方面的独立情况" w:id="149"/>
      <w:bookmarkEnd w:id="149"/>
      <w:r>
        <w:rPr>
          <w:b w:val="0"/>
          <w:bCs w:val="0"/>
        </w:rPr>
      </w:r>
      <w:r>
        <w:rPr/>
        <w:t>二、公司相对于控股股东在业务、人员、资产、机构、财务等方面的独立情况</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right="0" w:firstLine="440"/>
        <w:jc w:val="left"/>
      </w:pPr>
      <w:r>
        <w:rPr/>
        <w:t>因公司控股股东为自然人，故不存在公司与控股股东在业务、人员、资产、机构等方面的问题，</w:t>
      </w:r>
      <w:r>
        <w:rPr>
          <w:w w:val="99"/>
        </w:rPr>
        <w:t> </w:t>
      </w:r>
      <w:r>
        <w:rPr/>
        <w:t>同时公司的控股股东及其关联公司未以任何非经营性形式占用公司的货币资金或其他资产，公司与控</w:t>
      </w:r>
      <w:r>
        <w:rPr>
          <w:w w:val="99"/>
        </w:rPr>
        <w:t> </w:t>
      </w:r>
      <w:r>
        <w:rPr/>
        <w:t>股股东及其关联公司在业务、人员、资产、机构、财务等方面完全分开，具有独立完整的业务及自主</w:t>
      </w:r>
      <w:r>
        <w:rPr>
          <w:w w:val="99"/>
        </w:rPr>
        <w:t> </w:t>
      </w:r>
      <w:r>
        <w:rPr/>
        <w:t>经营能力。公司与控股股东关联法人之间发生的关联交易，定价公平合理，审批程序符合相关法律、</w:t>
      </w:r>
      <w:r>
        <w:rPr>
          <w:spacing w:val="-75"/>
        </w:rPr>
        <w:t> </w:t>
      </w:r>
      <w:r>
        <w:rPr>
          <w:spacing w:val="-75"/>
        </w:rPr>
      </w:r>
      <w:r>
        <w:rPr/>
        <w:t>法规及公司《章程》的规定。</w:t>
      </w:r>
    </w:p>
    <w:p>
      <w:pPr>
        <w:spacing w:line="240" w:lineRule="auto" w:before="1"/>
        <w:rPr>
          <w:rFonts w:ascii="宋体" w:hAnsi="宋体" w:cs="宋体" w:eastAsia="宋体" w:hint="default"/>
          <w:sz w:val="19"/>
          <w:szCs w:val="19"/>
        </w:rPr>
      </w:pPr>
    </w:p>
    <w:p>
      <w:pPr>
        <w:pStyle w:val="Heading2"/>
        <w:spacing w:line="240" w:lineRule="auto"/>
        <w:ind w:right="1082"/>
        <w:jc w:val="left"/>
        <w:rPr>
          <w:b w:val="0"/>
          <w:bCs w:val="0"/>
        </w:rPr>
      </w:pPr>
      <w:bookmarkStart w:name="三、同业竞争情况" w:id="150"/>
      <w:bookmarkEnd w:id="150"/>
      <w:r>
        <w:rPr>
          <w:b w:val="0"/>
          <w:bCs w:val="0"/>
        </w:rPr>
      </w:r>
      <w:r>
        <w:rPr/>
        <w:t>三、同业竞争情况</w:t>
      </w:r>
      <w:r>
        <w:rPr>
          <w:b w:val="0"/>
          <w:bCs w:val="0"/>
        </w:rPr>
      </w:r>
    </w:p>
    <w:p>
      <w:pPr>
        <w:spacing w:line="240" w:lineRule="auto" w:before="13"/>
        <w:rPr>
          <w:rFonts w:ascii="宋体" w:hAnsi="宋体" w:cs="宋体" w:eastAsia="宋体" w:hint="default"/>
          <w:b/>
          <w:bCs/>
          <w:sz w:val="29"/>
          <w:szCs w:val="29"/>
        </w:rPr>
      </w:pPr>
    </w:p>
    <w:p>
      <w:pPr>
        <w:pStyle w:val="BodyText"/>
        <w:spacing w:line="398" w:lineRule="auto"/>
        <w:ind w:left="5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为避免同业竞争损害本公司及其他股东的利益，公司股东张近东先生、苏宁电器集团有限公司、</w:t>
      </w:r>
    </w:p>
    <w:p>
      <w:pPr>
        <w:pStyle w:val="BodyText"/>
        <w:spacing w:line="240" w:lineRule="auto" w:before="35"/>
        <w:ind w:right="1082"/>
        <w:jc w:val="left"/>
      </w:pPr>
      <w:r>
        <w:rPr/>
        <w:t>陈金凤女士、赵蓓女士已于</w:t>
      </w:r>
      <w:r>
        <w:rPr>
          <w:spacing w:val="-58"/>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日分别向公司出具《不竞争承诺函》；苏宁电器集团有</w:t>
      </w:r>
    </w:p>
    <w:p>
      <w:pPr>
        <w:pStyle w:val="BodyText"/>
        <w:spacing w:line="240" w:lineRule="auto" w:before="164"/>
        <w:ind w:left="154" w:right="1082"/>
        <w:jc w:val="left"/>
      </w:pPr>
      <w:r>
        <w:rPr/>
        <w:t>限公司</w:t>
      </w:r>
      <w:r>
        <w:rPr>
          <w:spacing w:val="-58"/>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日出具承诺函，保证今后避免发生除正常业务外的一切资金往来。</w:t>
      </w:r>
    </w:p>
    <w:p>
      <w:pPr>
        <w:spacing w:line="240" w:lineRule="auto" w:before="4"/>
        <w:rPr>
          <w:rFonts w:ascii="宋体" w:hAnsi="宋体" w:cs="宋体" w:eastAsia="宋体" w:hint="default"/>
          <w:sz w:val="28"/>
          <w:szCs w:val="28"/>
        </w:rPr>
      </w:pPr>
    </w:p>
    <w:p>
      <w:pPr>
        <w:pStyle w:val="Heading2"/>
        <w:spacing w:line="240" w:lineRule="auto"/>
        <w:ind w:right="1082"/>
        <w:jc w:val="left"/>
        <w:rPr>
          <w:b w:val="0"/>
          <w:bCs w:val="0"/>
        </w:rPr>
      </w:pPr>
      <w:bookmarkStart w:name="四、报告期内召开的年度股东大会和临时股东大会的有关情况" w:id="151"/>
      <w:bookmarkEnd w:id="151"/>
      <w:r>
        <w:rPr>
          <w:b w:val="0"/>
          <w:bCs w:val="0"/>
        </w:rPr>
      </w:r>
      <w:r>
        <w:rPr/>
        <w:t>四、报告期内召开的年度股东大会和临时股东大会的有关情况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82"/>
        <w:jc w:val="left"/>
        <w:rPr>
          <w:b w:val="0"/>
          <w:bCs w:val="0"/>
        </w:rPr>
      </w:pPr>
      <w:bookmarkStart w:name="1、本报告期股东大会情况" w:id="152"/>
      <w:bookmarkEnd w:id="15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4"/>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305"/>
        <w:gridCol w:w="989"/>
        <w:gridCol w:w="1278"/>
        <w:gridCol w:w="1703"/>
        <w:gridCol w:w="1702"/>
        <w:gridCol w:w="2976"/>
      </w:tblGrid>
      <w:tr>
        <w:trPr>
          <w:trHeight w:val="63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247"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88" w:right="0"/>
              <w:jc w:val="left"/>
              <w:rPr>
                <w:rFonts w:ascii="宋体" w:hAnsi="宋体" w:cs="宋体" w:eastAsia="宋体" w:hint="default"/>
                <w:sz w:val="20"/>
                <w:szCs w:val="20"/>
              </w:rPr>
            </w:pPr>
            <w:r>
              <w:rPr>
                <w:rFonts w:ascii="宋体" w:hAnsi="宋体" w:cs="宋体" w:eastAsia="宋体" w:hint="default"/>
                <w:sz w:val="20"/>
                <w:szCs w:val="20"/>
              </w:rPr>
              <w:t>会议类型</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233" w:right="30" w:hanging="200"/>
              <w:jc w:val="left"/>
              <w:rPr>
                <w:rFonts w:ascii="宋体" w:hAnsi="宋体" w:cs="宋体" w:eastAsia="宋体" w:hint="default"/>
                <w:sz w:val="20"/>
                <w:szCs w:val="20"/>
              </w:rPr>
            </w:pPr>
            <w:r>
              <w:rPr>
                <w:rFonts w:ascii="宋体" w:hAnsi="宋体" w:cs="宋体" w:eastAsia="宋体" w:hint="default"/>
                <w:sz w:val="20"/>
                <w:szCs w:val="20"/>
              </w:rPr>
              <w:t>投资者参与比</w:t>
            </w:r>
            <w:r>
              <w:rPr>
                <w:rFonts w:ascii="宋体" w:hAnsi="宋体" w:cs="宋体" w:eastAsia="宋体" w:hint="default"/>
                <w:w w:val="100"/>
                <w:sz w:val="20"/>
                <w:szCs w:val="20"/>
              </w:rPr>
              <w:t> </w:t>
            </w:r>
            <w:r>
              <w:rPr>
                <w:rFonts w:ascii="宋体" w:hAnsi="宋体" w:cs="宋体" w:eastAsia="宋体" w:hint="default"/>
                <w:sz w:val="20"/>
                <w:szCs w:val="20"/>
              </w:rPr>
              <w:t>例（注）</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446"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445" w:right="0"/>
              <w:jc w:val="left"/>
              <w:rPr>
                <w:rFonts w:ascii="宋体" w:hAnsi="宋体" w:cs="宋体" w:eastAsia="宋体" w:hint="default"/>
                <w:sz w:val="20"/>
                <w:szCs w:val="20"/>
              </w:rPr>
            </w:pPr>
            <w:r>
              <w:rPr>
                <w:rFonts w:ascii="宋体" w:hAnsi="宋体" w:cs="宋体" w:eastAsia="宋体" w:hint="default"/>
                <w:sz w:val="20"/>
                <w:szCs w:val="20"/>
              </w:rPr>
              <w:t>披露日期</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披露索引</w:t>
            </w: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1"/>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年年度股</w:t>
            </w:r>
            <w:r>
              <w:rPr>
                <w:rFonts w:ascii="宋体" w:hAnsi="宋体" w:cs="宋体" w:eastAsia="宋体" w:hint="default"/>
                <w:w w:val="100"/>
                <w:sz w:val="20"/>
                <w:szCs w:val="20"/>
              </w:rPr>
              <w:t> </w:t>
            </w:r>
            <w:r>
              <w:rPr>
                <w:rFonts w:ascii="宋体" w:hAnsi="宋体" w:cs="宋体" w:eastAsia="宋体" w:hint="default"/>
                <w:sz w:val="20"/>
                <w:szCs w:val="20"/>
              </w:rPr>
              <w:t>东大会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1"/>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宋体" w:hAnsi="宋体" w:cs="宋体" w:eastAsia="宋体" w:hint="default"/>
                <w:sz w:val="20"/>
                <w:szCs w:val="20"/>
              </w:rPr>
              <w:t>度</w:t>
            </w:r>
            <w:r>
              <w:rPr>
                <w:rFonts w:ascii="宋体" w:hAnsi="宋体" w:cs="宋体" w:eastAsia="宋体" w:hint="default"/>
                <w:spacing w:val="-56"/>
                <w:sz w:val="20"/>
                <w:szCs w:val="20"/>
              </w:rPr>
              <w:t> </w:t>
            </w:r>
            <w:r>
              <w:rPr>
                <w:rFonts w:ascii="宋体" w:hAnsi="宋体" w:cs="宋体" w:eastAsia="宋体" w:hint="default"/>
                <w:sz w:val="20"/>
                <w:szCs w:val="20"/>
              </w:rPr>
              <w:t>股</w:t>
            </w:r>
            <w:r>
              <w:rPr>
                <w:rFonts w:ascii="宋体" w:hAnsi="宋体" w:cs="宋体" w:eastAsia="宋体" w:hint="default"/>
                <w:spacing w:val="-57"/>
                <w:sz w:val="20"/>
                <w:szCs w:val="20"/>
              </w:rPr>
              <w:t> </w:t>
            </w:r>
            <w:r>
              <w:rPr>
                <w:rFonts w:ascii="宋体" w:hAnsi="宋体" w:cs="宋体" w:eastAsia="宋体" w:hint="default"/>
                <w:sz w:val="20"/>
                <w:szCs w:val="20"/>
              </w:rPr>
              <w:t>东</w:t>
            </w:r>
            <w:r>
              <w:rPr>
                <w:rFonts w:ascii="宋体" w:hAnsi="宋体" w:cs="宋体" w:eastAsia="宋体" w:hint="default"/>
                <w:w w:val="100"/>
                <w:sz w:val="20"/>
                <w:szCs w:val="20"/>
              </w:rPr>
              <w:t> </w:t>
            </w:r>
            <w:r>
              <w:rPr>
                <w:rFonts w:ascii="宋体" w:hAnsi="宋体" w:cs="宋体" w:eastAsia="宋体" w:hint="default"/>
                <w:sz w:val="20"/>
                <w:szCs w:val="20"/>
              </w:rPr>
              <w:t>大会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20"/>
                <w:szCs w:val="20"/>
              </w:rPr>
            </w:pPr>
            <w:r>
              <w:rPr>
                <w:rFonts w:ascii="Times New Roman"/>
                <w:sz w:val="20"/>
              </w:rPr>
              <w:t>0.012%</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0"/>
              <w:jc w:val="left"/>
              <w:rPr>
                <w:rFonts w:ascii="宋体" w:hAnsi="宋体" w:cs="宋体" w:eastAsia="宋体" w:hint="default"/>
                <w:sz w:val="20"/>
                <w:szCs w:val="20"/>
              </w:rPr>
            </w:pPr>
            <w:r>
              <w:rPr>
                <w:rFonts w:ascii="宋体" w:hAnsi="宋体" w:cs="宋体" w:eastAsia="宋体" w:hint="default"/>
                <w:sz w:val="20"/>
                <w:szCs w:val="20"/>
              </w:rPr>
              <w:t>巨潮资讯网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2015-020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年度股东大会决议公告》</w:t>
            </w:r>
          </w:p>
        </w:tc>
      </w:tr>
      <w:tr>
        <w:trPr>
          <w:trHeight w:val="635"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1"/>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年第一次</w:t>
            </w:r>
            <w:r>
              <w:rPr>
                <w:rFonts w:ascii="宋体" w:hAnsi="宋体" w:cs="宋体" w:eastAsia="宋体" w:hint="default"/>
                <w:w w:val="100"/>
                <w:sz w:val="20"/>
                <w:szCs w:val="20"/>
              </w:rPr>
              <w:t> </w:t>
            </w:r>
            <w:r>
              <w:rPr>
                <w:rFonts w:ascii="宋体" w:hAnsi="宋体" w:cs="宋体" w:eastAsia="宋体" w:hint="default"/>
                <w:sz w:val="20"/>
                <w:szCs w:val="20"/>
              </w:rPr>
              <w:t>临时股东大会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1"/>
              <w:jc w:val="left"/>
              <w:rPr>
                <w:rFonts w:ascii="宋体" w:hAnsi="宋体" w:cs="宋体" w:eastAsia="宋体" w:hint="default"/>
                <w:sz w:val="20"/>
                <w:szCs w:val="20"/>
              </w:rPr>
            </w:pPr>
            <w:r>
              <w:rPr>
                <w:rFonts w:ascii="宋体" w:hAnsi="宋体" w:cs="宋体" w:eastAsia="宋体" w:hint="default"/>
                <w:sz w:val="20"/>
                <w:szCs w:val="20"/>
              </w:rPr>
              <w:t>临</w:t>
            </w:r>
            <w:r>
              <w:rPr>
                <w:rFonts w:ascii="宋体" w:hAnsi="宋体" w:cs="宋体" w:eastAsia="宋体" w:hint="default"/>
                <w:spacing w:val="-56"/>
                <w:sz w:val="20"/>
                <w:szCs w:val="20"/>
              </w:rPr>
              <w:t> </w:t>
            </w:r>
            <w:r>
              <w:rPr>
                <w:rFonts w:ascii="宋体" w:hAnsi="宋体" w:cs="宋体" w:eastAsia="宋体" w:hint="default"/>
                <w:sz w:val="20"/>
                <w:szCs w:val="20"/>
              </w:rPr>
              <w:t>时</w:t>
            </w:r>
            <w:r>
              <w:rPr>
                <w:rFonts w:ascii="宋体" w:hAnsi="宋体" w:cs="宋体" w:eastAsia="宋体" w:hint="default"/>
                <w:spacing w:val="-56"/>
                <w:sz w:val="20"/>
                <w:szCs w:val="20"/>
              </w:rPr>
              <w:t> </w:t>
            </w:r>
            <w:r>
              <w:rPr>
                <w:rFonts w:ascii="宋体" w:hAnsi="宋体" w:cs="宋体" w:eastAsia="宋体" w:hint="default"/>
                <w:sz w:val="20"/>
                <w:szCs w:val="20"/>
              </w:rPr>
              <w:t>股</w:t>
            </w:r>
            <w:r>
              <w:rPr>
                <w:rFonts w:ascii="宋体" w:hAnsi="宋体" w:cs="宋体" w:eastAsia="宋体" w:hint="default"/>
                <w:spacing w:val="-57"/>
                <w:sz w:val="20"/>
                <w:szCs w:val="20"/>
              </w:rPr>
              <w:t> </w:t>
            </w:r>
            <w:r>
              <w:rPr>
                <w:rFonts w:ascii="宋体" w:hAnsi="宋体" w:cs="宋体" w:eastAsia="宋体" w:hint="default"/>
                <w:sz w:val="20"/>
                <w:szCs w:val="20"/>
              </w:rPr>
              <w:t>东</w:t>
            </w:r>
            <w:r>
              <w:rPr>
                <w:rFonts w:ascii="宋体" w:hAnsi="宋体" w:cs="宋体" w:eastAsia="宋体" w:hint="default"/>
                <w:w w:val="100"/>
                <w:sz w:val="20"/>
                <w:szCs w:val="20"/>
              </w:rPr>
              <w:t> </w:t>
            </w:r>
            <w:r>
              <w:rPr>
                <w:rFonts w:ascii="宋体" w:hAnsi="宋体" w:cs="宋体" w:eastAsia="宋体" w:hint="default"/>
                <w:sz w:val="20"/>
                <w:szCs w:val="20"/>
              </w:rPr>
              <w:t>大会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20"/>
                <w:szCs w:val="20"/>
              </w:rPr>
            </w:pPr>
            <w:r>
              <w:rPr>
                <w:rFonts w:ascii="Times New Roman"/>
                <w:sz w:val="20"/>
              </w:rPr>
              <w:t>0.008%</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0"/>
              <w:jc w:val="left"/>
              <w:rPr>
                <w:rFonts w:ascii="宋体" w:hAnsi="宋体" w:cs="宋体" w:eastAsia="宋体" w:hint="default"/>
                <w:sz w:val="20"/>
                <w:szCs w:val="20"/>
              </w:rPr>
            </w:pPr>
            <w:r>
              <w:rPr>
                <w:rFonts w:ascii="宋体" w:hAnsi="宋体" w:cs="宋体" w:eastAsia="宋体" w:hint="default"/>
                <w:sz w:val="20"/>
                <w:szCs w:val="20"/>
              </w:rPr>
              <w:t>巨潮资讯网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2015-027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第一次临时股东大会决议公告》</w:t>
            </w: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1"/>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年第二次</w:t>
            </w:r>
            <w:r>
              <w:rPr>
                <w:rFonts w:ascii="宋体" w:hAnsi="宋体" w:cs="宋体" w:eastAsia="宋体" w:hint="default"/>
                <w:w w:val="100"/>
                <w:sz w:val="20"/>
                <w:szCs w:val="20"/>
              </w:rPr>
              <w:t> </w:t>
            </w:r>
            <w:r>
              <w:rPr>
                <w:rFonts w:ascii="宋体" w:hAnsi="宋体" w:cs="宋体" w:eastAsia="宋体" w:hint="default"/>
                <w:sz w:val="20"/>
                <w:szCs w:val="20"/>
              </w:rPr>
              <w:t>临时股东大会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1"/>
              <w:jc w:val="left"/>
              <w:rPr>
                <w:rFonts w:ascii="宋体" w:hAnsi="宋体" w:cs="宋体" w:eastAsia="宋体" w:hint="default"/>
                <w:sz w:val="20"/>
                <w:szCs w:val="20"/>
              </w:rPr>
            </w:pPr>
            <w:r>
              <w:rPr>
                <w:rFonts w:ascii="宋体" w:hAnsi="宋体" w:cs="宋体" w:eastAsia="宋体" w:hint="default"/>
                <w:sz w:val="20"/>
                <w:szCs w:val="20"/>
              </w:rPr>
              <w:t>临</w:t>
            </w:r>
            <w:r>
              <w:rPr>
                <w:rFonts w:ascii="宋体" w:hAnsi="宋体" w:cs="宋体" w:eastAsia="宋体" w:hint="default"/>
                <w:spacing w:val="-56"/>
                <w:sz w:val="20"/>
                <w:szCs w:val="20"/>
              </w:rPr>
              <w:t> </w:t>
            </w:r>
            <w:r>
              <w:rPr>
                <w:rFonts w:ascii="宋体" w:hAnsi="宋体" w:cs="宋体" w:eastAsia="宋体" w:hint="default"/>
                <w:sz w:val="20"/>
                <w:szCs w:val="20"/>
              </w:rPr>
              <w:t>时</w:t>
            </w:r>
            <w:r>
              <w:rPr>
                <w:rFonts w:ascii="宋体" w:hAnsi="宋体" w:cs="宋体" w:eastAsia="宋体" w:hint="default"/>
                <w:spacing w:val="-56"/>
                <w:sz w:val="20"/>
                <w:szCs w:val="20"/>
              </w:rPr>
              <w:t> </w:t>
            </w:r>
            <w:r>
              <w:rPr>
                <w:rFonts w:ascii="宋体" w:hAnsi="宋体" w:cs="宋体" w:eastAsia="宋体" w:hint="default"/>
                <w:sz w:val="20"/>
                <w:szCs w:val="20"/>
              </w:rPr>
              <w:t>股</w:t>
            </w:r>
            <w:r>
              <w:rPr>
                <w:rFonts w:ascii="宋体" w:hAnsi="宋体" w:cs="宋体" w:eastAsia="宋体" w:hint="default"/>
                <w:spacing w:val="-57"/>
                <w:sz w:val="20"/>
                <w:szCs w:val="20"/>
              </w:rPr>
              <w:t> </w:t>
            </w:r>
            <w:r>
              <w:rPr>
                <w:rFonts w:ascii="宋体" w:hAnsi="宋体" w:cs="宋体" w:eastAsia="宋体" w:hint="default"/>
                <w:sz w:val="20"/>
                <w:szCs w:val="20"/>
              </w:rPr>
              <w:t>东</w:t>
            </w:r>
            <w:r>
              <w:rPr>
                <w:rFonts w:ascii="宋体" w:hAnsi="宋体" w:cs="宋体" w:eastAsia="宋体" w:hint="default"/>
                <w:w w:val="100"/>
                <w:sz w:val="20"/>
                <w:szCs w:val="20"/>
              </w:rPr>
              <w:t> </w:t>
            </w:r>
            <w:r>
              <w:rPr>
                <w:rFonts w:ascii="宋体" w:hAnsi="宋体" w:cs="宋体" w:eastAsia="宋体" w:hint="default"/>
                <w:sz w:val="20"/>
                <w:szCs w:val="20"/>
              </w:rPr>
              <w:t>大会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20"/>
                <w:szCs w:val="20"/>
              </w:rPr>
            </w:pPr>
            <w:r>
              <w:rPr>
                <w:rFonts w:ascii="Times New Roman"/>
                <w:sz w:val="20"/>
              </w:rPr>
              <w:t>0.004%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0"/>
              <w:jc w:val="left"/>
              <w:rPr>
                <w:rFonts w:ascii="宋体" w:hAnsi="宋体" w:cs="宋体" w:eastAsia="宋体" w:hint="default"/>
                <w:sz w:val="20"/>
                <w:szCs w:val="20"/>
              </w:rPr>
            </w:pPr>
            <w:r>
              <w:rPr>
                <w:rFonts w:ascii="宋体" w:hAnsi="宋体" w:cs="宋体" w:eastAsia="宋体" w:hint="default"/>
                <w:sz w:val="20"/>
                <w:szCs w:val="20"/>
              </w:rPr>
              <w:t>巨潮资讯网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2015-040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第二次临时股东大会决议公告》</w:t>
            </w: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1"/>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年第三次</w:t>
            </w:r>
            <w:r>
              <w:rPr>
                <w:rFonts w:ascii="宋体" w:hAnsi="宋体" w:cs="宋体" w:eastAsia="宋体" w:hint="default"/>
                <w:w w:val="100"/>
                <w:sz w:val="20"/>
                <w:szCs w:val="20"/>
              </w:rPr>
              <w:t> </w:t>
            </w:r>
            <w:r>
              <w:rPr>
                <w:rFonts w:ascii="宋体" w:hAnsi="宋体" w:cs="宋体" w:eastAsia="宋体" w:hint="default"/>
                <w:sz w:val="20"/>
                <w:szCs w:val="20"/>
              </w:rPr>
              <w:t>临时股东大会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1"/>
              <w:jc w:val="left"/>
              <w:rPr>
                <w:rFonts w:ascii="宋体" w:hAnsi="宋体" w:cs="宋体" w:eastAsia="宋体" w:hint="default"/>
                <w:sz w:val="20"/>
                <w:szCs w:val="20"/>
              </w:rPr>
            </w:pPr>
            <w:r>
              <w:rPr>
                <w:rFonts w:ascii="宋体" w:hAnsi="宋体" w:cs="宋体" w:eastAsia="宋体" w:hint="default"/>
                <w:sz w:val="20"/>
                <w:szCs w:val="20"/>
              </w:rPr>
              <w:t>临</w:t>
            </w:r>
            <w:r>
              <w:rPr>
                <w:rFonts w:ascii="宋体" w:hAnsi="宋体" w:cs="宋体" w:eastAsia="宋体" w:hint="default"/>
                <w:spacing w:val="-56"/>
                <w:sz w:val="20"/>
                <w:szCs w:val="20"/>
              </w:rPr>
              <w:t> </w:t>
            </w:r>
            <w:r>
              <w:rPr>
                <w:rFonts w:ascii="宋体" w:hAnsi="宋体" w:cs="宋体" w:eastAsia="宋体" w:hint="default"/>
                <w:sz w:val="20"/>
                <w:szCs w:val="20"/>
              </w:rPr>
              <w:t>时</w:t>
            </w:r>
            <w:r>
              <w:rPr>
                <w:rFonts w:ascii="宋体" w:hAnsi="宋体" w:cs="宋体" w:eastAsia="宋体" w:hint="default"/>
                <w:spacing w:val="-56"/>
                <w:sz w:val="20"/>
                <w:szCs w:val="20"/>
              </w:rPr>
              <w:t> </w:t>
            </w:r>
            <w:r>
              <w:rPr>
                <w:rFonts w:ascii="宋体" w:hAnsi="宋体" w:cs="宋体" w:eastAsia="宋体" w:hint="default"/>
                <w:sz w:val="20"/>
                <w:szCs w:val="20"/>
              </w:rPr>
              <w:t>股</w:t>
            </w:r>
            <w:r>
              <w:rPr>
                <w:rFonts w:ascii="宋体" w:hAnsi="宋体" w:cs="宋体" w:eastAsia="宋体" w:hint="default"/>
                <w:spacing w:val="-57"/>
                <w:sz w:val="20"/>
                <w:szCs w:val="20"/>
              </w:rPr>
              <w:t> </w:t>
            </w:r>
            <w:r>
              <w:rPr>
                <w:rFonts w:ascii="宋体" w:hAnsi="宋体" w:cs="宋体" w:eastAsia="宋体" w:hint="default"/>
                <w:sz w:val="20"/>
                <w:szCs w:val="20"/>
              </w:rPr>
              <w:t>东</w:t>
            </w:r>
            <w:r>
              <w:rPr>
                <w:rFonts w:ascii="宋体" w:hAnsi="宋体" w:cs="宋体" w:eastAsia="宋体" w:hint="default"/>
                <w:w w:val="100"/>
                <w:sz w:val="20"/>
                <w:szCs w:val="20"/>
              </w:rPr>
              <w:t> </w:t>
            </w:r>
            <w:r>
              <w:rPr>
                <w:rFonts w:ascii="宋体" w:hAnsi="宋体" w:cs="宋体" w:eastAsia="宋体" w:hint="default"/>
                <w:sz w:val="20"/>
                <w:szCs w:val="20"/>
              </w:rPr>
              <w:t>大会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20"/>
                <w:szCs w:val="20"/>
              </w:rPr>
            </w:pPr>
            <w:r>
              <w:rPr>
                <w:rFonts w:ascii="Times New Roman"/>
                <w:sz w:val="20"/>
              </w:rPr>
              <w:t>0.007%</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0"/>
              <w:jc w:val="left"/>
              <w:rPr>
                <w:rFonts w:ascii="宋体" w:hAnsi="宋体" w:cs="宋体" w:eastAsia="宋体" w:hint="default"/>
                <w:sz w:val="20"/>
                <w:szCs w:val="20"/>
              </w:rPr>
            </w:pPr>
            <w:r>
              <w:rPr>
                <w:rFonts w:ascii="宋体" w:hAnsi="宋体" w:cs="宋体" w:eastAsia="宋体" w:hint="default"/>
                <w:sz w:val="20"/>
                <w:szCs w:val="20"/>
              </w:rPr>
              <w:t>巨潮资讯网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2015-064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第三次临时股东大会决议公告》</w:t>
            </w:r>
          </w:p>
        </w:tc>
      </w:tr>
      <w:tr>
        <w:trPr>
          <w:trHeight w:val="635"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1"/>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年第四次</w:t>
            </w:r>
            <w:r>
              <w:rPr>
                <w:rFonts w:ascii="宋体" w:hAnsi="宋体" w:cs="宋体" w:eastAsia="宋体" w:hint="default"/>
                <w:w w:val="100"/>
                <w:sz w:val="20"/>
                <w:szCs w:val="20"/>
              </w:rPr>
              <w:t> </w:t>
            </w:r>
            <w:r>
              <w:rPr>
                <w:rFonts w:ascii="宋体" w:hAnsi="宋体" w:cs="宋体" w:eastAsia="宋体" w:hint="default"/>
                <w:sz w:val="20"/>
                <w:szCs w:val="20"/>
              </w:rPr>
              <w:t>临时股东大会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1"/>
              <w:jc w:val="left"/>
              <w:rPr>
                <w:rFonts w:ascii="宋体" w:hAnsi="宋体" w:cs="宋体" w:eastAsia="宋体" w:hint="default"/>
                <w:sz w:val="20"/>
                <w:szCs w:val="20"/>
              </w:rPr>
            </w:pPr>
            <w:r>
              <w:rPr>
                <w:rFonts w:ascii="宋体" w:hAnsi="宋体" w:cs="宋体" w:eastAsia="宋体" w:hint="default"/>
                <w:sz w:val="20"/>
                <w:szCs w:val="20"/>
              </w:rPr>
              <w:t>临</w:t>
            </w:r>
            <w:r>
              <w:rPr>
                <w:rFonts w:ascii="宋体" w:hAnsi="宋体" w:cs="宋体" w:eastAsia="宋体" w:hint="default"/>
                <w:spacing w:val="-56"/>
                <w:sz w:val="20"/>
                <w:szCs w:val="20"/>
              </w:rPr>
              <w:t> </w:t>
            </w:r>
            <w:r>
              <w:rPr>
                <w:rFonts w:ascii="宋体" w:hAnsi="宋体" w:cs="宋体" w:eastAsia="宋体" w:hint="default"/>
                <w:sz w:val="20"/>
                <w:szCs w:val="20"/>
              </w:rPr>
              <w:t>时</w:t>
            </w:r>
            <w:r>
              <w:rPr>
                <w:rFonts w:ascii="宋体" w:hAnsi="宋体" w:cs="宋体" w:eastAsia="宋体" w:hint="default"/>
                <w:spacing w:val="-56"/>
                <w:sz w:val="20"/>
                <w:szCs w:val="20"/>
              </w:rPr>
              <w:t> </w:t>
            </w:r>
            <w:r>
              <w:rPr>
                <w:rFonts w:ascii="宋体" w:hAnsi="宋体" w:cs="宋体" w:eastAsia="宋体" w:hint="default"/>
                <w:sz w:val="20"/>
                <w:szCs w:val="20"/>
              </w:rPr>
              <w:t>股</w:t>
            </w:r>
            <w:r>
              <w:rPr>
                <w:rFonts w:ascii="宋体" w:hAnsi="宋体" w:cs="宋体" w:eastAsia="宋体" w:hint="default"/>
                <w:spacing w:val="-57"/>
                <w:sz w:val="20"/>
                <w:szCs w:val="20"/>
              </w:rPr>
              <w:t> </w:t>
            </w:r>
            <w:r>
              <w:rPr>
                <w:rFonts w:ascii="宋体" w:hAnsi="宋体" w:cs="宋体" w:eastAsia="宋体" w:hint="default"/>
                <w:sz w:val="20"/>
                <w:szCs w:val="20"/>
              </w:rPr>
              <w:t>东</w:t>
            </w:r>
            <w:r>
              <w:rPr>
                <w:rFonts w:ascii="宋体" w:hAnsi="宋体" w:cs="宋体" w:eastAsia="宋体" w:hint="default"/>
                <w:w w:val="100"/>
                <w:sz w:val="20"/>
                <w:szCs w:val="20"/>
              </w:rPr>
              <w:t> </w:t>
            </w:r>
            <w:r>
              <w:rPr>
                <w:rFonts w:ascii="宋体" w:hAnsi="宋体" w:cs="宋体" w:eastAsia="宋体" w:hint="default"/>
                <w:sz w:val="20"/>
                <w:szCs w:val="20"/>
              </w:rPr>
              <w:t>大会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20"/>
                <w:szCs w:val="20"/>
              </w:rPr>
            </w:pPr>
            <w:r>
              <w:rPr>
                <w:rFonts w:ascii="Times New Roman"/>
                <w:sz w:val="20"/>
              </w:rPr>
              <w:t>0.005%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20"/>
              <w:jc w:val="left"/>
              <w:rPr>
                <w:rFonts w:ascii="宋体" w:hAnsi="宋体" w:cs="宋体" w:eastAsia="宋体" w:hint="default"/>
                <w:sz w:val="20"/>
                <w:szCs w:val="20"/>
              </w:rPr>
            </w:pPr>
            <w:r>
              <w:rPr>
                <w:rFonts w:ascii="宋体" w:hAnsi="宋体" w:cs="宋体" w:eastAsia="宋体" w:hint="default"/>
                <w:sz w:val="20"/>
                <w:szCs w:val="20"/>
              </w:rPr>
              <w:t>巨潮资讯网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2015-071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第四次临时股东大会决议公告》</w:t>
            </w:r>
          </w:p>
        </w:tc>
      </w:tr>
    </w:tbl>
    <w:p>
      <w:pPr>
        <w:spacing w:before="26"/>
        <w:ind w:left="154" w:right="1082" w:firstLine="0"/>
        <w:jc w:val="left"/>
        <w:rPr>
          <w:rFonts w:ascii="宋体" w:hAnsi="宋体" w:cs="宋体" w:eastAsia="宋体" w:hint="default"/>
          <w:sz w:val="21"/>
          <w:szCs w:val="21"/>
        </w:rPr>
      </w:pPr>
      <w:r>
        <w:rPr>
          <w:rFonts w:ascii="宋体" w:hAnsi="宋体" w:cs="宋体" w:eastAsia="宋体" w:hint="default"/>
          <w:sz w:val="21"/>
          <w:szCs w:val="21"/>
        </w:rPr>
        <w:t>注：投资者参与比例是指参会的投资者占总股东人数比例，投资者指未担任公司职务的自然人股东。</w:t>
      </w:r>
    </w:p>
    <w:p>
      <w:pPr>
        <w:spacing w:after="0"/>
        <w:jc w:val="left"/>
        <w:rPr>
          <w:rFonts w:ascii="宋体" w:hAnsi="宋体" w:cs="宋体" w:eastAsia="宋体" w:hint="default"/>
          <w:sz w:val="21"/>
          <w:szCs w:val="21"/>
        </w:rPr>
        <w:sectPr>
          <w:pgSz w:w="11910" w:h="16840"/>
          <w:pgMar w:header="0" w:footer="979" w:top="1100" w:bottom="1160" w:left="980" w:right="0"/>
        </w:sectPr>
      </w:pPr>
    </w:p>
    <w:p>
      <w:pPr>
        <w:spacing w:line="240" w:lineRule="auto" w:before="4"/>
        <w:rPr>
          <w:rFonts w:ascii="宋体" w:hAnsi="宋体" w:cs="宋体" w:eastAsia="宋体" w:hint="default"/>
          <w:sz w:val="20"/>
          <w:szCs w:val="20"/>
        </w:rPr>
      </w:pPr>
    </w:p>
    <w:p>
      <w:pPr>
        <w:pStyle w:val="Heading4"/>
        <w:spacing w:line="240" w:lineRule="auto" w:before="31"/>
        <w:ind w:right="1082"/>
        <w:jc w:val="left"/>
        <w:rPr>
          <w:b w:val="0"/>
          <w:bCs w:val="0"/>
        </w:rPr>
      </w:pPr>
      <w:bookmarkStart w:name="2、表决权恢复的优先股股东请求召开临时股东大会" w:id="153"/>
      <w:bookmarkEnd w:id="15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9"/>
          <w:szCs w:val="29"/>
        </w:rPr>
      </w:pPr>
    </w:p>
    <w:p>
      <w:pPr>
        <w:pStyle w:val="BodyText"/>
        <w:spacing w:line="240" w:lineRule="auto"/>
        <w:ind w:left="594" w:right="1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6"/>
        <w:rPr>
          <w:rFonts w:ascii="宋体" w:hAnsi="宋体" w:cs="宋体" w:eastAsia="宋体" w:hint="default"/>
          <w:sz w:val="28"/>
          <w:szCs w:val="28"/>
        </w:rPr>
      </w:pPr>
    </w:p>
    <w:p>
      <w:pPr>
        <w:pStyle w:val="Heading2"/>
        <w:spacing w:line="240" w:lineRule="auto"/>
        <w:ind w:right="1082"/>
        <w:jc w:val="left"/>
        <w:rPr>
          <w:b w:val="0"/>
          <w:bCs w:val="0"/>
        </w:rPr>
      </w:pPr>
      <w:bookmarkStart w:name="五、报告期内独立董事履行职责的情况" w:id="154"/>
      <w:bookmarkEnd w:id="154"/>
      <w:r>
        <w:rPr>
          <w:b w:val="0"/>
          <w:bCs w:val="0"/>
        </w:rPr>
      </w:r>
      <w:r>
        <w:rPr/>
        <w:t>五、报告期内独立董事履行职责的情况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82"/>
        <w:jc w:val="left"/>
        <w:rPr>
          <w:b w:val="0"/>
          <w:bCs w:val="0"/>
        </w:rPr>
      </w:pPr>
      <w:bookmarkStart w:name="1、独立董事出席董事会及股东大会的情况" w:id="155"/>
      <w:bookmarkEnd w:id="15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646"/>
        <w:gridCol w:w="1340"/>
        <w:gridCol w:w="1342"/>
        <w:gridCol w:w="1343"/>
        <w:gridCol w:w="1342"/>
        <w:gridCol w:w="1342"/>
        <w:gridCol w:w="1340"/>
      </w:tblGrid>
      <w:tr>
        <w:trPr>
          <w:trHeight w:val="32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独立董事出席董事会情况</w:t>
            </w:r>
          </w:p>
        </w:tc>
      </w:tr>
      <w:tr>
        <w:trPr>
          <w:trHeight w:val="946"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57" w:right="0"/>
              <w:jc w:val="left"/>
              <w:rPr>
                <w:rFonts w:ascii="宋体" w:hAnsi="宋体" w:cs="宋体" w:eastAsia="宋体" w:hint="default"/>
                <w:sz w:val="22"/>
                <w:szCs w:val="22"/>
              </w:rPr>
            </w:pPr>
            <w:r>
              <w:rPr>
                <w:rFonts w:ascii="宋体" w:hAnsi="宋体" w:cs="宋体" w:eastAsia="宋体" w:hint="default"/>
                <w:sz w:val="22"/>
                <w:szCs w:val="22"/>
              </w:rPr>
              <w:t>独立董事姓名</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5" w:right="0"/>
              <w:jc w:val="left"/>
              <w:rPr>
                <w:rFonts w:ascii="宋体" w:hAnsi="宋体" w:cs="宋体" w:eastAsia="宋体" w:hint="default"/>
                <w:sz w:val="22"/>
                <w:szCs w:val="22"/>
              </w:rPr>
            </w:pPr>
            <w:r>
              <w:rPr>
                <w:rFonts w:ascii="宋体" w:hAnsi="宋体" w:cs="宋体" w:eastAsia="宋体" w:hint="default"/>
                <w:sz w:val="22"/>
                <w:szCs w:val="22"/>
              </w:rPr>
              <w:t>本报告期应</w:t>
            </w:r>
          </w:p>
          <w:p>
            <w:pPr>
              <w:pStyle w:val="TableParagraph"/>
              <w:spacing w:line="259" w:lineRule="auto" w:before="24"/>
              <w:ind w:left="445" w:right="114" w:hanging="330"/>
              <w:jc w:val="left"/>
              <w:rPr>
                <w:rFonts w:ascii="宋体" w:hAnsi="宋体" w:cs="宋体" w:eastAsia="宋体" w:hint="default"/>
                <w:sz w:val="22"/>
                <w:szCs w:val="22"/>
              </w:rPr>
            </w:pPr>
            <w:r>
              <w:rPr>
                <w:rFonts w:ascii="宋体" w:hAnsi="宋体" w:cs="宋体" w:eastAsia="宋体" w:hint="default"/>
                <w:sz w:val="22"/>
                <w:szCs w:val="22"/>
              </w:rPr>
              <w:t>参加董事会</w:t>
            </w:r>
            <w:r>
              <w:rPr>
                <w:rFonts w:ascii="宋体" w:hAnsi="宋体" w:cs="宋体" w:eastAsia="宋体" w:hint="default"/>
                <w:w w:val="99"/>
                <w:sz w:val="22"/>
                <w:szCs w:val="22"/>
              </w:rPr>
              <w:t> </w:t>
            </w:r>
            <w:r>
              <w:rPr>
                <w:rFonts w:ascii="宋体" w:hAnsi="宋体" w:cs="宋体" w:eastAsia="宋体" w:hint="default"/>
                <w:sz w:val="22"/>
                <w:szCs w:val="22"/>
              </w:rPr>
              <w:t>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555" w:right="116" w:hanging="441"/>
              <w:jc w:val="left"/>
              <w:rPr>
                <w:rFonts w:ascii="宋体" w:hAnsi="宋体" w:cs="宋体" w:eastAsia="宋体" w:hint="default"/>
                <w:sz w:val="22"/>
                <w:szCs w:val="22"/>
              </w:rPr>
            </w:pPr>
            <w:r>
              <w:rPr>
                <w:rFonts w:ascii="宋体" w:hAnsi="宋体" w:cs="宋体" w:eastAsia="宋体" w:hint="default"/>
                <w:sz w:val="22"/>
                <w:szCs w:val="22"/>
              </w:rPr>
              <w:t>现场出席次</w:t>
            </w:r>
            <w:r>
              <w:rPr>
                <w:rFonts w:ascii="宋体" w:hAnsi="宋体" w:cs="宋体" w:eastAsia="宋体" w:hint="default"/>
                <w:w w:val="99"/>
                <w:sz w:val="22"/>
                <w:szCs w:val="22"/>
              </w:rPr>
              <w:t> </w:t>
            </w:r>
            <w:r>
              <w:rPr>
                <w:rFonts w:ascii="宋体" w:hAnsi="宋体" w:cs="宋体" w:eastAsia="宋体" w:hint="default"/>
                <w:sz w:val="22"/>
                <w:szCs w:val="22"/>
              </w:rPr>
              <w:t>数</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226" w:right="115" w:hanging="111"/>
              <w:jc w:val="left"/>
              <w:rPr>
                <w:rFonts w:ascii="宋体" w:hAnsi="宋体" w:cs="宋体" w:eastAsia="宋体" w:hint="default"/>
                <w:sz w:val="22"/>
                <w:szCs w:val="22"/>
              </w:rPr>
            </w:pPr>
            <w:r>
              <w:rPr>
                <w:rFonts w:ascii="宋体" w:hAnsi="宋体" w:cs="宋体" w:eastAsia="宋体" w:hint="default"/>
                <w:sz w:val="22"/>
                <w:szCs w:val="22"/>
              </w:rPr>
              <w:t>以通讯方式</w:t>
            </w:r>
            <w:r>
              <w:rPr>
                <w:rFonts w:ascii="宋体" w:hAnsi="宋体" w:cs="宋体" w:eastAsia="宋体" w:hint="default"/>
                <w:w w:val="99"/>
                <w:sz w:val="22"/>
                <w:szCs w:val="22"/>
              </w:rPr>
              <w:t> </w:t>
            </w:r>
            <w:r>
              <w:rPr>
                <w:rFonts w:ascii="宋体" w:hAnsi="宋体" w:cs="宋体" w:eastAsia="宋体" w:hint="default"/>
                <w:sz w:val="22"/>
                <w:szCs w:val="22"/>
              </w:rPr>
              <w:t>参加次数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555" w:right="115" w:hanging="441"/>
              <w:jc w:val="left"/>
              <w:rPr>
                <w:rFonts w:ascii="宋体" w:hAnsi="宋体" w:cs="宋体" w:eastAsia="宋体" w:hint="default"/>
                <w:sz w:val="22"/>
                <w:szCs w:val="22"/>
              </w:rPr>
            </w:pPr>
            <w:r>
              <w:rPr>
                <w:rFonts w:ascii="宋体" w:hAnsi="宋体" w:cs="宋体" w:eastAsia="宋体" w:hint="default"/>
                <w:sz w:val="22"/>
                <w:szCs w:val="22"/>
              </w:rPr>
              <w:t>委托出席次</w:t>
            </w:r>
            <w:r>
              <w:rPr>
                <w:rFonts w:ascii="宋体" w:hAnsi="宋体" w:cs="宋体" w:eastAsia="宋体" w:hint="default"/>
                <w:w w:val="99"/>
                <w:sz w:val="22"/>
                <w:szCs w:val="22"/>
              </w:rPr>
              <w:t> </w:t>
            </w:r>
            <w:r>
              <w:rPr>
                <w:rFonts w:ascii="宋体" w:hAnsi="宋体" w:cs="宋体" w:eastAsia="宋体" w:hint="default"/>
                <w:sz w:val="22"/>
                <w:szCs w:val="22"/>
              </w:rPr>
              <w:t>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缺席次数</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5" w:right="0"/>
              <w:jc w:val="left"/>
              <w:rPr>
                <w:rFonts w:ascii="宋体" w:hAnsi="宋体" w:cs="宋体" w:eastAsia="宋体" w:hint="default"/>
                <w:sz w:val="22"/>
                <w:szCs w:val="22"/>
              </w:rPr>
            </w:pPr>
            <w:r>
              <w:rPr>
                <w:rFonts w:ascii="宋体" w:hAnsi="宋体" w:cs="宋体" w:eastAsia="宋体" w:hint="default"/>
                <w:sz w:val="22"/>
                <w:szCs w:val="22"/>
              </w:rPr>
              <w:t>是否连续两</w:t>
            </w:r>
          </w:p>
          <w:p>
            <w:pPr>
              <w:pStyle w:val="TableParagraph"/>
              <w:spacing w:line="259" w:lineRule="auto" w:before="24"/>
              <w:ind w:left="335" w:right="114" w:hanging="221"/>
              <w:jc w:val="left"/>
              <w:rPr>
                <w:rFonts w:ascii="宋体" w:hAnsi="宋体" w:cs="宋体" w:eastAsia="宋体" w:hint="default"/>
                <w:sz w:val="22"/>
                <w:szCs w:val="22"/>
              </w:rPr>
            </w:pPr>
            <w:r>
              <w:rPr>
                <w:rFonts w:ascii="宋体" w:hAnsi="宋体" w:cs="宋体" w:eastAsia="宋体" w:hint="default"/>
                <w:sz w:val="22"/>
                <w:szCs w:val="22"/>
              </w:rPr>
              <w:t>次未亲自参</w:t>
            </w:r>
            <w:r>
              <w:rPr>
                <w:rFonts w:ascii="宋体" w:hAnsi="宋体" w:cs="宋体" w:eastAsia="宋体" w:hint="default"/>
                <w:w w:val="99"/>
                <w:sz w:val="22"/>
                <w:szCs w:val="22"/>
              </w:rPr>
              <w:t> </w:t>
            </w:r>
            <w:r>
              <w:rPr>
                <w:rFonts w:ascii="宋体" w:hAnsi="宋体" w:cs="宋体" w:eastAsia="宋体" w:hint="default"/>
                <w:sz w:val="22"/>
                <w:szCs w:val="22"/>
              </w:rPr>
              <w:t>加会议</w:t>
            </w:r>
          </w:p>
        </w:tc>
      </w:tr>
      <w:tr>
        <w:trPr>
          <w:trHeight w:val="32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徐光华</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center"/>
              <w:rPr>
                <w:rFonts w:ascii="Times New Roman" w:hAnsi="Times New Roman" w:cs="Times New Roman" w:eastAsia="Times New Roman" w:hint="default"/>
                <w:sz w:val="22"/>
                <w:szCs w:val="22"/>
              </w:rPr>
            </w:pPr>
            <w:r>
              <w:rPr>
                <w:rFonts w:ascii="Times New Roman"/>
                <w:spacing w:val="-8"/>
                <w:sz w:val="22"/>
              </w:rPr>
              <w:t>11</w:t>
            </w:r>
            <w:r>
              <w:rPr>
                <w:rFonts w:ascii="Times New Roman"/>
                <w:sz w:val="22"/>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10" w:right="0"/>
              <w:jc w:val="left"/>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沈厚才</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
              <w:jc w:val="center"/>
              <w:rPr>
                <w:rFonts w:ascii="Times New Roman" w:hAnsi="Times New Roman" w:cs="Times New Roman" w:eastAsia="Times New Roman" w:hint="default"/>
                <w:sz w:val="22"/>
                <w:szCs w:val="22"/>
              </w:rPr>
            </w:pPr>
            <w:r>
              <w:rPr>
                <w:rFonts w:ascii="Times New Roman"/>
                <w:spacing w:val="-8"/>
                <w:sz w:val="22"/>
              </w:rPr>
              <w:t>11</w:t>
            </w:r>
            <w:r>
              <w:rPr>
                <w:rFonts w:ascii="Times New Roman"/>
                <w:sz w:val="22"/>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10" w:right="0"/>
              <w:jc w:val="left"/>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王全胜</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center"/>
              <w:rPr>
                <w:rFonts w:ascii="Times New Roman" w:hAnsi="Times New Roman" w:cs="Times New Roman" w:eastAsia="Times New Roman" w:hint="default"/>
                <w:sz w:val="22"/>
                <w:szCs w:val="22"/>
              </w:rPr>
            </w:pPr>
            <w:r>
              <w:rPr>
                <w:rFonts w:ascii="Times New Roman"/>
                <w:spacing w:val="-8"/>
                <w:sz w:val="22"/>
              </w:rPr>
              <w:t>11</w:t>
            </w:r>
            <w:r>
              <w:rPr>
                <w:rFonts w:ascii="Times New Roman"/>
                <w:sz w:val="22"/>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5" w:right="0"/>
              <w:jc w:val="left"/>
              <w:rPr>
                <w:rFonts w:ascii="Times New Roman" w:hAnsi="Times New Roman" w:cs="Times New Roman" w:eastAsia="Times New Roman" w:hint="default"/>
                <w:sz w:val="22"/>
                <w:szCs w:val="22"/>
              </w:rPr>
            </w:pPr>
            <w:r>
              <w:rPr>
                <w:rFonts w:ascii="Times New Roman"/>
                <w:sz w:val="22"/>
              </w:rPr>
              <w:t>10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29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独立董事列席股东大会次数</w:t>
            </w:r>
          </w:p>
        </w:tc>
        <w:tc>
          <w:tcPr>
            <w:tcW w:w="67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独立董事徐光华列席股东大会</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次，独立董事沈厚才列席股东大会</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次，独立董事王全胜列席股东大会</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次。</w:t>
            </w:r>
          </w:p>
        </w:tc>
      </w:tr>
    </w:tbl>
    <w:p>
      <w:pPr>
        <w:pStyle w:val="BodyText"/>
        <w:spacing w:line="240" w:lineRule="auto" w:before="55"/>
        <w:ind w:left="594" w:right="1082"/>
        <w:jc w:val="left"/>
      </w:pPr>
      <w:r>
        <w:rPr/>
        <w:t>报告期内，公司独立董事均亲自出席本公司董事会。</w:t>
      </w:r>
    </w:p>
    <w:p>
      <w:pPr>
        <w:spacing w:line="670" w:lineRule="atLeast" w:before="38"/>
        <w:ind w:left="594" w:right="6447" w:hanging="441"/>
        <w:jc w:val="left"/>
        <w:rPr>
          <w:rFonts w:ascii="宋体" w:hAnsi="宋体" w:cs="宋体" w:eastAsia="宋体" w:hint="default"/>
          <w:sz w:val="22"/>
          <w:szCs w:val="22"/>
        </w:rPr>
      </w:pPr>
      <w:bookmarkStart w:name="2、独立董事对公司有关事项提出异议的情况" w:id="156"/>
      <w:bookmarkEnd w:id="156"/>
      <w:r>
        <w:rPr/>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、独立董事对公司有关事项提出异议的情况</w:t>
      </w:r>
      <w:r>
        <w:rPr>
          <w:rFonts w:ascii="宋体" w:hAnsi="宋体" w:cs="宋体" w:eastAsia="宋体" w:hint="default"/>
          <w:b/>
          <w:bCs/>
          <w:spacing w:val="1"/>
          <w:w w:val="99"/>
          <w:sz w:val="22"/>
          <w:szCs w:val="22"/>
        </w:rPr>
        <w:t> </w:t>
      </w:r>
      <w:r>
        <w:rPr>
          <w:rFonts w:ascii="宋体" w:hAnsi="宋体" w:cs="宋体" w:eastAsia="宋体" w:hint="default"/>
          <w:sz w:val="22"/>
          <w:szCs w:val="22"/>
        </w:rPr>
        <w:t>独立董事对公司有关事项是否提出异议</w:t>
      </w:r>
    </w:p>
    <w:p>
      <w:pPr>
        <w:pStyle w:val="BodyText"/>
        <w:spacing w:line="369" w:lineRule="auto" w:before="180"/>
        <w:ind w:left="594" w:right="5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报告期内独立董事对公司有关事项未提出异议。</w:t>
      </w:r>
    </w:p>
    <w:p>
      <w:pPr>
        <w:spacing w:line="240" w:lineRule="auto" w:before="10"/>
        <w:rPr>
          <w:rFonts w:ascii="宋体" w:hAnsi="宋体" w:cs="宋体" w:eastAsia="宋体" w:hint="default"/>
          <w:sz w:val="21"/>
          <w:szCs w:val="21"/>
        </w:rPr>
      </w:pPr>
    </w:p>
    <w:p>
      <w:pPr>
        <w:pStyle w:val="Heading4"/>
        <w:spacing w:line="240" w:lineRule="auto"/>
        <w:ind w:right="1082"/>
        <w:jc w:val="left"/>
        <w:rPr>
          <w:b w:val="0"/>
          <w:bCs w:val="0"/>
        </w:rPr>
      </w:pPr>
      <w:bookmarkStart w:name="3、独立董事履行职责的其他说明" w:id="157"/>
      <w:bookmarkEnd w:id="15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594" w:right="1082"/>
        <w:jc w:val="left"/>
      </w:pPr>
      <w:r>
        <w:rPr/>
        <w:t>独立董事对公司有关建议是否被采纳</w:t>
      </w:r>
    </w:p>
    <w:p>
      <w:pPr>
        <w:pStyle w:val="BodyText"/>
        <w:spacing w:line="369" w:lineRule="auto" w:before="180"/>
        <w:ind w:left="594" w:right="54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独立董事对公司有关建议被采纳或未被采纳的说明</w:t>
      </w:r>
    </w:p>
    <w:p>
      <w:pPr>
        <w:pStyle w:val="BodyText"/>
        <w:spacing w:line="391" w:lineRule="auto" w:before="61"/>
        <w:ind w:left="154" w:right="1134" w:firstLine="440"/>
        <w:jc w:val="both"/>
      </w:pPr>
      <w:r>
        <w:rPr>
          <w:spacing w:val="-2"/>
        </w:rPr>
        <w:t>报告期内，公司独立董事按照《独立董事工作制度》及有关法律法规要求，积极履行职责，审阅</w:t>
      </w:r>
      <w:r>
        <w:rPr>
          <w:w w:val="99"/>
        </w:rPr>
        <w:t> </w:t>
      </w:r>
      <w:r>
        <w:rPr>
          <w:spacing w:val="-1"/>
          <w:w w:val="95"/>
        </w:rPr>
        <w:t>公司管理层提交的关联交易、募集资金、对外担保、利润分配方案政策、自有资金投资理财、员工持</w:t>
      </w:r>
      <w:r>
        <w:rPr>
          <w:spacing w:val="48"/>
          <w:w w:val="95"/>
        </w:rPr>
        <w:t> </w:t>
      </w:r>
      <w:r>
        <w:rPr>
          <w:spacing w:val="48"/>
          <w:w w:val="95"/>
        </w:rPr>
      </w:r>
      <w:r>
        <w:rPr>
          <w:spacing w:val="-1"/>
          <w:w w:val="95"/>
        </w:rPr>
        <w:t>股计划、创新资产运作模式等议案内容，并就前述议案内容与公司管理层充分沟通交流，对相关事项</w:t>
      </w:r>
      <w:r>
        <w:rPr>
          <w:spacing w:val="49"/>
          <w:w w:val="95"/>
        </w:rPr>
        <w:t> </w:t>
      </w:r>
      <w:r>
        <w:rPr>
          <w:spacing w:val="49"/>
          <w:w w:val="95"/>
        </w:rPr>
      </w:r>
      <w:r>
        <w:rPr/>
        <w:t>的合法合规性发表独立意见，切实维护了中小股东的利益。</w:t>
      </w:r>
    </w:p>
    <w:tbl>
      <w:tblPr>
        <w:tblW w:w="0" w:type="auto"/>
        <w:jc w:val="left"/>
        <w:tblInd w:w="137" w:type="dxa"/>
        <w:tblLayout w:type="fixed"/>
        <w:tblCellMar>
          <w:top w:w="0" w:type="dxa"/>
          <w:left w:w="0" w:type="dxa"/>
          <w:bottom w:w="0" w:type="dxa"/>
          <w:right w:w="0" w:type="dxa"/>
        </w:tblCellMar>
        <w:tblLook w:val="01E0"/>
      </w:tblPr>
      <w:tblGrid>
        <w:gridCol w:w="2277"/>
        <w:gridCol w:w="7382"/>
      </w:tblGrid>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 w:right="0"/>
              <w:jc w:val="left"/>
              <w:rPr>
                <w:rFonts w:ascii="宋体" w:hAnsi="宋体" w:cs="宋体" w:eastAsia="宋体" w:hint="default"/>
                <w:sz w:val="22"/>
                <w:szCs w:val="22"/>
              </w:rPr>
            </w:pPr>
            <w:r>
              <w:rPr>
                <w:rFonts w:ascii="宋体" w:hAnsi="宋体" w:cs="宋体" w:eastAsia="宋体" w:hint="default"/>
                <w:b/>
                <w:bCs/>
                <w:sz w:val="22"/>
                <w:szCs w:val="22"/>
              </w:rPr>
              <w:t>独立董事意见发表时间</w:t>
            </w:r>
            <w:r>
              <w:rPr>
                <w:rFonts w:ascii="宋体" w:hAnsi="宋体" w:cs="宋体" w:eastAsia="宋体" w:hint="default"/>
                <w:sz w:val="22"/>
                <w:szCs w:val="22"/>
              </w:rPr>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2"/>
                <w:szCs w:val="22"/>
              </w:rPr>
            </w:pPr>
            <w:r>
              <w:rPr>
                <w:rFonts w:ascii="宋体" w:hAnsi="宋体" w:cs="宋体" w:eastAsia="宋体" w:hint="default"/>
                <w:b/>
                <w:bCs/>
                <w:sz w:val="22"/>
                <w:szCs w:val="22"/>
              </w:rPr>
              <w:t>独立董事意见</w:t>
            </w:r>
            <w:r>
              <w:rPr>
                <w:rFonts w:ascii="宋体" w:hAnsi="宋体" w:cs="宋体" w:eastAsia="宋体" w:hint="default"/>
                <w:sz w:val="22"/>
                <w:szCs w:val="22"/>
              </w:rPr>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独立董事关于接受关联方提供物业服务关联交易的事前意见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独立董事关于接受关联方提供物业服务关联交易的独立意见</w:t>
            </w:r>
          </w:p>
        </w:tc>
      </w:tr>
      <w:tr>
        <w:trPr>
          <w:trHeight w:val="348"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独立董事关于使用闲置募集资金购买银行理财产品的独立意见</w:t>
            </w:r>
          </w:p>
        </w:tc>
      </w:tr>
    </w:tbl>
    <w:p>
      <w:pPr>
        <w:spacing w:after="0" w:line="262" w:lineRule="exact"/>
        <w:jc w:val="left"/>
        <w:rPr>
          <w:rFonts w:ascii="宋体" w:hAnsi="宋体" w:cs="宋体" w:eastAsia="宋体" w:hint="default"/>
          <w:sz w:val="22"/>
          <w:szCs w:val="22"/>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2277"/>
        <w:gridCol w:w="7382"/>
      </w:tblGrid>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w:t>
            </w:r>
            <w:r>
              <w:rPr>
                <w:rFonts w:ascii="Times New Roman" w:hAnsi="Times New Roman" w:cs="Times New Roman" w:eastAsia="Times New Roman" w:hint="default"/>
                <w:sz w:val="22"/>
                <w:szCs w:val="22"/>
              </w:rPr>
              <w:t>2014</w:t>
            </w:r>
            <w:r>
              <w:rPr>
                <w:rFonts w:ascii="宋体" w:hAnsi="宋体" w:cs="宋体" w:eastAsia="宋体" w:hint="default"/>
                <w:sz w:val="22"/>
                <w:szCs w:val="22"/>
              </w:rPr>
              <w:t>年度利润分配预案的独立意见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w:t>
            </w:r>
            <w:r>
              <w:rPr>
                <w:rFonts w:ascii="Times New Roman" w:hAnsi="Times New Roman" w:cs="Times New Roman" w:eastAsia="Times New Roman" w:hint="default"/>
                <w:sz w:val="22"/>
                <w:szCs w:val="22"/>
              </w:rPr>
              <w:t>2014</w:t>
            </w:r>
            <w:r>
              <w:rPr>
                <w:rFonts w:ascii="宋体" w:hAnsi="宋体" w:cs="宋体" w:eastAsia="宋体" w:hint="default"/>
                <w:sz w:val="22"/>
                <w:szCs w:val="22"/>
              </w:rPr>
              <w:t>年度募集资金存放与实际使用情况的独立意见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w:t>
            </w:r>
            <w:r>
              <w:rPr>
                <w:rFonts w:ascii="Times New Roman" w:hAnsi="Times New Roman" w:cs="Times New Roman" w:eastAsia="Times New Roman" w:hint="default"/>
                <w:sz w:val="22"/>
                <w:szCs w:val="22"/>
              </w:rPr>
              <w:t>2014</w:t>
            </w:r>
            <w:r>
              <w:rPr>
                <w:rFonts w:ascii="宋体" w:hAnsi="宋体" w:cs="宋体" w:eastAsia="宋体" w:hint="default"/>
                <w:sz w:val="22"/>
                <w:szCs w:val="22"/>
              </w:rPr>
              <w:t>年度关联交易的独立意见</w:t>
            </w:r>
          </w:p>
        </w:tc>
      </w:tr>
      <w:tr>
        <w:trPr>
          <w:trHeight w:val="348"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独立董事关于续聘会计师事务所的独立意见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独立董事对控股股东及其他关联方占用上市公司资金的独立意见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独立董事关于公司内部控制评价报告的独立意见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独立董事关于使用自有资金进行投资理财的独立意见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独立董事关于使用自有资金进行风险投资的独立意见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独立董事关于公司日常关联交易预计的独立意见</w:t>
            </w:r>
          </w:p>
        </w:tc>
      </w:tr>
      <w:tr>
        <w:trPr>
          <w:trHeight w:val="348"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独立董事对上市公司累计和当期对外担保情况的独立意见</w:t>
            </w:r>
          </w:p>
        </w:tc>
      </w:tr>
      <w:tr>
        <w:trPr>
          <w:trHeight w:val="659"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18</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3"/>
              <w:jc w:val="left"/>
              <w:rPr>
                <w:rFonts w:ascii="宋体" w:hAnsi="宋体" w:cs="宋体" w:eastAsia="宋体" w:hint="default"/>
                <w:sz w:val="22"/>
                <w:szCs w:val="22"/>
              </w:rPr>
            </w:pPr>
            <w:r>
              <w:rPr>
                <w:rFonts w:ascii="宋体" w:hAnsi="宋体" w:cs="宋体" w:eastAsia="宋体" w:hint="default"/>
                <w:spacing w:val="3"/>
                <w:sz w:val="22"/>
                <w:szCs w:val="22"/>
              </w:rPr>
              <w:t>独立董事关于公司以部分门店物业为标的资产开展创新型资产运作模式的独</w:t>
            </w:r>
            <w:r>
              <w:rPr>
                <w:rFonts w:ascii="宋体" w:hAnsi="宋体" w:cs="宋体" w:eastAsia="宋体" w:hint="default"/>
                <w:spacing w:val="3"/>
                <w:w w:val="99"/>
                <w:sz w:val="22"/>
                <w:szCs w:val="22"/>
              </w:rPr>
              <w:t> </w:t>
            </w:r>
            <w:r>
              <w:rPr>
                <w:rFonts w:ascii="宋体" w:hAnsi="宋体" w:cs="宋体" w:eastAsia="宋体" w:hint="default"/>
                <w:sz w:val="22"/>
                <w:szCs w:val="22"/>
              </w:rPr>
              <w:t>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独立董事关于公司第二期员工持股计划的独立意见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8</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独立董事关于本次非公开发行股票涉及关联交易的事前认可意见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独立董事关于修订第二期员工持股计划（草案）的独立意见</w:t>
            </w:r>
          </w:p>
        </w:tc>
      </w:tr>
      <w:tr>
        <w:trPr>
          <w:trHeight w:val="659"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 w:right="3"/>
              <w:jc w:val="left"/>
              <w:rPr>
                <w:rFonts w:ascii="宋体" w:hAnsi="宋体" w:cs="宋体" w:eastAsia="宋体" w:hint="default"/>
                <w:sz w:val="22"/>
                <w:szCs w:val="22"/>
              </w:rPr>
            </w:pPr>
            <w:r>
              <w:rPr>
                <w:rFonts w:ascii="宋体" w:hAnsi="宋体" w:cs="宋体" w:eastAsia="宋体" w:hint="default"/>
                <w:sz w:val="22"/>
                <w:szCs w:val="22"/>
              </w:rPr>
              <w:t>独立董事关于公司投资认购</w:t>
            </w:r>
            <w:r>
              <w:rPr>
                <w:rFonts w:ascii="Times New Roman" w:hAnsi="Times New Roman" w:cs="Times New Roman" w:eastAsia="Times New Roman" w:hint="default"/>
                <w:sz w:val="22"/>
                <w:szCs w:val="22"/>
              </w:rPr>
              <w:t>Alibaba Group Holding</w:t>
            </w:r>
            <w:r>
              <w:rPr>
                <w:rFonts w:ascii="Times New Roman" w:hAnsi="Times New Roman" w:cs="Times New Roman" w:eastAsia="Times New Roman" w:hint="default"/>
                <w:spacing w:val="-8"/>
                <w:sz w:val="22"/>
                <w:szCs w:val="22"/>
              </w:rPr>
              <w:t> </w:t>
            </w:r>
            <w:r>
              <w:rPr>
                <w:rFonts w:ascii="Times New Roman" w:hAnsi="Times New Roman" w:cs="Times New Roman" w:eastAsia="Times New Roman" w:hint="default"/>
                <w:sz w:val="22"/>
                <w:szCs w:val="22"/>
              </w:rPr>
              <w:t>Limited</w:t>
            </w:r>
            <w:r>
              <w:rPr>
                <w:rFonts w:ascii="宋体" w:hAnsi="宋体" w:cs="宋体" w:eastAsia="宋体" w:hint="default"/>
                <w:sz w:val="22"/>
                <w:szCs w:val="22"/>
              </w:rPr>
              <w:t>增发股份并签署投</w:t>
            </w:r>
            <w:r>
              <w:rPr>
                <w:rFonts w:ascii="宋体" w:hAnsi="宋体" w:cs="宋体" w:eastAsia="宋体" w:hint="default"/>
                <w:w w:val="99"/>
                <w:sz w:val="22"/>
                <w:szCs w:val="22"/>
              </w:rPr>
              <w:t> </w:t>
            </w:r>
            <w:r>
              <w:rPr>
                <w:rFonts w:ascii="宋体" w:hAnsi="宋体" w:cs="宋体" w:eastAsia="宋体" w:hint="default"/>
                <w:sz w:val="22"/>
                <w:szCs w:val="22"/>
              </w:rPr>
              <w:t>资协议的独立意见</w:t>
            </w:r>
          </w:p>
        </w:tc>
      </w:tr>
      <w:tr>
        <w:trPr>
          <w:trHeight w:val="348"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独立董事关于公司未来三年（</w:t>
            </w:r>
            <w:r>
              <w:rPr>
                <w:rFonts w:ascii="Times New Roman" w:hAnsi="Times New Roman" w:cs="Times New Roman" w:eastAsia="Times New Roman" w:hint="default"/>
                <w:sz w:val="22"/>
                <w:szCs w:val="22"/>
              </w:rPr>
              <w:t>2015-2017</w:t>
            </w:r>
            <w:r>
              <w:rPr>
                <w:rFonts w:ascii="宋体" w:hAnsi="宋体" w:cs="宋体" w:eastAsia="宋体" w:hint="default"/>
                <w:sz w:val="22"/>
                <w:szCs w:val="22"/>
              </w:rPr>
              <w:t>年）股东回报规划的独立意见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独立董事关于本次非公开发行股票相关事项的独立意见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独立董事关于本次非公开发行股票涉及关联交易的独立意见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21</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独立董事关于使用自有资金投资货币市场基金的独立意见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27</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w:t>
            </w:r>
            <w:r>
              <w:rPr>
                <w:rFonts w:ascii="Times New Roman" w:hAnsi="Times New Roman" w:cs="Times New Roman" w:eastAsia="Times New Roman" w:hint="default"/>
                <w:sz w:val="22"/>
                <w:szCs w:val="22"/>
              </w:rPr>
              <w:t>2015</w:t>
            </w:r>
            <w:r>
              <w:rPr>
                <w:rFonts w:ascii="宋体" w:hAnsi="宋体" w:cs="宋体" w:eastAsia="宋体" w:hint="default"/>
                <w:sz w:val="22"/>
                <w:szCs w:val="22"/>
              </w:rPr>
              <w:t>年上半年度募集资金存放与实际使用情况的独立意见</w:t>
            </w:r>
          </w:p>
        </w:tc>
      </w:tr>
      <w:tr>
        <w:trPr>
          <w:trHeight w:val="659"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27</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2"/>
              <w:jc w:val="left"/>
              <w:rPr>
                <w:rFonts w:ascii="宋体" w:hAnsi="宋体" w:cs="宋体" w:eastAsia="宋体" w:hint="default"/>
                <w:sz w:val="22"/>
                <w:szCs w:val="22"/>
              </w:rPr>
            </w:pPr>
            <w:r>
              <w:rPr>
                <w:rFonts w:ascii="宋体" w:hAnsi="宋体" w:cs="宋体" w:eastAsia="宋体" w:hint="default"/>
                <w:spacing w:val="3"/>
                <w:sz w:val="22"/>
                <w:szCs w:val="22"/>
              </w:rPr>
              <w:t>独立董事对公司与关联方资金往来、公司累计和当期对外担保情况的专项说</w:t>
            </w:r>
            <w:r>
              <w:rPr>
                <w:rFonts w:ascii="宋体" w:hAnsi="宋体" w:cs="宋体" w:eastAsia="宋体" w:hint="default"/>
                <w:spacing w:val="3"/>
                <w:w w:val="99"/>
                <w:sz w:val="22"/>
                <w:szCs w:val="22"/>
              </w:rPr>
              <w:t> </w:t>
            </w:r>
            <w:r>
              <w:rPr>
                <w:rFonts w:ascii="宋体" w:hAnsi="宋体" w:cs="宋体" w:eastAsia="宋体" w:hint="default"/>
                <w:sz w:val="22"/>
                <w:szCs w:val="22"/>
              </w:rPr>
              <w:t>明和独立意见</w:t>
            </w:r>
          </w:p>
        </w:tc>
      </w:tr>
      <w:tr>
        <w:trPr>
          <w:trHeight w:val="348"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10</w:t>
            </w:r>
            <w:r>
              <w:rPr>
                <w:rFonts w:ascii="宋体" w:hAnsi="宋体" w:cs="宋体" w:eastAsia="宋体" w:hint="default"/>
                <w:sz w:val="22"/>
                <w:szCs w:val="22"/>
              </w:rPr>
              <w:t>月</w:t>
            </w:r>
            <w:r>
              <w:rPr>
                <w:rFonts w:ascii="Times New Roman" w:hAnsi="Times New Roman" w:cs="Times New Roman" w:eastAsia="Times New Roman" w:hint="default"/>
                <w:sz w:val="22"/>
                <w:szCs w:val="22"/>
              </w:rPr>
              <w:t>28</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独立董事关于公司拟出售</w:t>
            </w:r>
            <w:r>
              <w:rPr>
                <w:rFonts w:ascii="Times New Roman" w:hAnsi="Times New Roman" w:cs="Times New Roman" w:eastAsia="Times New Roman" w:hint="default"/>
                <w:sz w:val="22"/>
                <w:szCs w:val="22"/>
              </w:rPr>
              <w:t>PPLive</w:t>
            </w:r>
            <w:r>
              <w:rPr>
                <w:rFonts w:ascii="Times New Roman" w:hAnsi="Times New Roman" w:cs="Times New Roman" w:eastAsia="Times New Roman" w:hint="default"/>
                <w:spacing w:val="-13"/>
                <w:sz w:val="22"/>
                <w:szCs w:val="22"/>
              </w:rPr>
              <w:t> </w:t>
            </w:r>
            <w:r>
              <w:rPr>
                <w:rFonts w:ascii="Times New Roman" w:hAnsi="Times New Roman" w:cs="Times New Roman" w:eastAsia="Times New Roman" w:hint="default"/>
                <w:sz w:val="22"/>
                <w:szCs w:val="22"/>
              </w:rPr>
              <w:t>Corporation</w:t>
            </w:r>
            <w:r>
              <w:rPr>
                <w:rFonts w:ascii="宋体" w:hAnsi="宋体" w:cs="宋体" w:eastAsia="宋体" w:hint="default"/>
                <w:sz w:val="22"/>
                <w:szCs w:val="22"/>
              </w:rPr>
              <w:t>股权暨关联交易的事前意见</w:t>
            </w:r>
          </w:p>
        </w:tc>
      </w:tr>
      <w:tr>
        <w:trPr>
          <w:trHeight w:val="347" w:hRule="exact"/>
        </w:trPr>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10</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3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独立董事关于拟出售</w:t>
            </w:r>
            <w:r>
              <w:rPr>
                <w:rFonts w:ascii="Times New Roman" w:hAnsi="Times New Roman" w:cs="Times New Roman" w:eastAsia="Times New Roman" w:hint="default"/>
                <w:sz w:val="22"/>
                <w:szCs w:val="22"/>
              </w:rPr>
              <w:t>PPLive</w:t>
            </w:r>
            <w:r>
              <w:rPr>
                <w:rFonts w:ascii="Times New Roman" w:hAnsi="Times New Roman" w:cs="Times New Roman" w:eastAsia="Times New Roman" w:hint="default"/>
                <w:spacing w:val="-9"/>
                <w:sz w:val="22"/>
                <w:szCs w:val="22"/>
              </w:rPr>
              <w:t> </w:t>
            </w:r>
            <w:r>
              <w:rPr>
                <w:rFonts w:ascii="Times New Roman" w:hAnsi="Times New Roman" w:cs="Times New Roman" w:eastAsia="Times New Roman" w:hint="default"/>
                <w:sz w:val="22"/>
                <w:szCs w:val="22"/>
              </w:rPr>
              <w:t>Corporation</w:t>
            </w:r>
            <w:r>
              <w:rPr>
                <w:rFonts w:ascii="宋体" w:hAnsi="宋体" w:cs="宋体" w:eastAsia="宋体" w:hint="default"/>
                <w:sz w:val="22"/>
                <w:szCs w:val="22"/>
              </w:rPr>
              <w:t>股权暨关联交易的独立意见</w:t>
            </w:r>
          </w:p>
        </w:tc>
      </w:tr>
    </w:tbl>
    <w:p>
      <w:pPr>
        <w:spacing w:line="240" w:lineRule="auto" w:before="2"/>
        <w:rPr>
          <w:rFonts w:ascii="宋体" w:hAnsi="宋体" w:cs="宋体" w:eastAsia="宋体" w:hint="default"/>
          <w:sz w:val="18"/>
          <w:szCs w:val="18"/>
        </w:rPr>
      </w:pPr>
    </w:p>
    <w:p>
      <w:pPr>
        <w:pStyle w:val="Heading2"/>
        <w:spacing w:line="240" w:lineRule="auto" w:before="26"/>
        <w:ind w:left="154" w:right="1082"/>
        <w:jc w:val="left"/>
        <w:rPr>
          <w:b w:val="0"/>
          <w:bCs w:val="0"/>
        </w:rPr>
      </w:pPr>
      <w:bookmarkStart w:name="六、董事会下设专门委员会在报告期内履行职责情况" w:id="158"/>
      <w:bookmarkEnd w:id="158"/>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9"/>
          <w:szCs w:val="29"/>
        </w:rPr>
      </w:pPr>
    </w:p>
    <w:p>
      <w:pPr>
        <w:spacing w:line="369" w:lineRule="auto" w:before="0"/>
        <w:ind w:left="594" w:right="1082" w:firstLine="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、董事会战略委员会</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报告期内，公司董事会战略委员会按照工作细则履行职责，关注公司战略发展方向和重大投资事</w:t>
      </w:r>
    </w:p>
    <w:p>
      <w:pPr>
        <w:pStyle w:val="BodyText"/>
        <w:spacing w:line="240" w:lineRule="auto" w:before="61"/>
        <w:ind w:left="154" w:right="1082"/>
        <w:jc w:val="left"/>
      </w:pPr>
      <w:r>
        <w:rPr/>
        <w:t>项。</w:t>
      </w:r>
    </w:p>
    <w:p>
      <w:pPr>
        <w:spacing w:line="376" w:lineRule="auto" w:before="180"/>
        <w:ind w:left="594" w:right="1116" w:firstLine="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、董事会提名委员会</w:t>
      </w:r>
      <w:r>
        <w:rPr>
          <w:rFonts w:ascii="宋体" w:hAnsi="宋体" w:cs="宋体" w:eastAsia="宋体" w:hint="default"/>
          <w:b/>
          <w:bCs/>
          <w:spacing w:val="1"/>
          <w:w w:val="99"/>
          <w:sz w:val="22"/>
          <w:szCs w:val="22"/>
        </w:rPr>
        <w:t> </w:t>
      </w:r>
      <w:r>
        <w:rPr>
          <w:rFonts w:ascii="宋体" w:hAnsi="宋体" w:cs="宋体" w:eastAsia="宋体" w:hint="default"/>
          <w:sz w:val="22"/>
          <w:szCs w:val="22"/>
        </w:rPr>
        <w:t>报告期内，公司董事、高级管理人员未发生变动，未召开董事会提名委员会会议。</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、董事会薪酬与考核委员会</w:t>
      </w:r>
      <w:r>
        <w:rPr>
          <w:rFonts w:ascii="宋体" w:hAnsi="宋体" w:cs="宋体" w:eastAsia="宋体" w:hint="default"/>
          <w:b/>
          <w:bCs/>
          <w:spacing w:val="1"/>
          <w:w w:val="99"/>
          <w:sz w:val="22"/>
          <w:szCs w:val="22"/>
        </w:rPr>
        <w:t> </w:t>
      </w:r>
      <w:r>
        <w:rPr>
          <w:rFonts w:ascii="宋体" w:hAnsi="宋体" w:cs="宋体" w:eastAsia="宋体" w:hint="default"/>
          <w:spacing w:val="-1"/>
          <w:sz w:val="22"/>
          <w:szCs w:val="22"/>
        </w:rPr>
        <w:t>公司第五届董事会薪酬与考核委员会第二次会议审议通过了《关于审核</w:t>
      </w:r>
      <w:r>
        <w:rPr>
          <w:rFonts w:ascii="Times New Roman" w:hAnsi="Times New Roman" w:cs="Times New Roman" w:eastAsia="Times New Roman" w:hint="default"/>
          <w:spacing w:val="-1"/>
          <w:sz w:val="22"/>
          <w:szCs w:val="22"/>
        </w:rPr>
        <w:t>2014</w:t>
      </w:r>
      <w:r>
        <w:rPr>
          <w:rFonts w:ascii="宋体" w:hAnsi="宋体" w:cs="宋体" w:eastAsia="宋体" w:hint="default"/>
          <w:spacing w:val="-1"/>
          <w:sz w:val="22"/>
          <w:szCs w:val="22"/>
        </w:rPr>
        <w:t>年度公司董事、高级</w:t>
      </w:r>
    </w:p>
    <w:p>
      <w:pPr>
        <w:pStyle w:val="BodyText"/>
        <w:spacing w:line="240" w:lineRule="auto" w:before="24"/>
        <w:ind w:right="1082"/>
        <w:jc w:val="left"/>
      </w:pPr>
      <w:r>
        <w:rPr/>
        <w:t>管理人员薪酬及津贴的议案》。</w:t>
      </w:r>
    </w:p>
    <w:p>
      <w:pPr>
        <w:spacing w:after="0" w:line="240" w:lineRule="auto"/>
        <w:jc w:val="left"/>
        <w:sectPr>
          <w:pgSz w:w="11910" w:h="16840"/>
          <w:pgMar w:header="0" w:footer="979" w:top="1100" w:bottom="1160" w:left="980" w:right="0"/>
        </w:sectPr>
      </w:pPr>
    </w:p>
    <w:p>
      <w:pPr>
        <w:spacing w:line="240" w:lineRule="auto" w:before="3"/>
        <w:rPr>
          <w:rFonts w:ascii="宋体" w:hAnsi="宋体" w:cs="宋体" w:eastAsia="宋体" w:hint="default"/>
          <w:sz w:val="26"/>
          <w:szCs w:val="26"/>
        </w:rPr>
      </w:pPr>
    </w:p>
    <w:p>
      <w:pPr>
        <w:spacing w:line="369" w:lineRule="auto" w:before="31"/>
        <w:ind w:left="594" w:right="5692" w:firstLine="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、董事会审计委员会</w:t>
      </w:r>
      <w:r>
        <w:rPr>
          <w:rFonts w:ascii="宋体" w:hAnsi="宋体" w:cs="宋体" w:eastAsia="宋体" w:hint="default"/>
          <w:b/>
          <w:bCs/>
          <w:spacing w:val="1"/>
          <w:w w:val="99"/>
          <w:sz w:val="22"/>
          <w:szCs w:val="22"/>
        </w:rPr>
        <w:t> </w:t>
      </w:r>
      <w:r>
        <w:rPr>
          <w:rFonts w:ascii="宋体" w:hAnsi="宋体" w:cs="宋体" w:eastAsia="宋体" w:hint="default"/>
          <w:sz w:val="22"/>
          <w:szCs w:val="22"/>
        </w:rPr>
        <w:t>报告期内公司董事会审计委员会履职情况如下：</w:t>
      </w:r>
    </w:p>
    <w:p>
      <w:pPr>
        <w:pStyle w:val="BodyText"/>
        <w:spacing w:line="369" w:lineRule="auto" w:before="61"/>
        <w:ind w:left="154" w:right="1130" w:firstLine="440"/>
        <w:jc w:val="both"/>
      </w:pPr>
      <w:r>
        <w:rPr>
          <w:spacing w:val="-1"/>
        </w:rPr>
        <w:t>第五届董事会审计委员会第九次会议审议通过了《</w:t>
      </w:r>
      <w:r>
        <w:rPr>
          <w:rFonts w:ascii="Times New Roman" w:hAnsi="Times New Roman" w:cs="Times New Roman" w:eastAsia="Times New Roman" w:hint="default"/>
          <w:spacing w:val="-1"/>
        </w:rPr>
        <w:t>2014</w:t>
      </w:r>
      <w:r>
        <w:rPr>
          <w:spacing w:val="-1"/>
        </w:rPr>
        <w:t>年度内部审计工作总结》和《</w:t>
      </w:r>
      <w:r>
        <w:rPr>
          <w:rFonts w:ascii="Times New Roman" w:hAnsi="Times New Roman" w:cs="Times New Roman" w:eastAsia="Times New Roman" w:hint="default"/>
          <w:spacing w:val="-1"/>
        </w:rPr>
        <w:t>2015</w:t>
      </w:r>
      <w:r>
        <w:rPr>
          <w:spacing w:val="-1"/>
        </w:rPr>
        <w:t>年度内</w:t>
      </w:r>
      <w:r>
        <w:rPr>
          <w:w w:val="99"/>
        </w:rPr>
        <w:t> </w:t>
      </w:r>
      <w:r>
        <w:rPr/>
        <w:t>部审计工作计划》；</w:t>
      </w:r>
    </w:p>
    <w:p>
      <w:pPr>
        <w:pStyle w:val="BodyText"/>
        <w:spacing w:line="240" w:lineRule="auto" w:before="61"/>
        <w:ind w:left="594" w:right="0"/>
        <w:jc w:val="left"/>
      </w:pPr>
      <w:r>
        <w:rPr/>
        <w:t>第五届董事会审计委员会第十次会议审议通过了《关于审核财务会计报表和财务报告的议案》、</w:t>
      </w:r>
    </w:p>
    <w:p>
      <w:pPr>
        <w:pStyle w:val="BodyText"/>
        <w:spacing w:line="240" w:lineRule="auto" w:before="180"/>
        <w:ind w:left="154" w:right="0"/>
        <w:jc w:val="left"/>
      </w:pPr>
      <w:r>
        <w:rPr/>
        <w:t>《关于会计师事务所从事</w:t>
      </w:r>
      <w:r>
        <w:rPr>
          <w:rFonts w:ascii="Times New Roman" w:hAnsi="Times New Roman" w:cs="Times New Roman" w:eastAsia="Times New Roman" w:hint="default"/>
        </w:rPr>
        <w:t>2014</w:t>
      </w:r>
      <w:r>
        <w:rPr/>
        <w:t>年度公司审计工作的总结报告》、《关于续聘会计师事务所的议案》、</w:t>
      </w:r>
    </w:p>
    <w:p>
      <w:pPr>
        <w:pStyle w:val="BodyText"/>
        <w:spacing w:line="369" w:lineRule="auto" w:before="163"/>
        <w:ind w:left="594" w:right="1118" w:hanging="441"/>
        <w:jc w:val="left"/>
      </w:pPr>
      <w:r>
        <w:rPr/>
        <w:t>《</w:t>
      </w:r>
      <w:r>
        <w:rPr>
          <w:rFonts w:ascii="Times New Roman" w:hAnsi="Times New Roman" w:cs="Times New Roman" w:eastAsia="Times New Roman" w:hint="default"/>
        </w:rPr>
        <w:t>2014</w:t>
      </w:r>
      <w:r>
        <w:rPr/>
        <w:t>年度内部控制评价报告》；</w:t>
      </w:r>
      <w:r>
        <w:rPr>
          <w:w w:val="99"/>
        </w:rPr>
        <w:t> </w:t>
      </w:r>
      <w:r>
        <w:rPr>
          <w:spacing w:val="-1"/>
        </w:rPr>
        <w:t>第五届董事会审计委员会第十一次会议审议通过了《</w:t>
      </w:r>
      <w:r>
        <w:rPr>
          <w:rFonts w:ascii="Times New Roman" w:hAnsi="Times New Roman" w:cs="Times New Roman" w:eastAsia="Times New Roman" w:hint="default"/>
          <w:spacing w:val="-1"/>
        </w:rPr>
        <w:t>2015</w:t>
      </w:r>
      <w:r>
        <w:rPr>
          <w:spacing w:val="-1"/>
        </w:rPr>
        <w:t>年第一季度报告》、《</w:t>
      </w:r>
      <w:r>
        <w:rPr>
          <w:rFonts w:ascii="Times New Roman" w:hAnsi="Times New Roman" w:cs="Times New Roman" w:eastAsia="Times New Roman" w:hint="default"/>
          <w:spacing w:val="-1"/>
        </w:rPr>
        <w:t>2015</w:t>
      </w:r>
      <w:r>
        <w:rPr>
          <w:spacing w:val="-1"/>
        </w:rPr>
        <w:t>年第一季度</w:t>
      </w:r>
    </w:p>
    <w:p>
      <w:pPr>
        <w:pStyle w:val="BodyText"/>
        <w:spacing w:line="391" w:lineRule="auto" w:before="32"/>
        <w:ind w:left="594" w:right="1118" w:hanging="441"/>
        <w:jc w:val="left"/>
      </w:pPr>
      <w:r>
        <w:rPr/>
        <w:t>审计工作总结报告》；</w:t>
      </w:r>
      <w:r>
        <w:rPr>
          <w:w w:val="99"/>
        </w:rPr>
        <w:t> </w:t>
      </w:r>
      <w:r>
        <w:rPr>
          <w:spacing w:val="-1"/>
        </w:rPr>
        <w:t>第五届董事会审计委员会第十二次会议审议通过了《</w:t>
      </w:r>
      <w:r>
        <w:rPr>
          <w:rFonts w:ascii="Times New Roman" w:hAnsi="Times New Roman" w:cs="Times New Roman" w:eastAsia="Times New Roman" w:hint="default"/>
          <w:spacing w:val="-1"/>
        </w:rPr>
        <w:t>2015</w:t>
      </w:r>
      <w:r>
        <w:rPr>
          <w:spacing w:val="-1"/>
        </w:rPr>
        <w:t>年半年度报告》及《</w:t>
      </w:r>
      <w:r>
        <w:rPr>
          <w:rFonts w:ascii="Times New Roman" w:hAnsi="Times New Roman" w:cs="Times New Roman" w:eastAsia="Times New Roman" w:hint="default"/>
          <w:spacing w:val="-1"/>
        </w:rPr>
        <w:t>2015</w:t>
      </w:r>
      <w:r>
        <w:rPr>
          <w:spacing w:val="-1"/>
        </w:rPr>
        <w:t>年半年度报告</w:t>
      </w:r>
    </w:p>
    <w:p>
      <w:pPr>
        <w:pStyle w:val="BodyText"/>
        <w:spacing w:line="369" w:lineRule="auto" w:before="10"/>
        <w:ind w:left="594" w:right="1118" w:hanging="441"/>
        <w:jc w:val="left"/>
      </w:pPr>
      <w:r>
        <w:rPr/>
        <w:t>摘要》、《</w:t>
      </w:r>
      <w:r>
        <w:rPr>
          <w:rFonts w:ascii="Times New Roman" w:hAnsi="Times New Roman" w:cs="Times New Roman" w:eastAsia="Times New Roman" w:hint="default"/>
        </w:rPr>
        <w:t>2015</w:t>
      </w:r>
      <w:r>
        <w:rPr/>
        <w:t>年第二季度审计工作总结报告》；</w:t>
      </w:r>
      <w:r>
        <w:rPr>
          <w:w w:val="99"/>
        </w:rPr>
        <w:t> </w:t>
      </w:r>
      <w:r>
        <w:rPr>
          <w:spacing w:val="-1"/>
        </w:rPr>
        <w:t>第五届董事会审计委员会第十三次会议审议通过了《</w:t>
      </w:r>
      <w:r>
        <w:rPr>
          <w:rFonts w:ascii="Times New Roman" w:hAnsi="Times New Roman" w:cs="Times New Roman" w:eastAsia="Times New Roman" w:hint="default"/>
          <w:spacing w:val="-1"/>
        </w:rPr>
        <w:t>2015</w:t>
      </w:r>
      <w:r>
        <w:rPr>
          <w:spacing w:val="-1"/>
        </w:rPr>
        <w:t>年第三季度报告》、《</w:t>
      </w:r>
      <w:r>
        <w:rPr>
          <w:rFonts w:ascii="Times New Roman" w:hAnsi="Times New Roman" w:cs="Times New Roman" w:eastAsia="Times New Roman" w:hint="default"/>
          <w:spacing w:val="-1"/>
        </w:rPr>
        <w:t>2015</w:t>
      </w:r>
      <w:r>
        <w:rPr>
          <w:spacing w:val="-1"/>
        </w:rPr>
        <w:t>年第三季度</w:t>
      </w:r>
    </w:p>
    <w:p>
      <w:pPr>
        <w:pStyle w:val="BodyText"/>
        <w:spacing w:line="391" w:lineRule="auto" w:before="32"/>
        <w:ind w:left="594" w:right="1082" w:hanging="441"/>
        <w:jc w:val="left"/>
      </w:pPr>
      <w:r>
        <w:rPr/>
        <w:t>审计工作总结报告》；</w:t>
      </w:r>
      <w:r>
        <w:rPr>
          <w:w w:val="99"/>
        </w:rPr>
        <w:t> </w:t>
      </w:r>
      <w:r>
        <w:rPr>
          <w:spacing w:val="-2"/>
        </w:rPr>
        <w:t>第五届董事会审计委员会第十四次会议，审计委员会委员与负责公司年度审计工作的会计师事务</w:t>
      </w:r>
    </w:p>
    <w:p>
      <w:pPr>
        <w:pStyle w:val="BodyText"/>
        <w:spacing w:line="240" w:lineRule="auto" w:before="41"/>
        <w:ind w:left="154" w:right="1082"/>
        <w:jc w:val="left"/>
      </w:pPr>
      <w:r>
        <w:rPr/>
        <w:t>所协商确定</w:t>
      </w:r>
      <w:r>
        <w:rPr>
          <w:rFonts w:ascii="Times New Roman" w:hAnsi="Times New Roman" w:cs="Times New Roman" w:eastAsia="Times New Roman" w:hint="default"/>
        </w:rPr>
        <w:t>2015</w:t>
      </w:r>
      <w:r>
        <w:rPr/>
        <w:t>年度财务报告审计工作的时间安排。</w:t>
      </w:r>
    </w:p>
    <w:p>
      <w:pPr>
        <w:spacing w:line="240" w:lineRule="auto" w:before="6"/>
        <w:rPr>
          <w:rFonts w:ascii="宋体" w:hAnsi="宋体" w:cs="宋体" w:eastAsia="宋体" w:hint="default"/>
          <w:sz w:val="28"/>
          <w:szCs w:val="28"/>
        </w:rPr>
      </w:pPr>
    </w:p>
    <w:p>
      <w:pPr>
        <w:pStyle w:val="Heading2"/>
        <w:spacing w:line="240" w:lineRule="auto"/>
        <w:ind w:left="154" w:right="1082"/>
        <w:jc w:val="left"/>
        <w:rPr>
          <w:b w:val="0"/>
          <w:bCs w:val="0"/>
        </w:rPr>
      </w:pPr>
      <w:bookmarkStart w:name="七、监事会工作情况" w:id="159"/>
      <w:bookmarkEnd w:id="159"/>
      <w:r>
        <w:rPr>
          <w:b w:val="0"/>
          <w:bCs w:val="0"/>
        </w:rPr>
      </w:r>
      <w:r>
        <w:rPr/>
        <w:t>七、监事会工作情况</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left="594" w:right="1082"/>
        <w:jc w:val="left"/>
      </w:pPr>
      <w:r>
        <w:rPr/>
        <w:t>监事会在报告期内的监督活动中发现公司是否存在风险</w:t>
      </w:r>
    </w:p>
    <w:p>
      <w:pPr>
        <w:pStyle w:val="BodyText"/>
        <w:spacing w:line="369" w:lineRule="auto" w:before="180"/>
        <w:ind w:left="594" w:right="65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监事会对报告期内的监督事项无异议。</w:t>
      </w:r>
    </w:p>
    <w:p>
      <w:pPr>
        <w:pStyle w:val="BodyText"/>
        <w:spacing w:line="391" w:lineRule="auto" w:before="61"/>
        <w:ind w:right="1135" w:firstLine="440"/>
        <w:jc w:val="both"/>
      </w:pPr>
      <w:r>
        <w:rPr>
          <w:spacing w:val="-7"/>
          <w:w w:val="99"/>
        </w:rPr>
        <w:t>报告期内，公司监事会严格按照《公司章程》、《监事会议事规则》等制度要求，依法独立行使职</w:t>
      </w:r>
      <w:r>
        <w:rPr>
          <w:w w:val="99"/>
        </w:rPr>
        <w:t> </w:t>
      </w:r>
      <w:r>
        <w:rPr>
          <w:spacing w:val="-1"/>
          <w:w w:val="95"/>
        </w:rPr>
        <w:t>权，对公司财务以及公司董事、高级管理人员履行职责的合法合规性进行监督，维护公司及股东的合</w:t>
      </w:r>
      <w:r>
        <w:rPr>
          <w:spacing w:val="48"/>
          <w:w w:val="95"/>
        </w:rPr>
        <w:t> </w:t>
      </w:r>
      <w:r>
        <w:rPr>
          <w:spacing w:val="48"/>
          <w:w w:val="95"/>
        </w:rPr>
      </w:r>
      <w:r>
        <w:rPr/>
        <w:t>法权益。</w:t>
      </w:r>
    </w:p>
    <w:p>
      <w:pPr>
        <w:pStyle w:val="BodyText"/>
        <w:spacing w:line="240" w:lineRule="auto" w:before="41"/>
        <w:ind w:left="594" w:right="1082"/>
        <w:jc w:val="left"/>
      </w:pPr>
      <w:r>
        <w:rPr/>
        <w:t>（一）报告期内，监事会会议召开情况</w:t>
      </w:r>
    </w:p>
    <w:p>
      <w:pPr>
        <w:pStyle w:val="BodyText"/>
        <w:spacing w:line="369" w:lineRule="auto" w:before="180"/>
        <w:ind w:left="154" w:right="1135" w:firstLine="440"/>
        <w:jc w:val="both"/>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3"/>
        </w:rPr>
        <w:t>日召开第五届监事会第九次会议，审议通过《关于使用闲置募集资金购买银行</w:t>
      </w:r>
      <w:r>
        <w:rPr>
          <w:w w:val="99"/>
        </w:rPr>
        <w:t> </w:t>
      </w:r>
      <w:r>
        <w:rPr>
          <w:spacing w:val="-13"/>
          <w:w w:val="99"/>
        </w:rPr>
        <w:t>理财产品的议案》；</w:t>
      </w:r>
      <w:r>
        <w:rPr>
          <w:spacing w:val="-13"/>
        </w:rPr>
      </w:r>
    </w:p>
    <w:p>
      <w:pPr>
        <w:pStyle w:val="BodyText"/>
        <w:spacing w:line="369" w:lineRule="auto" w:before="61"/>
        <w:ind w:right="1129" w:firstLine="440"/>
        <w:jc w:val="both"/>
      </w:pPr>
      <w:r>
        <w:rPr>
          <w:rFonts w:ascii="Times New Roman" w:hAnsi="Times New Roman" w:cs="Times New Roman" w:eastAsia="Times New Roman" w:hint="default"/>
          <w:spacing w:val="1"/>
          <w:w w:val="99"/>
        </w:rPr>
        <w:t>2</w:t>
      </w:r>
      <w:r>
        <w:rPr>
          <w:spacing w:val="-93"/>
          <w:w w:val="99"/>
        </w:rPr>
        <w:t>、</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1"/>
        </w:rPr>
        <w:t> </w:t>
      </w:r>
      <w:r>
        <w:rPr>
          <w:w w:val="99"/>
        </w:rPr>
        <w:t>年</w:t>
      </w:r>
      <w:r>
        <w:rPr>
          <w:spacing w:val="-55"/>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月</w:t>
      </w:r>
      <w:r>
        <w:rPr>
          <w:spacing w:val="-55"/>
        </w:rPr>
        <w:t> </w:t>
      </w:r>
      <w:r>
        <w:rPr>
          <w:rFonts w:ascii="Times New Roman" w:hAnsi="Times New Roman" w:cs="Times New Roman" w:eastAsia="Times New Roman" w:hint="default"/>
          <w:w w:val="99"/>
        </w:rPr>
        <w:t>29</w:t>
      </w:r>
      <w:r>
        <w:rPr>
          <w:rFonts w:ascii="Times New Roman" w:hAnsi="Times New Roman" w:cs="Times New Roman" w:eastAsia="Times New Roman" w:hint="default"/>
        </w:rPr>
        <w:t> </w:t>
      </w:r>
      <w:r>
        <w:rPr>
          <w:w w:val="99"/>
        </w:rPr>
        <w:t>日召开第五届监事会第十次会议</w:t>
      </w:r>
      <w:r>
        <w:rPr>
          <w:spacing w:val="-93"/>
          <w:w w:val="99"/>
        </w:rPr>
        <w:t>，</w:t>
      </w:r>
      <w:r>
        <w:rPr>
          <w:w w:val="99"/>
        </w:rPr>
        <w:t>审议通</w:t>
      </w:r>
      <w:r>
        <w:rPr>
          <w:spacing w:val="-92"/>
          <w:w w:val="99"/>
        </w:rPr>
        <w:t>过</w:t>
      </w:r>
      <w:r>
        <w:rPr>
          <w:spacing w:val="1"/>
          <w:w w:val="99"/>
        </w:rPr>
        <w:t>《</w:t>
      </w:r>
      <w:r>
        <w:rPr>
          <w:rFonts w:ascii="Times New Roman" w:hAnsi="Times New Roman" w:cs="Times New Roman" w:eastAsia="Times New Roman" w:hint="default"/>
          <w:w w:val="99"/>
        </w:rPr>
        <w:t>2014</w:t>
      </w:r>
      <w:r>
        <w:rPr>
          <w:rFonts w:ascii="Times New Roman" w:hAnsi="Times New Roman" w:cs="Times New Roman" w:eastAsia="Times New Roman" w:hint="default"/>
        </w:rPr>
        <w:t> </w:t>
      </w:r>
      <w:r>
        <w:rPr>
          <w:w w:val="99"/>
        </w:rPr>
        <w:t>年度监事会工作报告</w:t>
      </w:r>
      <w:r>
        <w:rPr>
          <w:spacing w:val="-110"/>
          <w:w w:val="99"/>
        </w:rPr>
        <w:t>》</w:t>
      </w:r>
      <w:r>
        <w:rPr>
          <w:spacing w:val="-203"/>
          <w:w w:val="99"/>
        </w:rPr>
        <w:t>、</w:t>
      </w:r>
      <w:r>
        <w:rPr>
          <w:w w:val="99"/>
        </w:rPr>
        <w:t>《</w:t>
      </w:r>
      <w:r>
        <w:rPr>
          <w:rFonts w:ascii="Times New Roman" w:hAnsi="Times New Roman" w:cs="Times New Roman" w:eastAsia="Times New Roman" w:hint="default"/>
          <w:w w:val="99"/>
        </w:rPr>
        <w:t>2014 </w:t>
      </w:r>
      <w:r>
        <w:rPr>
          <w:w w:val="99"/>
        </w:rPr>
        <w:t>年度财务决算报告</w:t>
      </w:r>
      <w:r>
        <w:rPr>
          <w:spacing w:val="-111"/>
          <w:w w:val="99"/>
        </w:rPr>
        <w:t>》</w:t>
      </w:r>
      <w:r>
        <w:rPr>
          <w:spacing w:val="-152"/>
          <w:w w:val="99"/>
        </w:rPr>
        <w:t>、</w:t>
      </w:r>
      <w:r>
        <w:rPr>
          <w:spacing w:val="1"/>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014</w:t>
      </w:r>
      <w:r>
        <w:rPr>
          <w:rFonts w:ascii="Times New Roman" w:hAnsi="Times New Roman" w:cs="Times New Roman" w:eastAsia="Times New Roman" w:hint="default"/>
          <w:spacing w:val="1"/>
        </w:rPr>
        <w:t> </w:t>
      </w:r>
      <w:r>
        <w:rPr>
          <w:w w:val="99"/>
        </w:rPr>
        <w:t>年年度报告</w:t>
      </w:r>
      <w:r>
        <w:rPr>
          <w:spacing w:val="-41"/>
          <w:w w:val="99"/>
        </w:rPr>
        <w:t>》及</w:t>
      </w:r>
      <w:r>
        <w:rPr>
          <w:w w:val="99"/>
        </w:rPr>
        <w:t>《</w:t>
      </w:r>
      <w:r>
        <w:rPr>
          <w:rFonts w:ascii="Times New Roman" w:hAnsi="Times New Roman" w:cs="Times New Roman" w:eastAsia="Times New Roman" w:hint="default"/>
          <w:w w:val="99"/>
        </w:rPr>
        <w:t>2014</w:t>
      </w:r>
      <w:r>
        <w:rPr>
          <w:rFonts w:ascii="Times New Roman" w:hAnsi="Times New Roman" w:cs="Times New Roman" w:eastAsia="Times New Roman" w:hint="default"/>
        </w:rPr>
        <w:t> </w:t>
      </w:r>
      <w:r>
        <w:rPr>
          <w:w w:val="99"/>
        </w:rPr>
        <w:t>年年度报告摘要</w:t>
      </w:r>
      <w:r>
        <w:rPr>
          <w:spacing w:val="-110"/>
          <w:w w:val="99"/>
        </w:rPr>
        <w:t>》</w:t>
      </w:r>
      <w:r>
        <w:rPr>
          <w:spacing w:val="-150"/>
          <w:w w:val="99"/>
        </w:rPr>
        <w:t>、</w:t>
      </w:r>
      <w:r>
        <w:rPr>
          <w:w w:val="99"/>
        </w:rPr>
        <w:t>《</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4</w:t>
      </w:r>
      <w:r>
        <w:rPr>
          <w:rFonts w:ascii="Times New Roman" w:hAnsi="Times New Roman" w:cs="Times New Roman" w:eastAsia="Times New Roman" w:hint="default"/>
        </w:rPr>
        <w:t> </w:t>
      </w:r>
      <w:r>
        <w:rPr>
          <w:w w:val="99"/>
        </w:rPr>
        <w:t>年度利润分配预案</w:t>
      </w:r>
      <w:r>
        <w:rPr>
          <w:spacing w:val="-110"/>
          <w:w w:val="99"/>
        </w:rPr>
        <w:t>》</w:t>
      </w:r>
      <w:r>
        <w:rPr>
          <w:spacing w:val="-152"/>
          <w:w w:val="99"/>
        </w:rPr>
        <w:t>、</w:t>
      </w:r>
      <w:r>
        <w:rPr>
          <w:w w:val="99"/>
        </w:rPr>
        <w:t>《关</w:t>
      </w:r>
      <w:r>
        <w:rPr>
          <w:w w:val="99"/>
        </w:rPr>
        <w:t> 于</w:t>
      </w:r>
      <w:r>
        <w:rPr>
          <w:spacing w:val="-55"/>
        </w:rPr>
        <w:t> </w:t>
      </w:r>
      <w:r>
        <w:rPr>
          <w:rFonts w:ascii="Times New Roman" w:hAnsi="Times New Roman" w:cs="Times New Roman" w:eastAsia="Times New Roman" w:hint="default"/>
          <w:w w:val="99"/>
        </w:rPr>
        <w:t>2014</w:t>
      </w:r>
      <w:r>
        <w:rPr>
          <w:rFonts w:ascii="Times New Roman" w:hAnsi="Times New Roman" w:cs="Times New Roman" w:eastAsia="Times New Roman" w:hint="default"/>
          <w:spacing w:val="1"/>
        </w:rPr>
        <w:t> </w:t>
      </w:r>
      <w:r>
        <w:rPr>
          <w:w w:val="99"/>
        </w:rPr>
        <w:t>年</w:t>
      </w:r>
      <w:r>
        <w:rPr>
          <w:spacing w:val="-2"/>
          <w:w w:val="99"/>
        </w:rPr>
        <w:t>度</w:t>
      </w:r>
      <w:r>
        <w:rPr>
          <w:w w:val="99"/>
        </w:rPr>
        <w:t>募集资金存放与实际使用情况的专项报告</w:t>
      </w:r>
      <w:r>
        <w:rPr>
          <w:spacing w:val="-111"/>
          <w:w w:val="99"/>
        </w:rPr>
        <w:t>》</w:t>
      </w:r>
      <w:r>
        <w:rPr>
          <w:spacing w:val="-152"/>
          <w:w w:val="99"/>
        </w:rPr>
        <w:t>、</w:t>
      </w:r>
      <w:r>
        <w:rPr>
          <w:w w:val="99"/>
        </w:rPr>
        <w:t>《关于公司</w:t>
      </w:r>
      <w:r>
        <w:rPr>
          <w:spacing w:val="-52"/>
        </w:rPr>
        <w:t> </w:t>
      </w:r>
      <w:r>
        <w:rPr>
          <w:rFonts w:ascii="Times New Roman" w:hAnsi="Times New Roman" w:cs="Times New Roman" w:eastAsia="Times New Roman" w:hint="default"/>
          <w:w w:val="99"/>
        </w:rPr>
        <w:t>2014</w:t>
      </w:r>
      <w:r>
        <w:rPr>
          <w:rFonts w:ascii="Times New Roman" w:hAnsi="Times New Roman" w:cs="Times New Roman" w:eastAsia="Times New Roman" w:hint="default"/>
          <w:spacing w:val="1"/>
        </w:rPr>
        <w:t> </w:t>
      </w:r>
      <w:r>
        <w:rPr>
          <w:w w:val="99"/>
        </w:rPr>
        <w:t>年度关联交易情况说明的议 案</w:t>
      </w:r>
      <w:r>
        <w:rPr>
          <w:spacing w:val="-110"/>
          <w:w w:val="99"/>
        </w:rPr>
        <w:t>》</w:t>
      </w:r>
      <w:r>
        <w:rPr>
          <w:spacing w:val="-143"/>
          <w:w w:val="99"/>
        </w:rPr>
        <w:t>、</w:t>
      </w:r>
      <w:r>
        <w:rPr>
          <w:w w:val="99"/>
        </w:rPr>
        <w:t>《关于续聘会计师事务所的议案</w:t>
      </w:r>
      <w:r>
        <w:rPr>
          <w:spacing w:val="-110"/>
          <w:w w:val="99"/>
        </w:rPr>
        <w:t>》</w:t>
      </w:r>
      <w:r>
        <w:rPr>
          <w:spacing w:val="-143"/>
          <w:w w:val="99"/>
        </w:rPr>
        <w:t>、</w:t>
      </w:r>
      <w:r>
        <w:rPr>
          <w:spacing w:val="2"/>
          <w:w w:val="99"/>
        </w:rPr>
        <w:t>《</w:t>
      </w:r>
      <w:r>
        <w:rPr>
          <w:rFonts w:ascii="Times New Roman" w:hAnsi="Times New Roman" w:cs="Times New Roman" w:eastAsia="Times New Roman" w:hint="default"/>
          <w:w w:val="99"/>
        </w:rPr>
        <w:t>2014</w:t>
      </w:r>
      <w:r>
        <w:rPr>
          <w:rFonts w:ascii="Times New Roman" w:hAnsi="Times New Roman" w:cs="Times New Roman" w:eastAsia="Times New Roman" w:hint="default"/>
        </w:rPr>
        <w:t> </w:t>
      </w:r>
      <w:r>
        <w:rPr>
          <w:w w:val="99"/>
        </w:rPr>
        <w:t>年度内部控制评价报告</w:t>
      </w:r>
      <w:r>
        <w:rPr>
          <w:spacing w:val="-110"/>
          <w:w w:val="99"/>
        </w:rPr>
        <w:t>》</w:t>
      </w:r>
      <w:r>
        <w:rPr>
          <w:spacing w:val="-143"/>
          <w:w w:val="99"/>
        </w:rPr>
        <w:t>、</w:t>
      </w:r>
      <w:r>
        <w:rPr>
          <w:w w:val="99"/>
        </w:rPr>
        <w:t>《关于公司使用自有资金进行</w:t>
      </w:r>
      <w:r>
        <w:rPr/>
      </w:r>
    </w:p>
    <w:p>
      <w:pPr>
        <w:spacing w:after="0" w:line="369" w:lineRule="auto"/>
        <w:jc w:val="both"/>
        <w:sectPr>
          <w:pgSz w:w="11910" w:h="16840"/>
          <w:pgMar w:header="0" w:footer="979" w:top="1100" w:bottom="1160" w:left="980" w:right="0"/>
        </w:sectPr>
      </w:pPr>
    </w:p>
    <w:p>
      <w:pPr>
        <w:spacing w:line="240" w:lineRule="auto" w:before="3"/>
        <w:rPr>
          <w:rFonts w:ascii="宋体" w:hAnsi="宋体" w:cs="宋体" w:eastAsia="宋体" w:hint="default"/>
          <w:sz w:val="26"/>
          <w:szCs w:val="26"/>
        </w:rPr>
      </w:pPr>
    </w:p>
    <w:p>
      <w:pPr>
        <w:pStyle w:val="BodyText"/>
        <w:spacing w:line="240" w:lineRule="auto" w:before="31"/>
        <w:ind w:right="1082"/>
        <w:jc w:val="left"/>
      </w:pPr>
      <w:r>
        <w:rPr>
          <w:w w:val="99"/>
        </w:rPr>
        <w:t>投资理财的议案</w:t>
      </w:r>
      <w:r>
        <w:rPr>
          <w:spacing w:val="-110"/>
          <w:w w:val="99"/>
        </w:rPr>
        <w:t>》</w:t>
      </w:r>
      <w:r>
        <w:rPr>
          <w:spacing w:val="-111"/>
          <w:w w:val="99"/>
        </w:rPr>
        <w:t>、</w:t>
      </w:r>
      <w:r>
        <w:rPr>
          <w:w w:val="99"/>
        </w:rPr>
        <w:t>《关于公司使用自有资金进行风险投资的议案</w:t>
      </w:r>
      <w:r>
        <w:rPr>
          <w:spacing w:val="-111"/>
          <w:w w:val="99"/>
        </w:rPr>
        <w:t>》</w:t>
      </w:r>
      <w:r>
        <w:rPr>
          <w:w w:val="99"/>
        </w:rPr>
        <w:t>；</w:t>
      </w:r>
      <w:r>
        <w:rPr/>
      </w:r>
    </w:p>
    <w:p>
      <w:pPr>
        <w:pStyle w:val="BodyText"/>
        <w:spacing w:line="240" w:lineRule="auto" w:before="180"/>
        <w:ind w:left="594" w:right="1082"/>
        <w:jc w:val="left"/>
      </w:pPr>
      <w:r>
        <w:rPr>
          <w:rFonts w:ascii="Times New Roman" w:hAnsi="Times New Roman" w:cs="Times New Roman" w:eastAsia="Times New Roman" w:hint="default"/>
          <w:spacing w:val="1"/>
          <w:w w:val="99"/>
        </w:rPr>
        <w:t>3</w:t>
      </w:r>
      <w:r>
        <w:rPr>
          <w:w w:val="99"/>
        </w:rPr>
        <w:t>、</w:t>
      </w:r>
      <w:r>
        <w:rPr>
          <w:rFonts w:ascii="Times New Roman" w:hAnsi="Times New Roman" w:cs="Times New Roman" w:eastAsia="Times New Roman" w:hint="default"/>
          <w:w w:val="99"/>
        </w:rPr>
        <w:t>2015</w:t>
      </w:r>
      <w:r>
        <w:rPr>
          <w:rFonts w:ascii="Times New Roman" w:hAnsi="Times New Roman" w:cs="Times New Roman" w:eastAsia="Times New Roman" w:hint="default"/>
        </w:rPr>
        <w:t> </w:t>
      </w:r>
      <w:r>
        <w:rPr>
          <w:w w:val="99"/>
        </w:rPr>
        <w:t>年</w:t>
      </w:r>
      <w:r>
        <w:rPr>
          <w:spacing w:val="-55"/>
        </w:rPr>
        <w:t> </w:t>
      </w:r>
      <w:r>
        <w:rPr>
          <w:rFonts w:ascii="Times New Roman" w:hAnsi="Times New Roman" w:cs="Times New Roman" w:eastAsia="Times New Roman" w:hint="default"/>
          <w:w w:val="99"/>
        </w:rPr>
        <w:t>4</w:t>
      </w:r>
      <w:r>
        <w:rPr>
          <w:rFonts w:ascii="Times New Roman" w:hAnsi="Times New Roman" w:cs="Times New Roman" w:eastAsia="Times New Roman" w:hint="default"/>
        </w:rPr>
        <w:t> </w:t>
      </w:r>
      <w:r>
        <w:rPr>
          <w:w w:val="99"/>
        </w:rPr>
        <w:t>月</w:t>
      </w:r>
      <w:r>
        <w:rPr>
          <w:spacing w:val="-55"/>
        </w:rPr>
        <w:t> </w:t>
      </w:r>
      <w:r>
        <w:rPr>
          <w:rFonts w:ascii="Times New Roman" w:hAnsi="Times New Roman" w:cs="Times New Roman" w:eastAsia="Times New Roman" w:hint="default"/>
          <w:w w:val="99"/>
        </w:rPr>
        <w:t>29</w:t>
      </w:r>
      <w:r>
        <w:rPr>
          <w:rFonts w:ascii="Times New Roman" w:hAnsi="Times New Roman" w:cs="Times New Roman" w:eastAsia="Times New Roman" w:hint="default"/>
        </w:rPr>
        <w:t> </w:t>
      </w:r>
      <w:r>
        <w:rPr>
          <w:w w:val="99"/>
        </w:rPr>
        <w:t>日</w:t>
      </w:r>
      <w:r>
        <w:rPr>
          <w:spacing w:val="-2"/>
          <w:w w:val="99"/>
        </w:rPr>
        <w:t>召</w:t>
      </w:r>
      <w:r>
        <w:rPr>
          <w:w w:val="99"/>
        </w:rPr>
        <w:t>开第五届监事会第十一次会议，审议通过</w:t>
      </w:r>
      <w:r>
        <w:rPr>
          <w:spacing w:val="2"/>
          <w:w w:val="99"/>
        </w:rPr>
        <w:t>《</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1"/>
        </w:rPr>
        <w:t> </w:t>
      </w:r>
      <w:r>
        <w:rPr>
          <w:w w:val="99"/>
        </w:rPr>
        <w:t>年第一季度报告</w:t>
      </w:r>
      <w:r>
        <w:rPr>
          <w:spacing w:val="-111"/>
          <w:w w:val="99"/>
        </w:rPr>
        <w:t>》</w:t>
      </w:r>
      <w:r>
        <w:rPr>
          <w:w w:val="99"/>
        </w:rPr>
        <w:t>；</w:t>
      </w:r>
      <w:r>
        <w:rPr/>
      </w:r>
    </w:p>
    <w:p>
      <w:pPr>
        <w:pStyle w:val="BodyText"/>
        <w:spacing w:line="369" w:lineRule="auto" w:before="163"/>
        <w:ind w:left="154" w:right="1142" w:firstLine="44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日召开第五届监事会第十二次会议，审议通过《苏宁云商集团股份有限公司第</w:t>
      </w:r>
      <w:r>
        <w:rPr>
          <w:w w:val="99"/>
        </w:rPr>
        <w:t> </w:t>
      </w:r>
      <w:r>
        <w:rPr>
          <w:spacing w:val="-5"/>
          <w:w w:val="99"/>
        </w:rPr>
        <w:t>二期员工持股计划（草案）》及《苏宁云商集团股份有限公司第二期员工持股计划（草案）摘要》；</w:t>
      </w:r>
      <w:r>
        <w:rPr>
          <w:spacing w:val="-5"/>
        </w:rPr>
      </w:r>
    </w:p>
    <w:p>
      <w:pPr>
        <w:pStyle w:val="BodyText"/>
        <w:spacing w:line="240" w:lineRule="auto" w:before="61"/>
        <w:ind w:left="594" w:right="1082"/>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日召开第五届监事会第十三次会议，审议通过《关于签订业务合作框架协议的</w:t>
      </w:r>
    </w:p>
    <w:p>
      <w:pPr>
        <w:pStyle w:val="BodyText"/>
        <w:spacing w:line="374" w:lineRule="auto" w:before="163"/>
        <w:ind w:right="1134"/>
        <w:jc w:val="both"/>
      </w:pPr>
      <w:r>
        <w:rPr>
          <w:w w:val="99"/>
        </w:rPr>
        <w:t>议案</w:t>
      </w:r>
      <w:r>
        <w:rPr>
          <w:spacing w:val="-110"/>
          <w:w w:val="99"/>
        </w:rPr>
        <w:t>》</w:t>
      </w:r>
      <w:r>
        <w:rPr>
          <w:spacing w:val="-111"/>
          <w:w w:val="99"/>
        </w:rPr>
        <w:t>、</w:t>
      </w:r>
      <w:r>
        <w:rPr>
          <w:w w:val="99"/>
        </w:rPr>
        <w:t>《关于公司符合非公开发行股票条件的议案</w:t>
      </w:r>
      <w:r>
        <w:rPr>
          <w:spacing w:val="-110"/>
          <w:w w:val="99"/>
        </w:rPr>
        <w:t>》</w:t>
      </w:r>
      <w:r>
        <w:rPr>
          <w:spacing w:val="-111"/>
          <w:w w:val="99"/>
        </w:rPr>
        <w:t>、</w:t>
      </w:r>
      <w:r>
        <w:rPr>
          <w:w w:val="99"/>
        </w:rPr>
        <w:t>《关于公司</w:t>
      </w:r>
      <w:r>
        <w:rPr>
          <w:spacing w:val="-51"/>
        </w:rPr>
        <w:t> </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1"/>
        </w:rPr>
        <w:t> </w:t>
      </w:r>
      <w:r>
        <w:rPr>
          <w:w w:val="99"/>
        </w:rPr>
        <w:t>年非公开发行股票发行方案的 议案</w:t>
      </w:r>
      <w:r>
        <w:rPr>
          <w:spacing w:val="-110"/>
          <w:w w:val="99"/>
        </w:rPr>
        <w:t>》</w:t>
      </w:r>
      <w:r>
        <w:rPr>
          <w:spacing w:val="-120"/>
          <w:w w:val="99"/>
        </w:rPr>
        <w:t>、</w:t>
      </w:r>
      <w:r>
        <w:rPr>
          <w:w w:val="99"/>
        </w:rPr>
        <w:t>《关于本次非公开发行股票涉及关联交易的议案</w:t>
      </w:r>
      <w:r>
        <w:rPr>
          <w:spacing w:val="-110"/>
          <w:w w:val="99"/>
        </w:rPr>
        <w:t>》</w:t>
      </w:r>
      <w:r>
        <w:rPr>
          <w:spacing w:val="-120"/>
          <w:w w:val="99"/>
        </w:rPr>
        <w:t>、</w:t>
      </w:r>
      <w:r>
        <w:rPr>
          <w:w w:val="99"/>
        </w:rPr>
        <w:t>《关于与淘</w:t>
      </w:r>
      <w:r>
        <w:rPr>
          <w:spacing w:val="-11"/>
          <w:w w:val="99"/>
        </w:rPr>
        <w:t>宝</w:t>
      </w:r>
      <w:r>
        <w:rPr>
          <w:w w:val="99"/>
        </w:rPr>
        <w:t>（中国</w:t>
      </w:r>
      <w:r>
        <w:rPr>
          <w:spacing w:val="-10"/>
          <w:w w:val="99"/>
        </w:rPr>
        <w:t>）</w:t>
      </w:r>
      <w:r>
        <w:rPr>
          <w:w w:val="99"/>
        </w:rPr>
        <w:t>软件有限公司签署附</w:t>
      </w:r>
      <w:r>
        <w:rPr>
          <w:w w:val="99"/>
        </w:rPr>
        <w:t> 条件生效的</w:t>
      </w:r>
      <w:r>
        <w:rPr>
          <w:rFonts w:ascii="Times New Roman" w:hAnsi="Times New Roman" w:cs="Times New Roman" w:eastAsia="Times New Roman" w:hint="default"/>
          <w:w w:val="99"/>
        </w:rPr>
        <w:t>&lt;</w:t>
      </w:r>
      <w:r>
        <w:rPr>
          <w:w w:val="99"/>
        </w:rPr>
        <w:t>股份认购协议</w:t>
      </w:r>
      <w:r>
        <w:rPr>
          <w:rFonts w:ascii="Times New Roman" w:hAnsi="Times New Roman" w:cs="Times New Roman" w:eastAsia="Times New Roman" w:hint="default"/>
          <w:spacing w:val="-1"/>
          <w:w w:val="99"/>
        </w:rPr>
        <w:t>&gt;</w:t>
      </w:r>
      <w:r>
        <w:rPr>
          <w:w w:val="99"/>
        </w:rPr>
        <w:t>的议案</w:t>
      </w:r>
      <w:r>
        <w:rPr>
          <w:spacing w:val="-110"/>
          <w:w w:val="99"/>
        </w:rPr>
        <w:t>》、</w:t>
      </w:r>
      <w:r>
        <w:rPr>
          <w:w w:val="99"/>
        </w:rPr>
        <w:t>《关于与安</w:t>
      </w:r>
      <w:r>
        <w:rPr>
          <w:spacing w:val="1"/>
          <w:w w:val="99"/>
        </w:rPr>
        <w:t>信</w:t>
      </w:r>
      <w:r>
        <w:rPr>
          <w:rFonts w:ascii="Times New Roman" w:hAnsi="Times New Roman" w:cs="Times New Roman" w:eastAsia="Times New Roman" w:hint="default"/>
          <w:w w:val="99"/>
        </w:rPr>
        <w:t>-</w:t>
      </w:r>
      <w:r>
        <w:rPr>
          <w:w w:val="99"/>
        </w:rPr>
        <w:t>苏宁众承</w:t>
      </w:r>
      <w:r>
        <w:rPr>
          <w:spacing w:val="-55"/>
        </w:rPr>
        <w:t> </w:t>
      </w:r>
      <w:r>
        <w:rPr>
          <w:rFonts w:ascii="Times New Roman" w:hAnsi="Times New Roman" w:cs="Times New Roman" w:eastAsia="Times New Roman" w:hint="default"/>
          <w:w w:val="99"/>
        </w:rPr>
        <w:t>2</w:t>
      </w:r>
      <w:r>
        <w:rPr>
          <w:rFonts w:ascii="Times New Roman" w:hAnsi="Times New Roman" w:cs="Times New Roman" w:eastAsia="Times New Roman" w:hint="default"/>
        </w:rPr>
        <w:t> </w:t>
      </w:r>
      <w:r>
        <w:rPr>
          <w:w w:val="99"/>
        </w:rPr>
        <w:t>号定向资产管理计划签署附条件生效 的</w:t>
      </w:r>
      <w:r>
        <w:rPr>
          <w:rFonts w:ascii="Times New Roman" w:hAnsi="Times New Roman" w:cs="Times New Roman" w:eastAsia="Times New Roman" w:hint="default"/>
          <w:spacing w:val="-1"/>
          <w:w w:val="99"/>
        </w:rPr>
        <w:t>&lt;</w:t>
      </w:r>
      <w:r>
        <w:rPr>
          <w:w w:val="99"/>
        </w:rPr>
        <w:t>股份认购协</w:t>
      </w:r>
      <w:r>
        <w:rPr>
          <w:spacing w:val="1"/>
          <w:w w:val="99"/>
        </w:rPr>
        <w:t>议</w:t>
      </w:r>
      <w:r>
        <w:rPr>
          <w:rFonts w:ascii="Times New Roman" w:hAnsi="Times New Roman" w:cs="Times New Roman" w:eastAsia="Times New Roman" w:hint="default"/>
          <w:spacing w:val="-1"/>
          <w:w w:val="99"/>
        </w:rPr>
        <w:t>&gt;</w:t>
      </w:r>
      <w:r>
        <w:rPr>
          <w:w w:val="99"/>
        </w:rPr>
        <w:t>的议案</w:t>
      </w:r>
      <w:r>
        <w:rPr>
          <w:spacing w:val="-111"/>
          <w:w w:val="99"/>
        </w:rPr>
        <w:t>》</w:t>
      </w:r>
      <w:r>
        <w:rPr>
          <w:spacing w:val="-114"/>
          <w:w w:val="99"/>
        </w:rPr>
        <w:t>、</w:t>
      </w:r>
      <w:r>
        <w:rPr>
          <w:w w:val="99"/>
        </w:rPr>
        <w:t>《关于公司</w:t>
      </w:r>
      <w:r>
        <w:rPr>
          <w:spacing w:val="-54"/>
        </w:rPr>
        <w:t> </w:t>
      </w:r>
      <w:r>
        <w:rPr>
          <w:rFonts w:ascii="Times New Roman" w:hAnsi="Times New Roman" w:cs="Times New Roman" w:eastAsia="Times New Roman" w:hint="default"/>
          <w:w w:val="99"/>
        </w:rPr>
        <w:t>2015</w:t>
      </w:r>
      <w:r>
        <w:rPr>
          <w:rFonts w:ascii="Times New Roman" w:hAnsi="Times New Roman" w:cs="Times New Roman" w:eastAsia="Times New Roman" w:hint="default"/>
        </w:rPr>
        <w:t> </w:t>
      </w:r>
      <w:r>
        <w:rPr>
          <w:w w:val="99"/>
        </w:rPr>
        <w:t>年</w:t>
      </w:r>
      <w:r>
        <w:rPr>
          <w:spacing w:val="-2"/>
          <w:w w:val="99"/>
        </w:rPr>
        <w:t>非</w:t>
      </w:r>
      <w:r>
        <w:rPr>
          <w:w w:val="99"/>
        </w:rPr>
        <w:t>公开发行</w:t>
      </w:r>
      <w:r>
        <w:rPr>
          <w:spacing w:val="-55"/>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w w:val="99"/>
        </w:rPr>
        <w:t>股股票预案的议案</w:t>
      </w:r>
      <w:r>
        <w:rPr>
          <w:spacing w:val="-111"/>
          <w:w w:val="99"/>
        </w:rPr>
        <w:t>》</w:t>
      </w:r>
      <w:r>
        <w:rPr>
          <w:spacing w:val="-114"/>
          <w:w w:val="99"/>
        </w:rPr>
        <w:t>、</w:t>
      </w:r>
      <w:r>
        <w:rPr>
          <w:w w:val="99"/>
        </w:rPr>
        <w:t>《关于本次非公开</w:t>
      </w:r>
      <w:r>
        <w:rPr>
          <w:w w:val="99"/>
        </w:rPr>
        <w:t> 发行股票募集资金使用的可行性分析报告的议案</w:t>
      </w:r>
      <w:r>
        <w:rPr>
          <w:spacing w:val="-110"/>
          <w:w w:val="99"/>
        </w:rPr>
        <w:t>》</w:t>
      </w:r>
      <w:r>
        <w:rPr>
          <w:spacing w:val="-111"/>
          <w:w w:val="99"/>
        </w:rPr>
        <w:t>、</w:t>
      </w:r>
      <w:r>
        <w:rPr>
          <w:w w:val="99"/>
        </w:rPr>
        <w:t>《关于公司前次募集资金使用情况报告的议案</w:t>
      </w:r>
      <w:r>
        <w:rPr>
          <w:spacing w:val="-110"/>
          <w:w w:val="99"/>
        </w:rPr>
        <w:t>》</w:t>
      </w:r>
      <w:r>
        <w:rPr>
          <w:w w:val="99"/>
        </w:rPr>
        <w:t>、</w:t>
      </w:r>
      <w:r>
        <w:rPr/>
      </w:r>
    </w:p>
    <w:p>
      <w:pPr>
        <w:pStyle w:val="BodyText"/>
        <w:spacing w:line="379" w:lineRule="auto" w:before="57"/>
        <w:ind w:right="896"/>
        <w:jc w:val="left"/>
      </w:pPr>
      <w:r>
        <w:rPr>
          <w:spacing w:val="-6"/>
          <w:w w:val="99"/>
        </w:rPr>
        <w:t>《关于提请股东大会授权董事会全权办理本次非公开发行股票相关事宜的议案》、《关于公司投资认购</w:t>
      </w:r>
      <w:r>
        <w:rPr>
          <w:spacing w:val="-104"/>
          <w:w w:val="99"/>
        </w:rPr>
        <w:t> </w:t>
      </w:r>
      <w:r>
        <w:rPr>
          <w:spacing w:val="-104"/>
          <w:w w:val="99"/>
        </w:rPr>
      </w:r>
      <w:r>
        <w:rPr>
          <w:rFonts w:ascii="Times New Roman" w:hAnsi="Times New Roman" w:cs="Times New Roman" w:eastAsia="Times New Roman" w:hint="default"/>
        </w:rPr>
        <w:t>Alibaba Group Holding Limited</w:t>
      </w:r>
      <w:r>
        <w:rPr>
          <w:rFonts w:ascii="Times New Roman" w:hAnsi="Times New Roman" w:cs="Times New Roman" w:eastAsia="Times New Roman" w:hint="default"/>
          <w:spacing w:val="-9"/>
        </w:rPr>
        <w:t> </w:t>
      </w:r>
      <w:r>
        <w:rPr/>
        <w:t>增发股份并签署</w:t>
      </w:r>
      <w:r>
        <w:rPr>
          <w:rFonts w:ascii="Times New Roman" w:hAnsi="Times New Roman" w:cs="Times New Roman" w:eastAsia="Times New Roman" w:hint="default"/>
        </w:rPr>
        <w:t>&lt;</w:t>
      </w:r>
      <w:r>
        <w:rPr/>
        <w:t>投资协议</w:t>
      </w:r>
      <w:r>
        <w:rPr>
          <w:rFonts w:ascii="Times New Roman" w:hAnsi="Times New Roman" w:cs="Times New Roman" w:eastAsia="Times New Roman" w:hint="default"/>
        </w:rPr>
        <w:t>&gt;</w:t>
      </w:r>
      <w:r>
        <w:rPr/>
        <w:t>以及提请股东大会授权董事会办理对外投</w:t>
      </w:r>
      <w:r>
        <w:rPr>
          <w:w w:val="99"/>
        </w:rPr>
        <w:t> </w:t>
      </w:r>
      <w:r>
        <w:rPr>
          <w:spacing w:val="-9"/>
          <w:w w:val="99"/>
        </w:rPr>
        <w:t>资相关事宜的议案》、《关于修订</w:t>
      </w:r>
      <w:r>
        <w:rPr>
          <w:rFonts w:ascii="Times New Roman" w:hAnsi="Times New Roman" w:cs="Times New Roman" w:eastAsia="Times New Roman" w:hint="default"/>
          <w:spacing w:val="-9"/>
          <w:w w:val="99"/>
        </w:rPr>
        <w:t>&lt;</w:t>
      </w:r>
      <w:r>
        <w:rPr>
          <w:spacing w:val="-9"/>
          <w:w w:val="99"/>
        </w:rPr>
        <w:t>苏宁云商集团股份有限公司第二期员工持股计划（草案）</w:t>
      </w:r>
      <w:r>
        <w:rPr>
          <w:rFonts w:ascii="Times New Roman" w:hAnsi="Times New Roman" w:cs="Times New Roman" w:eastAsia="Times New Roman" w:hint="default"/>
          <w:spacing w:val="-9"/>
          <w:w w:val="99"/>
        </w:rPr>
        <w:t>&gt;</w:t>
      </w:r>
      <w:r>
        <w:rPr>
          <w:spacing w:val="-9"/>
          <w:w w:val="99"/>
        </w:rPr>
        <w:t>的议案》、</w:t>
      </w:r>
      <w:r>
        <w:rPr>
          <w:spacing w:val="-9"/>
        </w:rPr>
      </w:r>
    </w:p>
    <w:p>
      <w:pPr>
        <w:pStyle w:val="BodyText"/>
        <w:spacing w:line="240" w:lineRule="auto" w:before="22"/>
        <w:ind w:left="154" w:right="1082"/>
        <w:jc w:val="left"/>
      </w:pPr>
      <w:r>
        <w:rPr>
          <w:w w:val="99"/>
        </w:rPr>
        <w:t>《关于公司未来三年</w:t>
      </w:r>
      <w:r>
        <w:rPr>
          <w:spacing w:val="1"/>
          <w:w w:val="99"/>
        </w:rPr>
        <w:t>（</w:t>
      </w:r>
      <w:r>
        <w:rPr>
          <w:rFonts w:ascii="Times New Roman" w:hAnsi="Times New Roman" w:cs="Times New Roman" w:eastAsia="Times New Roman" w:hint="default"/>
          <w:w w:val="99"/>
        </w:rPr>
        <w:t>2015-2017</w:t>
      </w:r>
      <w:r>
        <w:rPr>
          <w:rFonts w:ascii="Times New Roman" w:hAnsi="Times New Roman" w:cs="Times New Roman" w:eastAsia="Times New Roman" w:hint="default"/>
          <w:spacing w:val="1"/>
        </w:rPr>
        <w:t> </w:t>
      </w:r>
      <w:r>
        <w:rPr>
          <w:spacing w:val="-2"/>
          <w:w w:val="99"/>
        </w:rPr>
        <w:t>年</w:t>
      </w:r>
      <w:r>
        <w:rPr>
          <w:w w:val="99"/>
        </w:rPr>
        <w:t>）股东回报规划的议案</w:t>
      </w:r>
      <w:r>
        <w:rPr>
          <w:spacing w:val="-110"/>
          <w:w w:val="99"/>
        </w:rPr>
        <w:t>》</w:t>
      </w:r>
      <w:r>
        <w:rPr>
          <w:w w:val="99"/>
        </w:rPr>
        <w:t>；</w:t>
      </w:r>
      <w:r>
        <w:rPr/>
      </w:r>
    </w:p>
    <w:p>
      <w:pPr>
        <w:pStyle w:val="BodyText"/>
        <w:spacing w:line="369" w:lineRule="auto" w:before="163"/>
        <w:ind w:left="154" w:right="1082" w:firstLine="440"/>
        <w:jc w:val="left"/>
      </w:pPr>
      <w:r>
        <w:rPr>
          <w:rFonts w:ascii="Times New Roman" w:hAnsi="Times New Roman" w:cs="Times New Roman" w:eastAsia="Times New Roman" w:hint="default"/>
          <w:spacing w:val="-6"/>
        </w:rPr>
        <w:t>6</w:t>
      </w:r>
      <w:r>
        <w:rPr>
          <w:spacing w:val="-6"/>
        </w:rPr>
        <w:t>、</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spacing w:val="-3"/>
        </w:rPr>
        <w:t>日召开第五届监事会第十四次会议，审议通过《关于使用自有资金投资货币市</w:t>
      </w:r>
      <w:r>
        <w:rPr>
          <w:w w:val="99"/>
        </w:rPr>
        <w:t> </w:t>
      </w:r>
      <w:r>
        <w:rPr>
          <w:spacing w:val="-14"/>
          <w:w w:val="99"/>
        </w:rPr>
        <w:t>场基金的议案》；</w:t>
      </w:r>
      <w:r>
        <w:rPr>
          <w:spacing w:val="-14"/>
        </w:rPr>
      </w:r>
    </w:p>
    <w:p>
      <w:pPr>
        <w:pStyle w:val="BodyText"/>
        <w:spacing w:line="369" w:lineRule="auto" w:before="61"/>
        <w:ind w:left="154" w:right="1082" w:firstLine="440"/>
        <w:jc w:val="left"/>
      </w:pPr>
      <w:r>
        <w:rPr>
          <w:rFonts w:ascii="Times New Roman" w:hAnsi="Times New Roman" w:cs="Times New Roman" w:eastAsia="Times New Roman" w:hint="default"/>
          <w:spacing w:val="-5"/>
        </w:rPr>
        <w:t>7</w:t>
      </w:r>
      <w:r>
        <w:rPr>
          <w:spacing w:val="-5"/>
        </w:rPr>
        <w:t>、</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w:t>
      </w:r>
      <w:r>
        <w:rPr>
          <w:spacing w:val="-56"/>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27 </w:t>
      </w:r>
      <w:r>
        <w:rPr>
          <w:spacing w:val="-3"/>
        </w:rPr>
        <w:t>日召开第五届监事会第十五次会议，审议通过《</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spacing w:val="-5"/>
        </w:rPr>
        <w:t>年半年度报告》及《</w:t>
      </w:r>
      <w:r>
        <w:rPr>
          <w:rFonts w:ascii="Times New Roman" w:hAnsi="Times New Roman" w:cs="Times New Roman" w:eastAsia="Times New Roman" w:hint="default"/>
          <w:spacing w:val="-5"/>
        </w:rPr>
        <w:t>2015</w:t>
      </w:r>
      <w:r>
        <w:rPr>
          <w:rFonts w:ascii="Times New Roman" w:hAnsi="Times New Roman" w:cs="Times New Roman" w:eastAsia="Times New Roman" w:hint="default"/>
          <w:w w:val="99"/>
        </w:rPr>
        <w:t> </w:t>
      </w:r>
      <w:r>
        <w:rPr>
          <w:spacing w:val="-18"/>
          <w:w w:val="99"/>
        </w:rPr>
        <w:t>年半年度报告摘要》、《关于</w:t>
      </w:r>
      <w:r>
        <w:rPr>
          <w:w w:val="99"/>
        </w:rPr>
        <w:t> </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28"/>
          <w:w w:val="99"/>
        </w:rPr>
        <w:t> </w:t>
      </w:r>
      <w:r>
        <w:rPr>
          <w:spacing w:val="-5"/>
          <w:w w:val="99"/>
        </w:rPr>
        <w:t>年上半年度募集资金存放与实际使用情况的专项报告》；</w:t>
      </w:r>
      <w:r>
        <w:rPr>
          <w:spacing w:val="-5"/>
        </w:rPr>
      </w:r>
    </w:p>
    <w:p>
      <w:pPr>
        <w:pStyle w:val="BodyText"/>
        <w:spacing w:line="240" w:lineRule="auto" w:before="32"/>
        <w:ind w:left="594" w:right="1082"/>
        <w:jc w:val="left"/>
      </w:pPr>
      <w:r>
        <w:rPr>
          <w:rFonts w:ascii="Times New Roman" w:hAnsi="Times New Roman" w:cs="Times New Roman" w:eastAsia="Times New Roman" w:hint="default"/>
          <w:spacing w:val="1"/>
          <w:w w:val="99"/>
        </w:rPr>
        <w:t>8</w:t>
      </w:r>
      <w:r>
        <w:rPr>
          <w:w w:val="99"/>
        </w:rPr>
        <w:t>、</w:t>
      </w:r>
      <w:r>
        <w:rPr>
          <w:rFonts w:ascii="Times New Roman" w:hAnsi="Times New Roman" w:cs="Times New Roman" w:eastAsia="Times New Roman" w:hint="default"/>
          <w:w w:val="99"/>
        </w:rPr>
        <w:t>2015</w:t>
      </w:r>
      <w:r>
        <w:rPr>
          <w:rFonts w:ascii="Times New Roman" w:hAnsi="Times New Roman" w:cs="Times New Roman" w:eastAsia="Times New Roman" w:hint="default"/>
        </w:rPr>
        <w:t> </w:t>
      </w:r>
      <w:r>
        <w:rPr>
          <w:w w:val="99"/>
        </w:rPr>
        <w:t>年</w:t>
      </w:r>
      <w:r>
        <w:rPr>
          <w:spacing w:val="-55"/>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rPr>
        <w:t> </w:t>
      </w:r>
      <w:r>
        <w:rPr>
          <w:w w:val="99"/>
        </w:rPr>
        <w:t>月</w:t>
      </w:r>
      <w:r>
        <w:rPr>
          <w:spacing w:val="-55"/>
        </w:rPr>
        <w:t> </w:t>
      </w:r>
      <w:r>
        <w:rPr>
          <w:rFonts w:ascii="Times New Roman" w:hAnsi="Times New Roman" w:cs="Times New Roman" w:eastAsia="Times New Roman" w:hint="default"/>
          <w:w w:val="99"/>
        </w:rPr>
        <w:t>29</w:t>
      </w:r>
      <w:r>
        <w:rPr>
          <w:rFonts w:ascii="Times New Roman" w:hAnsi="Times New Roman" w:cs="Times New Roman" w:eastAsia="Times New Roman" w:hint="default"/>
        </w:rPr>
        <w:t> </w:t>
      </w:r>
      <w:r>
        <w:rPr>
          <w:w w:val="99"/>
        </w:rPr>
        <w:t>日</w:t>
      </w:r>
      <w:r>
        <w:rPr>
          <w:spacing w:val="-2"/>
          <w:w w:val="99"/>
        </w:rPr>
        <w:t>召</w:t>
      </w:r>
      <w:r>
        <w:rPr>
          <w:w w:val="99"/>
        </w:rPr>
        <w:t>开第五届监事会第十六次会议，审议通过</w:t>
      </w:r>
      <w:r>
        <w:rPr>
          <w:spacing w:val="2"/>
          <w:w w:val="99"/>
        </w:rPr>
        <w:t>《</w:t>
      </w:r>
      <w:r>
        <w:rPr>
          <w:rFonts w:ascii="Times New Roman" w:hAnsi="Times New Roman" w:cs="Times New Roman" w:eastAsia="Times New Roman" w:hint="default"/>
          <w:w w:val="99"/>
        </w:rPr>
        <w:t>2015</w:t>
      </w:r>
      <w:r>
        <w:rPr>
          <w:rFonts w:ascii="Times New Roman" w:hAnsi="Times New Roman" w:cs="Times New Roman" w:eastAsia="Times New Roman" w:hint="default"/>
        </w:rPr>
        <w:t> </w:t>
      </w:r>
      <w:r>
        <w:rPr>
          <w:w w:val="99"/>
        </w:rPr>
        <w:t>年第三季度报告</w:t>
      </w:r>
      <w:r>
        <w:rPr>
          <w:spacing w:val="-111"/>
          <w:w w:val="99"/>
        </w:rPr>
        <w:t>》</w:t>
      </w:r>
      <w:r>
        <w:rPr>
          <w:w w:val="99"/>
        </w:rPr>
        <w:t>。</w:t>
      </w:r>
      <w:r>
        <w:rPr/>
      </w:r>
    </w:p>
    <w:p>
      <w:pPr>
        <w:pStyle w:val="BodyText"/>
        <w:spacing w:line="240" w:lineRule="auto" w:before="163"/>
        <w:ind w:left="594" w:right="1082"/>
        <w:jc w:val="left"/>
      </w:pPr>
      <w:r>
        <w:rPr/>
        <w:t>（二）报告期内，监事会职责履行情况</w:t>
      </w:r>
    </w:p>
    <w:p>
      <w:pPr>
        <w:pStyle w:val="BodyText"/>
        <w:spacing w:line="240" w:lineRule="auto" w:before="180"/>
        <w:ind w:left="594" w:right="1082"/>
        <w:jc w:val="left"/>
      </w:pPr>
      <w:r>
        <w:rPr>
          <w:rFonts w:ascii="Times New Roman" w:hAnsi="Times New Roman" w:cs="Times New Roman" w:eastAsia="Times New Roman" w:hint="default"/>
        </w:rPr>
        <w:t>1</w:t>
      </w:r>
      <w:r>
        <w:rPr/>
        <w:t>、监事会运作情况</w:t>
      </w:r>
    </w:p>
    <w:p>
      <w:pPr>
        <w:pStyle w:val="BodyText"/>
        <w:spacing w:line="240" w:lineRule="auto" w:before="163"/>
        <w:ind w:left="594" w:right="0"/>
        <w:jc w:val="left"/>
      </w:pPr>
      <w:r>
        <w:rPr/>
        <w:t>报告期内公司共计召开 </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t>次监事会会议，监事会会议的召集、召开、表决程序符合《公司章程》</w:t>
      </w:r>
    </w:p>
    <w:p>
      <w:pPr>
        <w:pStyle w:val="BodyText"/>
        <w:spacing w:line="240" w:lineRule="auto" w:before="163"/>
        <w:ind w:right="1082"/>
        <w:jc w:val="left"/>
      </w:pPr>
      <w:r>
        <w:rPr>
          <w:spacing w:val="-5"/>
        </w:rPr>
        <w:t>的相关规定，公司部分监事列席董事会会议，听取公司董事、财务负责人关于公司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年年度报告、</w:t>
      </w:r>
    </w:p>
    <w:p>
      <w:pPr>
        <w:pStyle w:val="BodyText"/>
        <w:spacing w:line="369" w:lineRule="auto" w:before="163"/>
        <w:ind w:right="102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年半年度报告相关汇报，全体监事均亲自出席公司在报告期内召开的五次股东大会。报告期内，</w:t>
      </w:r>
      <w:r>
        <w:rPr>
          <w:w w:val="99"/>
        </w:rPr>
        <w:t> </w:t>
      </w:r>
      <w:r>
        <w:rPr/>
        <w:t>公司监事及监事会运作规范。</w:t>
      </w:r>
    </w:p>
    <w:p>
      <w:pPr>
        <w:pStyle w:val="BodyText"/>
        <w:spacing w:line="369" w:lineRule="auto" w:before="61"/>
        <w:ind w:left="594" w:right="1082"/>
        <w:jc w:val="left"/>
      </w:pPr>
      <w:r>
        <w:rPr>
          <w:rFonts w:ascii="Times New Roman" w:hAnsi="Times New Roman" w:cs="Times New Roman" w:eastAsia="Times New Roman" w:hint="default"/>
        </w:rPr>
        <w:t>2</w:t>
      </w:r>
      <w:r>
        <w:rPr/>
        <w:t>、核查公司财务状况</w:t>
      </w:r>
      <w:r>
        <w:rPr>
          <w:w w:val="99"/>
        </w:rPr>
        <w:t> </w:t>
      </w:r>
      <w:r>
        <w:rPr>
          <w:spacing w:val="-2"/>
        </w:rPr>
        <w:t>公司监事会持续关注公司财务制度建立，财务报告编制流程，以及对报告期内公司实施会计准则</w:t>
      </w:r>
    </w:p>
    <w:p>
      <w:pPr>
        <w:pStyle w:val="BodyText"/>
        <w:spacing w:line="391" w:lineRule="auto" w:before="61"/>
        <w:ind w:right="1082"/>
        <w:jc w:val="left"/>
      </w:pPr>
      <w:r>
        <w:rPr>
          <w:spacing w:val="-1"/>
          <w:w w:val="95"/>
        </w:rPr>
        <w:t>情况进行审查，一致认为公司财务报告内控规范，报告期内公司披露的定期报告真实、准确、完整地</w:t>
      </w:r>
      <w:r>
        <w:rPr>
          <w:spacing w:val="49"/>
          <w:w w:val="95"/>
        </w:rPr>
        <w:t> </w:t>
      </w:r>
      <w:r>
        <w:rPr>
          <w:spacing w:val="49"/>
          <w:w w:val="95"/>
        </w:rPr>
      </w:r>
      <w:r>
        <w:rPr/>
        <w:t>反映了公司的实际情况，不存在任何虚假记载、误导性陈述或者重大遗漏。</w:t>
      </w:r>
    </w:p>
    <w:p>
      <w:pPr>
        <w:pStyle w:val="BodyText"/>
        <w:spacing w:line="240" w:lineRule="auto" w:before="41"/>
        <w:ind w:left="594" w:right="108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年非公开发行股票事项</w:t>
      </w:r>
    </w:p>
    <w:p>
      <w:pPr>
        <w:spacing w:after="0" w:line="240" w:lineRule="auto"/>
        <w:jc w:val="left"/>
        <w:sectPr>
          <w:pgSz w:w="11910" w:h="16840"/>
          <w:pgMar w:header="0" w:footer="979" w:top="1100" w:bottom="1160" w:left="980" w:right="0"/>
        </w:sectPr>
      </w:pPr>
    </w:p>
    <w:p>
      <w:pPr>
        <w:spacing w:line="240" w:lineRule="auto" w:before="3"/>
        <w:rPr>
          <w:rFonts w:ascii="宋体" w:hAnsi="宋体" w:cs="宋体" w:eastAsia="宋体" w:hint="default"/>
          <w:sz w:val="26"/>
          <w:szCs w:val="26"/>
        </w:rPr>
      </w:pPr>
    </w:p>
    <w:p>
      <w:pPr>
        <w:pStyle w:val="BodyText"/>
        <w:spacing w:line="379" w:lineRule="auto" w:before="31"/>
        <w:ind w:right="1082" w:firstLine="440"/>
        <w:jc w:val="left"/>
      </w:pPr>
      <w:r>
        <w:rPr>
          <w:spacing w:val="-2"/>
        </w:rPr>
        <w:t>在考虑未来的资本性支出及流动资金需求，充分分析营运资金状况与盈利能力的基础上，公司提</w:t>
      </w:r>
      <w:r>
        <w:rPr>
          <w:w w:val="99"/>
        </w:rPr>
        <w:t> </w:t>
      </w:r>
      <w:r>
        <w:rPr/>
        <w:t>出了</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年非公开发行股票计划。本次发行募集资金将用于投资物流平台项目、云店发展项目、互</w:t>
      </w:r>
      <w:r>
        <w:rPr>
          <w:w w:val="99"/>
        </w:rPr>
        <w:t> </w:t>
      </w:r>
      <w:r>
        <w:rPr/>
        <w:t>联网金融和</w:t>
      </w:r>
      <w:r>
        <w:rPr>
          <w:spacing w:val="-59"/>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项目，并通过补充流动资金和偿还银行贷款充实公司运营资金、改善公司资本结构，</w:t>
      </w:r>
      <w:r>
        <w:rPr>
          <w:w w:val="99"/>
        </w:rPr>
        <w:t> </w:t>
      </w:r>
      <w:r>
        <w:rPr>
          <w:spacing w:val="-1"/>
          <w:w w:val="95"/>
        </w:rPr>
        <w:t>以提升整体盈利能力，强化公司竞争优势，符合公司股东特别是中小投资者的长期利益。监事会成员</w:t>
      </w:r>
      <w:r>
        <w:rPr>
          <w:spacing w:val="48"/>
          <w:w w:val="95"/>
        </w:rPr>
        <w:t> </w:t>
      </w:r>
      <w:r>
        <w:rPr>
          <w:spacing w:val="48"/>
          <w:w w:val="95"/>
        </w:rPr>
      </w:r>
      <w:r>
        <w:rPr/>
        <w:t>一致认为，公司符合非公开发行的条件，本次非公开发行股票募集资金使用具有可行性。</w:t>
      </w:r>
    </w:p>
    <w:p>
      <w:pPr>
        <w:pStyle w:val="BodyText"/>
        <w:spacing w:line="369" w:lineRule="auto" w:before="52"/>
        <w:ind w:left="594" w:right="1114"/>
        <w:jc w:val="left"/>
      </w:pPr>
      <w:r>
        <w:rPr>
          <w:rFonts w:ascii="Times New Roman" w:hAnsi="Times New Roman" w:cs="Times New Roman" w:eastAsia="Times New Roman" w:hint="default"/>
        </w:rPr>
        <w:t>4</w:t>
      </w:r>
      <w:r>
        <w:rPr/>
        <w:t>、募集资金使用情况</w:t>
      </w:r>
      <w:r>
        <w:rPr>
          <w:w w:val="99"/>
        </w:rPr>
        <w:t> </w:t>
      </w:r>
      <w:r>
        <w:rPr>
          <w:spacing w:val="-1"/>
        </w:rPr>
        <w:t>报告期内，公司依据《募集资金管理制度》要求存放及使用募集资金，同时公司为提高募集资金</w:t>
      </w:r>
    </w:p>
    <w:p>
      <w:pPr>
        <w:pStyle w:val="BodyText"/>
        <w:spacing w:line="391" w:lineRule="auto" w:before="61"/>
        <w:ind w:right="1131"/>
        <w:jc w:val="both"/>
      </w:pPr>
      <w:r>
        <w:rPr>
          <w:spacing w:val="-1"/>
        </w:rPr>
        <w:t>使用效益，充分利用暂时闲置募集资金进行现金管理，获得了较好的财务收益。公司披露的募集资金</w:t>
      </w:r>
      <w:r>
        <w:rPr>
          <w:w w:val="99"/>
        </w:rPr>
        <w:t> </w:t>
      </w:r>
      <w:r>
        <w:rPr/>
        <w:t>存放与实际使用情况的专项报告符合规范要求。</w:t>
      </w:r>
    </w:p>
    <w:p>
      <w:pPr>
        <w:pStyle w:val="BodyText"/>
        <w:spacing w:line="369" w:lineRule="auto" w:before="41"/>
        <w:ind w:left="594" w:right="1082"/>
        <w:jc w:val="left"/>
      </w:pPr>
      <w:r>
        <w:rPr>
          <w:rFonts w:ascii="Times New Roman" w:hAnsi="Times New Roman" w:cs="Times New Roman" w:eastAsia="Times New Roman" w:hint="default"/>
        </w:rPr>
        <w:t>5</w:t>
      </w:r>
      <w:r>
        <w:rPr/>
        <w:t>、公司投资理财事项</w:t>
      </w:r>
      <w:r>
        <w:rPr>
          <w:w w:val="99"/>
        </w:rPr>
        <w:t> </w:t>
      </w:r>
      <w:r>
        <w:rPr>
          <w:spacing w:val="-2"/>
        </w:rPr>
        <w:t>公司在充分保障日常资金运营、资本性开支等基础上，计划使用自有资金进行投资理财或购买货</w:t>
      </w:r>
    </w:p>
    <w:p>
      <w:pPr>
        <w:pStyle w:val="BodyText"/>
        <w:spacing w:line="391" w:lineRule="auto" w:before="61"/>
        <w:ind w:right="1138"/>
        <w:jc w:val="both"/>
      </w:pPr>
      <w:r>
        <w:rPr>
          <w:spacing w:val="-1"/>
          <w:w w:val="95"/>
        </w:rPr>
        <w:t>币市场基金，一方面公司建立完善的风险防控机制和内部决策流程，相关投资事项风险可控；另一方</w:t>
      </w:r>
      <w:r>
        <w:rPr>
          <w:spacing w:val="48"/>
          <w:w w:val="95"/>
        </w:rPr>
        <w:t> </w:t>
      </w:r>
      <w:r>
        <w:rPr>
          <w:spacing w:val="48"/>
          <w:w w:val="95"/>
        </w:rPr>
      </w:r>
      <w:r>
        <w:rPr>
          <w:spacing w:val="-2"/>
        </w:rPr>
        <w:t>面可进一步加强公司现金管理能力，提高公司资金使用效益，且不涉及募集资金，不存在损害公司及</w:t>
      </w:r>
      <w:r>
        <w:rPr>
          <w:spacing w:val="-85"/>
        </w:rPr>
        <w:t> </w:t>
      </w:r>
      <w:r>
        <w:rPr>
          <w:spacing w:val="-85"/>
        </w:rPr>
      </w:r>
      <w:r>
        <w:rPr/>
        <w:t>中小股东利益的情形。</w:t>
      </w:r>
    </w:p>
    <w:p>
      <w:pPr>
        <w:pStyle w:val="BodyText"/>
        <w:spacing w:line="240" w:lineRule="auto" w:before="41"/>
        <w:ind w:left="594" w:right="1082"/>
        <w:jc w:val="left"/>
      </w:pPr>
      <w:r>
        <w:rPr>
          <w:rFonts w:ascii="Times New Roman" w:hAnsi="Times New Roman" w:cs="Times New Roman" w:eastAsia="Times New Roman" w:hint="default"/>
        </w:rPr>
        <w:t>6</w:t>
      </w:r>
      <w:r>
        <w:rPr/>
        <w:t>、公司关联交易情况</w:t>
      </w:r>
    </w:p>
    <w:p>
      <w:pPr>
        <w:pStyle w:val="BodyText"/>
        <w:spacing w:line="384" w:lineRule="auto" w:before="164"/>
        <w:ind w:right="1131" w:firstLine="440"/>
        <w:jc w:val="both"/>
      </w:pPr>
      <w:r>
        <w:rPr>
          <w:w w:val="99"/>
        </w:rPr>
        <w:t>公司监事会对公司</w:t>
      </w:r>
      <w:r>
        <w:rPr>
          <w:spacing w:val="-65"/>
          <w:w w:val="99"/>
        </w:rPr>
        <w:t> </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10"/>
          <w:w w:val="99"/>
        </w:rPr>
        <w:t> </w:t>
      </w:r>
      <w:r>
        <w:rPr>
          <w:spacing w:val="-8"/>
          <w:w w:val="99"/>
        </w:rPr>
        <w:t>年度关联交易进行了审核，公司</w:t>
      </w:r>
      <w:r>
        <w:rPr>
          <w:spacing w:val="-64"/>
          <w:w w:val="99"/>
        </w:rPr>
        <w:t> </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10"/>
          <w:w w:val="99"/>
        </w:rPr>
        <w:t> </w:t>
      </w:r>
      <w:r>
        <w:rPr>
          <w:spacing w:val="-7"/>
          <w:w w:val="99"/>
        </w:rPr>
        <w:t>年度关联交易事项遵循客观、公正、</w:t>
      </w:r>
      <w:r>
        <w:rPr>
          <w:w w:val="99"/>
        </w:rPr>
        <w:t> </w:t>
      </w:r>
      <w:r>
        <w:rPr>
          <w:spacing w:val="-6"/>
          <w:w w:val="99"/>
        </w:rPr>
        <w:t>公平的交易原则，定价公允，严格按照《股票上市规则》、《关联交易管理制度》等制度规范履行审批</w:t>
      </w:r>
      <w:r>
        <w:rPr>
          <w:spacing w:val="-105"/>
          <w:w w:val="99"/>
        </w:rPr>
        <w:t> </w:t>
      </w:r>
      <w:r>
        <w:rPr>
          <w:spacing w:val="-105"/>
          <w:w w:val="99"/>
        </w:rPr>
      </w:r>
      <w:r>
        <w:rPr>
          <w:spacing w:val="-1"/>
        </w:rPr>
        <w:t>程序，公司董事会在审议关联交易事项时，关联方均予以回避表决，不存在损害公司和其他非关联方</w:t>
      </w:r>
      <w:r>
        <w:rPr>
          <w:w w:val="99"/>
        </w:rPr>
        <w:t> </w:t>
      </w:r>
      <w:r>
        <w:rPr/>
        <w:t>的利益情形。</w:t>
      </w:r>
    </w:p>
    <w:p>
      <w:pPr>
        <w:pStyle w:val="BodyText"/>
        <w:spacing w:line="240" w:lineRule="auto" w:before="48"/>
        <w:ind w:left="594" w:right="1082"/>
        <w:jc w:val="left"/>
      </w:pPr>
      <w:r>
        <w:rPr>
          <w:rFonts w:ascii="Times New Roman" w:hAnsi="Times New Roman" w:cs="Times New Roman" w:eastAsia="Times New Roman" w:hint="default"/>
        </w:rPr>
        <w:t>7</w:t>
      </w:r>
      <w:r>
        <w:rPr/>
        <w:t>、内部控制评价报告</w:t>
      </w:r>
    </w:p>
    <w:p>
      <w:pPr>
        <w:pStyle w:val="BodyText"/>
        <w:spacing w:line="369" w:lineRule="auto" w:before="163"/>
        <w:ind w:right="1194" w:firstLine="440"/>
        <w:jc w:val="left"/>
      </w:pPr>
      <w:r>
        <w:rPr/>
        <w:t>公司建立了较为完善的内部控制制度体系，并能得到有效的执行。公司</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年度内部控制评价</w:t>
      </w:r>
      <w:r>
        <w:rPr>
          <w:w w:val="99"/>
        </w:rPr>
        <w:t> </w:t>
      </w:r>
      <w:r>
        <w:rPr/>
        <w:t>报告真实、客观地反映了公司内部控制制度的建设及运行情况。</w:t>
      </w:r>
    </w:p>
    <w:p>
      <w:pPr>
        <w:pStyle w:val="BodyText"/>
        <w:spacing w:line="240" w:lineRule="auto" w:before="61"/>
        <w:ind w:left="594" w:right="1082"/>
        <w:jc w:val="left"/>
      </w:pPr>
      <w:r>
        <w:rPr>
          <w:rFonts w:ascii="Times New Roman" w:hAnsi="Times New Roman" w:cs="Times New Roman" w:eastAsia="Times New Roman" w:hint="default"/>
        </w:rPr>
        <w:t>8</w:t>
      </w:r>
      <w:r>
        <w:rPr/>
        <w:t>、员工持股计划</w:t>
      </w:r>
    </w:p>
    <w:p>
      <w:pPr>
        <w:pStyle w:val="BodyText"/>
        <w:spacing w:line="379" w:lineRule="auto" w:before="163"/>
        <w:ind w:right="1136" w:firstLine="440"/>
        <w:jc w:val="both"/>
      </w:pPr>
      <w:r>
        <w:rPr/>
        <w:t>公司实施</w:t>
      </w:r>
      <w:r>
        <w:rPr>
          <w:spacing w:val="-6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年员工持股计划，旨在进一步完善公司薪酬激励机制，充分调动公司员工的积极</w:t>
      </w:r>
      <w:r>
        <w:rPr>
          <w:w w:val="99"/>
        </w:rPr>
        <w:t> </w:t>
      </w:r>
      <w:r>
        <w:rPr>
          <w:spacing w:val="-2"/>
        </w:rPr>
        <w:t>性，实现企业的长远发展与员工利益的充分结合，有利于实现企业的可持续发展，不存在损害公司及</w:t>
      </w:r>
      <w:r>
        <w:rPr>
          <w:spacing w:val="-85"/>
        </w:rPr>
        <w:t> </w:t>
      </w:r>
      <w:r>
        <w:rPr>
          <w:spacing w:val="-85"/>
        </w:rPr>
      </w:r>
      <w:r>
        <w:rPr>
          <w:spacing w:val="-1"/>
          <w:w w:val="95"/>
        </w:rPr>
        <w:t>全体股东利益的情形，亦不存在以摊派、强行分配等方式强制员工参加本公司持股计划的情形，符合</w:t>
      </w:r>
      <w:r>
        <w:rPr>
          <w:spacing w:val="-1"/>
        </w:rPr>
      </w:r>
    </w:p>
    <w:p>
      <w:pPr>
        <w:pStyle w:val="BodyText"/>
        <w:spacing w:line="391" w:lineRule="auto" w:before="52"/>
        <w:ind w:right="1135"/>
        <w:jc w:val="both"/>
      </w:pPr>
      <w:r>
        <w:rPr>
          <w:spacing w:val="-11"/>
          <w:w w:val="99"/>
        </w:rPr>
        <w:t>《公司法》、《证券法》、《关于上市公司实施员工持股计划试点的指导意见》等有关法律、法规及规范</w:t>
      </w:r>
      <w:r>
        <w:rPr>
          <w:spacing w:val="-85"/>
          <w:w w:val="99"/>
        </w:rPr>
        <w:t> </w:t>
      </w:r>
      <w:r>
        <w:rPr>
          <w:spacing w:val="-85"/>
          <w:w w:val="99"/>
        </w:rPr>
      </w:r>
      <w:r>
        <w:rPr/>
        <w:t>性文件的规定。</w:t>
      </w:r>
    </w:p>
    <w:p>
      <w:pPr>
        <w:pStyle w:val="BodyText"/>
        <w:spacing w:line="240" w:lineRule="auto" w:before="41"/>
        <w:ind w:left="594" w:right="1082"/>
        <w:jc w:val="left"/>
      </w:pPr>
      <w:r>
        <w:rPr>
          <w:rFonts w:ascii="Times New Roman" w:hAnsi="Times New Roman" w:cs="Times New Roman" w:eastAsia="Times New Roman" w:hint="default"/>
        </w:rPr>
        <w:t>9</w:t>
      </w:r>
      <w:r>
        <w:rPr/>
        <w:t>、利润分配政策制定及实施情况</w:t>
      </w:r>
    </w:p>
    <w:p>
      <w:pPr>
        <w:pStyle w:val="BodyText"/>
        <w:spacing w:line="240" w:lineRule="auto" w:before="163"/>
        <w:ind w:left="594" w:right="1082"/>
        <w:jc w:val="left"/>
      </w:pPr>
      <w:r>
        <w:rPr/>
        <w:t>根据中国证监会《上市公司监管指引第</w:t>
      </w:r>
      <w:r>
        <w:rPr>
          <w:spacing w:val="-84"/>
        </w:rPr>
        <w:t>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上市公司现金分红》等相关规定的要求，为明确</w:t>
      </w:r>
    </w:p>
    <w:p>
      <w:pPr>
        <w:spacing w:after="0" w:line="240" w:lineRule="auto"/>
        <w:jc w:val="left"/>
        <w:sectPr>
          <w:pgSz w:w="11910" w:h="16840"/>
          <w:pgMar w:header="0" w:footer="979" w:top="1100" w:bottom="1160" w:left="980" w:right="0"/>
        </w:sectPr>
      </w:pPr>
    </w:p>
    <w:p>
      <w:pPr>
        <w:spacing w:line="240" w:lineRule="auto" w:before="3"/>
        <w:rPr>
          <w:rFonts w:ascii="宋体" w:hAnsi="宋体" w:cs="宋体" w:eastAsia="宋体" w:hint="default"/>
          <w:sz w:val="26"/>
          <w:szCs w:val="26"/>
        </w:rPr>
      </w:pPr>
    </w:p>
    <w:p>
      <w:pPr>
        <w:pStyle w:val="BodyText"/>
        <w:spacing w:line="391" w:lineRule="auto" w:before="31"/>
        <w:ind w:right="1117"/>
        <w:jc w:val="left"/>
      </w:pPr>
      <w:r>
        <w:rPr>
          <w:spacing w:val="-1"/>
        </w:rPr>
        <w:t>公司对新老股东合理投资回报，增加利润分配决策透明度和可操作性，便于股东对公司经营和利润分</w:t>
      </w:r>
      <w:r>
        <w:rPr>
          <w:w w:val="99"/>
        </w:rPr>
        <w:t> 配进行监督，制订了《苏宁云商集团股份有限公司未来三年（</w:t>
      </w:r>
      <w:r>
        <w:rPr>
          <w:rFonts w:ascii="Times New Roman" w:hAnsi="Times New Roman" w:cs="Times New Roman" w:eastAsia="Times New Roman" w:hint="default"/>
          <w:w w:val="99"/>
        </w:rPr>
        <w:t>2015</w:t>
      </w:r>
      <w:r>
        <w:rPr>
          <w:w w:val="99"/>
        </w:rPr>
        <w:t>－</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15"/>
          <w:w w:val="99"/>
        </w:rPr>
        <w:t> </w:t>
      </w:r>
      <w:r>
        <w:rPr>
          <w:spacing w:val="-12"/>
          <w:w w:val="99"/>
        </w:rPr>
        <w:t>年）股东回报规划》。</w:t>
      </w:r>
      <w:r>
        <w:rPr>
          <w:spacing w:val="-12"/>
        </w:rPr>
      </w:r>
    </w:p>
    <w:p>
      <w:pPr>
        <w:spacing w:line="240" w:lineRule="auto" w:before="9"/>
        <w:rPr>
          <w:rFonts w:ascii="宋体" w:hAnsi="宋体" w:cs="宋体" w:eastAsia="宋体" w:hint="default"/>
          <w:sz w:val="16"/>
          <w:szCs w:val="16"/>
        </w:rPr>
      </w:pPr>
    </w:p>
    <w:p>
      <w:pPr>
        <w:pStyle w:val="Heading2"/>
        <w:spacing w:line="240" w:lineRule="auto"/>
        <w:ind w:right="1082"/>
        <w:jc w:val="left"/>
        <w:rPr>
          <w:b w:val="0"/>
          <w:bCs w:val="0"/>
        </w:rPr>
      </w:pPr>
      <w:bookmarkStart w:name="八、高级管理人员的考评及激励情况" w:id="160"/>
      <w:bookmarkEnd w:id="160"/>
      <w:r>
        <w:rPr>
          <w:b w:val="0"/>
          <w:bCs w:val="0"/>
        </w:rPr>
      </w:r>
      <w:r>
        <w:rPr/>
        <w:t>八、高级管理人员的考评及激励情况</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right="0" w:firstLine="440"/>
        <w:jc w:val="left"/>
      </w:pPr>
      <w:r>
        <w:rPr/>
        <w:t>公司已建立了较为健全的考评和激励机制，以公司规范化管理以及经营效益稳步提升为基础，与</w:t>
      </w:r>
      <w:r>
        <w:rPr>
          <w:w w:val="99"/>
        </w:rPr>
        <w:t> </w:t>
      </w:r>
      <w:r>
        <w:rPr>
          <w:spacing w:val="-4"/>
        </w:rPr>
        <w:t>公司管理人员签订岗位目标责任书，并以量化的考核指标定期对高级管理人员进行业绩考核。经考评，</w:t>
      </w:r>
      <w:r>
        <w:rPr>
          <w:spacing w:val="-101"/>
        </w:rPr>
        <w:t> </w:t>
      </w:r>
      <w:r>
        <w:rPr>
          <w:spacing w:val="-101"/>
        </w:rPr>
      </w:r>
      <w:r>
        <w:rPr>
          <w:rFonts w:ascii="Times New Roman" w:hAnsi="Times New Roman" w:cs="Times New Roman" w:eastAsia="Times New Roman" w:hint="default"/>
        </w:rPr>
        <w:t>2015</w:t>
      </w:r>
      <w:r>
        <w:rPr/>
        <w:t>年度公司高级管理人员均较好完成业绩考核目标。</w:t>
      </w:r>
    </w:p>
    <w:p>
      <w:pPr>
        <w:spacing w:line="240" w:lineRule="auto" w:before="9"/>
        <w:rPr>
          <w:rFonts w:ascii="宋体" w:hAnsi="宋体" w:cs="宋体" w:eastAsia="宋体" w:hint="default"/>
          <w:sz w:val="16"/>
          <w:szCs w:val="16"/>
        </w:rPr>
      </w:pPr>
    </w:p>
    <w:p>
      <w:pPr>
        <w:pStyle w:val="Heading2"/>
        <w:spacing w:line="240" w:lineRule="auto"/>
        <w:ind w:right="1082"/>
        <w:jc w:val="left"/>
        <w:rPr>
          <w:b w:val="0"/>
          <w:bCs w:val="0"/>
        </w:rPr>
      </w:pPr>
      <w:bookmarkStart w:name="九、内部控制评价报告" w:id="161"/>
      <w:bookmarkEnd w:id="161"/>
      <w:r>
        <w:rPr>
          <w:b w:val="0"/>
          <w:bCs w:val="0"/>
        </w:rPr>
      </w:r>
      <w:r>
        <w:rPr/>
        <w:t>九、内部控制评价报告</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82"/>
        <w:jc w:val="left"/>
        <w:rPr>
          <w:b w:val="0"/>
          <w:bCs w:val="0"/>
        </w:rPr>
      </w:pPr>
      <w:bookmarkStart w:name="1、报告期内发现的内部控制重大缺陷的具体情况" w:id="162"/>
      <w:bookmarkEnd w:id="16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594"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报告期内未发现内部控制重大缺陷。</w:t>
      </w:r>
    </w:p>
    <w:p>
      <w:pPr>
        <w:spacing w:line="240" w:lineRule="auto" w:before="10"/>
        <w:rPr>
          <w:rFonts w:ascii="宋体" w:hAnsi="宋体" w:cs="宋体" w:eastAsia="宋体" w:hint="default"/>
          <w:sz w:val="21"/>
          <w:szCs w:val="21"/>
        </w:rPr>
      </w:pPr>
    </w:p>
    <w:p>
      <w:pPr>
        <w:pStyle w:val="Heading4"/>
        <w:spacing w:line="240" w:lineRule="auto"/>
        <w:ind w:left="154" w:right="1082"/>
        <w:jc w:val="left"/>
        <w:rPr>
          <w:b w:val="0"/>
          <w:bCs w:val="0"/>
        </w:rPr>
      </w:pPr>
      <w:bookmarkStart w:name="2、内控自我评价报告" w:id="163"/>
      <w:bookmarkEnd w:id="16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3"/>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29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70" w:lineRule="exact"/>
              <w:ind w:right="19"/>
              <w:jc w:val="righ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r>
      <w:tr>
        <w:trPr>
          <w:trHeight w:val="29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53" w:lineRule="exact"/>
              <w:ind w:right="22"/>
              <w:jc w:val="right"/>
              <w:rPr>
                <w:rFonts w:ascii="宋体" w:hAnsi="宋体" w:cs="宋体" w:eastAsia="宋体" w:hint="default"/>
                <w:sz w:val="22"/>
                <w:szCs w:val="22"/>
              </w:rPr>
            </w:pPr>
            <w:r>
              <w:rPr>
                <w:rFonts w:ascii="宋体" w:hAnsi="宋体" w:cs="宋体" w:eastAsia="宋体" w:hint="default"/>
                <w:w w:val="95"/>
                <w:sz w:val="22"/>
                <w:szCs w:val="22"/>
              </w:rPr>
              <w:t>巨潮资讯网</w:t>
            </w:r>
            <w:r>
              <w:rPr>
                <w:rFonts w:ascii="宋体" w:hAnsi="宋体" w:cs="宋体" w:eastAsia="宋体" w:hint="default"/>
                <w:sz w:val="22"/>
                <w:szCs w:val="22"/>
              </w:rPr>
            </w:r>
          </w:p>
        </w:tc>
      </w:tr>
      <w:tr>
        <w:trPr>
          <w:trHeight w:val="86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纳入评价范围单位资产总额占公</w:t>
            </w:r>
          </w:p>
          <w:p>
            <w:pPr>
              <w:pStyle w:val="TableParagraph"/>
              <w:spacing w:line="285" w:lineRule="exact"/>
              <w:ind w:left="22" w:right="0"/>
              <w:jc w:val="left"/>
              <w:rPr>
                <w:rFonts w:ascii="宋体" w:hAnsi="宋体" w:cs="宋体" w:eastAsia="宋体" w:hint="default"/>
                <w:sz w:val="22"/>
                <w:szCs w:val="22"/>
              </w:rPr>
            </w:pPr>
            <w:r>
              <w:rPr>
                <w:rFonts w:ascii="宋体" w:hAnsi="宋体" w:cs="宋体" w:eastAsia="宋体" w:hint="default"/>
                <w:sz w:val="22"/>
                <w:szCs w:val="22"/>
              </w:rPr>
              <w:t>司合并财务报表资产总额的比例</w:t>
            </w:r>
          </w:p>
          <w:p>
            <w:pPr>
              <w:pStyle w:val="TableParagraph"/>
              <w:spacing w:line="286" w:lineRule="exact"/>
              <w:ind w:left="22" w:right="0"/>
              <w:jc w:val="left"/>
              <w:rPr>
                <w:rFonts w:ascii="宋体" w:hAnsi="宋体" w:cs="宋体" w:eastAsia="宋体" w:hint="default"/>
                <w:sz w:val="22"/>
                <w:szCs w:val="22"/>
              </w:rPr>
            </w:pPr>
            <w:r>
              <w:rPr>
                <w:rFonts w:ascii="宋体" w:hAnsi="宋体" w:cs="宋体" w:eastAsia="宋体" w:hint="default"/>
                <w:sz w:val="22"/>
                <w:szCs w:val="22"/>
              </w:rPr>
              <w:t>（注）</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58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2" w:right="0"/>
              <w:jc w:val="left"/>
              <w:rPr>
                <w:rFonts w:ascii="宋体" w:hAnsi="宋体" w:cs="宋体" w:eastAsia="宋体" w:hint="default"/>
                <w:sz w:val="22"/>
                <w:szCs w:val="22"/>
              </w:rPr>
            </w:pPr>
            <w:r>
              <w:rPr>
                <w:rFonts w:ascii="宋体" w:hAnsi="宋体" w:cs="宋体" w:eastAsia="宋体" w:hint="default"/>
                <w:sz w:val="22"/>
                <w:szCs w:val="22"/>
              </w:rPr>
              <w:t>纳入评价范围单位营业收入占公</w:t>
            </w:r>
          </w:p>
          <w:p>
            <w:pPr>
              <w:pStyle w:val="TableParagraph"/>
              <w:spacing w:line="287" w:lineRule="exact"/>
              <w:ind w:left="22" w:right="0"/>
              <w:jc w:val="left"/>
              <w:rPr>
                <w:rFonts w:ascii="宋体" w:hAnsi="宋体" w:cs="宋体" w:eastAsia="宋体" w:hint="default"/>
                <w:sz w:val="22"/>
                <w:szCs w:val="22"/>
              </w:rPr>
            </w:pPr>
            <w:r>
              <w:rPr>
                <w:rFonts w:ascii="宋体" w:hAnsi="宋体" w:cs="宋体" w:eastAsia="宋体" w:hint="default"/>
                <w:sz w:val="22"/>
                <w:szCs w:val="22"/>
              </w:rPr>
              <w:t>司合并财务报表营业收入的比例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0"/>
              <w:jc w:val="right"/>
              <w:rPr>
                <w:rFonts w:ascii="Times New Roman" w:hAnsi="Times New Roman" w:cs="Times New Roman" w:eastAsia="Times New Roman" w:hint="default"/>
                <w:sz w:val="22"/>
                <w:szCs w:val="22"/>
              </w:rPr>
            </w:pPr>
            <w:r>
              <w:rPr>
                <w:rFonts w:ascii="Times New Roman"/>
                <w:w w:val="95"/>
                <w:sz w:val="22"/>
              </w:rPr>
              <w:t>99.32%</w:t>
            </w:r>
            <w:r>
              <w:rPr>
                <w:rFonts w:ascii="Times New Roman"/>
                <w:sz w:val="22"/>
              </w:rPr>
            </w:r>
          </w:p>
        </w:tc>
      </w:tr>
      <w:tr>
        <w:trPr>
          <w:trHeight w:val="290"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缺陷认定标准</w:t>
            </w:r>
          </w:p>
        </w:tc>
      </w:tr>
      <w:tr>
        <w:trPr>
          <w:trHeight w:val="3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4" w:right="0"/>
              <w:jc w:val="center"/>
              <w:rPr>
                <w:rFonts w:ascii="宋体" w:hAnsi="宋体" w:cs="宋体" w:eastAsia="宋体" w:hint="default"/>
                <w:sz w:val="22"/>
                <w:szCs w:val="22"/>
              </w:rPr>
            </w:pPr>
            <w:r>
              <w:rPr>
                <w:rFonts w:ascii="宋体" w:hAnsi="宋体" w:cs="宋体" w:eastAsia="宋体" w:hint="default"/>
                <w:sz w:val="22"/>
                <w:szCs w:val="22"/>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5" w:right="0"/>
              <w:jc w:val="center"/>
              <w:rPr>
                <w:rFonts w:ascii="宋体" w:hAnsi="宋体" w:cs="宋体" w:eastAsia="宋体" w:hint="default"/>
                <w:sz w:val="22"/>
                <w:szCs w:val="22"/>
              </w:rPr>
            </w:pPr>
            <w:r>
              <w:rPr>
                <w:rFonts w:ascii="宋体" w:hAnsi="宋体" w:cs="宋体" w:eastAsia="宋体" w:hint="default"/>
                <w:sz w:val="22"/>
                <w:szCs w:val="22"/>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969" w:right="0"/>
              <w:jc w:val="left"/>
              <w:rPr>
                <w:rFonts w:ascii="宋体" w:hAnsi="宋体" w:cs="宋体" w:eastAsia="宋体" w:hint="default"/>
                <w:sz w:val="22"/>
                <w:szCs w:val="22"/>
              </w:rPr>
            </w:pPr>
            <w:r>
              <w:rPr>
                <w:rFonts w:ascii="宋体" w:hAnsi="宋体" w:cs="宋体" w:eastAsia="宋体" w:hint="default"/>
                <w:sz w:val="22"/>
                <w:szCs w:val="22"/>
              </w:rPr>
              <w:t>非财务报告</w:t>
            </w:r>
          </w:p>
        </w:tc>
      </w:tr>
      <w:tr>
        <w:trPr>
          <w:trHeight w:val="214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59" w:lineRule="exact"/>
              <w:ind w:left="22" w:right="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）财务报告重大缺陷的迹象包</w:t>
            </w:r>
          </w:p>
          <w:p>
            <w:pPr>
              <w:pStyle w:val="TableParagraph"/>
              <w:spacing w:line="232" w:lineRule="auto"/>
              <w:ind w:left="22" w:right="33"/>
              <w:jc w:val="left"/>
              <w:rPr>
                <w:rFonts w:ascii="宋体" w:hAnsi="宋体" w:cs="宋体" w:eastAsia="宋体" w:hint="default"/>
                <w:sz w:val="22"/>
                <w:szCs w:val="22"/>
              </w:rPr>
            </w:pPr>
            <w:r>
              <w:rPr>
                <w:rFonts w:ascii="宋体" w:hAnsi="宋体" w:cs="宋体" w:eastAsia="宋体" w:hint="default"/>
                <w:sz w:val="22"/>
                <w:szCs w:val="22"/>
              </w:rPr>
              <w:t>括：</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i.</w:t>
            </w:r>
            <w:r>
              <w:rPr>
                <w:rFonts w:ascii="宋体" w:hAnsi="宋体" w:cs="宋体" w:eastAsia="宋体" w:hint="default"/>
                <w:sz w:val="22"/>
                <w:szCs w:val="22"/>
              </w:rPr>
              <w:t>公司董事、监事或高管人员的舞</w:t>
            </w:r>
            <w:r>
              <w:rPr>
                <w:rFonts w:ascii="宋体" w:hAnsi="宋体" w:cs="宋体" w:eastAsia="宋体" w:hint="default"/>
                <w:w w:val="99"/>
                <w:sz w:val="22"/>
                <w:szCs w:val="22"/>
              </w:rPr>
              <w:t> </w:t>
            </w:r>
            <w:r>
              <w:rPr>
                <w:rFonts w:ascii="宋体" w:hAnsi="宋体" w:cs="宋体" w:eastAsia="宋体" w:hint="default"/>
                <w:sz w:val="22"/>
                <w:szCs w:val="22"/>
              </w:rPr>
              <w:t>弊行为；</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ii.</w:t>
            </w:r>
            <w:r>
              <w:rPr>
                <w:rFonts w:ascii="宋体" w:hAnsi="宋体" w:cs="宋体" w:eastAsia="宋体" w:hint="default"/>
                <w:sz w:val="22"/>
                <w:szCs w:val="22"/>
              </w:rPr>
              <w:t>发现当期财务报表的重大错报，</w:t>
            </w:r>
            <w:r>
              <w:rPr>
                <w:rFonts w:ascii="宋体" w:hAnsi="宋体" w:cs="宋体" w:eastAsia="宋体" w:hint="default"/>
                <w:w w:val="99"/>
                <w:sz w:val="22"/>
                <w:szCs w:val="22"/>
              </w:rPr>
              <w:t> </w:t>
            </w:r>
            <w:r>
              <w:rPr>
                <w:rFonts w:ascii="宋体" w:hAnsi="宋体" w:cs="宋体" w:eastAsia="宋体" w:hint="default"/>
                <w:sz w:val="22"/>
                <w:szCs w:val="22"/>
              </w:rPr>
              <w:t>而管理层未能在内控运行过程中</w:t>
            </w:r>
            <w:r>
              <w:rPr>
                <w:rFonts w:ascii="宋体" w:hAnsi="宋体" w:cs="宋体" w:eastAsia="宋体" w:hint="default"/>
                <w:w w:val="99"/>
                <w:sz w:val="22"/>
                <w:szCs w:val="22"/>
              </w:rPr>
              <w:t> </w:t>
            </w:r>
            <w:r>
              <w:rPr>
                <w:rFonts w:ascii="宋体" w:hAnsi="宋体" w:cs="宋体" w:eastAsia="宋体" w:hint="default"/>
                <w:sz w:val="22"/>
                <w:szCs w:val="22"/>
              </w:rPr>
              <w:t>发现；</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iii.</w:t>
            </w:r>
            <w:r>
              <w:rPr>
                <w:rFonts w:ascii="宋体" w:hAnsi="宋体" w:cs="宋体" w:eastAsia="宋体" w:hint="default"/>
                <w:sz w:val="22"/>
                <w:szCs w:val="22"/>
              </w:rPr>
              <w:t>内部控制评价的结果</w:t>
            </w:r>
            <w:r>
              <w:rPr>
                <w:rFonts w:ascii="Times New Roman" w:hAnsi="Times New Roman" w:cs="Times New Roman" w:eastAsia="Times New Roman" w:hint="default"/>
                <w:sz w:val="22"/>
                <w:szCs w:val="22"/>
              </w:rPr>
              <w:t>,</w:t>
            </w:r>
            <w:r>
              <w:rPr>
                <w:rFonts w:ascii="宋体" w:hAnsi="宋体" w:cs="宋体" w:eastAsia="宋体" w:hint="default"/>
                <w:sz w:val="22"/>
                <w:szCs w:val="22"/>
              </w:rPr>
              <w:t>重大缺陷</w:t>
            </w:r>
            <w:r>
              <w:rPr>
                <w:rFonts w:ascii="宋体" w:hAnsi="宋体" w:cs="宋体" w:eastAsia="宋体" w:hint="default"/>
                <w:w w:val="99"/>
                <w:sz w:val="22"/>
                <w:szCs w:val="22"/>
              </w:rPr>
              <w:t> </w:t>
            </w:r>
            <w:r>
              <w:rPr>
                <w:rFonts w:ascii="宋体" w:hAnsi="宋体" w:cs="宋体" w:eastAsia="宋体" w:hint="default"/>
                <w:sz w:val="22"/>
                <w:szCs w:val="22"/>
              </w:rPr>
              <w:t>未得到整改；</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iv.</w:t>
            </w:r>
            <w:r>
              <w:rPr>
                <w:rFonts w:ascii="宋体" w:hAnsi="宋体" w:cs="宋体" w:eastAsia="宋体" w:hint="default"/>
                <w:sz w:val="22"/>
                <w:szCs w:val="22"/>
              </w:rPr>
              <w:t>审计委员会和内部审计机构对</w:t>
            </w:r>
            <w:r>
              <w:rPr>
                <w:rFonts w:ascii="宋体" w:hAnsi="宋体" w:cs="宋体" w:eastAsia="宋体" w:hint="default"/>
                <w:w w:val="99"/>
                <w:sz w:val="22"/>
                <w:szCs w:val="22"/>
              </w:rPr>
              <w:t> </w:t>
            </w:r>
            <w:r>
              <w:rPr>
                <w:rFonts w:ascii="宋体" w:hAnsi="宋体" w:cs="宋体" w:eastAsia="宋体" w:hint="default"/>
                <w:sz w:val="22"/>
                <w:szCs w:val="22"/>
              </w:rPr>
              <w:t>内部控制的监督无效。</w:t>
            </w:r>
          </w:p>
          <w:p>
            <w:pPr>
              <w:pStyle w:val="TableParagraph"/>
              <w:spacing w:line="230" w:lineRule="auto" w:before="9"/>
              <w:ind w:left="22" w:right="33"/>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）财务报告重要缺陷的迹象包</w:t>
            </w:r>
            <w:r>
              <w:rPr>
                <w:rFonts w:ascii="宋体" w:hAnsi="宋体" w:cs="宋体" w:eastAsia="宋体" w:hint="default"/>
                <w:w w:val="99"/>
                <w:sz w:val="22"/>
                <w:szCs w:val="22"/>
              </w:rPr>
              <w:t> </w:t>
            </w:r>
            <w:r>
              <w:rPr>
                <w:rFonts w:ascii="宋体" w:hAnsi="宋体" w:cs="宋体" w:eastAsia="宋体" w:hint="default"/>
                <w:sz w:val="22"/>
                <w:szCs w:val="22"/>
              </w:rPr>
              <w:t>括：</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i.</w:t>
            </w:r>
            <w:r>
              <w:rPr>
                <w:rFonts w:ascii="宋体" w:hAnsi="宋体" w:cs="宋体" w:eastAsia="宋体" w:hint="default"/>
                <w:sz w:val="22"/>
                <w:szCs w:val="22"/>
              </w:rPr>
              <w:t>未依照公认会计准则选择和应用</w:t>
            </w:r>
            <w:r>
              <w:rPr>
                <w:rFonts w:ascii="宋体" w:hAnsi="宋体" w:cs="宋体" w:eastAsia="宋体" w:hint="default"/>
                <w:w w:val="99"/>
                <w:sz w:val="22"/>
                <w:szCs w:val="22"/>
              </w:rPr>
              <w:t> </w:t>
            </w:r>
            <w:r>
              <w:rPr>
                <w:rFonts w:ascii="宋体" w:hAnsi="宋体" w:cs="宋体" w:eastAsia="宋体" w:hint="default"/>
                <w:sz w:val="22"/>
                <w:szCs w:val="22"/>
              </w:rPr>
              <w:t>会计政策；</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ii.</w:t>
            </w:r>
            <w:r>
              <w:rPr>
                <w:rFonts w:ascii="宋体" w:hAnsi="宋体" w:cs="宋体" w:eastAsia="宋体" w:hint="default"/>
                <w:sz w:val="22"/>
                <w:szCs w:val="22"/>
              </w:rPr>
              <w:t>未建立反舞弊程序和控制措施；</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32"/>
                <w:szCs w:val="32"/>
              </w:rPr>
            </w:pPr>
          </w:p>
          <w:p>
            <w:pPr>
              <w:pStyle w:val="TableParagraph"/>
              <w:spacing w:line="286" w:lineRule="exact"/>
              <w:ind w:left="22" w:right="102"/>
              <w:jc w:val="both"/>
              <w:rPr>
                <w:rFonts w:ascii="宋体" w:hAnsi="宋体" w:cs="宋体" w:eastAsia="宋体" w:hint="default"/>
                <w:sz w:val="22"/>
                <w:szCs w:val="22"/>
              </w:rPr>
            </w:pPr>
            <w:r>
              <w:rPr>
                <w:rFonts w:ascii="宋体" w:hAnsi="宋体" w:cs="宋体" w:eastAsia="宋体" w:hint="default"/>
                <w:sz w:val="22"/>
                <w:szCs w:val="22"/>
              </w:rPr>
              <w:t>出现以下情形的</w:t>
            </w:r>
            <w:r>
              <w:rPr>
                <w:rFonts w:ascii="Times New Roman" w:hAnsi="Times New Roman" w:cs="Times New Roman" w:eastAsia="Times New Roman" w:hint="default"/>
                <w:sz w:val="22"/>
                <w:szCs w:val="22"/>
              </w:rPr>
              <w:t>,</w:t>
            </w:r>
            <w:r>
              <w:rPr>
                <w:rFonts w:ascii="宋体" w:hAnsi="宋体" w:cs="宋体" w:eastAsia="宋体" w:hint="default"/>
                <w:sz w:val="22"/>
                <w:szCs w:val="22"/>
              </w:rPr>
              <w:t>可认定为重大</w:t>
            </w:r>
            <w:r>
              <w:rPr>
                <w:rFonts w:ascii="宋体" w:hAnsi="宋体" w:cs="宋体" w:eastAsia="宋体" w:hint="default"/>
                <w:w w:val="99"/>
                <w:sz w:val="22"/>
                <w:szCs w:val="22"/>
              </w:rPr>
              <w:t> </w:t>
            </w:r>
            <w:r>
              <w:rPr>
                <w:rFonts w:ascii="宋体" w:hAnsi="宋体" w:cs="宋体" w:eastAsia="宋体" w:hint="default"/>
                <w:sz w:val="22"/>
                <w:szCs w:val="22"/>
              </w:rPr>
              <w:t>缺陷</w:t>
            </w:r>
            <w:r>
              <w:rPr>
                <w:rFonts w:ascii="Times New Roman" w:hAnsi="Times New Roman" w:cs="Times New Roman" w:eastAsia="Times New Roman" w:hint="default"/>
                <w:sz w:val="22"/>
                <w:szCs w:val="22"/>
              </w:rPr>
              <w:t>,</w:t>
            </w:r>
            <w:r>
              <w:rPr>
                <w:rFonts w:ascii="宋体" w:hAnsi="宋体" w:cs="宋体" w:eastAsia="宋体" w:hint="default"/>
                <w:sz w:val="22"/>
                <w:szCs w:val="22"/>
              </w:rPr>
              <w:t>其他情形按影响程度分别</w:t>
            </w:r>
            <w:r>
              <w:rPr>
                <w:rFonts w:ascii="宋体" w:hAnsi="宋体" w:cs="宋体" w:eastAsia="宋体" w:hint="default"/>
                <w:w w:val="99"/>
                <w:sz w:val="22"/>
                <w:szCs w:val="22"/>
              </w:rPr>
              <w:t> </w:t>
            </w:r>
            <w:r>
              <w:rPr>
                <w:rFonts w:ascii="宋体" w:hAnsi="宋体" w:cs="宋体" w:eastAsia="宋体" w:hint="default"/>
                <w:sz w:val="22"/>
                <w:szCs w:val="22"/>
              </w:rPr>
              <w:t>确定为重要缺陷或一般缺陷：</w:t>
            </w:r>
          </w:p>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）缺乏民主决策程序、决策</w:t>
            </w:r>
          </w:p>
          <w:p>
            <w:pPr>
              <w:pStyle w:val="TableParagraph"/>
              <w:spacing w:line="286" w:lineRule="exact" w:before="18"/>
              <w:ind w:left="22" w:right="47"/>
              <w:jc w:val="both"/>
              <w:rPr>
                <w:rFonts w:ascii="宋体" w:hAnsi="宋体" w:cs="宋体" w:eastAsia="宋体" w:hint="default"/>
                <w:sz w:val="22"/>
                <w:szCs w:val="22"/>
              </w:rPr>
            </w:pPr>
            <w:r>
              <w:rPr>
                <w:rFonts w:ascii="宋体" w:hAnsi="宋体" w:cs="宋体" w:eastAsia="宋体" w:hint="default"/>
                <w:sz w:val="22"/>
                <w:szCs w:val="22"/>
              </w:rPr>
              <w:t>程序不科学，</w:t>
            </w:r>
            <w:r>
              <w:rPr>
                <w:rFonts w:ascii="宋体" w:hAnsi="宋体" w:cs="宋体" w:eastAsia="宋体" w:hint="default"/>
                <w:spacing w:val="-4"/>
                <w:sz w:val="22"/>
                <w:szCs w:val="22"/>
              </w:rPr>
              <w:t> </w:t>
            </w:r>
            <w:r>
              <w:rPr>
                <w:rFonts w:ascii="宋体" w:hAnsi="宋体" w:cs="宋体" w:eastAsia="宋体" w:hint="default"/>
                <w:sz w:val="22"/>
                <w:szCs w:val="22"/>
              </w:rPr>
              <w:t>出现重大失误，</w:t>
            </w:r>
            <w:r>
              <w:rPr>
                <w:rFonts w:ascii="宋体" w:hAnsi="宋体" w:cs="宋体" w:eastAsia="宋体" w:hint="default"/>
                <w:w w:val="99"/>
                <w:sz w:val="22"/>
                <w:szCs w:val="22"/>
              </w:rPr>
              <w:t> </w:t>
            </w:r>
            <w:r>
              <w:rPr>
                <w:rFonts w:ascii="宋体" w:hAnsi="宋体" w:cs="宋体" w:eastAsia="宋体" w:hint="default"/>
                <w:sz w:val="22"/>
                <w:szCs w:val="22"/>
              </w:rPr>
              <w:t>给公司造成重大财产损失；</w:t>
            </w:r>
          </w:p>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）严重违反国家法律法规；</w:t>
            </w:r>
          </w:p>
          <w:p>
            <w:pPr>
              <w:pStyle w:val="TableParagraph"/>
              <w:spacing w:line="286" w:lineRule="exact" w:before="18"/>
              <w:ind w:left="22" w:right="48"/>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）缺乏重要的业务管理制度</w:t>
            </w:r>
            <w:r>
              <w:rPr>
                <w:rFonts w:ascii="宋体" w:hAnsi="宋体" w:cs="宋体" w:eastAsia="宋体" w:hint="default"/>
                <w:w w:val="99"/>
                <w:sz w:val="22"/>
                <w:szCs w:val="22"/>
              </w:rPr>
              <w:t> </w:t>
            </w:r>
            <w:r>
              <w:rPr>
                <w:rFonts w:ascii="宋体" w:hAnsi="宋体" w:cs="宋体" w:eastAsia="宋体" w:hint="default"/>
                <w:sz w:val="22"/>
                <w:szCs w:val="22"/>
              </w:rPr>
              <w:t>或制度运行系统性失效；</w:t>
            </w:r>
          </w:p>
          <w:p>
            <w:pPr>
              <w:pStyle w:val="TableParagraph"/>
              <w:spacing w:line="225" w:lineRule="auto"/>
              <w:ind w:left="22" w:right="48"/>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）公司的重大或重要内控缺</w:t>
            </w:r>
            <w:r>
              <w:rPr>
                <w:rFonts w:ascii="宋体" w:hAnsi="宋体" w:cs="宋体" w:eastAsia="宋体" w:hint="default"/>
                <w:w w:val="99"/>
                <w:sz w:val="22"/>
                <w:szCs w:val="22"/>
              </w:rPr>
              <w:t> </w:t>
            </w:r>
            <w:r>
              <w:rPr>
                <w:rFonts w:ascii="宋体" w:hAnsi="宋体" w:cs="宋体" w:eastAsia="宋体" w:hint="default"/>
                <w:sz w:val="22"/>
                <w:szCs w:val="22"/>
              </w:rPr>
              <w:t>陷不能得到及时整改；</w:t>
            </w:r>
          </w:p>
          <w:p>
            <w:pPr>
              <w:pStyle w:val="TableParagraph"/>
              <w:spacing w:line="286" w:lineRule="exact" w:before="26"/>
              <w:ind w:left="22" w:right="48"/>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）公司持续或大量出现重要</w:t>
            </w:r>
            <w:r>
              <w:rPr>
                <w:rFonts w:ascii="宋体" w:hAnsi="宋体" w:cs="宋体" w:eastAsia="宋体" w:hint="default"/>
                <w:w w:val="99"/>
                <w:sz w:val="22"/>
                <w:szCs w:val="22"/>
              </w:rPr>
              <w:t> </w:t>
            </w:r>
            <w:r>
              <w:rPr>
                <w:rFonts w:ascii="宋体" w:hAnsi="宋体" w:cs="宋体" w:eastAsia="宋体" w:hint="default"/>
                <w:sz w:val="22"/>
                <w:szCs w:val="22"/>
              </w:rPr>
              <w:t>内控缺陷</w:t>
            </w:r>
          </w:p>
        </w:tc>
      </w:tr>
      <w:tr>
        <w:trPr>
          <w:trHeight w:val="28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146"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979" w:header="0"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14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iii.</w:t>
            </w:r>
            <w:r>
              <w:rPr>
                <w:rFonts w:ascii="宋体" w:hAnsi="宋体" w:cs="宋体" w:eastAsia="宋体" w:hint="default"/>
                <w:sz w:val="22"/>
                <w:szCs w:val="22"/>
              </w:rPr>
              <w:t>对于非常规或特殊交易的账务</w:t>
            </w:r>
          </w:p>
          <w:p>
            <w:pPr>
              <w:pStyle w:val="TableParagraph"/>
              <w:spacing w:line="235" w:lineRule="auto"/>
              <w:ind w:left="23" w:right="23"/>
              <w:jc w:val="left"/>
              <w:rPr>
                <w:rFonts w:ascii="宋体" w:hAnsi="宋体" w:cs="宋体" w:eastAsia="宋体" w:hint="default"/>
                <w:sz w:val="22"/>
                <w:szCs w:val="22"/>
              </w:rPr>
            </w:pPr>
            <w:r>
              <w:rPr>
                <w:rFonts w:ascii="宋体" w:hAnsi="宋体" w:cs="宋体" w:eastAsia="宋体" w:hint="default"/>
                <w:sz w:val="22"/>
                <w:szCs w:val="22"/>
              </w:rPr>
              <w:t>处理没有建立相应的控制机制或</w:t>
            </w:r>
            <w:r>
              <w:rPr>
                <w:rFonts w:ascii="宋体" w:hAnsi="宋体" w:cs="宋体" w:eastAsia="宋体" w:hint="default"/>
                <w:w w:val="99"/>
                <w:sz w:val="22"/>
                <w:szCs w:val="22"/>
              </w:rPr>
              <w:t> </w:t>
            </w:r>
            <w:r>
              <w:rPr>
                <w:rFonts w:ascii="宋体" w:hAnsi="宋体" w:cs="宋体" w:eastAsia="宋体" w:hint="default"/>
                <w:sz w:val="22"/>
                <w:szCs w:val="22"/>
              </w:rPr>
              <w:t>没有实施且没有相应的补偿性控</w:t>
            </w:r>
            <w:r>
              <w:rPr>
                <w:rFonts w:ascii="宋体" w:hAnsi="宋体" w:cs="宋体" w:eastAsia="宋体" w:hint="default"/>
                <w:w w:val="99"/>
                <w:sz w:val="22"/>
                <w:szCs w:val="22"/>
              </w:rPr>
              <w:t> </w:t>
            </w:r>
            <w:r>
              <w:rPr>
                <w:rFonts w:ascii="宋体" w:hAnsi="宋体" w:cs="宋体" w:eastAsia="宋体" w:hint="default"/>
                <w:sz w:val="22"/>
                <w:szCs w:val="22"/>
              </w:rPr>
              <w:t>制；</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iv.</w:t>
            </w:r>
            <w:r>
              <w:rPr>
                <w:rFonts w:ascii="宋体" w:hAnsi="宋体" w:cs="宋体" w:eastAsia="宋体" w:hint="default"/>
                <w:sz w:val="22"/>
                <w:szCs w:val="22"/>
              </w:rPr>
              <w:t>对于期末财务报告过程的控制</w:t>
            </w:r>
            <w:r>
              <w:rPr>
                <w:rFonts w:ascii="宋体" w:hAnsi="宋体" w:cs="宋体" w:eastAsia="宋体" w:hint="default"/>
                <w:w w:val="99"/>
                <w:sz w:val="22"/>
                <w:szCs w:val="22"/>
              </w:rPr>
              <w:t> </w:t>
            </w:r>
            <w:r>
              <w:rPr>
                <w:rFonts w:ascii="宋体" w:hAnsi="宋体" w:cs="宋体" w:eastAsia="宋体" w:hint="default"/>
                <w:sz w:val="22"/>
                <w:szCs w:val="22"/>
              </w:rPr>
              <w:t>存在一项或多项缺陷且不能合理</w:t>
            </w:r>
            <w:r>
              <w:rPr>
                <w:rFonts w:ascii="宋体" w:hAnsi="宋体" w:cs="宋体" w:eastAsia="宋体" w:hint="default"/>
                <w:w w:val="99"/>
                <w:sz w:val="22"/>
                <w:szCs w:val="22"/>
              </w:rPr>
              <w:t> </w:t>
            </w:r>
            <w:r>
              <w:rPr>
                <w:rFonts w:ascii="宋体" w:hAnsi="宋体" w:cs="宋体" w:eastAsia="宋体" w:hint="default"/>
                <w:spacing w:val="-3"/>
                <w:sz w:val="22"/>
                <w:szCs w:val="22"/>
              </w:rPr>
              <w:t>保证编制的财务报表达到真实、准</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确的目标。</w:t>
            </w:r>
          </w:p>
          <w:p>
            <w:pPr>
              <w:pStyle w:val="TableParagraph"/>
              <w:spacing w:line="286" w:lineRule="exact" w:before="25"/>
              <w:ind w:left="23" w:right="101"/>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）一般缺陷是指除上述重大缺</w:t>
            </w:r>
            <w:r>
              <w:rPr>
                <w:rFonts w:ascii="宋体" w:hAnsi="宋体" w:cs="宋体" w:eastAsia="宋体" w:hint="default"/>
                <w:w w:val="99"/>
                <w:sz w:val="22"/>
                <w:szCs w:val="22"/>
              </w:rPr>
              <w:t> </w:t>
            </w:r>
            <w:r>
              <w:rPr>
                <w:rFonts w:ascii="宋体" w:hAnsi="宋体" w:cs="宋体" w:eastAsia="宋体" w:hint="default"/>
                <w:sz w:val="22"/>
                <w:szCs w:val="22"/>
              </w:rPr>
              <w:t>陷、重要缺陷之外的其他控制缺</w:t>
            </w:r>
            <w:r>
              <w:rPr>
                <w:rFonts w:ascii="宋体" w:hAnsi="宋体" w:cs="宋体" w:eastAsia="宋体" w:hint="default"/>
                <w:w w:val="99"/>
                <w:sz w:val="22"/>
                <w:szCs w:val="22"/>
              </w:rPr>
              <w:t> </w:t>
            </w:r>
            <w:r>
              <w:rPr>
                <w:rFonts w:ascii="宋体" w:hAnsi="宋体" w:cs="宋体" w:eastAsia="宋体" w:hint="default"/>
                <w:sz w:val="22"/>
                <w:szCs w:val="22"/>
              </w:rPr>
              <w:t>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17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sz w:val="22"/>
                <w:szCs w:val="22"/>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25" w:lineRule="auto" w:before="122"/>
              <w:ind w:left="23" w:right="-48"/>
              <w:jc w:val="left"/>
              <w:rPr>
                <w:rFonts w:ascii="宋体" w:hAnsi="宋体" w:cs="宋体" w:eastAsia="宋体" w:hint="default"/>
                <w:sz w:val="22"/>
                <w:szCs w:val="22"/>
              </w:rPr>
            </w:pPr>
            <w:r>
              <w:rPr>
                <w:rFonts w:ascii="宋体" w:hAnsi="宋体" w:cs="宋体" w:eastAsia="宋体" w:hint="default"/>
                <w:sz w:val="22"/>
                <w:szCs w:val="22"/>
              </w:rPr>
              <w:t>重大缺陷：财务报表的错报金额</w:t>
            </w:r>
            <w:r>
              <w:rPr>
                <w:rFonts w:ascii="Times New Roman" w:hAnsi="Times New Roman" w:cs="Times New Roman" w:eastAsia="Times New Roman" w:hint="default"/>
                <w:sz w:val="22"/>
                <w:szCs w:val="22"/>
              </w:rPr>
              <w:t>≥</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利润总额的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pacing w:val="-3"/>
                <w:sz w:val="22"/>
                <w:szCs w:val="22"/>
              </w:rPr>
              <w:t>重要缺陷：利润总额的</w:t>
            </w:r>
            <w:r>
              <w:rPr>
                <w:rFonts w:ascii="宋体" w:hAnsi="宋体" w:cs="宋体" w:eastAsia="宋体" w:hint="default"/>
                <w:spacing w:val="2"/>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错报</w:t>
            </w:r>
            <w:r>
              <w:rPr>
                <w:rFonts w:ascii="Times New Roman" w:hAnsi="Times New Roman" w:cs="Times New Roman" w:eastAsia="Times New Roman" w:hint="default"/>
                <w:sz w:val="22"/>
                <w:szCs w:val="22"/>
              </w:rPr>
              <w:t>&lt;</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利润总额的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一般缺陷：错报</w:t>
            </w:r>
            <w:r>
              <w:rPr>
                <w:rFonts w:ascii="Times New Roman" w:hAnsi="Times New Roman" w:cs="Times New Roman" w:eastAsia="Times New Roman" w:hint="default"/>
                <w:sz w:val="22"/>
                <w:szCs w:val="22"/>
              </w:rPr>
              <w:t>&lt;</w:t>
            </w:r>
            <w:r>
              <w:rPr>
                <w:rFonts w:ascii="宋体" w:hAnsi="宋体" w:cs="宋体" w:eastAsia="宋体" w:hint="default"/>
                <w:sz w:val="22"/>
                <w:szCs w:val="22"/>
              </w:rPr>
              <w:t>利润总额的</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51" w:lineRule="exact"/>
              <w:ind w:left="16" w:right="0"/>
              <w:jc w:val="left"/>
              <w:rPr>
                <w:rFonts w:ascii="宋体" w:hAnsi="宋体" w:cs="宋体" w:eastAsia="宋体" w:hint="default"/>
                <w:sz w:val="22"/>
                <w:szCs w:val="22"/>
              </w:rPr>
            </w:pPr>
            <w:r>
              <w:rPr>
                <w:rFonts w:ascii="宋体" w:hAnsi="宋体" w:cs="宋体" w:eastAsia="宋体" w:hint="default"/>
                <w:spacing w:val="-7"/>
                <w:sz w:val="22"/>
                <w:szCs w:val="22"/>
              </w:rPr>
              <w:t>重大缺陷：财务报表的错报金额</w:t>
            </w:r>
          </w:p>
          <w:p>
            <w:pPr>
              <w:pStyle w:val="TableParagraph"/>
              <w:spacing w:line="225" w:lineRule="auto" w:before="14"/>
              <w:ind w:left="16" w:right="73"/>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宋体" w:hAnsi="宋体" w:cs="宋体" w:eastAsia="宋体" w:hint="default"/>
                <w:sz w:val="22"/>
                <w:szCs w:val="22"/>
              </w:rPr>
              <w:t>利润总额的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重要缺陷：利润总额的</w:t>
            </w:r>
            <w:r>
              <w:rPr>
                <w:rFonts w:ascii="宋体" w:hAnsi="宋体" w:cs="宋体" w:eastAsia="宋体" w:hint="default"/>
                <w:spacing w:val="-5"/>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错</w:t>
            </w:r>
            <w:r>
              <w:rPr>
                <w:rFonts w:ascii="宋体" w:hAnsi="宋体" w:cs="宋体" w:eastAsia="宋体" w:hint="default"/>
                <w:w w:val="99"/>
                <w:sz w:val="22"/>
                <w:szCs w:val="22"/>
              </w:rPr>
              <w:t> </w:t>
            </w:r>
            <w:r>
              <w:rPr>
                <w:rFonts w:ascii="宋体" w:hAnsi="宋体" w:cs="宋体" w:eastAsia="宋体" w:hint="default"/>
                <w:sz w:val="22"/>
                <w:szCs w:val="22"/>
              </w:rPr>
              <w:t>报</w:t>
            </w:r>
            <w:r>
              <w:rPr>
                <w:rFonts w:ascii="Times New Roman" w:hAnsi="Times New Roman" w:cs="Times New Roman" w:eastAsia="Times New Roman" w:hint="default"/>
                <w:sz w:val="22"/>
                <w:szCs w:val="22"/>
              </w:rPr>
              <w:t>&lt;</w:t>
            </w:r>
            <w:r>
              <w:rPr>
                <w:rFonts w:ascii="宋体" w:hAnsi="宋体" w:cs="宋体" w:eastAsia="宋体" w:hint="default"/>
                <w:sz w:val="22"/>
                <w:szCs w:val="22"/>
              </w:rPr>
              <w:t>利润总额的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一般缺陷：错报</w:t>
            </w:r>
            <w:r>
              <w:rPr>
                <w:rFonts w:ascii="Times New Roman" w:hAnsi="Times New Roman" w:cs="Times New Roman" w:eastAsia="Times New Roman" w:hint="default"/>
                <w:sz w:val="22"/>
                <w:szCs w:val="22"/>
              </w:rPr>
              <w:t>&lt;</w:t>
            </w:r>
            <w:r>
              <w:rPr>
                <w:rFonts w:ascii="宋体" w:hAnsi="宋体" w:cs="宋体" w:eastAsia="宋体" w:hint="default"/>
                <w:sz w:val="22"/>
                <w:szCs w:val="22"/>
              </w:rPr>
              <w:t>利润总额的</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tc>
      </w:tr>
      <w:tr>
        <w:trPr>
          <w:trHeight w:val="2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2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2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2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bl>
    <w:p>
      <w:pPr>
        <w:pStyle w:val="BodyText"/>
        <w:spacing w:line="384" w:lineRule="auto" w:before="55"/>
        <w:ind w:right="1133"/>
        <w:jc w:val="both"/>
      </w:pPr>
      <w:r>
        <w:rPr>
          <w:spacing w:val="-1"/>
        </w:rPr>
        <w:t>注：内部控制评价范围：公司内控评价范围主要单位包括公司各管理总部、经营总部、事业部及重要</w:t>
      </w:r>
      <w:r>
        <w:rPr>
          <w:w w:val="99"/>
        </w:rPr>
        <w:t> 子公司（不含报告期内并购业务产生 </w:t>
      </w:r>
      <w:r>
        <w:rPr>
          <w:rFonts w:ascii="Times New Roman" w:hAnsi="Times New Roman" w:cs="Times New Roman" w:eastAsia="Times New Roman" w:hint="default"/>
          <w:w w:val="99"/>
        </w:rPr>
        <w:t>PPTV</w:t>
      </w:r>
      <w:r>
        <w:rPr>
          <w:rFonts w:ascii="Times New Roman" w:hAnsi="Times New Roman" w:cs="Times New Roman" w:eastAsia="Times New Roman" w:hint="default"/>
          <w:spacing w:val="39"/>
          <w:w w:val="99"/>
        </w:rPr>
        <w:t> </w:t>
      </w:r>
      <w:r>
        <w:rPr>
          <w:spacing w:val="-5"/>
          <w:w w:val="99"/>
        </w:rPr>
        <w:t>及其下属子公司）。本年度，公司根据《上市公司实施企</w:t>
      </w:r>
      <w:r>
        <w:rPr>
          <w:w w:val="99"/>
        </w:rPr>
        <w:t> </w:t>
      </w:r>
      <w:r>
        <w:rPr>
          <w:spacing w:val="-1"/>
          <w:w w:val="95"/>
        </w:rPr>
        <w:t>业内部控制规范体系监管问题解答》中的相关豁免规定（在报告年度发生并购交易的，可豁免本年度</w:t>
      </w:r>
      <w:r>
        <w:rPr>
          <w:spacing w:val="49"/>
          <w:w w:val="95"/>
        </w:rPr>
        <w:t> </w:t>
      </w:r>
      <w:r>
        <w:rPr>
          <w:spacing w:val="49"/>
          <w:w w:val="95"/>
        </w:rPr>
      </w:r>
      <w:r>
        <w:rPr>
          <w:spacing w:val="-10"/>
          <w:w w:val="99"/>
        </w:rPr>
        <w:t>对被并购企业财务报告内部控制有效性的评价），未将</w:t>
      </w:r>
      <w:r>
        <w:rPr>
          <w:spacing w:val="-59"/>
          <w:w w:val="99"/>
        </w:rPr>
        <w:t> </w:t>
      </w:r>
      <w:r>
        <w:rPr>
          <w:rFonts w:ascii="Times New Roman" w:hAnsi="Times New Roman" w:cs="Times New Roman" w:eastAsia="Times New Roman" w:hint="default"/>
          <w:w w:val="99"/>
        </w:rPr>
        <w:t>PPTV</w:t>
      </w:r>
      <w:r>
        <w:rPr>
          <w:rFonts w:ascii="Times New Roman" w:hAnsi="Times New Roman" w:cs="Times New Roman" w:eastAsia="Times New Roman" w:hint="default"/>
          <w:spacing w:val="-6"/>
          <w:w w:val="99"/>
        </w:rPr>
        <w:t> </w:t>
      </w:r>
      <w:r>
        <w:rPr>
          <w:w w:val="99"/>
        </w:rPr>
        <w:t>及其下属子公司纳入内部控制评价范围。</w:t>
      </w:r>
      <w:r>
        <w:rPr/>
      </w:r>
    </w:p>
    <w:p>
      <w:pPr>
        <w:spacing w:line="240" w:lineRule="auto" w:before="3"/>
        <w:rPr>
          <w:rFonts w:ascii="宋体" w:hAnsi="宋体" w:cs="宋体" w:eastAsia="宋体" w:hint="default"/>
          <w:sz w:val="17"/>
          <w:szCs w:val="17"/>
        </w:rPr>
      </w:pPr>
    </w:p>
    <w:p>
      <w:pPr>
        <w:pStyle w:val="Heading2"/>
        <w:spacing w:line="240" w:lineRule="auto"/>
        <w:ind w:left="154" w:right="0"/>
        <w:jc w:val="both"/>
        <w:rPr>
          <w:b w:val="0"/>
          <w:bCs w:val="0"/>
        </w:rPr>
      </w:pPr>
      <w:bookmarkStart w:name="十、内部控制审计报告或鉴证报告" w:id="164"/>
      <w:bookmarkEnd w:id="164"/>
      <w:r>
        <w:rPr>
          <w:b w:val="0"/>
          <w:bCs w:val="0"/>
        </w:rPr>
      </w:r>
      <w:r>
        <w:rPr/>
        <w:t>十、内部控制审计报告或鉴证报告</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left="154" w:right="0"/>
        <w:jc w:val="both"/>
      </w:pPr>
      <w:r>
        <w:rPr/>
        <w:t>内部控制审计报告</w:t>
      </w:r>
    </w:p>
    <w:p>
      <w:pPr>
        <w:spacing w:line="240" w:lineRule="auto" w:before="8"/>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261"/>
        <w:gridCol w:w="6307"/>
      </w:tblGrid>
      <w:tr>
        <w:trPr>
          <w:trHeight w:val="295"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3128" w:right="0"/>
              <w:jc w:val="left"/>
              <w:rPr>
                <w:rFonts w:ascii="宋体" w:hAnsi="宋体" w:cs="宋体" w:eastAsia="宋体" w:hint="default"/>
                <w:sz w:val="22"/>
                <w:szCs w:val="22"/>
              </w:rPr>
            </w:pPr>
            <w:r>
              <w:rPr>
                <w:rFonts w:ascii="宋体" w:hAnsi="宋体" w:cs="宋体" w:eastAsia="宋体" w:hint="default"/>
                <w:sz w:val="22"/>
                <w:szCs w:val="22"/>
              </w:rPr>
              <w:t>内部控制审计报告中的审议意见段</w:t>
            </w:r>
          </w:p>
        </w:tc>
      </w:tr>
      <w:tr>
        <w:trPr>
          <w:trHeight w:val="58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z w:val="22"/>
                <w:szCs w:val="22"/>
              </w:rPr>
              <w:t>我们认为，苏宁云商集团股份有限公司于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pacing w:val="-3"/>
                <w:sz w:val="22"/>
                <w:szCs w:val="22"/>
              </w:rPr>
              <w:t>日按照《企业内部控制基本规范》和相关</w:t>
            </w:r>
          </w:p>
          <w:p>
            <w:pPr>
              <w:pStyle w:val="TableParagraph"/>
              <w:spacing w:line="278" w:lineRule="exact"/>
              <w:ind w:left="22" w:right="0"/>
              <w:jc w:val="left"/>
              <w:rPr>
                <w:rFonts w:ascii="宋体" w:hAnsi="宋体" w:cs="宋体" w:eastAsia="宋体" w:hint="default"/>
                <w:sz w:val="22"/>
                <w:szCs w:val="22"/>
              </w:rPr>
            </w:pPr>
            <w:r>
              <w:rPr>
                <w:rFonts w:ascii="宋体" w:hAnsi="宋体" w:cs="宋体" w:eastAsia="宋体" w:hint="default"/>
                <w:sz w:val="22"/>
                <w:szCs w:val="22"/>
              </w:rPr>
              <w:t>规定在所有重大方面保持了有效的财务报告内部控制。</w:t>
            </w:r>
          </w:p>
        </w:tc>
      </w:tr>
      <w:tr>
        <w:trPr>
          <w:trHeight w:val="29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内控审计报告披露情况</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2"/>
                <w:szCs w:val="22"/>
              </w:rPr>
            </w:pPr>
            <w:r>
              <w:rPr>
                <w:rFonts w:ascii="宋体" w:hAnsi="宋体" w:cs="宋体" w:eastAsia="宋体" w:hint="default"/>
                <w:sz w:val="22"/>
                <w:szCs w:val="22"/>
              </w:rPr>
              <w:t>披露</w:t>
            </w:r>
          </w:p>
        </w:tc>
      </w:tr>
      <w:tr>
        <w:trPr>
          <w:trHeight w:val="29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内部控制审计报告全文披露日期</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r>
      <w:tr>
        <w:trPr>
          <w:trHeight w:val="296"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内部控制审计报告全文披露索引</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年度内部控制审计报告》</w:t>
            </w:r>
          </w:p>
        </w:tc>
      </w:tr>
      <w:tr>
        <w:trPr>
          <w:trHeight w:val="29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内控审计报告意见类型</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标准无保留意见</w:t>
            </w:r>
          </w:p>
        </w:tc>
      </w:tr>
      <w:tr>
        <w:trPr>
          <w:trHeight w:val="29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非财务报告是否存在重大缺陷</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1"/>
        <w:ind w:left="154" w:right="1082"/>
        <w:jc w:val="left"/>
      </w:pPr>
      <w:r>
        <w:rPr/>
        <w:t>会计师事务所是否出具非标准意见的内部控制审计报告</w:t>
      </w:r>
    </w:p>
    <w:p>
      <w:pPr>
        <w:pStyle w:val="BodyText"/>
        <w:spacing w:line="369" w:lineRule="auto" w:before="180"/>
        <w:ind w:left="154" w:right="3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r>
        <w:rPr>
          <w:w w:val="99"/>
        </w:rPr>
        <w:t> </w:t>
      </w:r>
      <w:r>
        <w:rPr>
          <w:w w:val="95"/>
        </w:rPr>
        <w:t>会计师事务所出具的内部控制审计报告与董事会的自我评价报告意见是否一致</w:t>
      </w:r>
      <w:r>
        <w:rPr/>
      </w:r>
    </w:p>
    <w:p>
      <w:pPr>
        <w:pStyle w:val="BodyText"/>
        <w:spacing w:line="240" w:lineRule="auto" w:before="61"/>
        <w:ind w:right="10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after="0" w:line="240" w:lineRule="auto"/>
        <w:jc w:val="left"/>
        <w:sectPr>
          <w:footerReference w:type="default" r:id="rId31"/>
          <w:pgSz w:w="11910" w:h="16840"/>
          <w:pgMar w:footer="979" w:header="0" w:top="1100" w:bottom="1160" w:left="980" w:right="0"/>
          <w:pgNumType w:start="10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978"/>
        <w:jc w:val="center"/>
        <w:rPr>
          <w:b w:val="0"/>
          <w:bCs w:val="0"/>
        </w:rPr>
      </w:pPr>
      <w:bookmarkStart w:name="第十节 财务报告" w:id="165"/>
      <w:bookmarkEnd w:id="165"/>
      <w:r>
        <w:rPr>
          <w:b w:val="0"/>
          <w:bCs w:val="0"/>
        </w:rPr>
      </w:r>
      <w:bookmarkStart w:name="_bookmark9" w:id="166"/>
      <w:bookmarkEnd w:id="166"/>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82"/>
        <w:jc w:val="left"/>
        <w:rPr>
          <w:b w:val="0"/>
          <w:bCs w:val="0"/>
        </w:rPr>
      </w:pPr>
      <w:bookmarkStart w:name="一、审计报告" w:id="167"/>
      <w:bookmarkEnd w:id="167"/>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标准无保留审计意见</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普华永道中天会计师事务所（特殊普通合伙）</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普华永道中天审字</w:t>
            </w:r>
            <w:r>
              <w:rPr>
                <w:rFonts w:ascii="Times New Roman" w:hAnsi="Times New Roman" w:cs="Times New Roman" w:eastAsia="Times New Roman" w:hint="default"/>
                <w:sz w:val="22"/>
                <w:szCs w:val="22"/>
              </w:rPr>
              <w:t>(2016)</w:t>
            </w:r>
            <w:r>
              <w:rPr>
                <w:rFonts w:ascii="宋体" w:hAnsi="宋体" w:cs="宋体" w:eastAsia="宋体" w:hint="default"/>
                <w:sz w:val="22"/>
                <w:szCs w:val="22"/>
              </w:rPr>
              <w:t>第</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10110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号</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682" w:val="left" w:leader="none"/>
              </w:tabs>
              <w:spacing w:line="265" w:lineRule="exact"/>
              <w:ind w:left="22" w:right="0"/>
              <w:jc w:val="left"/>
              <w:rPr>
                <w:rFonts w:ascii="宋体" w:hAnsi="宋体" w:cs="宋体" w:eastAsia="宋体" w:hint="default"/>
                <w:sz w:val="22"/>
                <w:szCs w:val="22"/>
              </w:rPr>
            </w:pPr>
            <w:r>
              <w:rPr>
                <w:rFonts w:ascii="宋体" w:hAnsi="宋体" w:cs="宋体" w:eastAsia="宋体" w:hint="default"/>
                <w:w w:val="95"/>
                <w:sz w:val="22"/>
                <w:szCs w:val="22"/>
              </w:rPr>
              <w:t>钱进</w:t>
              <w:tab/>
            </w:r>
            <w:r>
              <w:rPr>
                <w:rFonts w:ascii="宋体" w:hAnsi="宋体" w:cs="宋体" w:eastAsia="宋体" w:hint="default"/>
                <w:sz w:val="22"/>
                <w:szCs w:val="22"/>
              </w:rPr>
              <w:t>郑怡㛃</w:t>
            </w:r>
          </w:p>
        </w:tc>
      </w:tr>
    </w:tbl>
    <w:p>
      <w:pPr>
        <w:spacing w:line="240" w:lineRule="auto" w:before="11"/>
        <w:rPr>
          <w:rFonts w:ascii="宋体" w:hAnsi="宋体" w:cs="宋体" w:eastAsia="宋体" w:hint="default"/>
          <w:b/>
          <w:bCs/>
          <w:sz w:val="25"/>
          <w:szCs w:val="25"/>
        </w:rPr>
      </w:pPr>
    </w:p>
    <w:p>
      <w:pPr>
        <w:pStyle w:val="BodyText"/>
        <w:spacing w:line="357" w:lineRule="auto" w:before="31"/>
        <w:ind w:left="594" w:right="1118" w:firstLine="3717"/>
        <w:jc w:val="left"/>
      </w:pPr>
      <w:r>
        <w:rPr>
          <w:rFonts w:ascii="宋体" w:hAnsi="宋体" w:cs="宋体" w:eastAsia="宋体" w:hint="default"/>
          <w:b/>
          <w:bCs/>
        </w:rPr>
        <w:t>审计报告正文</w:t>
      </w:r>
      <w:r>
        <w:rPr>
          <w:rFonts w:ascii="宋体" w:hAnsi="宋体" w:cs="宋体" w:eastAsia="宋体" w:hint="default"/>
          <w:b/>
          <w:bCs/>
          <w:spacing w:val="1"/>
          <w:w w:val="99"/>
        </w:rPr>
        <w:t> </w:t>
      </w:r>
      <w:r>
        <w:rPr>
          <w:spacing w:val="-1"/>
        </w:rPr>
        <w:t>我们审计了后附的苏宁云商集团股份有限公司的财务报表，包括</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w:t>
      </w:r>
    </w:p>
    <w:p>
      <w:pPr>
        <w:pStyle w:val="BodyText"/>
        <w:spacing w:line="369" w:lineRule="auto" w:before="44"/>
        <w:ind w:left="154" w:right="1118"/>
        <w:jc w:val="left"/>
      </w:pPr>
      <w:r>
        <w:rPr>
          <w:spacing w:val="-1"/>
        </w:rPr>
        <w:t>产负债表，</w:t>
      </w:r>
      <w:r>
        <w:rPr>
          <w:rFonts w:ascii="Times New Roman" w:hAnsi="Times New Roman" w:cs="Times New Roman" w:eastAsia="Times New Roman" w:hint="default"/>
          <w:spacing w:val="-1"/>
        </w:rPr>
        <w:t>2015</w:t>
      </w:r>
      <w:r>
        <w:rPr>
          <w:spacing w:val="-1"/>
        </w:rPr>
        <w:t>年度的合并及公司利润表、合并及公司股东权益变动表和合并及公司现金流量表以及</w:t>
      </w:r>
      <w:r>
        <w:rPr>
          <w:w w:val="99"/>
        </w:rPr>
        <w:t> </w:t>
      </w:r>
      <w:r>
        <w:rPr/>
        <w:t>财务报表附注。</w:t>
      </w:r>
    </w:p>
    <w:p>
      <w:pPr>
        <w:pStyle w:val="BodyText"/>
        <w:spacing w:line="391" w:lineRule="auto" w:before="61"/>
        <w:ind w:left="594" w:right="2133"/>
        <w:jc w:val="left"/>
      </w:pPr>
      <w:r>
        <w:rPr/>
        <w:t>一、管理层对财务报表的责任</w:t>
      </w:r>
      <w:r>
        <w:rPr>
          <w:w w:val="99"/>
        </w:rPr>
        <w:t> </w:t>
      </w:r>
      <w:r>
        <w:rPr>
          <w:w w:val="95"/>
        </w:rPr>
        <w:t>编制和公允列报财务报表是苏宁云商集团股份有限公司管理层的责任。这种责任包括：  </w:t>
      </w:r>
      <w:r>
        <w:rPr>
          <w:spacing w:val="89"/>
          <w:w w:val="95"/>
        </w:rPr>
        <w:t> </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按照企业会计准则的规定编制财务报表，并使其实现公允反映；</w:t>
      </w:r>
    </w:p>
    <w:p>
      <w:pPr>
        <w:pStyle w:val="BodyText"/>
        <w:spacing w:line="379" w:lineRule="auto" w:before="10"/>
        <w:ind w:left="594" w:right="10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设计、执行和维护必要的内部控制，以使财务报表不存在由于舞弊或错误导致的重大错报。</w:t>
      </w:r>
      <w:r>
        <w:rPr>
          <w:w w:val="99"/>
        </w:rPr>
        <w:t> </w:t>
      </w:r>
      <w:r>
        <w:rPr/>
        <w:t>二、注册会计师的责任</w:t>
      </w:r>
      <w:r>
        <w:rPr>
          <w:w w:val="99"/>
        </w:rPr>
        <w:t> </w:t>
      </w:r>
      <w:r>
        <w:rPr>
          <w:spacing w:val="-2"/>
        </w:rPr>
        <w:t>我们的责任是在执行审计工作的基础上对财务报表发表审计意见。我们按照中国注册会计师审计</w:t>
      </w:r>
    </w:p>
    <w:p>
      <w:pPr>
        <w:pStyle w:val="BodyText"/>
        <w:spacing w:line="388" w:lineRule="auto" w:before="52"/>
        <w:ind w:right="0"/>
        <w:jc w:val="left"/>
      </w:pPr>
      <w:r>
        <w:rPr/>
        <w:t>准则的规定执行了审计工作。中国注册会计师审计准则要求我们遵守中国注册会计师职业道德守则，</w:t>
      </w:r>
      <w:r>
        <w:rPr>
          <w:spacing w:val="-75"/>
        </w:rPr>
        <w:t> </w:t>
      </w:r>
      <w:r>
        <w:rPr>
          <w:spacing w:val="-75"/>
        </w:rPr>
      </w:r>
      <w:r>
        <w:rPr/>
        <w:t>计划和执行审计工作以对财务报表是否不存在重大错报获取合理保证。</w:t>
      </w:r>
    </w:p>
    <w:p>
      <w:pPr>
        <w:pStyle w:val="BodyText"/>
        <w:spacing w:line="391" w:lineRule="auto" w:before="43"/>
        <w:ind w:right="1036" w:firstLine="440"/>
        <w:jc w:val="both"/>
      </w:pPr>
      <w:r>
        <w:rPr/>
        <w:t>审计工作涉及实施审计程序，以获取有关财务报表金额和披露的审计证据。选择的审计程序取决</w:t>
      </w:r>
      <w:r>
        <w:rPr>
          <w:w w:val="99"/>
        </w:rPr>
        <w:t> </w:t>
      </w:r>
      <w:r>
        <w:rPr/>
        <w:t>于注册会计师的判断，包括对由于舞弊或错误导致的财务报表重大错报风险的评估。在进行风险评估</w:t>
      </w:r>
      <w:r>
        <w:rPr>
          <w:w w:val="99"/>
        </w:rPr>
        <w:t> </w:t>
      </w:r>
      <w:r>
        <w:rPr/>
        <w:t>时，注册会计师考虑与财务报表编制和公允列报相关的内部控制，以设计恰当的审计程序。审计工作</w:t>
      </w:r>
      <w:r>
        <w:rPr>
          <w:w w:val="99"/>
        </w:rPr>
        <w:t> </w:t>
      </w:r>
      <w:r>
        <w:rPr/>
        <w:t>还包括评价管理层选用会计政策的恰当性和作出会计估计的合理性，以及评价财务报表的总体列报。</w:t>
      </w:r>
    </w:p>
    <w:p>
      <w:pPr>
        <w:pStyle w:val="BodyText"/>
        <w:spacing w:line="391" w:lineRule="auto" w:before="41"/>
        <w:ind w:left="594" w:right="1717"/>
        <w:jc w:val="left"/>
      </w:pPr>
      <w:r>
        <w:rPr>
          <w:w w:val="95"/>
        </w:rPr>
        <w:t>我们相信，我们获取的审计证据是充分、适当的，为发表审计意见提供了基础。</w:t>
      </w:r>
      <w:r>
        <w:rPr>
          <w:spacing w:val="57"/>
          <w:w w:val="95"/>
        </w:rPr>
        <w:t> </w:t>
      </w:r>
      <w:r>
        <w:rPr/>
        <w:t>三、审计意见</w:t>
      </w:r>
    </w:p>
    <w:p>
      <w:pPr>
        <w:pStyle w:val="BodyText"/>
        <w:spacing w:line="379" w:lineRule="auto" w:before="41"/>
        <w:ind w:right="1129" w:firstLine="440"/>
        <w:jc w:val="both"/>
      </w:pPr>
      <w:r>
        <w:rPr>
          <w:spacing w:val="-1"/>
        </w:rPr>
        <w:t>我们认为，上述苏宁云商集团股份有限公司的财务报表在所有重大方面按照企业会计准则的规定</w:t>
      </w:r>
      <w:r>
        <w:rPr>
          <w:w w:val="99"/>
        </w:rPr>
        <w:t> </w:t>
      </w:r>
      <w:r>
        <w:rPr/>
        <w:t>编制，公允反映了苏宁云商集团股份有限公司</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日的合并及公司财务状况以及</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w:t>
      </w:r>
      <w:r>
        <w:rPr>
          <w:w w:val="99"/>
        </w:rPr>
        <w:t> </w:t>
      </w:r>
      <w:r>
        <w:rPr/>
        <w:t>度的合并及公司经营成果和现金流量。</w:t>
      </w:r>
    </w:p>
    <w:p>
      <w:pPr>
        <w:spacing w:after="0" w:line="379" w:lineRule="auto"/>
        <w:jc w:val="both"/>
        <w:sectPr>
          <w:pgSz w:w="11910" w:h="16840"/>
          <w:pgMar w:header="0" w:footer="979" w:top="1100" w:bottom="1160" w:left="980" w:right="0"/>
        </w:sectPr>
      </w:pPr>
    </w:p>
    <w:p>
      <w:pPr>
        <w:pStyle w:val="Heading3"/>
        <w:spacing w:line="328" w:lineRule="exact"/>
        <w:ind w:left="188" w:right="0"/>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9"/>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2"/>
        </w:rPr>
        <w:t> </w:t>
      </w:r>
      <w:r>
        <w:rPr>
          <w:rFonts w:ascii="Arial" w:hAnsi="Arial" w:cs="Arial" w:eastAsia="Arial" w:hint="default"/>
        </w:rPr>
        <w:t>31</w:t>
      </w:r>
      <w:r>
        <w:rPr>
          <w:rFonts w:ascii="Arial" w:hAnsi="Arial" w:cs="Arial" w:eastAsia="Arial" w:hint="default"/>
          <w:spacing w:val="-9"/>
        </w:rPr>
        <w:t> </w:t>
      </w:r>
      <w:r>
        <w:rPr>
          <w:rFonts w:ascii="黑体" w:hAnsi="黑体" w:cs="黑体" w:eastAsia="黑体" w:hint="default"/>
        </w:rPr>
        <w:t>日合并资产负债表</w:t>
      </w:r>
    </w:p>
    <w:p>
      <w:pPr>
        <w:spacing w:before="29"/>
        <w:ind w:left="291"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4"/>
          <w:szCs w:val="14"/>
        </w:rPr>
      </w:pPr>
    </w:p>
    <w:tbl>
      <w:tblPr>
        <w:tblW w:w="0" w:type="auto"/>
        <w:jc w:val="left"/>
        <w:tblInd w:w="165" w:type="dxa"/>
        <w:tblLayout w:type="fixed"/>
        <w:tblCellMar>
          <w:top w:w="0" w:type="dxa"/>
          <w:left w:w="0" w:type="dxa"/>
          <w:bottom w:w="0" w:type="dxa"/>
          <w:right w:w="0" w:type="dxa"/>
        </w:tblCellMar>
        <w:tblLook w:val="01E0"/>
      </w:tblPr>
      <w:tblGrid>
        <w:gridCol w:w="2823"/>
        <w:gridCol w:w="1417"/>
        <w:gridCol w:w="2268"/>
        <w:gridCol w:w="2268"/>
      </w:tblGrid>
      <w:tr>
        <w:trPr>
          <w:trHeight w:val="49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黑体" w:hAnsi="黑体" w:cs="黑体" w:eastAsia="黑体" w:hint="default"/>
                <w:sz w:val="18"/>
                <w:szCs w:val="18"/>
              </w:rPr>
            </w:pPr>
            <w:r>
              <w:rPr>
                <w:rFonts w:ascii="黑体" w:hAnsi="黑体" w:cs="黑体" w:eastAsia="黑体" w:hint="default"/>
                <w:sz w:val="18"/>
                <w:szCs w:val="18"/>
              </w:rPr>
              <w:t>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黑体" w:hAnsi="黑体" w:cs="黑体" w:eastAsia="黑体" w:hint="default"/>
                <w:sz w:val="18"/>
                <w:szCs w:val="18"/>
              </w:rPr>
            </w:pPr>
            <w:r>
              <w:rPr>
                <w:rFonts w:ascii="黑体" w:hAnsi="黑体" w:cs="黑体" w:eastAsia="黑体" w:hint="default"/>
                <w:sz w:val="18"/>
                <w:szCs w:val="18"/>
              </w:rPr>
              <w:t>附注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2"/>
                <w:sz w:val="18"/>
              </w:rPr>
              <w:t>27,115,557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22,274,468</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2"/>
                <w:sz w:val="18"/>
              </w:rPr>
              <w:t>1,311,668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505,866</w:t>
            </w:r>
            <w:r>
              <w:rPr>
                <w:rFonts w:ascii="Arial"/>
                <w:sz w:val="18"/>
              </w:rPr>
            </w:r>
          </w:p>
        </w:tc>
      </w:tr>
      <w:tr>
        <w:trPr>
          <w:trHeight w:val="49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9"/>
                <w:szCs w:val="19"/>
              </w:rPr>
            </w:pPr>
          </w:p>
          <w:p>
            <w:pPr>
              <w:pStyle w:val="TableParagraph"/>
              <w:spacing w:line="240" w:lineRule="auto"/>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23"/>
                <w:szCs w:val="2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678,871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2,644,705</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4,925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705,617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535,579</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6,706,522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3,851,804</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94,333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75,200</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2,404,829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1,913,868</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18"/>
                <w:szCs w:val="18"/>
              </w:rPr>
            </w:pPr>
            <w:r>
              <w:rPr>
                <w:rFonts w:ascii="Arial"/>
                <w:spacing w:val="-1"/>
                <w:sz w:val="18"/>
              </w:rPr>
              <w:t>14,004,797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16,038,522</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3,724,748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2,807,402</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56,751,867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50,647,414</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pacing w:val="-3"/>
                <w:sz w:val="18"/>
                <w:szCs w:val="18"/>
              </w:rPr>
              <w:t>四</w:t>
            </w:r>
            <w:r>
              <w:rPr>
                <w:rFonts w:ascii="Arial" w:hAnsi="Arial" w:cs="Arial" w:eastAsia="Arial" w:hint="default"/>
                <w:spacing w:val="-3"/>
                <w:sz w:val="18"/>
                <w:szCs w:val="18"/>
              </w:rPr>
              <w:t>(11)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1,836,900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1,549,505</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630,402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502,784</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219,796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1,346,853</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1,586,676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1,014,057</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18"/>
                <w:szCs w:val="18"/>
              </w:rPr>
            </w:pPr>
            <w:r>
              <w:rPr>
                <w:rFonts w:ascii="Arial"/>
                <w:spacing w:val="-1"/>
                <w:sz w:val="18"/>
              </w:rPr>
              <w:t>13,253,604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12,155,378</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1,915,103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3,230,834</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38,087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14,859</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7,143,679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7,015,413</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9,063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36,023</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468,263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461,852</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1,266,012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2"/>
                <w:sz w:val="18"/>
              </w:rPr>
              <w:t>1,265,112</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2,193,459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1,664,361</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762,761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1,289,284</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18"/>
                <w:szCs w:val="18"/>
              </w:rPr>
            </w:pPr>
            <w:r>
              <w:rPr>
                <w:rFonts w:ascii="Arial"/>
                <w:spacing w:val="-1"/>
                <w:sz w:val="18"/>
              </w:rPr>
              <w:t>31,323,805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31,546,315</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88,075,672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82,193,729</w:t>
            </w:r>
          </w:p>
        </w:tc>
      </w:tr>
    </w:tbl>
    <w:p>
      <w:pPr>
        <w:spacing w:after="0" w:line="240" w:lineRule="auto"/>
        <w:jc w:val="right"/>
        <w:rPr>
          <w:rFonts w:ascii="Arial" w:hAnsi="Arial" w:cs="Arial" w:eastAsia="Arial" w:hint="default"/>
          <w:sz w:val="18"/>
          <w:szCs w:val="18"/>
        </w:rPr>
        <w:sectPr>
          <w:headerReference w:type="default" r:id="rId32"/>
          <w:footerReference w:type="default" r:id="rId33"/>
          <w:pgSz w:w="11910" w:h="16840"/>
          <w:pgMar w:header="603" w:footer="756" w:top="840" w:bottom="940" w:left="1180" w:right="0"/>
        </w:sectPr>
      </w:pPr>
    </w:p>
    <w:p>
      <w:pPr>
        <w:pStyle w:val="Heading3"/>
        <w:spacing w:line="328" w:lineRule="exact"/>
        <w:ind w:left="152" w:right="0"/>
        <w:jc w:val="left"/>
        <w:rPr>
          <w:rFonts w:ascii="Arial" w:hAnsi="Arial" w:cs="Arial" w:eastAsia="Arial" w:hint="default"/>
        </w:rPr>
      </w:pPr>
      <w:r>
        <w:rPr>
          <w:rFonts w:ascii="Arial" w:hAnsi="Arial" w:cs="Arial" w:eastAsia="Arial" w:hint="default"/>
        </w:rPr>
        <w:t>2015</w:t>
      </w:r>
      <w:r>
        <w:rPr>
          <w:rFonts w:ascii="Arial" w:hAnsi="Arial" w:cs="Arial" w:eastAsia="Arial" w:hint="default"/>
          <w:spacing w:val="-9"/>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2"/>
        </w:rPr>
        <w:t> </w:t>
      </w:r>
      <w:r>
        <w:rPr>
          <w:rFonts w:ascii="Arial" w:hAnsi="Arial" w:cs="Arial" w:eastAsia="Arial" w:hint="default"/>
        </w:rPr>
        <w:t>31</w:t>
      </w:r>
      <w:r>
        <w:rPr>
          <w:rFonts w:ascii="Arial" w:hAnsi="Arial" w:cs="Arial" w:eastAsia="Arial" w:hint="default"/>
          <w:spacing w:val="-9"/>
        </w:rPr>
        <w:t> </w:t>
      </w:r>
      <w:r>
        <w:rPr>
          <w:rFonts w:ascii="黑体" w:hAnsi="黑体" w:cs="黑体" w:eastAsia="黑体" w:hint="default"/>
        </w:rPr>
        <w:t>日合并资产负债表</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before="29"/>
        <w:ind w:left="15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054"/>
        <w:gridCol w:w="992"/>
        <w:gridCol w:w="2410"/>
        <w:gridCol w:w="2410"/>
      </w:tblGrid>
      <w:tr>
        <w:trPr>
          <w:trHeight w:val="49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91" w:right="0"/>
              <w:jc w:val="left"/>
              <w:rPr>
                <w:rFonts w:ascii="黑体" w:hAnsi="黑体" w:cs="黑体" w:eastAsia="黑体" w:hint="default"/>
                <w:sz w:val="18"/>
                <w:szCs w:val="18"/>
              </w:rPr>
            </w:pPr>
            <w:r>
              <w:rPr>
                <w:rFonts w:ascii="黑体" w:hAnsi="黑体" w:cs="黑体" w:eastAsia="黑体" w:hint="default"/>
                <w:sz w:val="18"/>
                <w:szCs w:val="18"/>
              </w:rPr>
              <w:t>负债及股东权益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10"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3,225,641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1,836,529</w:t>
            </w:r>
          </w:p>
        </w:tc>
      </w:tr>
      <w:tr>
        <w:trPr>
          <w:trHeight w:val="49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18"/>
                <w:szCs w:val="18"/>
              </w:rPr>
            </w:pPr>
          </w:p>
          <w:p>
            <w:pPr>
              <w:pStyle w:val="TableParagraph"/>
              <w:spacing w:line="240" w:lineRule="auto"/>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14,910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137,200</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w:hAnsi="Arial" w:cs="Arial" w:eastAsia="Arial" w:hint="default"/>
                <w:sz w:val="18"/>
                <w:szCs w:val="18"/>
              </w:rPr>
            </w:pPr>
            <w:r>
              <w:rPr>
                <w:rFonts w:ascii="Arial"/>
                <w:spacing w:val="-1"/>
                <w:sz w:val="18"/>
              </w:rPr>
              <w:t>23,890,061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w:hAnsi="Arial" w:cs="Arial" w:eastAsia="Arial" w:hint="default"/>
                <w:sz w:val="18"/>
                <w:szCs w:val="18"/>
              </w:rPr>
            </w:pPr>
            <w:r>
              <w:rPr>
                <w:rFonts w:ascii="Arial"/>
                <w:spacing w:val="-1"/>
                <w:sz w:val="18"/>
              </w:rPr>
              <w:t>22,442,132</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9,058,853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8,427,397</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982,758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1,451,732</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355,535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353,563</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978,017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1,082,560</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42,536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42,089</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6,233,929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5,442,037</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144,393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217,187</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808,026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684,486</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45,734,659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18"/>
                <w:szCs w:val="18"/>
              </w:rPr>
            </w:pPr>
            <w:r>
              <w:rPr>
                <w:rFonts w:ascii="Arial"/>
                <w:spacing w:val="-2"/>
                <w:sz w:val="18"/>
              </w:rPr>
              <w:t>42,116,912</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357,918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914,214</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7,977,095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7,961,177</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42,460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61,244</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1,805,638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1,421,918</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20,854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17,233</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191,483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159,356</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20,499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4,873</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10,415,947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10,540,015</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56,150,606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18"/>
                <w:szCs w:val="18"/>
              </w:rPr>
            </w:pPr>
            <w:r>
              <w:rPr>
                <w:rFonts w:ascii="Arial"/>
                <w:spacing w:val="-1"/>
                <w:sz w:val="18"/>
              </w:rPr>
              <w:t>52,656,927</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7,383,043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7,383,043</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5,237,740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4,679,567</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61,833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(77,343)</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1,160,735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1,160,735</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27,864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10,321</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2"/>
                <w:sz w:val="18"/>
              </w:rPr>
              <w:t>16,611,341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16,125,532</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黑体" w:hAnsi="黑体" w:cs="黑体" w:eastAsia="黑体" w:hint="default"/>
                <w:sz w:val="18"/>
                <w:szCs w:val="18"/>
              </w:rPr>
            </w:pPr>
            <w:r>
              <w:rPr>
                <w:rFonts w:ascii="黑体" w:hAnsi="黑体" w:cs="黑体" w:eastAsia="黑体" w:hint="default"/>
                <w:sz w:val="18"/>
                <w:szCs w:val="18"/>
              </w:rPr>
              <w:t>归属于本公司股东权益合计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30,482,556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18"/>
                <w:szCs w:val="18"/>
              </w:rPr>
            </w:pPr>
            <w:r>
              <w:rPr>
                <w:rFonts w:ascii="Arial"/>
                <w:spacing w:val="-1"/>
                <w:sz w:val="18"/>
              </w:rPr>
              <w:t>29,281,855</w:t>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0"/>
              <w:jc w:val="right"/>
              <w:rPr>
                <w:rFonts w:ascii="Arial" w:hAnsi="Arial" w:cs="Arial" w:eastAsia="Arial" w:hint="default"/>
                <w:sz w:val="18"/>
                <w:szCs w:val="18"/>
              </w:rPr>
            </w:pPr>
            <w:r>
              <w:rPr>
                <w:rFonts w:ascii="宋体" w:hAnsi="宋体" w:cs="宋体" w:eastAsia="宋体" w:hint="default"/>
                <w:spacing w:val="-1"/>
                <w:sz w:val="18"/>
                <w:szCs w:val="18"/>
              </w:rPr>
              <w:t>六</w:t>
            </w:r>
            <w:r>
              <w:rPr>
                <w:rFonts w:ascii="Arial" w:hAnsi="Arial" w:cs="Arial" w:eastAsia="Arial" w:hint="default"/>
                <w:spacing w:val="-1"/>
                <w:sz w:val="18"/>
                <w:szCs w:val="18"/>
              </w:rPr>
              <w:t>(1)(b)</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1,442,510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254,947</w:t>
            </w:r>
            <w:r>
              <w:rPr>
                <w:rFonts w:ascii="Arial"/>
                <w:sz w:val="18"/>
              </w:rPr>
            </w: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31,925,066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29,536,802</w:t>
            </w:r>
          </w:p>
        </w:tc>
      </w:tr>
      <w:tr>
        <w:trPr>
          <w:trHeight w:val="251"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负债及股东权益总计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88,075,672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18"/>
                <w:szCs w:val="18"/>
              </w:rPr>
            </w:pPr>
            <w:r>
              <w:rPr>
                <w:rFonts w:ascii="Arial"/>
                <w:spacing w:val="-1"/>
                <w:sz w:val="18"/>
              </w:rPr>
              <w:t>82,193,729</w:t>
            </w:r>
          </w:p>
        </w:tc>
      </w:tr>
    </w:tbl>
    <w:p>
      <w:pPr>
        <w:spacing w:line="240" w:lineRule="auto" w:before="6"/>
        <w:rPr>
          <w:rFonts w:ascii="Arial" w:hAnsi="Arial" w:cs="Arial" w:eastAsia="Arial"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0"/>
        <w:rPr>
          <w:rFonts w:ascii="宋体" w:hAnsi="宋体" w:cs="宋体" w:eastAsia="宋体" w:hint="default"/>
          <w:sz w:val="21"/>
          <w:szCs w:val="21"/>
        </w:rPr>
      </w:pPr>
    </w:p>
    <w:p>
      <w:pPr>
        <w:tabs>
          <w:tab w:pos="3392" w:val="left" w:leader="none"/>
          <w:tab w:pos="7443"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footerReference w:type="default" r:id="rId34"/>
          <w:pgSz w:w="11910" w:h="16840"/>
          <w:pgMar w:footer="570" w:header="603" w:top="840" w:bottom="760" w:left="1140" w:right="0"/>
          <w:pgNumType w:start="104"/>
        </w:sectPr>
      </w:pPr>
    </w:p>
    <w:p>
      <w:pPr>
        <w:pStyle w:val="Heading3"/>
        <w:spacing w:line="328" w:lineRule="exact"/>
        <w:ind w:left="112" w:right="0"/>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9"/>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2"/>
        </w:rPr>
        <w:t> </w:t>
      </w:r>
      <w:r>
        <w:rPr>
          <w:rFonts w:ascii="Arial" w:hAnsi="Arial" w:cs="Arial" w:eastAsia="Arial" w:hint="default"/>
        </w:rPr>
        <w:t>31</w:t>
      </w:r>
      <w:r>
        <w:rPr>
          <w:rFonts w:ascii="Arial" w:hAnsi="Arial" w:cs="Arial" w:eastAsia="Arial" w:hint="default"/>
          <w:spacing w:val="-9"/>
        </w:rPr>
        <w:t> </w:t>
      </w:r>
      <w:r>
        <w:rPr>
          <w:rFonts w:ascii="黑体" w:hAnsi="黑体" w:cs="黑体" w:eastAsia="黑体" w:hint="default"/>
        </w:rPr>
        <w:t>日公司资产负债表</w:t>
      </w:r>
    </w:p>
    <w:p>
      <w:pPr>
        <w:spacing w:before="29"/>
        <w:ind w:left="11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4"/>
          <w:szCs w:val="14"/>
        </w:rPr>
      </w:pPr>
    </w:p>
    <w:tbl>
      <w:tblPr>
        <w:tblW w:w="0" w:type="auto"/>
        <w:jc w:val="left"/>
        <w:tblInd w:w="165" w:type="dxa"/>
        <w:tblLayout w:type="fixed"/>
        <w:tblCellMar>
          <w:top w:w="0" w:type="dxa"/>
          <w:left w:w="0" w:type="dxa"/>
          <w:bottom w:w="0" w:type="dxa"/>
          <w:right w:w="0" w:type="dxa"/>
        </w:tblCellMar>
        <w:tblLook w:val="01E0"/>
      </w:tblPr>
      <w:tblGrid>
        <w:gridCol w:w="2823"/>
        <w:gridCol w:w="1417"/>
        <w:gridCol w:w="2127"/>
        <w:gridCol w:w="2268"/>
      </w:tblGrid>
      <w:tr>
        <w:trPr>
          <w:trHeight w:val="49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黑体" w:hAnsi="黑体" w:cs="黑体" w:eastAsia="黑体" w:hint="default"/>
                <w:sz w:val="18"/>
                <w:szCs w:val="18"/>
              </w:rPr>
            </w:pPr>
            <w:r>
              <w:rPr>
                <w:rFonts w:ascii="黑体" w:hAnsi="黑体" w:cs="黑体" w:eastAsia="黑体" w:hint="default"/>
                <w:sz w:val="18"/>
                <w:szCs w:val="18"/>
              </w:rPr>
              <w:t>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黑体" w:hAnsi="黑体" w:cs="黑体" w:eastAsia="黑体" w:hint="default"/>
                <w:sz w:val="18"/>
                <w:szCs w:val="18"/>
              </w:rPr>
            </w:pPr>
            <w:r>
              <w:rPr>
                <w:rFonts w:ascii="黑体" w:hAnsi="黑体" w:cs="黑体" w:eastAsia="黑体" w:hint="default"/>
                <w:sz w:val="18"/>
                <w:szCs w:val="18"/>
              </w:rPr>
              <w:t>附注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14,510,091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15,682,067</w:t>
            </w:r>
          </w:p>
        </w:tc>
      </w:tr>
      <w:tr>
        <w:trPr>
          <w:trHeight w:val="49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以公允价值计量且其变动计入当</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657,487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2,644,705</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w:hAnsi="Arial" w:cs="Arial" w:eastAsia="Arial" w:hint="default"/>
                <w:sz w:val="18"/>
                <w:szCs w:val="18"/>
              </w:rPr>
            </w:pPr>
            <w:r>
              <w:rPr>
                <w:rFonts w:ascii="Arial"/>
                <w:spacing w:val="-1"/>
                <w:sz w:val="18"/>
              </w:rPr>
              <w:t>4,424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w:hAnsi="Arial" w:cs="Arial" w:eastAsia="Arial" w:hint="default"/>
                <w:sz w:val="18"/>
                <w:szCs w:val="18"/>
              </w:rPr>
            </w:pPr>
            <w:r>
              <w:rPr>
                <w:rFonts w:ascii="Arial"/>
                <w:spacing w:val="-1"/>
                <w:w w:val="95"/>
                <w:sz w:val="18"/>
              </w:rPr>
              <w:t>64</w:t>
            </w:r>
            <w:r>
              <w:rPr>
                <w:rFonts w:ascii="Arial"/>
                <w:sz w:val="18"/>
              </w:rPr>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十七</w:t>
            </w:r>
            <w:r>
              <w:rPr>
                <w:rFonts w:ascii="Arial" w:hAnsi="Arial" w:cs="Arial" w:eastAsia="Arial" w:hint="default"/>
                <w:sz w:val="18"/>
                <w:szCs w:val="18"/>
              </w:rPr>
              <w:t>(1)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24,689,195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17,019,461</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7,352,767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3,581,760</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49,474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52,650</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860,986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十七</w:t>
            </w:r>
            <w:r>
              <w:rPr>
                <w:rFonts w:ascii="Arial" w:hAnsi="Arial" w:cs="Arial" w:eastAsia="Arial" w:hint="default"/>
                <w:sz w:val="18"/>
                <w:szCs w:val="18"/>
              </w:rPr>
              <w:t>(2)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6,596,139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4,210,996</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3"/>
                <w:sz w:val="18"/>
              </w:rPr>
              <w:t>11,115,799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13,402,886</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1,158,071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855,474</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66,994,433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57,450,063</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1,651,227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2"/>
                <w:sz w:val="18"/>
              </w:rPr>
              <w:t>1,311,507</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924,900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923,656</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十七</w:t>
            </w:r>
            <w:r>
              <w:rPr>
                <w:rFonts w:ascii="Arial" w:hAnsi="Arial" w:cs="Arial" w:eastAsia="Arial" w:hint="default"/>
                <w:sz w:val="18"/>
                <w:szCs w:val="18"/>
              </w:rPr>
              <w:t>(3)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15,266,501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14,699,620</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584,163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432,789</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2,464,239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2,689,875</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46,171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36,618</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w w:val="95"/>
                <w:sz w:val="18"/>
              </w:rPr>
              <w:t>13</w:t>
            </w:r>
            <w:r>
              <w:rPr>
                <w:rFonts w:ascii="Arial"/>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2,423</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466,826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538,022</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1,921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3"/>
                <w:sz w:val="18"/>
              </w:rPr>
              <w:t>11,276</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3"/>
                <w:sz w:val="18"/>
              </w:rPr>
              <w:t>381,011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18"/>
                <w:szCs w:val="18"/>
              </w:rPr>
            </w:pPr>
            <w:r>
              <w:rPr>
                <w:rFonts w:ascii="Arial"/>
                <w:spacing w:val="-1"/>
                <w:sz w:val="18"/>
              </w:rPr>
              <w:t>321,041</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387,237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Arial" w:hAnsi="Arial" w:cs="Arial" w:eastAsia="Arial" w:hint="default"/>
                <w:sz w:val="18"/>
                <w:szCs w:val="18"/>
              </w:rPr>
            </w:pPr>
            <w:r>
              <w:rPr>
                <w:rFonts w:ascii="Arial"/>
                <w:spacing w:val="-1"/>
                <w:sz w:val="18"/>
              </w:rPr>
              <w:t>247,047</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23,174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34,085</w:t>
            </w: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22,197,383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21,247,959</w:t>
            </w:r>
          </w:p>
        </w:tc>
      </w:tr>
      <w:tr>
        <w:trPr>
          <w:trHeight w:val="25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89,191,816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18"/>
                <w:szCs w:val="18"/>
              </w:rPr>
            </w:pPr>
            <w:r>
              <w:rPr>
                <w:rFonts w:ascii="Arial"/>
                <w:spacing w:val="-1"/>
                <w:sz w:val="18"/>
              </w:rPr>
              <w:t>78,698,022</w:t>
            </w:r>
          </w:p>
        </w:tc>
      </w:tr>
    </w:tbl>
    <w:p>
      <w:pPr>
        <w:spacing w:after="0" w:line="240" w:lineRule="auto"/>
        <w:jc w:val="right"/>
        <w:rPr>
          <w:rFonts w:ascii="Arial" w:hAnsi="Arial" w:cs="Arial" w:eastAsia="Arial" w:hint="default"/>
          <w:sz w:val="18"/>
          <w:szCs w:val="18"/>
        </w:rPr>
        <w:sectPr>
          <w:pgSz w:w="11910" w:h="16840"/>
          <w:pgMar w:header="603" w:footer="570" w:top="840" w:bottom="760" w:left="1180" w:right="0"/>
        </w:sectPr>
      </w:pPr>
    </w:p>
    <w:p>
      <w:pPr>
        <w:pStyle w:val="Heading3"/>
        <w:spacing w:line="328" w:lineRule="exact"/>
        <w:ind w:left="152" w:right="0"/>
        <w:jc w:val="left"/>
        <w:rPr>
          <w:rFonts w:ascii="Arial" w:hAnsi="Arial" w:cs="Arial" w:eastAsia="Arial" w:hint="default"/>
        </w:rPr>
      </w:pPr>
      <w:r>
        <w:rPr>
          <w:rFonts w:ascii="Arial" w:hAnsi="Arial" w:cs="Arial" w:eastAsia="Arial" w:hint="default"/>
        </w:rPr>
        <w:t>2015</w:t>
      </w:r>
      <w:r>
        <w:rPr>
          <w:rFonts w:ascii="Arial" w:hAnsi="Arial" w:cs="Arial" w:eastAsia="Arial" w:hint="default"/>
          <w:spacing w:val="-9"/>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2"/>
        </w:rPr>
        <w:t> </w:t>
      </w:r>
      <w:r>
        <w:rPr>
          <w:rFonts w:ascii="Arial" w:hAnsi="Arial" w:cs="Arial" w:eastAsia="Arial" w:hint="default"/>
        </w:rPr>
        <w:t>31</w:t>
      </w:r>
      <w:r>
        <w:rPr>
          <w:rFonts w:ascii="Arial" w:hAnsi="Arial" w:cs="Arial" w:eastAsia="Arial" w:hint="default"/>
          <w:spacing w:val="-9"/>
        </w:rPr>
        <w:t> </w:t>
      </w:r>
      <w:r>
        <w:rPr>
          <w:rFonts w:ascii="黑体" w:hAnsi="黑体" w:cs="黑体" w:eastAsia="黑体" w:hint="default"/>
        </w:rPr>
        <w:t>日公司资产负债表</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before="29"/>
        <w:ind w:left="15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913"/>
        <w:gridCol w:w="877"/>
        <w:gridCol w:w="2525"/>
        <w:gridCol w:w="2410"/>
      </w:tblGrid>
      <w:tr>
        <w:trPr>
          <w:trHeight w:val="476"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0" w:right="0"/>
              <w:jc w:val="left"/>
              <w:rPr>
                <w:rFonts w:ascii="黑体" w:hAnsi="黑体" w:cs="黑体" w:eastAsia="黑体" w:hint="default"/>
                <w:sz w:val="18"/>
                <w:szCs w:val="18"/>
              </w:rPr>
            </w:pPr>
            <w:r>
              <w:rPr>
                <w:rFonts w:ascii="黑体" w:hAnsi="黑体" w:cs="黑体" w:eastAsia="黑体" w:hint="default"/>
                <w:sz w:val="18"/>
                <w:szCs w:val="18"/>
              </w:rPr>
              <w:t>负债及股东权益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3"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75"/>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7"/>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699,593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597,971</w:t>
            </w:r>
          </w:p>
        </w:tc>
      </w:tr>
      <w:tr>
        <w:trPr>
          <w:trHeight w:val="478"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14,910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46,800</w:t>
            </w:r>
          </w:p>
        </w:tc>
      </w:tr>
      <w:tr>
        <w:trPr>
          <w:trHeight w:val="24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13,563,085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15,056,569</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9,579,569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8,902,127</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29,470,690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23,813,616</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41,871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42,487</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3"/>
                <w:sz w:val="18"/>
              </w:rPr>
              <w:t>117,369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19,184</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39,356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39,483</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6,527,492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1,305,686</w:t>
            </w:r>
          </w:p>
        </w:tc>
      </w:tr>
      <w:tr>
        <w:trPr>
          <w:trHeight w:val="242"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36,025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69,581</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57,582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52,949</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60,147,542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49,946,453</w:t>
            </w:r>
          </w:p>
        </w:tc>
      </w:tr>
      <w:tr>
        <w:trPr>
          <w:trHeight w:val="217" w:hRule="exact"/>
        </w:trPr>
        <w:tc>
          <w:tcPr>
            <w:tcW w:w="291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7,977,095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7,961,177</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1,261,652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1,104,089</w:t>
            </w:r>
          </w:p>
        </w:tc>
      </w:tr>
      <w:tr>
        <w:trPr>
          <w:trHeight w:val="242"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9,238,747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9,065,266</w:t>
            </w:r>
          </w:p>
        </w:tc>
      </w:tr>
      <w:tr>
        <w:trPr>
          <w:trHeight w:val="217" w:hRule="exact"/>
        </w:trPr>
        <w:tc>
          <w:tcPr>
            <w:tcW w:w="291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69,386,289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2"/>
                <w:sz w:val="18"/>
              </w:rPr>
              <w:t>59,011,719</w:t>
            </w:r>
          </w:p>
        </w:tc>
      </w:tr>
      <w:tr>
        <w:trPr>
          <w:trHeight w:val="217" w:hRule="exact"/>
        </w:trPr>
        <w:tc>
          <w:tcPr>
            <w:tcW w:w="291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7,383,043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7,383,043</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5,065,208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5,065,208</w:t>
            </w:r>
          </w:p>
        </w:tc>
      </w:tr>
      <w:tr>
        <w:trPr>
          <w:trHeight w:val="242"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267,134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108,425</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1,160,735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1,160,735</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5,929,407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5,968,892</w:t>
            </w: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19,805,527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19,686,303</w:t>
            </w:r>
          </w:p>
        </w:tc>
      </w:tr>
      <w:tr>
        <w:trPr>
          <w:trHeight w:val="217" w:hRule="exact"/>
        </w:trPr>
        <w:tc>
          <w:tcPr>
            <w:tcW w:w="291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负债及股东权益总计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89,191,816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78,698,022</w:t>
            </w:r>
          </w:p>
        </w:tc>
      </w:tr>
    </w:tbl>
    <w:p>
      <w:pPr>
        <w:spacing w:line="240" w:lineRule="auto" w:before="5"/>
        <w:rPr>
          <w:rFonts w:ascii="Arial" w:hAnsi="Arial" w:cs="Arial" w:eastAsia="Arial"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1"/>
        <w:rPr>
          <w:rFonts w:ascii="宋体" w:hAnsi="宋体" w:cs="宋体" w:eastAsia="宋体" w:hint="default"/>
          <w:sz w:val="21"/>
          <w:szCs w:val="21"/>
        </w:rPr>
      </w:pPr>
    </w:p>
    <w:p>
      <w:pPr>
        <w:tabs>
          <w:tab w:pos="3572" w:val="left" w:leader="none"/>
          <w:tab w:pos="7533"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footerReference w:type="default" r:id="rId35"/>
          <w:pgSz w:w="11910" w:h="16840"/>
          <w:pgMar w:footer="761" w:header="603" w:top="840" w:bottom="960" w:left="1140" w:right="0"/>
          <w:pgNumType w:start="106"/>
        </w:sectPr>
      </w:pPr>
    </w:p>
    <w:p>
      <w:pPr>
        <w:pStyle w:val="Heading3"/>
        <w:spacing w:line="328" w:lineRule="exact"/>
        <w:ind w:left="172" w:right="0"/>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年度合并及公司利润表</w:t>
      </w:r>
    </w:p>
    <w:p>
      <w:pPr>
        <w:spacing w:before="29"/>
        <w:ind w:left="17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1"/>
          <w:szCs w:val="21"/>
        </w:rPr>
      </w:pPr>
    </w:p>
    <w:tbl>
      <w:tblPr>
        <w:tblW w:w="0" w:type="auto"/>
        <w:jc w:val="left"/>
        <w:tblInd w:w="135" w:type="dxa"/>
        <w:tblLayout w:type="fixed"/>
        <w:tblCellMar>
          <w:top w:w="0" w:type="dxa"/>
          <w:left w:w="0" w:type="dxa"/>
          <w:bottom w:w="0" w:type="dxa"/>
          <w:right w:w="0" w:type="dxa"/>
        </w:tblCellMar>
        <w:tblLook w:val="01E0"/>
      </w:tblPr>
      <w:tblGrid>
        <w:gridCol w:w="3479"/>
        <w:gridCol w:w="992"/>
        <w:gridCol w:w="1311"/>
        <w:gridCol w:w="1312"/>
        <w:gridCol w:w="1310"/>
        <w:gridCol w:w="1313"/>
      </w:tblGrid>
      <w:tr>
        <w:trPr>
          <w:trHeight w:val="476"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黑体" w:hAnsi="黑体" w:cs="黑体" w:eastAsia="黑体" w:hint="default"/>
                <w:sz w:val="18"/>
                <w:szCs w:val="18"/>
              </w:rPr>
            </w:pPr>
            <w:r>
              <w:rPr>
                <w:rFonts w:ascii="黑体" w:hAnsi="黑体" w:cs="黑体" w:eastAsia="黑体" w:hint="default"/>
                <w:sz w:val="18"/>
                <w:szCs w:val="18"/>
              </w:rPr>
              <w:t>附注</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476"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left="103" w:right="0"/>
              <w:jc w:val="left"/>
              <w:rPr>
                <w:rFonts w:ascii="黑体" w:hAnsi="黑体" w:cs="黑体" w:eastAsia="黑体" w:hint="default"/>
                <w:sz w:val="18"/>
                <w:szCs w:val="18"/>
              </w:rPr>
            </w:pPr>
            <w:r>
              <w:rPr>
                <w:rFonts w:ascii="黑体" w:hAnsi="黑体" w:cs="黑体" w:eastAsia="黑体" w:hint="default"/>
                <w:sz w:val="18"/>
                <w:szCs w:val="18"/>
              </w:rPr>
              <w:t>一、营业收入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51"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(44)</w:t>
            </w:r>
            <w:r>
              <w:rPr>
                <w:rFonts w:ascii="宋体" w:hAnsi="宋体" w:cs="宋体" w:eastAsia="宋体" w:hint="default"/>
                <w:sz w:val="18"/>
                <w:szCs w:val="18"/>
              </w:rPr>
              <w:t>、</w:t>
            </w:r>
          </w:p>
          <w:p>
            <w:pPr>
              <w:pStyle w:val="TableParagraph"/>
              <w:spacing w:line="241" w:lineRule="exact"/>
              <w:ind w:left="201" w:right="0"/>
              <w:jc w:val="left"/>
              <w:rPr>
                <w:rFonts w:ascii="Arial" w:hAnsi="Arial" w:cs="Arial" w:eastAsia="Arial" w:hint="default"/>
                <w:sz w:val="18"/>
                <w:szCs w:val="18"/>
              </w:rPr>
            </w:pPr>
            <w:r>
              <w:rPr>
                <w:rFonts w:ascii="宋体" w:hAnsi="宋体" w:cs="宋体" w:eastAsia="宋体" w:hint="default"/>
                <w:sz w:val="18"/>
                <w:szCs w:val="18"/>
              </w:rPr>
              <w:t>十七</w:t>
            </w:r>
            <w:r>
              <w:rPr>
                <w:rFonts w:ascii="Arial" w:hAnsi="Arial" w:cs="Arial" w:eastAsia="Arial" w:hint="default"/>
                <w:sz w:val="18"/>
                <w:szCs w:val="18"/>
              </w:rPr>
              <w:t>(4)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spacing w:val="-1"/>
                <w:sz w:val="18"/>
              </w:rPr>
              <w:t>135,547,633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spacing w:val="-1"/>
                <w:sz w:val="18"/>
              </w:rPr>
              <w:t>108,925,296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5"/>
              <w:jc w:val="right"/>
              <w:rPr>
                <w:rFonts w:ascii="Arial" w:hAnsi="Arial" w:cs="Arial" w:eastAsia="Arial" w:hint="default"/>
                <w:sz w:val="18"/>
                <w:szCs w:val="18"/>
              </w:rPr>
            </w:pPr>
            <w:r>
              <w:rPr>
                <w:rFonts w:ascii="Arial"/>
                <w:spacing w:val="-1"/>
                <w:sz w:val="18"/>
              </w:rPr>
              <w:t>105,213,951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1"/>
                <w:sz w:val="18"/>
              </w:rPr>
              <w:t>85,814,766</w:t>
            </w:r>
          </w:p>
        </w:tc>
      </w:tr>
      <w:tr>
        <w:trPr>
          <w:trHeight w:val="478"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51"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(44)</w:t>
            </w:r>
            <w:r>
              <w:rPr>
                <w:rFonts w:ascii="宋体" w:hAnsi="宋体" w:cs="宋体" w:eastAsia="宋体" w:hint="default"/>
                <w:sz w:val="18"/>
                <w:szCs w:val="18"/>
              </w:rPr>
              <w:t>、</w:t>
            </w:r>
          </w:p>
          <w:p>
            <w:pPr>
              <w:pStyle w:val="TableParagraph"/>
              <w:spacing w:line="241" w:lineRule="exact"/>
              <w:ind w:left="201" w:right="0"/>
              <w:jc w:val="left"/>
              <w:rPr>
                <w:rFonts w:ascii="Arial" w:hAnsi="Arial" w:cs="Arial" w:eastAsia="Arial" w:hint="default"/>
                <w:sz w:val="18"/>
                <w:szCs w:val="18"/>
              </w:rPr>
            </w:pPr>
            <w:r>
              <w:rPr>
                <w:rFonts w:ascii="宋体" w:hAnsi="宋体" w:cs="宋体" w:eastAsia="宋体" w:hint="default"/>
                <w:sz w:val="18"/>
                <w:szCs w:val="18"/>
              </w:rPr>
              <w:t>十七</w:t>
            </w:r>
            <w:r>
              <w:rPr>
                <w:rFonts w:ascii="Arial" w:hAnsi="Arial" w:cs="Arial" w:eastAsia="Arial" w:hint="default"/>
                <w:sz w:val="18"/>
                <w:szCs w:val="18"/>
              </w:rPr>
              <w:t>(4)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2"/>
                <w:sz w:val="18"/>
              </w:rPr>
              <w:t>(115,981,182)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1"/>
                <w:sz w:val="18"/>
              </w:rPr>
              <w:t>(92,284,572)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spacing w:val="-1"/>
                <w:sz w:val="18"/>
              </w:rPr>
              <w:t>(102,049,127)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1"/>
                <w:sz w:val="18"/>
              </w:rPr>
              <w:t>(83,718,850)</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(585,796)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(357,160)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(77,728)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(29,354)</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(16,644,676)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(14,105,025)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(2,466,920)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2"/>
                <w:sz w:val="18"/>
              </w:rPr>
              <w:t>(1,649,113)</w:t>
            </w:r>
          </w:p>
        </w:tc>
      </w:tr>
      <w:tr>
        <w:trPr>
          <w:trHeight w:val="242"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(4,291,475)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(3,356,570)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(1,579,955)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(1,365,582)</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w:t>
            </w:r>
            <w:r>
              <w:rPr>
                <w:rFonts w:ascii="Arial" w:hAnsi="Arial" w:cs="Arial" w:eastAsia="Arial" w:hint="default"/>
                <w:sz w:val="18"/>
                <w:szCs w:val="18"/>
              </w:rPr>
              <w:t>(</w:t>
            </w:r>
            <w:r>
              <w:rPr>
                <w:rFonts w:ascii="宋体" w:hAnsi="宋体" w:cs="宋体" w:eastAsia="宋体" w:hint="default"/>
                <w:sz w:val="18"/>
                <w:szCs w:val="18"/>
              </w:rPr>
              <w:t>费用</w:t>
            </w:r>
            <w:r>
              <w:rPr>
                <w:rFonts w:ascii="Arial" w:hAnsi="Arial" w:cs="Arial" w:eastAsia="Arial" w:hint="default"/>
                <w:sz w:val="18"/>
                <w:szCs w:val="18"/>
              </w:rPr>
              <w:t>)/</w:t>
            </w:r>
            <w:r>
              <w:rPr>
                <w:rFonts w:ascii="宋体" w:hAnsi="宋体" w:cs="宋体" w:eastAsia="宋体" w:hint="default"/>
                <w:sz w:val="18"/>
                <w:szCs w:val="18"/>
              </w:rPr>
              <w:t>收入</w:t>
            </w:r>
            <w:r>
              <w:rPr>
                <w:rFonts w:ascii="Arial" w:hAnsi="Arial" w:cs="Arial" w:eastAsia="Arial" w:hint="default"/>
                <w:sz w:val="18"/>
                <w:szCs w:val="18"/>
              </w:rPr>
              <w:t>-</w:t>
            </w:r>
            <w:r>
              <w:rPr>
                <w:rFonts w:ascii="宋体" w:hAnsi="宋体" w:cs="宋体" w:eastAsia="宋体" w:hint="default"/>
                <w:sz w:val="18"/>
                <w:szCs w:val="18"/>
              </w:rPr>
              <w:t>净额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(104,282)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(66,770)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79,245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20,571</w:t>
            </w:r>
          </w:p>
        </w:tc>
      </w:tr>
      <w:tr>
        <w:trPr>
          <w:trHeight w:val="451"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w w:val="99"/>
                <w:sz w:val="18"/>
                <w:szCs w:val="18"/>
              </w:rPr>
              <w:t>(</w:t>
            </w:r>
            <w:r>
              <w:rPr>
                <w:rFonts w:ascii="Arial" w:hAnsi="Arial" w:cs="Arial" w:eastAsia="Arial" w:hint="default"/>
                <w:spacing w:val="-1"/>
                <w:w w:val="99"/>
                <w:sz w:val="18"/>
                <w:szCs w:val="18"/>
              </w:rPr>
              <w:t>21</w:t>
            </w:r>
            <w:r>
              <w:rPr>
                <w:rFonts w:ascii="Arial" w:hAnsi="Arial" w:cs="Arial" w:eastAsia="Arial" w:hint="default"/>
                <w:w w:val="99"/>
                <w:sz w:val="18"/>
                <w:szCs w:val="18"/>
              </w:rPr>
              <w:t>)</w:t>
            </w:r>
            <w:r>
              <w:rPr>
                <w:rFonts w:ascii="宋体" w:hAnsi="宋体" w:cs="宋体" w:eastAsia="宋体" w:hint="default"/>
                <w:spacing w:val="-84"/>
                <w:w w:val="99"/>
                <w:sz w:val="18"/>
                <w:szCs w:val="18"/>
              </w:rPr>
              <w:t>、</w:t>
            </w:r>
            <w:r>
              <w:rPr>
                <w:rFonts w:ascii="宋体" w:hAnsi="宋体" w:cs="宋体" w:eastAsia="宋体" w:hint="default"/>
                <w:w w:val="99"/>
                <w:sz w:val="18"/>
                <w:szCs w:val="18"/>
              </w:rPr>
              <w:t>四</w:t>
            </w:r>
            <w:r>
              <w:rPr>
                <w:rFonts w:ascii="宋体" w:hAnsi="宋体" w:cs="宋体" w:eastAsia="宋体" w:hint="default"/>
                <w:sz w:val="18"/>
                <w:szCs w:val="18"/>
              </w:rPr>
            </w:r>
          </w:p>
          <w:p>
            <w:pPr>
              <w:pStyle w:val="TableParagraph"/>
              <w:spacing w:line="240" w:lineRule="auto" w:before="12"/>
              <w:ind w:right="1"/>
              <w:jc w:val="center"/>
              <w:rPr>
                <w:rFonts w:ascii="Arial" w:hAnsi="Arial" w:cs="Arial" w:eastAsia="Arial" w:hint="default"/>
                <w:sz w:val="18"/>
                <w:szCs w:val="18"/>
              </w:rPr>
            </w:pPr>
            <w:r>
              <w:rPr>
                <w:rFonts w:ascii="Arial"/>
                <w:sz w:val="18"/>
              </w:rPr>
              <w:t>(52)</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3"/>
              <w:jc w:val="right"/>
              <w:rPr>
                <w:rFonts w:ascii="Arial" w:hAnsi="Arial" w:cs="Arial" w:eastAsia="Arial" w:hint="default"/>
                <w:sz w:val="18"/>
                <w:szCs w:val="18"/>
              </w:rPr>
            </w:pPr>
            <w:r>
              <w:rPr>
                <w:rFonts w:ascii="Arial"/>
                <w:spacing w:val="-1"/>
                <w:sz w:val="18"/>
              </w:rPr>
              <w:t>(198,087)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3"/>
              <w:jc w:val="right"/>
              <w:rPr>
                <w:rFonts w:ascii="Arial" w:hAnsi="Arial" w:cs="Arial" w:eastAsia="Arial" w:hint="default"/>
                <w:sz w:val="18"/>
                <w:szCs w:val="18"/>
              </w:rPr>
            </w:pPr>
            <w:r>
              <w:rPr>
                <w:rFonts w:ascii="Arial"/>
                <w:spacing w:val="-1"/>
                <w:sz w:val="18"/>
              </w:rPr>
              <w:t>(174,955)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4"/>
              <w:jc w:val="right"/>
              <w:rPr>
                <w:rFonts w:ascii="Arial" w:hAnsi="Arial" w:cs="Arial" w:eastAsia="Arial" w:hint="default"/>
                <w:sz w:val="18"/>
                <w:szCs w:val="18"/>
              </w:rPr>
            </w:pPr>
            <w:r>
              <w:rPr>
                <w:rFonts w:ascii="Arial"/>
                <w:spacing w:val="-1"/>
                <w:sz w:val="18"/>
              </w:rPr>
              <w:t>(137,614)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3"/>
              <w:jc w:val="right"/>
              <w:rPr>
                <w:rFonts w:ascii="Arial" w:hAnsi="Arial" w:cs="Arial" w:eastAsia="Arial" w:hint="default"/>
                <w:sz w:val="18"/>
                <w:szCs w:val="18"/>
              </w:rPr>
            </w:pPr>
            <w:r>
              <w:rPr>
                <w:rFonts w:ascii="Arial"/>
                <w:spacing w:val="-1"/>
                <w:sz w:val="18"/>
              </w:rPr>
              <w:t>(149,606)</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(6,920)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(9,330)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(9,197)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(7,372)</w:t>
            </w:r>
          </w:p>
        </w:tc>
      </w:tr>
      <w:tr>
        <w:trPr>
          <w:trHeight w:val="476"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w:hAnsi="Arial" w:cs="Arial" w:eastAsia="Arial"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宋体" w:hAnsi="宋体" w:cs="宋体" w:eastAsia="宋体" w:hint="default"/>
                <w:sz w:val="18"/>
                <w:szCs w:val="18"/>
              </w:rPr>
              <w:t>加：投资收益</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51"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(51)</w:t>
            </w:r>
            <w:r>
              <w:rPr>
                <w:rFonts w:ascii="宋体" w:hAnsi="宋体" w:cs="宋体" w:eastAsia="宋体" w:hint="default"/>
                <w:sz w:val="18"/>
                <w:szCs w:val="18"/>
              </w:rPr>
              <w:t>、</w:t>
            </w:r>
          </w:p>
          <w:p>
            <w:pPr>
              <w:pStyle w:val="TableParagraph"/>
              <w:spacing w:line="241" w:lineRule="exact"/>
              <w:ind w:left="201" w:right="0"/>
              <w:jc w:val="left"/>
              <w:rPr>
                <w:rFonts w:ascii="Arial" w:hAnsi="Arial" w:cs="Arial" w:eastAsia="Arial" w:hint="default"/>
                <w:sz w:val="18"/>
                <w:szCs w:val="18"/>
              </w:rPr>
            </w:pPr>
            <w:r>
              <w:rPr>
                <w:rFonts w:ascii="宋体" w:hAnsi="宋体" w:cs="宋体" w:eastAsia="宋体" w:hint="default"/>
                <w:sz w:val="18"/>
                <w:szCs w:val="18"/>
              </w:rPr>
              <w:t>十七</w:t>
            </w:r>
            <w:r>
              <w:rPr>
                <w:rFonts w:ascii="Arial" w:hAnsi="Arial" w:cs="Arial" w:eastAsia="Arial" w:hint="default"/>
                <w:sz w:val="18"/>
                <w:szCs w:val="18"/>
              </w:rPr>
              <w:t>(5)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5"/>
              <w:jc w:val="right"/>
              <w:rPr>
                <w:rFonts w:ascii="Arial" w:hAnsi="Arial" w:cs="Arial" w:eastAsia="Arial" w:hint="default"/>
                <w:sz w:val="18"/>
                <w:szCs w:val="18"/>
              </w:rPr>
            </w:pPr>
            <w:r>
              <w:rPr>
                <w:rFonts w:ascii="Arial"/>
                <w:spacing w:val="-1"/>
                <w:sz w:val="18"/>
              </w:rPr>
              <w:t>1,654,764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1"/>
                <w:sz w:val="18"/>
              </w:rPr>
              <w:t>(29,847)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5"/>
              <w:jc w:val="right"/>
              <w:rPr>
                <w:rFonts w:ascii="Arial" w:hAnsi="Arial" w:cs="Arial" w:eastAsia="Arial" w:hint="default"/>
                <w:sz w:val="18"/>
                <w:szCs w:val="18"/>
              </w:rPr>
            </w:pPr>
            <w:r>
              <w:rPr>
                <w:rFonts w:ascii="Arial"/>
                <w:spacing w:val="-1"/>
                <w:sz w:val="18"/>
              </w:rPr>
              <w:t>1,157,410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spacing w:val="-1"/>
                <w:sz w:val="18"/>
              </w:rPr>
              <w:t>362,943</w:t>
            </w:r>
          </w:p>
        </w:tc>
      </w:tr>
      <w:tr>
        <w:trPr>
          <w:trHeight w:val="476"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其中：对合营企业及联营企业的投资</w:t>
            </w:r>
          </w:p>
          <w:p>
            <w:pPr>
              <w:pStyle w:val="TableParagraph"/>
              <w:spacing w:line="235" w:lineRule="exact"/>
              <w:ind w:left="964"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spacing w:val="-1"/>
                <w:sz w:val="18"/>
              </w:rPr>
              <w:t>(41,383)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1"/>
                <w:sz w:val="18"/>
              </w:rPr>
              <w:t>(235,232)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spacing w:val="-1"/>
                <w:sz w:val="18"/>
              </w:rPr>
              <w:t>(35,070)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34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黑体" w:hAnsi="黑体" w:cs="黑体" w:eastAsia="黑体" w:hint="default"/>
                <w:sz w:val="18"/>
                <w:szCs w:val="18"/>
              </w:rPr>
              <w:t>二、营业</w:t>
            </w:r>
            <w:r>
              <w:rPr>
                <w:rFonts w:ascii="Arial" w:hAnsi="Arial" w:cs="Arial" w:eastAsia="Arial" w:hint="default"/>
                <w:sz w:val="18"/>
                <w:szCs w:val="18"/>
              </w:rPr>
              <w:t>(</w:t>
            </w:r>
            <w:r>
              <w:rPr>
                <w:rFonts w:ascii="黑体" w:hAnsi="黑体" w:cs="黑体" w:eastAsia="黑体" w:hint="default"/>
                <w:sz w:val="18"/>
                <w:szCs w:val="18"/>
              </w:rPr>
              <w:t>损失</w:t>
            </w:r>
            <w:r>
              <w:rPr>
                <w:rFonts w:ascii="Arial" w:hAnsi="Arial" w:cs="Arial" w:eastAsia="Arial" w:hint="default"/>
                <w:sz w:val="18"/>
                <w:szCs w:val="18"/>
              </w:rPr>
              <w:t>)/</w:t>
            </w:r>
            <w:r>
              <w:rPr>
                <w:rFonts w:ascii="黑体" w:hAnsi="黑体" w:cs="黑体" w:eastAsia="黑体" w:hint="default"/>
                <w:sz w:val="18"/>
                <w:szCs w:val="18"/>
              </w:rPr>
              <w:t>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(610,021)</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(1,458,933)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spacing w:val="-1"/>
                <w:sz w:val="18"/>
              </w:rPr>
              <w:t>130,065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(721,597)</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right"/>
              <w:rPr>
                <w:rFonts w:ascii="Arial" w:hAnsi="Arial" w:cs="Arial" w:eastAsia="Arial" w:hint="default"/>
                <w:sz w:val="18"/>
                <w:szCs w:val="18"/>
              </w:rPr>
            </w:pPr>
            <w:r>
              <w:rPr>
                <w:rFonts w:ascii="Arial"/>
                <w:spacing w:val="-1"/>
                <w:sz w:val="18"/>
              </w:rPr>
              <w:t>1,665,224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2,652,150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22,547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33,247</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right"/>
              <w:rPr>
                <w:rFonts w:ascii="Arial" w:hAnsi="Arial" w:cs="Arial" w:eastAsia="Arial" w:hint="default"/>
                <w:sz w:val="18"/>
                <w:szCs w:val="18"/>
              </w:rPr>
            </w:pPr>
            <w:r>
              <w:rPr>
                <w:rFonts w:ascii="Arial"/>
                <w:spacing w:val="-1"/>
                <w:sz w:val="18"/>
              </w:rPr>
              <w:t>1,415,228</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2,449,352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right"/>
              <w:rPr>
                <w:rFonts w:ascii="Arial" w:hAnsi="Arial" w:cs="Arial" w:eastAsia="Arial" w:hint="default"/>
                <w:sz w:val="18"/>
                <w:szCs w:val="18"/>
              </w:rPr>
            </w:pPr>
            <w:r>
              <w:rPr>
                <w:rFonts w:ascii="Arial"/>
                <w:spacing w:val="-1"/>
                <w:sz w:val="18"/>
              </w:rPr>
              <w:t>3,237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2,502</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(166,246)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(220,604)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(16,035)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(23,432)</w:t>
            </w:r>
          </w:p>
        </w:tc>
      </w:tr>
      <w:tr>
        <w:trPr>
          <w:trHeight w:val="242"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(17,882)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(28,824)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(1,687)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(1,751)</w:t>
            </w:r>
          </w:p>
        </w:tc>
      </w:tr>
      <w:tr>
        <w:trPr>
          <w:trHeight w:val="217" w:hRule="exact"/>
        </w:trPr>
        <w:tc>
          <w:tcPr>
            <w:tcW w:w="34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黑体" w:hAnsi="黑体" w:cs="黑体" w:eastAsia="黑体" w:hint="default"/>
                <w:sz w:val="18"/>
                <w:szCs w:val="18"/>
              </w:rPr>
              <w:t>三、利润</w:t>
            </w:r>
            <w:r>
              <w:rPr>
                <w:rFonts w:ascii="Arial" w:hAnsi="Arial" w:cs="Arial" w:eastAsia="Arial" w:hint="default"/>
                <w:sz w:val="18"/>
                <w:szCs w:val="18"/>
              </w:rPr>
              <w:t>/(</w:t>
            </w:r>
            <w:r>
              <w:rPr>
                <w:rFonts w:ascii="黑体" w:hAnsi="黑体" w:cs="黑体" w:eastAsia="黑体" w:hint="default"/>
                <w:sz w:val="18"/>
                <w:szCs w:val="18"/>
              </w:rPr>
              <w:t>亏损</w:t>
            </w:r>
            <w:r>
              <w:rPr>
                <w:rFonts w:ascii="Arial" w:hAnsi="Arial" w:cs="Arial" w:eastAsia="Arial" w:hint="default"/>
                <w:sz w:val="18"/>
                <w:szCs w:val="18"/>
              </w:rPr>
              <w:t>)</w:t>
            </w:r>
            <w:r>
              <w:rPr>
                <w:rFonts w:ascii="黑体" w:hAnsi="黑体" w:cs="黑体" w:eastAsia="黑体" w:hint="default"/>
                <w:sz w:val="18"/>
                <w:szCs w:val="18"/>
              </w:rPr>
              <w:t>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888,957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972,613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spacing w:val="-1"/>
                <w:sz w:val="18"/>
              </w:rPr>
              <w:t>136,577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2"/>
                <w:sz w:val="18"/>
              </w:rPr>
              <w:t>(711,782)</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(131,225)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(148,575)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spacing w:val="-1"/>
                <w:sz w:val="18"/>
              </w:rPr>
              <w:t>193,090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178,296</w:t>
            </w:r>
          </w:p>
        </w:tc>
      </w:tr>
      <w:tr>
        <w:trPr>
          <w:trHeight w:val="217" w:hRule="exact"/>
        </w:trPr>
        <w:tc>
          <w:tcPr>
            <w:tcW w:w="34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黑体" w:hAnsi="黑体" w:cs="黑体" w:eastAsia="黑体" w:hint="default"/>
                <w:sz w:val="18"/>
                <w:szCs w:val="18"/>
              </w:rPr>
              <w:t>四、净利润</w:t>
            </w:r>
            <w:r>
              <w:rPr>
                <w:rFonts w:ascii="Arial" w:hAnsi="Arial" w:cs="Arial" w:eastAsia="Arial" w:hint="default"/>
                <w:sz w:val="18"/>
                <w:szCs w:val="18"/>
              </w:rPr>
              <w:t>/(</w:t>
            </w:r>
            <w:r>
              <w:rPr>
                <w:rFonts w:ascii="黑体" w:hAnsi="黑体" w:cs="黑体" w:eastAsia="黑体" w:hint="default"/>
                <w:sz w:val="18"/>
                <w:szCs w:val="18"/>
              </w:rPr>
              <w:t>亏损</w:t>
            </w:r>
            <w:r>
              <w:rPr>
                <w:rFonts w:ascii="Arial" w:hAnsi="Arial" w:cs="Arial" w:eastAsia="Arial"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757,732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824,038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right"/>
              <w:rPr>
                <w:rFonts w:ascii="Arial" w:hAnsi="Arial" w:cs="Arial" w:eastAsia="Arial" w:hint="default"/>
                <w:sz w:val="18"/>
                <w:szCs w:val="18"/>
              </w:rPr>
            </w:pPr>
            <w:r>
              <w:rPr>
                <w:rFonts w:ascii="Arial"/>
                <w:spacing w:val="-1"/>
                <w:sz w:val="18"/>
              </w:rPr>
              <w:t>329,667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(533,486)</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z w:val="18"/>
                <w:szCs w:val="18"/>
              </w:rPr>
              <w:t>其中：归属于本公司股东的净利润</w:t>
            </w:r>
            <w:r>
              <w:rPr>
                <w:rFonts w:ascii="Arial" w:hAnsi="Arial" w:cs="Arial" w:eastAsia="Arial" w:hint="default"/>
                <w:sz w:val="18"/>
                <w:szCs w:val="18"/>
              </w:rPr>
              <w:t>/(</w:t>
            </w:r>
            <w:r>
              <w:rPr>
                <w:rFonts w:ascii="宋体" w:hAnsi="宋体" w:cs="宋体" w:eastAsia="宋体" w:hint="default"/>
                <w:sz w:val="18"/>
                <w:szCs w:val="18"/>
              </w:rPr>
              <w:t>亏损</w:t>
            </w:r>
            <w:r>
              <w:rPr>
                <w:rFonts w:ascii="Arial" w:hAnsi="Arial" w:cs="Arial" w:eastAsia="Arial"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872,504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866,915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right"/>
              <w:rPr>
                <w:rFonts w:ascii="Arial" w:hAnsi="Arial" w:cs="Arial" w:eastAsia="Arial" w:hint="default"/>
                <w:sz w:val="18"/>
                <w:szCs w:val="18"/>
              </w:rPr>
            </w:pPr>
            <w:r>
              <w:rPr>
                <w:rFonts w:ascii="Arial"/>
                <w:spacing w:val="-1"/>
                <w:sz w:val="18"/>
              </w:rPr>
              <w:t>329,667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(533,486)</w:t>
            </w:r>
          </w:p>
        </w:tc>
      </w:tr>
      <w:tr>
        <w:trPr>
          <w:trHeight w:val="242"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(1)(b)</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2"/>
                <w:sz w:val="18"/>
              </w:rPr>
              <w:t>(114,772)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(42,877)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right"/>
              <w:rPr>
                <w:rFonts w:ascii="Arial" w:hAnsi="Arial" w:cs="Arial" w:eastAsia="Arial" w:hint="default"/>
                <w:sz w:val="18"/>
                <w:szCs w:val="18"/>
              </w:rPr>
            </w:pPr>
            <w:r>
              <w:rPr>
                <w:rFonts w:ascii="Arial"/>
                <w:w w:val="99"/>
                <w:sz w:val="18"/>
              </w:rPr>
              <w:t>-</w:t>
            </w:r>
            <w:r>
              <w:rPr>
                <w:rFonts w:ascii="Arial"/>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34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五、其他综合收益的税后净额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208,664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30,252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8" w:right="0"/>
              <w:jc w:val="left"/>
              <w:rPr>
                <w:rFonts w:ascii="Arial" w:hAnsi="Arial" w:cs="Arial" w:eastAsia="Arial" w:hint="default"/>
                <w:sz w:val="18"/>
                <w:szCs w:val="18"/>
              </w:rPr>
            </w:pPr>
            <w:r>
              <w:rPr>
                <w:rFonts w:ascii="Arial"/>
                <w:sz w:val="18"/>
              </w:rPr>
              <w:t>158,709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125,858</w:t>
            </w:r>
          </w:p>
        </w:tc>
      </w:tr>
      <w:tr>
        <w:trPr>
          <w:trHeight w:val="476"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归属于本公司股东的其他综合收益的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税后净额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spacing w:val="-1"/>
                <w:sz w:val="18"/>
              </w:rPr>
              <w:t>139,176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1"/>
                <w:sz w:val="18"/>
              </w:rPr>
              <w:t>63,417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left="548" w:right="0"/>
              <w:jc w:val="left"/>
              <w:rPr>
                <w:rFonts w:ascii="Arial" w:hAnsi="Arial" w:cs="Arial" w:eastAsia="Arial" w:hint="default"/>
                <w:sz w:val="18"/>
                <w:szCs w:val="18"/>
              </w:rPr>
            </w:pPr>
            <w:r>
              <w:rPr>
                <w:rFonts w:ascii="Arial"/>
                <w:sz w:val="18"/>
              </w:rPr>
              <w:t>158,709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spacing w:val="-1"/>
                <w:sz w:val="18"/>
              </w:rPr>
              <w:t>125,858</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139,176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63,417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8" w:right="0"/>
              <w:jc w:val="left"/>
              <w:rPr>
                <w:rFonts w:ascii="Arial" w:hAnsi="Arial" w:cs="Arial" w:eastAsia="Arial" w:hint="default"/>
                <w:sz w:val="18"/>
                <w:szCs w:val="18"/>
              </w:rPr>
            </w:pPr>
            <w:r>
              <w:rPr>
                <w:rFonts w:ascii="Arial"/>
                <w:sz w:val="18"/>
              </w:rPr>
              <w:t>158,709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
              <w:jc w:val="right"/>
              <w:rPr>
                <w:rFonts w:ascii="Arial" w:hAnsi="Arial" w:cs="Arial" w:eastAsia="Arial" w:hint="default"/>
                <w:sz w:val="18"/>
                <w:szCs w:val="18"/>
              </w:rPr>
            </w:pPr>
            <w:r>
              <w:rPr>
                <w:rFonts w:ascii="Arial"/>
                <w:spacing w:val="-1"/>
                <w:sz w:val="18"/>
              </w:rPr>
              <w:t>125,858</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spacing w:val="-1"/>
                <w:sz w:val="18"/>
              </w:rPr>
              <w:t>158,299</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126,567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8" w:right="0"/>
              <w:jc w:val="left"/>
              <w:rPr>
                <w:rFonts w:ascii="Arial" w:hAnsi="Arial" w:cs="Arial" w:eastAsia="Arial" w:hint="default"/>
                <w:sz w:val="18"/>
                <w:szCs w:val="18"/>
              </w:rPr>
            </w:pPr>
            <w:r>
              <w:rPr>
                <w:rFonts w:ascii="Arial"/>
                <w:sz w:val="18"/>
              </w:rPr>
              <w:t>158,709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125,858</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
              <w:jc w:val="right"/>
              <w:rPr>
                <w:rFonts w:ascii="Arial" w:hAnsi="Arial" w:cs="Arial" w:eastAsia="Arial" w:hint="default"/>
                <w:sz w:val="18"/>
                <w:szCs w:val="18"/>
              </w:rPr>
            </w:pPr>
            <w:r>
              <w:rPr>
                <w:rFonts w:ascii="Arial"/>
                <w:spacing w:val="-1"/>
                <w:sz w:val="18"/>
              </w:rPr>
              <w:t>(19,123)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Arial" w:hAnsi="Arial" w:cs="Arial" w:eastAsia="Arial" w:hint="default"/>
                <w:sz w:val="18"/>
                <w:szCs w:val="18"/>
              </w:rPr>
            </w:pPr>
            <w:r>
              <w:rPr>
                <w:rFonts w:ascii="Arial"/>
                <w:spacing w:val="-1"/>
                <w:sz w:val="18"/>
              </w:rPr>
              <w:t>(63,150)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
              <w:jc w:val="right"/>
              <w:rPr>
                <w:rFonts w:ascii="Arial" w:hAnsi="Arial" w:cs="Arial" w:eastAsia="Arial" w:hint="default"/>
                <w:sz w:val="18"/>
                <w:szCs w:val="18"/>
              </w:rPr>
            </w:pPr>
            <w:r>
              <w:rPr>
                <w:rFonts w:ascii="Arial"/>
                <w:w w:val="99"/>
                <w:sz w:val="18"/>
              </w:rPr>
              <w:t>-</w:t>
            </w:r>
            <w:r>
              <w:rPr>
                <w:rFonts w:ascii="Arial"/>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
              <w:jc w:val="right"/>
              <w:rPr>
                <w:rFonts w:ascii="Arial" w:hAnsi="Arial" w:cs="Arial" w:eastAsia="Arial" w:hint="default"/>
                <w:sz w:val="18"/>
                <w:szCs w:val="18"/>
              </w:rPr>
            </w:pPr>
            <w:r>
              <w:rPr>
                <w:rFonts w:ascii="Arial"/>
                <w:w w:val="99"/>
                <w:sz w:val="18"/>
              </w:rPr>
              <w:t>-</w:t>
            </w:r>
            <w:r>
              <w:rPr>
                <w:rFonts w:ascii="Arial"/>
                <w:sz w:val="18"/>
              </w:rPr>
            </w:r>
          </w:p>
        </w:tc>
      </w:tr>
      <w:tr>
        <w:trPr>
          <w:trHeight w:val="476"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spacing w:val="-1"/>
                <w:sz w:val="18"/>
              </w:rPr>
              <w:t>69,488</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1"/>
                <w:sz w:val="18"/>
              </w:rPr>
              <w:t>(33,165)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六、综合收益总额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966,396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854,290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8" w:right="0"/>
              <w:jc w:val="left"/>
              <w:rPr>
                <w:rFonts w:ascii="Arial" w:hAnsi="Arial" w:cs="Arial" w:eastAsia="Arial" w:hint="default"/>
                <w:sz w:val="18"/>
                <w:szCs w:val="18"/>
              </w:rPr>
            </w:pPr>
            <w:r>
              <w:rPr>
                <w:rFonts w:ascii="Arial"/>
                <w:sz w:val="18"/>
              </w:rPr>
              <w:t>488,376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(407,628)</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归属于本公司股东的综合收益总额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2"/>
                <w:sz w:val="18"/>
              </w:rPr>
              <w:t>1,011,680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930,332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48" w:right="0"/>
              <w:jc w:val="left"/>
              <w:rPr>
                <w:rFonts w:ascii="Arial" w:hAnsi="Arial" w:cs="Arial" w:eastAsia="Arial" w:hint="default"/>
                <w:sz w:val="18"/>
                <w:szCs w:val="18"/>
              </w:rPr>
            </w:pPr>
            <w:r>
              <w:rPr>
                <w:rFonts w:ascii="Arial"/>
                <w:sz w:val="18"/>
              </w:rPr>
              <w:t>488,376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(407,628)</w:t>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(45,284)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(76,042)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right"/>
              <w:rPr>
                <w:rFonts w:ascii="Arial" w:hAnsi="Arial" w:cs="Arial" w:eastAsia="Arial" w:hint="default"/>
                <w:sz w:val="18"/>
                <w:szCs w:val="18"/>
              </w:rPr>
            </w:pPr>
            <w:r>
              <w:rPr>
                <w:rFonts w:ascii="Arial"/>
                <w:w w:val="99"/>
                <w:sz w:val="18"/>
              </w:rPr>
              <w:t>-</w:t>
            </w:r>
            <w:r>
              <w:rPr>
                <w:rFonts w:ascii="Arial"/>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七、每股收益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z w:val="18"/>
                <w:szCs w:val="18"/>
              </w:rPr>
              <w:t>基本每股收益</w:t>
            </w:r>
            <w:r>
              <w:rPr>
                <w:rFonts w:ascii="Arial" w:hAnsi="Arial" w:cs="Arial" w:eastAsia="Arial" w:hint="default"/>
                <w:sz w:val="18"/>
                <w:szCs w:val="18"/>
              </w:rPr>
              <w:t>(</w:t>
            </w:r>
            <w:r>
              <w:rPr>
                <w:rFonts w:ascii="宋体" w:hAnsi="宋体" w:cs="宋体" w:eastAsia="宋体" w:hint="default"/>
                <w:sz w:val="18"/>
                <w:szCs w:val="18"/>
              </w:rPr>
              <w:t>人民币元</w:t>
            </w:r>
            <w:r>
              <w:rPr>
                <w:rFonts w:ascii="Arial" w:hAnsi="Arial" w:cs="Arial" w:eastAsia="Arial"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0.12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0.12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45" w:hRule="exact"/>
        </w:trPr>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Arial" w:hAnsi="Arial" w:cs="Arial" w:eastAsia="Arial" w:hint="default"/>
                <w:sz w:val="18"/>
                <w:szCs w:val="18"/>
              </w:rPr>
            </w:pPr>
            <w:r>
              <w:rPr>
                <w:rFonts w:ascii="宋体" w:hAnsi="宋体" w:cs="宋体" w:eastAsia="宋体" w:hint="default"/>
                <w:sz w:val="18"/>
                <w:szCs w:val="18"/>
              </w:rPr>
              <w:t>稀释每股收益</w:t>
            </w:r>
            <w:r>
              <w:rPr>
                <w:rFonts w:ascii="Arial" w:hAnsi="Arial" w:cs="Arial" w:eastAsia="Arial" w:hint="default"/>
                <w:sz w:val="18"/>
                <w:szCs w:val="18"/>
              </w:rPr>
              <w:t>(</w:t>
            </w:r>
            <w:r>
              <w:rPr>
                <w:rFonts w:ascii="宋体" w:hAnsi="宋体" w:cs="宋体" w:eastAsia="宋体" w:hint="default"/>
                <w:sz w:val="18"/>
                <w:szCs w:val="18"/>
              </w:rPr>
              <w:t>人民币元</w:t>
            </w:r>
            <w:r>
              <w:rPr>
                <w:rFonts w:ascii="Arial" w:hAnsi="Arial" w:cs="Arial" w:eastAsia="Arial"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0.12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0.12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6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1"/>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Arial" w:hAnsi="Arial" w:cs="Arial" w:eastAsia="Arial" w:hint="default"/>
          <w:sz w:val="24"/>
          <w:szCs w:val="24"/>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0"/>
        <w:rPr>
          <w:rFonts w:ascii="宋体" w:hAnsi="宋体" w:cs="宋体" w:eastAsia="宋体" w:hint="default"/>
          <w:sz w:val="21"/>
          <w:szCs w:val="21"/>
        </w:rPr>
      </w:pPr>
    </w:p>
    <w:p>
      <w:pPr>
        <w:tabs>
          <w:tab w:pos="3477" w:val="left" w:leader="none"/>
          <w:tab w:pos="7527"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pgSz w:w="11910" w:h="16840"/>
          <w:pgMar w:header="603" w:footer="761" w:top="840" w:bottom="960" w:left="1120" w:right="0"/>
        </w:sectPr>
      </w:pPr>
    </w:p>
    <w:p>
      <w:pPr>
        <w:pStyle w:val="Heading3"/>
        <w:spacing w:line="322" w:lineRule="exact"/>
        <w:ind w:left="152" w:right="0"/>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年度合并及公司现金流量表</w:t>
      </w:r>
    </w:p>
    <w:p>
      <w:pPr>
        <w:spacing w:line="243" w:lineRule="exact" w:before="0"/>
        <w:ind w:left="15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3622"/>
        <w:gridCol w:w="991"/>
        <w:gridCol w:w="1654"/>
        <w:gridCol w:w="1512"/>
        <w:gridCol w:w="1476"/>
        <w:gridCol w:w="1312"/>
      </w:tblGrid>
      <w:tr>
        <w:trPr>
          <w:trHeight w:val="476"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一、经营活动产生的现金流量</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157,526,056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126,542,150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91,223,830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0"/>
              <w:jc w:val="right"/>
              <w:rPr>
                <w:rFonts w:ascii="Arial" w:hAnsi="Arial" w:cs="Arial" w:eastAsia="Arial" w:hint="default"/>
                <w:sz w:val="18"/>
                <w:szCs w:val="18"/>
              </w:rPr>
            </w:pPr>
            <w:r>
              <w:rPr>
                <w:rFonts w:ascii="Arial"/>
                <w:spacing w:val="-1"/>
                <w:sz w:val="18"/>
              </w:rPr>
              <w:t>81,726,154</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(57)(a)</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2,434,742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3,563,699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12,246,424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0"/>
              <w:jc w:val="right"/>
              <w:rPr>
                <w:rFonts w:ascii="Arial" w:hAnsi="Arial" w:cs="Arial" w:eastAsia="Arial" w:hint="default"/>
                <w:sz w:val="18"/>
                <w:szCs w:val="18"/>
              </w:rPr>
            </w:pPr>
            <w:r>
              <w:rPr>
                <w:rFonts w:ascii="Arial"/>
                <w:spacing w:val="-2"/>
                <w:sz w:val="18"/>
              </w:rPr>
              <w:t>2,711,618</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经营活动现金流入小计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159,960,798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130,105,849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103,470,254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0"/>
              <w:jc w:val="right"/>
              <w:rPr>
                <w:rFonts w:ascii="Arial" w:hAnsi="Arial" w:cs="Arial" w:eastAsia="Arial" w:hint="default"/>
                <w:sz w:val="18"/>
                <w:szCs w:val="18"/>
              </w:rPr>
            </w:pPr>
            <w:r>
              <w:rPr>
                <w:rFonts w:ascii="Arial"/>
                <w:spacing w:val="-1"/>
                <w:sz w:val="18"/>
              </w:rPr>
              <w:t>84,437,772</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2"/>
                <w:sz w:val="18"/>
              </w:rPr>
              <w:t>(134,203,118)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(109,561,787)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(89,124,193)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9"/>
              <w:jc w:val="right"/>
              <w:rPr>
                <w:rFonts w:ascii="Arial" w:hAnsi="Arial" w:cs="Arial" w:eastAsia="Arial" w:hint="default"/>
                <w:sz w:val="18"/>
                <w:szCs w:val="18"/>
              </w:rPr>
            </w:pPr>
            <w:r>
              <w:rPr>
                <w:rFonts w:ascii="Arial"/>
                <w:spacing w:val="-1"/>
                <w:sz w:val="18"/>
              </w:rPr>
              <w:t>(75,988,706)</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(6,679,276)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(5,957,350)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(868,015)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9"/>
              <w:jc w:val="right"/>
              <w:rPr>
                <w:rFonts w:ascii="Arial" w:hAnsi="Arial" w:cs="Arial" w:eastAsia="Arial" w:hint="default"/>
                <w:sz w:val="18"/>
                <w:szCs w:val="18"/>
              </w:rPr>
            </w:pPr>
            <w:r>
              <w:rPr>
                <w:rFonts w:ascii="Arial"/>
                <w:spacing w:val="-1"/>
                <w:sz w:val="18"/>
              </w:rPr>
              <w:t>(715,587)</w:t>
            </w:r>
          </w:p>
        </w:tc>
      </w:tr>
      <w:tr>
        <w:trPr>
          <w:trHeight w:val="2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(4,077,363)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(2,909,594)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(494,283)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9"/>
              <w:jc w:val="right"/>
              <w:rPr>
                <w:rFonts w:ascii="Arial" w:hAnsi="Arial" w:cs="Arial" w:eastAsia="Arial" w:hint="default"/>
                <w:sz w:val="18"/>
                <w:szCs w:val="18"/>
              </w:rPr>
            </w:pPr>
            <w:r>
              <w:rPr>
                <w:rFonts w:ascii="Arial"/>
                <w:spacing w:val="-1"/>
                <w:sz w:val="18"/>
              </w:rPr>
              <w:t>(229,027)</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(57)(b)</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(13,267,702)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(13,058,537)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(12,374,222)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9"/>
              <w:jc w:val="right"/>
              <w:rPr>
                <w:rFonts w:ascii="Arial" w:hAnsi="Arial" w:cs="Arial" w:eastAsia="Arial" w:hint="default"/>
                <w:sz w:val="18"/>
                <w:szCs w:val="18"/>
              </w:rPr>
            </w:pPr>
            <w:r>
              <w:rPr>
                <w:rFonts w:ascii="Arial"/>
                <w:spacing w:val="-1"/>
                <w:sz w:val="18"/>
              </w:rPr>
              <w:t>(7,639,308)</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经营活动现金流出小计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5" w:right="0"/>
              <w:jc w:val="left"/>
              <w:rPr>
                <w:rFonts w:ascii="Arial" w:hAnsi="Arial" w:cs="Arial" w:eastAsia="Arial" w:hint="default"/>
                <w:sz w:val="18"/>
                <w:szCs w:val="18"/>
              </w:rPr>
            </w:pPr>
            <w:r>
              <w:rPr>
                <w:rFonts w:ascii="Arial"/>
                <w:sz w:val="18"/>
              </w:rPr>
              <w:t>(158,227,459)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(131,487,268)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(102,860,713)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0"/>
              <w:jc w:val="right"/>
              <w:rPr>
                <w:rFonts w:ascii="Arial" w:hAnsi="Arial" w:cs="Arial" w:eastAsia="Arial" w:hint="default"/>
                <w:sz w:val="18"/>
                <w:szCs w:val="18"/>
              </w:rPr>
            </w:pPr>
            <w:r>
              <w:rPr>
                <w:rFonts w:ascii="Arial"/>
                <w:spacing w:val="-1"/>
                <w:sz w:val="18"/>
              </w:rPr>
              <w:t>(84,572,628)</w:t>
            </w:r>
            <w:r>
              <w:rPr>
                <w:rFonts w:ascii="Arial"/>
                <w:sz w:val="18"/>
              </w:rPr>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黑体" w:hAnsi="黑体" w:cs="黑体" w:eastAsia="黑体" w:hint="default"/>
                <w:sz w:val="18"/>
                <w:szCs w:val="18"/>
              </w:rPr>
              <w:t>经营活动产生</w:t>
            </w:r>
            <w:r>
              <w:rPr>
                <w:rFonts w:ascii="Arial" w:hAnsi="Arial" w:cs="Arial" w:eastAsia="Arial" w:hint="default"/>
                <w:sz w:val="18"/>
                <w:szCs w:val="18"/>
              </w:rPr>
              <w:t>/(</w:t>
            </w:r>
            <w:r>
              <w:rPr>
                <w:rFonts w:ascii="黑体" w:hAnsi="黑体" w:cs="黑体" w:eastAsia="黑体" w:hint="default"/>
                <w:sz w:val="18"/>
                <w:szCs w:val="18"/>
              </w:rPr>
              <w:t>使用</w:t>
            </w:r>
            <w:r>
              <w:rPr>
                <w:rFonts w:ascii="Arial" w:hAnsi="Arial" w:cs="Arial" w:eastAsia="Arial" w:hint="default"/>
                <w:sz w:val="18"/>
                <w:szCs w:val="18"/>
              </w:rPr>
              <w:t>)</w:t>
            </w:r>
            <w:r>
              <w:rPr>
                <w:rFonts w:ascii="黑体" w:hAnsi="黑体" w:cs="黑体" w:eastAsia="黑体" w:hint="default"/>
                <w:sz w:val="18"/>
                <w:szCs w:val="18"/>
              </w:rPr>
              <w:t>的现金流量净额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(58)(a)</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1,733,339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(1,381,419)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609,541</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9"/>
              <w:jc w:val="right"/>
              <w:rPr>
                <w:rFonts w:ascii="Arial" w:hAnsi="Arial" w:cs="Arial" w:eastAsia="Arial" w:hint="default"/>
                <w:sz w:val="18"/>
                <w:szCs w:val="18"/>
              </w:rPr>
            </w:pPr>
            <w:r>
              <w:rPr>
                <w:rFonts w:ascii="Arial"/>
                <w:spacing w:val="-1"/>
                <w:sz w:val="18"/>
              </w:rPr>
              <w:t>(134,856)</w:t>
            </w:r>
          </w:p>
        </w:tc>
      </w:tr>
      <w:tr>
        <w:trPr>
          <w:trHeight w:val="217"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二、投资活动产生的现金流量</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65,008,198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47,726,867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61,247,496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0"/>
              <w:jc w:val="right"/>
              <w:rPr>
                <w:rFonts w:ascii="Arial" w:hAnsi="Arial" w:cs="Arial" w:eastAsia="Arial" w:hint="default"/>
                <w:sz w:val="18"/>
                <w:szCs w:val="18"/>
              </w:rPr>
            </w:pPr>
            <w:r>
              <w:rPr>
                <w:rFonts w:ascii="Arial"/>
                <w:spacing w:val="-1"/>
                <w:sz w:val="18"/>
              </w:rPr>
              <w:t>52,402,705</w:t>
            </w:r>
          </w:p>
        </w:tc>
      </w:tr>
      <w:tr>
        <w:trPr>
          <w:trHeight w:val="2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293,650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393,025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399,636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0"/>
              <w:jc w:val="right"/>
              <w:rPr>
                <w:rFonts w:ascii="Arial" w:hAnsi="Arial" w:cs="Arial" w:eastAsia="Arial" w:hint="default"/>
                <w:sz w:val="18"/>
                <w:szCs w:val="18"/>
              </w:rPr>
            </w:pPr>
            <w:r>
              <w:rPr>
                <w:rFonts w:ascii="Arial"/>
                <w:spacing w:val="-1"/>
                <w:sz w:val="18"/>
              </w:rPr>
              <w:t>424,366</w:t>
            </w:r>
          </w:p>
        </w:tc>
      </w:tr>
      <w:tr>
        <w:trPr>
          <w:trHeight w:val="478"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回的现金净额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3,493,090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4,021,850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68,982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09"/>
              <w:jc w:val="right"/>
              <w:rPr>
                <w:rFonts w:ascii="Arial" w:hAnsi="Arial" w:cs="Arial" w:eastAsia="Arial" w:hint="default"/>
                <w:sz w:val="18"/>
                <w:szCs w:val="18"/>
              </w:rPr>
            </w:pPr>
            <w:r>
              <w:rPr>
                <w:rFonts w:ascii="Arial"/>
                <w:spacing w:val="-1"/>
                <w:sz w:val="18"/>
              </w:rPr>
              <w:t>2,342</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处置子公司所收到的现金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(58)(c)</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2,242,973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取得子公司收到的现金净额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(58)(c)</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187,717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投资活动现金流入小计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71,225,628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52,141,742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2"/>
                <w:sz w:val="18"/>
              </w:rPr>
              <w:t>61,716,114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0"/>
              <w:jc w:val="right"/>
              <w:rPr>
                <w:rFonts w:ascii="Arial" w:hAnsi="Arial" w:cs="Arial" w:eastAsia="Arial" w:hint="default"/>
                <w:sz w:val="18"/>
                <w:szCs w:val="18"/>
              </w:rPr>
            </w:pPr>
            <w:r>
              <w:rPr>
                <w:rFonts w:ascii="Arial"/>
                <w:spacing w:val="-1"/>
                <w:sz w:val="18"/>
              </w:rPr>
              <w:t>52,829,413</w:t>
            </w:r>
          </w:p>
        </w:tc>
      </w:tr>
      <w:tr>
        <w:trPr>
          <w:trHeight w:val="478"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left="315" w:right="0"/>
              <w:jc w:val="left"/>
              <w:rPr>
                <w:rFonts w:ascii="Arial" w:hAnsi="Arial" w:cs="Arial" w:eastAsia="Arial" w:hint="default"/>
                <w:sz w:val="18"/>
                <w:szCs w:val="18"/>
              </w:rPr>
            </w:pPr>
            <w:r>
              <w:rPr>
                <w:rFonts w:ascii="Arial"/>
                <w:sz w:val="18"/>
              </w:rPr>
              <w:t>(6,436,875)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(3,854,484)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2"/>
                <w:sz w:val="18"/>
              </w:rPr>
              <w:t>(116,500)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49"/>
              <w:jc w:val="right"/>
              <w:rPr>
                <w:rFonts w:ascii="Arial" w:hAnsi="Arial" w:cs="Arial" w:eastAsia="Arial" w:hint="default"/>
                <w:sz w:val="18"/>
                <w:szCs w:val="18"/>
              </w:rPr>
            </w:pPr>
            <w:r>
              <w:rPr>
                <w:rFonts w:ascii="Arial"/>
                <w:spacing w:val="-1"/>
                <w:sz w:val="18"/>
              </w:rPr>
              <w:t>(354,864)</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14" w:right="0"/>
              <w:jc w:val="left"/>
              <w:rPr>
                <w:rFonts w:ascii="Arial" w:hAnsi="Arial" w:cs="Arial" w:eastAsia="Arial" w:hint="default"/>
                <w:sz w:val="18"/>
                <w:szCs w:val="18"/>
              </w:rPr>
            </w:pPr>
            <w:r>
              <w:rPr>
                <w:rFonts w:ascii="Arial"/>
                <w:sz w:val="18"/>
              </w:rPr>
              <w:t>(65,068,965)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(50,189,951)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(61,197,545)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9"/>
              <w:jc w:val="right"/>
              <w:rPr>
                <w:rFonts w:ascii="Arial" w:hAnsi="Arial" w:cs="Arial" w:eastAsia="Arial" w:hint="default"/>
                <w:sz w:val="18"/>
                <w:szCs w:val="18"/>
              </w:rPr>
            </w:pPr>
            <w:r>
              <w:rPr>
                <w:rFonts w:ascii="Arial"/>
                <w:spacing w:val="-1"/>
                <w:sz w:val="18"/>
              </w:rPr>
              <w:t>(54,695,478)</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(58)(c)</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5" w:right="0"/>
              <w:jc w:val="left"/>
              <w:rPr>
                <w:rFonts w:ascii="Arial" w:hAnsi="Arial" w:cs="Arial" w:eastAsia="Arial" w:hint="default"/>
                <w:sz w:val="18"/>
                <w:szCs w:val="18"/>
              </w:rPr>
            </w:pPr>
            <w:r>
              <w:rPr>
                <w:rFonts w:ascii="Arial"/>
                <w:sz w:val="18"/>
              </w:rPr>
              <w:t>(5,973)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(104,355)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投资活动现金流出小计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7" w:right="0"/>
              <w:jc w:val="left"/>
              <w:rPr>
                <w:rFonts w:ascii="Arial" w:hAnsi="Arial" w:cs="Arial" w:eastAsia="Arial" w:hint="default"/>
                <w:sz w:val="18"/>
                <w:szCs w:val="18"/>
              </w:rPr>
            </w:pPr>
            <w:r>
              <w:rPr>
                <w:rFonts w:ascii="Arial"/>
                <w:sz w:val="18"/>
              </w:rPr>
              <w:t>(71,511,813)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(54,148,790)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(61,314,045)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9"/>
              <w:jc w:val="right"/>
              <w:rPr>
                <w:rFonts w:ascii="Arial" w:hAnsi="Arial" w:cs="Arial" w:eastAsia="Arial" w:hint="default"/>
                <w:sz w:val="18"/>
                <w:szCs w:val="18"/>
              </w:rPr>
            </w:pPr>
            <w:r>
              <w:rPr>
                <w:rFonts w:ascii="Arial"/>
                <w:spacing w:val="-1"/>
                <w:sz w:val="18"/>
              </w:rPr>
              <w:t>(55,050,342)</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黑体" w:hAnsi="黑体" w:cs="黑体" w:eastAsia="黑体" w:hint="default"/>
                <w:sz w:val="18"/>
                <w:szCs w:val="18"/>
              </w:rPr>
              <w:t>投资活动</w:t>
            </w:r>
            <w:r>
              <w:rPr>
                <w:rFonts w:ascii="Arial" w:hAnsi="Arial" w:cs="Arial" w:eastAsia="Arial" w:hint="default"/>
                <w:sz w:val="18"/>
                <w:szCs w:val="18"/>
              </w:rPr>
              <w:t>(</w:t>
            </w:r>
            <w:r>
              <w:rPr>
                <w:rFonts w:ascii="黑体" w:hAnsi="黑体" w:cs="黑体" w:eastAsia="黑体" w:hint="default"/>
                <w:sz w:val="18"/>
                <w:szCs w:val="18"/>
              </w:rPr>
              <w:t>使用</w:t>
            </w:r>
            <w:r>
              <w:rPr>
                <w:rFonts w:ascii="Arial" w:hAnsi="Arial" w:cs="Arial" w:eastAsia="Arial" w:hint="default"/>
                <w:sz w:val="18"/>
                <w:szCs w:val="18"/>
              </w:rPr>
              <w:t>)/</w:t>
            </w:r>
            <w:r>
              <w:rPr>
                <w:rFonts w:ascii="黑体" w:hAnsi="黑体" w:cs="黑体" w:eastAsia="黑体" w:hint="default"/>
                <w:sz w:val="18"/>
                <w:szCs w:val="18"/>
              </w:rPr>
              <w:t>产生的现金流量净额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5" w:right="0"/>
              <w:jc w:val="left"/>
              <w:rPr>
                <w:rFonts w:ascii="Arial" w:hAnsi="Arial" w:cs="Arial" w:eastAsia="Arial" w:hint="default"/>
                <w:sz w:val="18"/>
                <w:szCs w:val="18"/>
              </w:rPr>
            </w:pPr>
            <w:r>
              <w:rPr>
                <w:rFonts w:ascii="Arial"/>
                <w:sz w:val="18"/>
              </w:rPr>
              <w:t>(286,185)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(2,007,048)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402,069</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9"/>
              <w:jc w:val="right"/>
              <w:rPr>
                <w:rFonts w:ascii="Arial" w:hAnsi="Arial" w:cs="Arial" w:eastAsia="Arial" w:hint="default"/>
                <w:sz w:val="18"/>
                <w:szCs w:val="18"/>
              </w:rPr>
            </w:pPr>
            <w:r>
              <w:rPr>
                <w:rFonts w:ascii="Arial"/>
                <w:spacing w:val="-1"/>
                <w:sz w:val="18"/>
              </w:rPr>
              <w:t>(2,220,929)</w:t>
            </w:r>
          </w:p>
        </w:tc>
      </w:tr>
      <w:tr>
        <w:trPr>
          <w:trHeight w:val="217"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三、筹资活动产生的现金流量</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1,499,599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3"/>
                <w:sz w:val="18"/>
              </w:rPr>
              <w:t>11,588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1,499,599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3"/>
                <w:sz w:val="18"/>
              </w:rPr>
              <w:t>11,588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4,921,692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2"/>
                <w:sz w:val="18"/>
              </w:rPr>
              <w:t>3,113,510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699,593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9"/>
              <w:jc w:val="right"/>
              <w:rPr>
                <w:rFonts w:ascii="Arial" w:hAnsi="Arial" w:cs="Arial" w:eastAsia="Arial" w:hint="default"/>
                <w:sz w:val="18"/>
                <w:szCs w:val="18"/>
              </w:rPr>
            </w:pPr>
            <w:r>
              <w:rPr>
                <w:rFonts w:ascii="Arial"/>
                <w:spacing w:val="-1"/>
                <w:sz w:val="18"/>
              </w:rPr>
              <w:t>2,703,635</w:t>
            </w:r>
          </w:p>
        </w:tc>
      </w:tr>
      <w:tr>
        <w:trPr>
          <w:trHeight w:val="2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筹资活动现金流入小计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6,421,291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3,125,098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699,593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9"/>
              <w:jc w:val="right"/>
              <w:rPr>
                <w:rFonts w:ascii="Arial" w:hAnsi="Arial" w:cs="Arial" w:eastAsia="Arial" w:hint="default"/>
                <w:sz w:val="18"/>
                <w:szCs w:val="18"/>
              </w:rPr>
            </w:pPr>
            <w:r>
              <w:rPr>
                <w:rFonts w:ascii="Arial"/>
                <w:spacing w:val="-1"/>
                <w:sz w:val="18"/>
              </w:rPr>
              <w:t>2,703,635</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(2,518,432)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(1,971,420)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(597,971)</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9"/>
              <w:jc w:val="right"/>
              <w:rPr>
                <w:rFonts w:ascii="Arial" w:hAnsi="Arial" w:cs="Arial" w:eastAsia="Arial" w:hint="default"/>
                <w:sz w:val="18"/>
                <w:szCs w:val="18"/>
              </w:rPr>
            </w:pPr>
            <w:r>
              <w:rPr>
                <w:rFonts w:ascii="Arial"/>
                <w:spacing w:val="-1"/>
                <w:sz w:val="18"/>
              </w:rPr>
              <w:t>(2,105,665)</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(928,335)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(525,134)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2"/>
                <w:sz w:val="18"/>
              </w:rPr>
              <w:t>(833,114)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9"/>
              <w:jc w:val="right"/>
              <w:rPr>
                <w:rFonts w:ascii="Arial" w:hAnsi="Arial" w:cs="Arial" w:eastAsia="Arial" w:hint="default"/>
                <w:sz w:val="18"/>
                <w:szCs w:val="18"/>
              </w:rPr>
            </w:pPr>
            <w:r>
              <w:rPr>
                <w:rFonts w:ascii="Arial"/>
                <w:spacing w:val="-1"/>
                <w:sz w:val="18"/>
              </w:rPr>
              <w:t>(481,207)</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(3,638)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(78,149)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筹资活动现金流出小计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(3,524,916)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(2,496,554)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(1,431,085)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9"/>
              <w:jc w:val="right"/>
              <w:rPr>
                <w:rFonts w:ascii="Arial" w:hAnsi="Arial" w:cs="Arial" w:eastAsia="Arial" w:hint="default"/>
                <w:sz w:val="18"/>
                <w:szCs w:val="18"/>
              </w:rPr>
            </w:pPr>
            <w:r>
              <w:rPr>
                <w:rFonts w:ascii="Arial"/>
                <w:spacing w:val="-1"/>
                <w:sz w:val="18"/>
              </w:rPr>
              <w:t>(2,586,872)</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黑体" w:hAnsi="黑体" w:cs="黑体" w:eastAsia="黑体" w:hint="default"/>
                <w:sz w:val="18"/>
                <w:szCs w:val="18"/>
              </w:rPr>
              <w:t>筹资活动产生</w:t>
            </w:r>
            <w:r>
              <w:rPr>
                <w:rFonts w:ascii="Arial" w:hAnsi="Arial" w:cs="Arial" w:eastAsia="Arial" w:hint="default"/>
                <w:sz w:val="18"/>
                <w:szCs w:val="18"/>
              </w:rPr>
              <w:t>/(</w:t>
            </w:r>
            <w:r>
              <w:rPr>
                <w:rFonts w:ascii="黑体" w:hAnsi="黑体" w:cs="黑体" w:eastAsia="黑体" w:hint="default"/>
                <w:sz w:val="18"/>
                <w:szCs w:val="18"/>
              </w:rPr>
              <w:t>使用</w:t>
            </w:r>
            <w:r>
              <w:rPr>
                <w:rFonts w:ascii="Arial" w:hAnsi="Arial" w:cs="Arial" w:eastAsia="Arial" w:hint="default"/>
                <w:sz w:val="18"/>
                <w:szCs w:val="18"/>
              </w:rPr>
              <w:t>)</w:t>
            </w:r>
            <w:r>
              <w:rPr>
                <w:rFonts w:ascii="黑体" w:hAnsi="黑体" w:cs="黑体" w:eastAsia="黑体" w:hint="default"/>
                <w:sz w:val="18"/>
                <w:szCs w:val="18"/>
              </w:rPr>
              <w:t>的现金流量净额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2,896,375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628,544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(731,492)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9"/>
              <w:jc w:val="right"/>
              <w:rPr>
                <w:rFonts w:ascii="Arial" w:hAnsi="Arial" w:cs="Arial" w:eastAsia="Arial" w:hint="default"/>
                <w:sz w:val="18"/>
                <w:szCs w:val="18"/>
              </w:rPr>
            </w:pPr>
            <w:r>
              <w:rPr>
                <w:rFonts w:ascii="Arial"/>
                <w:spacing w:val="-3"/>
                <w:sz w:val="18"/>
              </w:rPr>
              <w:t>116,763</w:t>
            </w:r>
          </w:p>
        </w:tc>
      </w:tr>
      <w:tr>
        <w:trPr>
          <w:trHeight w:val="216"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四、汇率变动对现金及现金等价物的影响</w:t>
            </w: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177,065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(60,597)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黑体" w:hAnsi="黑体" w:cs="黑体" w:eastAsia="黑体" w:hint="default"/>
                <w:sz w:val="18"/>
                <w:szCs w:val="18"/>
              </w:rPr>
            </w:pPr>
            <w:r>
              <w:rPr>
                <w:rFonts w:ascii="黑体" w:hAnsi="黑体" w:cs="黑体" w:eastAsia="黑体" w:hint="default"/>
                <w:sz w:val="18"/>
                <w:szCs w:val="18"/>
              </w:rPr>
              <w:t>五、现金及现金等价物净增加</w:t>
            </w:r>
            <w:r>
              <w:rPr>
                <w:rFonts w:ascii="Arial" w:hAnsi="Arial" w:cs="Arial" w:eastAsia="Arial" w:hint="default"/>
                <w:sz w:val="18"/>
                <w:szCs w:val="18"/>
              </w:rPr>
              <w:t>/(</w:t>
            </w:r>
            <w:r>
              <w:rPr>
                <w:rFonts w:ascii="黑体" w:hAnsi="黑体" w:cs="黑体" w:eastAsia="黑体" w:hint="default"/>
                <w:sz w:val="18"/>
                <w:szCs w:val="18"/>
              </w:rPr>
              <w:t>减少</w:t>
            </w:r>
            <w:r>
              <w:rPr>
                <w:rFonts w:ascii="Arial" w:hAnsi="Arial" w:cs="Arial" w:eastAsia="Arial" w:hint="default"/>
                <w:sz w:val="18"/>
                <w:szCs w:val="18"/>
              </w:rPr>
              <w:t>)</w:t>
            </w:r>
            <w:r>
              <w:rPr>
                <w:rFonts w:ascii="黑体" w:hAnsi="黑体" w:cs="黑体" w:eastAsia="黑体" w:hint="default"/>
                <w:sz w:val="18"/>
                <w:szCs w:val="18"/>
              </w:rPr>
              <w:t>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(58)(b)</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w:hAnsi="Arial" w:cs="Arial" w:eastAsia="Arial" w:hint="default"/>
                <w:sz w:val="18"/>
                <w:szCs w:val="18"/>
              </w:rPr>
            </w:pPr>
            <w:r>
              <w:rPr>
                <w:rFonts w:ascii="Arial"/>
                <w:spacing w:val="-1"/>
                <w:sz w:val="18"/>
              </w:rPr>
              <w:t>4,520,594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Arial" w:hAnsi="Arial" w:cs="Arial" w:eastAsia="Arial" w:hint="default"/>
                <w:sz w:val="18"/>
                <w:szCs w:val="18"/>
              </w:rPr>
            </w:pPr>
            <w:r>
              <w:rPr>
                <w:rFonts w:ascii="Arial"/>
                <w:spacing w:val="-1"/>
                <w:sz w:val="18"/>
              </w:rPr>
              <w:t>(2,820,520)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w:hAnsi="Arial" w:cs="Arial" w:eastAsia="Arial" w:hint="default"/>
                <w:sz w:val="18"/>
                <w:szCs w:val="18"/>
              </w:rPr>
            </w:pPr>
            <w:r>
              <w:rPr>
                <w:rFonts w:ascii="Arial"/>
                <w:spacing w:val="-2"/>
                <w:w w:val="95"/>
                <w:sz w:val="18"/>
              </w:rPr>
              <w:t>280,118</w:t>
            </w:r>
            <w:r>
              <w:rPr>
                <w:rFonts w:ascii="Arial"/>
                <w:spacing w:val="-2"/>
                <w:sz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9"/>
              <w:jc w:val="right"/>
              <w:rPr>
                <w:rFonts w:ascii="Arial" w:hAnsi="Arial" w:cs="Arial" w:eastAsia="Arial" w:hint="default"/>
                <w:sz w:val="18"/>
                <w:szCs w:val="18"/>
              </w:rPr>
            </w:pPr>
            <w:r>
              <w:rPr>
                <w:rFonts w:ascii="Arial"/>
                <w:spacing w:val="-1"/>
                <w:sz w:val="18"/>
              </w:rPr>
              <w:t>(2,239,022)</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(58)(d)</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12,297,572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2"/>
                <w:sz w:val="18"/>
              </w:rPr>
              <w:t>15,118,092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8,984,779</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0"/>
              <w:jc w:val="right"/>
              <w:rPr>
                <w:rFonts w:ascii="Arial" w:hAnsi="Arial" w:cs="Arial" w:eastAsia="Arial" w:hint="default"/>
                <w:sz w:val="18"/>
                <w:szCs w:val="18"/>
              </w:rPr>
            </w:pPr>
            <w:r>
              <w:rPr>
                <w:rFonts w:ascii="Arial"/>
                <w:spacing w:val="-2"/>
                <w:sz w:val="18"/>
              </w:rPr>
              <w:t>11,223,801</w:t>
            </w:r>
          </w:p>
        </w:tc>
      </w:tr>
      <w:tr>
        <w:trPr>
          <w:trHeight w:val="217"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六、年末现金及现金等价物余额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(58)(d)</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16,818,166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12,297,572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9,264,897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0"/>
              <w:jc w:val="right"/>
              <w:rPr>
                <w:rFonts w:ascii="Arial" w:hAnsi="Arial" w:cs="Arial" w:eastAsia="Arial" w:hint="default"/>
                <w:sz w:val="18"/>
                <w:szCs w:val="18"/>
              </w:rPr>
            </w:pPr>
            <w:r>
              <w:rPr>
                <w:rFonts w:ascii="Arial"/>
                <w:spacing w:val="-1"/>
                <w:sz w:val="18"/>
              </w:rPr>
              <w:t>8,984,779</w:t>
            </w:r>
          </w:p>
        </w:tc>
      </w:tr>
    </w:tbl>
    <w:p>
      <w:pPr>
        <w:spacing w:line="240" w:lineRule="auto" w:before="6"/>
        <w:rPr>
          <w:rFonts w:ascii="Arial" w:hAnsi="Arial" w:cs="Arial" w:eastAsia="Arial"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21"/>
          <w:szCs w:val="21"/>
        </w:rPr>
      </w:pPr>
    </w:p>
    <w:p>
      <w:pPr>
        <w:tabs>
          <w:tab w:pos="3212" w:val="left" w:leader="none"/>
          <w:tab w:pos="7173"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pgSz w:w="11910" w:h="16840"/>
          <w:pgMar w:header="603" w:footer="761" w:top="840" w:bottom="960" w:left="1140" w:right="0"/>
        </w:sectPr>
      </w:pPr>
    </w:p>
    <w:p>
      <w:pPr>
        <w:pStyle w:val="Heading3"/>
        <w:spacing w:line="322" w:lineRule="exact"/>
        <w:ind w:left="430" w:right="0"/>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0"/>
        </w:rPr>
        <w:t> </w:t>
      </w:r>
      <w:r>
        <w:rPr>
          <w:rFonts w:ascii="黑体" w:hAnsi="黑体" w:cs="黑体" w:eastAsia="黑体" w:hint="default"/>
        </w:rPr>
        <w:t>年度合并股东权益变动表</w:t>
      </w:r>
    </w:p>
    <w:p>
      <w:pPr>
        <w:spacing w:line="243" w:lineRule="exact" w:before="0"/>
        <w:ind w:left="43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696"/>
        <w:gridCol w:w="991"/>
        <w:gridCol w:w="1134"/>
        <w:gridCol w:w="1277"/>
        <w:gridCol w:w="1283"/>
        <w:gridCol w:w="1196"/>
        <w:gridCol w:w="1277"/>
        <w:gridCol w:w="1417"/>
        <w:gridCol w:w="1418"/>
        <w:gridCol w:w="1276"/>
      </w:tblGrid>
      <w:tr>
        <w:trPr>
          <w:trHeight w:val="244" w:hRule="exact"/>
        </w:trPr>
        <w:tc>
          <w:tcPr>
            <w:tcW w:w="26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left="309"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75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黑体" w:hAnsi="黑体" w:cs="黑体" w:eastAsia="黑体" w:hint="default"/>
                <w:sz w:val="18"/>
                <w:szCs w:val="18"/>
              </w:rPr>
            </w:pPr>
            <w:r>
              <w:rPr>
                <w:rFonts w:ascii="黑体" w:hAnsi="黑体" w:cs="黑体" w:eastAsia="黑体" w:hint="default"/>
                <w:sz w:val="18"/>
                <w:szCs w:val="18"/>
              </w:rPr>
              <w:t>归属于本公司股东权益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
              <w:ind w:right="0"/>
              <w:jc w:val="left"/>
              <w:rPr>
                <w:rFonts w:ascii="Arial" w:hAnsi="Arial" w:cs="Arial" w:eastAsia="Arial" w:hint="default"/>
                <w:sz w:val="21"/>
                <w:szCs w:val="21"/>
              </w:rPr>
            </w:pPr>
          </w:p>
          <w:p>
            <w:pPr>
              <w:pStyle w:val="TableParagraph"/>
              <w:spacing w:line="240" w:lineRule="auto"/>
              <w:ind w:left="225"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9"/>
                <w:szCs w:val="19"/>
              </w:rPr>
            </w:pPr>
          </w:p>
          <w:p>
            <w:pPr>
              <w:pStyle w:val="TableParagraph"/>
              <w:spacing w:line="234" w:lineRule="exact"/>
              <w:ind w:right="101"/>
              <w:jc w:val="right"/>
              <w:rPr>
                <w:rFonts w:ascii="黑体" w:hAnsi="黑体" w:cs="黑体" w:eastAsia="黑体" w:hint="default"/>
                <w:sz w:val="18"/>
                <w:szCs w:val="18"/>
              </w:rPr>
            </w:pPr>
            <w:r>
              <w:rPr>
                <w:rFonts w:ascii="黑体" w:hAnsi="黑体" w:cs="黑体" w:eastAsia="黑体" w:hint="default"/>
                <w:sz w:val="18"/>
                <w:szCs w:val="18"/>
              </w:rPr>
              <w:t>股东权益合</w:t>
            </w:r>
          </w:p>
          <w:p>
            <w:pPr>
              <w:pStyle w:val="TableParagraph"/>
              <w:spacing w:line="234" w:lineRule="exact"/>
              <w:ind w:right="101"/>
              <w:jc w:val="right"/>
              <w:rPr>
                <w:rFonts w:ascii="黑体" w:hAnsi="黑体" w:cs="黑体" w:eastAsia="黑体" w:hint="default"/>
                <w:sz w:val="18"/>
                <w:szCs w:val="18"/>
              </w:rPr>
            </w:pPr>
            <w:r>
              <w:rPr>
                <w:rFonts w:ascii="黑体" w:hAnsi="黑体" w:cs="黑体" w:eastAsia="黑体" w:hint="default"/>
                <w:sz w:val="18"/>
                <w:szCs w:val="18"/>
              </w:rPr>
              <w:t>计</w:t>
            </w:r>
          </w:p>
        </w:tc>
      </w:tr>
      <w:tr>
        <w:trPr>
          <w:trHeight w:val="490" w:hRule="exact"/>
        </w:trPr>
        <w:tc>
          <w:tcPr>
            <w:tcW w:w="269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right="101"/>
              <w:jc w:val="right"/>
              <w:rPr>
                <w:rFonts w:ascii="黑体" w:hAnsi="黑体" w:cs="黑体" w:eastAsia="黑体" w:hint="default"/>
                <w:sz w:val="18"/>
                <w:szCs w:val="18"/>
              </w:rPr>
            </w:pPr>
            <w:r>
              <w:rPr>
                <w:rFonts w:ascii="黑体" w:hAnsi="黑体" w:cs="黑体" w:eastAsia="黑体" w:hint="default"/>
                <w:sz w:val="18"/>
                <w:szCs w:val="18"/>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right="102"/>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黑体" w:hAnsi="黑体" w:cs="黑体" w:eastAsia="黑体" w:hint="default"/>
                <w:sz w:val="18"/>
                <w:szCs w:val="18"/>
              </w:rPr>
            </w:pPr>
            <w:r>
              <w:rPr>
                <w:rFonts w:ascii="黑体" w:hAnsi="黑体" w:cs="黑体" w:eastAsia="黑体" w:hint="default"/>
                <w:sz w:val="18"/>
                <w:szCs w:val="18"/>
              </w:rPr>
              <w:t>其他综合收</w:t>
            </w:r>
          </w:p>
          <w:p>
            <w:pPr>
              <w:pStyle w:val="TableParagraph"/>
              <w:spacing w:line="234" w:lineRule="exact"/>
              <w:ind w:right="101"/>
              <w:jc w:val="right"/>
              <w:rPr>
                <w:rFonts w:ascii="黑体" w:hAnsi="黑体" w:cs="黑体" w:eastAsia="黑体" w:hint="default"/>
                <w:sz w:val="18"/>
                <w:szCs w:val="18"/>
              </w:rPr>
            </w:pPr>
            <w:r>
              <w:rPr>
                <w:rFonts w:ascii="黑体" w:hAnsi="黑体" w:cs="黑体" w:eastAsia="黑体" w:hint="default"/>
                <w:sz w:val="18"/>
                <w:szCs w:val="18"/>
              </w:rPr>
              <w:t>益</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right="101"/>
              <w:jc w:val="right"/>
              <w:rPr>
                <w:rFonts w:ascii="黑体" w:hAnsi="黑体" w:cs="黑体" w:eastAsia="黑体" w:hint="default"/>
                <w:sz w:val="18"/>
                <w:szCs w:val="18"/>
              </w:rPr>
            </w:pPr>
            <w:r>
              <w:rPr>
                <w:rFonts w:ascii="黑体" w:hAnsi="黑体" w:cs="黑体" w:eastAsia="黑体" w:hint="default"/>
                <w:sz w:val="18"/>
                <w:szCs w:val="18"/>
              </w:rPr>
              <w:t>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黑体" w:hAnsi="黑体" w:cs="黑体" w:eastAsia="黑体" w:hint="default"/>
                <w:sz w:val="18"/>
                <w:szCs w:val="18"/>
              </w:rPr>
            </w:pPr>
            <w:r>
              <w:rPr>
                <w:rFonts w:ascii="黑体" w:hAnsi="黑体" w:cs="黑体" w:eastAsia="黑体" w:hint="default"/>
                <w:sz w:val="18"/>
                <w:szCs w:val="18"/>
              </w:rPr>
              <w:t>一般风险准</w:t>
            </w:r>
          </w:p>
          <w:p>
            <w:pPr>
              <w:pStyle w:val="TableParagraph"/>
              <w:spacing w:line="234" w:lineRule="exact"/>
              <w:ind w:right="102"/>
              <w:jc w:val="right"/>
              <w:rPr>
                <w:rFonts w:ascii="黑体" w:hAnsi="黑体" w:cs="黑体" w:eastAsia="黑体" w:hint="default"/>
                <w:sz w:val="18"/>
                <w:szCs w:val="18"/>
              </w:rPr>
            </w:pPr>
            <w:r>
              <w:rPr>
                <w:rFonts w:ascii="黑体" w:hAnsi="黑体" w:cs="黑体" w:eastAsia="黑体" w:hint="default"/>
                <w:sz w:val="18"/>
                <w:szCs w:val="18"/>
              </w:rPr>
              <w:t>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right="101"/>
              <w:jc w:val="right"/>
              <w:rPr>
                <w:rFonts w:ascii="黑体" w:hAnsi="黑体" w:cs="黑体" w:eastAsia="黑体" w:hint="default"/>
                <w:sz w:val="18"/>
                <w:szCs w:val="18"/>
              </w:rPr>
            </w:pPr>
            <w:r>
              <w:rPr>
                <w:rFonts w:ascii="黑体" w:hAnsi="黑体" w:cs="黑体" w:eastAsia="黑体" w:hint="default"/>
                <w:sz w:val="18"/>
                <w:szCs w:val="18"/>
              </w:rPr>
              <w:t>未分配利润</w:t>
            </w:r>
          </w:p>
        </w:tc>
        <w:tc>
          <w:tcPr>
            <w:tcW w:w="141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217" w:hRule="exact"/>
        </w:trPr>
        <w:tc>
          <w:tcPr>
            <w:tcW w:w="26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7,383,043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4,679,567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(140,760)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1,160,735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3"/>
                <w:sz w:val="18"/>
              </w:rPr>
              <w:t>4,114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15,264,824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333,649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28,685,172</w:t>
            </w:r>
          </w:p>
        </w:tc>
      </w:tr>
      <w:tr>
        <w:trPr>
          <w:trHeight w:val="216" w:hRule="exact"/>
        </w:trPr>
        <w:tc>
          <w:tcPr>
            <w:tcW w:w="26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黑体" w:hAnsi="黑体" w:cs="黑体" w:eastAsia="黑体" w:hint="default"/>
                <w:sz w:val="18"/>
                <w:szCs w:val="18"/>
              </w:rPr>
              <w:t>年度增减变动额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866,915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(42,877)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824,038</w:t>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63,417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(33,165)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30,252</w:t>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63,417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866,915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(76,042)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854,290</w:t>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少数股东投入资本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3"/>
                <w:sz w:val="18"/>
              </w:rPr>
              <w:t>11,588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3"/>
                <w:sz w:val="18"/>
              </w:rPr>
              <w:t>11,588</w:t>
            </w:r>
          </w:p>
        </w:tc>
      </w:tr>
      <w:tr>
        <w:trPr>
          <w:trHeight w:val="26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购买少数股东股权</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Arial" w:hAnsi="Arial" w:cs="Arial" w:eastAsia="Arial" w:hint="default"/>
                <w:sz w:val="18"/>
                <w:szCs w:val="18"/>
              </w:rPr>
            </w:pPr>
            <w:r>
              <w:rPr>
                <w:rFonts w:ascii="Arial"/>
                <w:spacing w:val="-1"/>
                <w:sz w:val="18"/>
              </w:rPr>
              <w:t>(14,248)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Arial" w:hAnsi="Arial" w:cs="Arial" w:eastAsia="Arial" w:hint="default"/>
                <w:sz w:val="18"/>
                <w:szCs w:val="18"/>
              </w:rPr>
            </w:pPr>
            <w:r>
              <w:rPr>
                <w:rFonts w:ascii="Arial"/>
                <w:spacing w:val="-1"/>
                <w:sz w:val="18"/>
              </w:rPr>
              <w:t>(14,248)</w:t>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6,207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(6,207)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26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7,383,043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4,679,567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(77,343)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1,160,735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10,321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16,125,532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254,947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29,536,802</w:t>
            </w:r>
          </w:p>
        </w:tc>
      </w:tr>
    </w:tbl>
    <w:p>
      <w:pPr>
        <w:spacing w:after="0" w:line="240" w:lineRule="auto"/>
        <w:jc w:val="right"/>
        <w:rPr>
          <w:rFonts w:ascii="Arial" w:hAnsi="Arial" w:cs="Arial" w:eastAsia="Arial" w:hint="default"/>
          <w:sz w:val="18"/>
          <w:szCs w:val="18"/>
        </w:rPr>
        <w:sectPr>
          <w:headerReference w:type="default" r:id="rId36"/>
          <w:footerReference w:type="default" r:id="rId37"/>
          <w:pgSz w:w="16840" w:h="11910" w:orient="landscape"/>
          <w:pgMar w:header="603" w:footer="759" w:top="840" w:bottom="940" w:left="1640" w:right="0"/>
          <w:pgNumType w:start="109"/>
        </w:sectPr>
      </w:pPr>
    </w:p>
    <w:p>
      <w:pPr>
        <w:pStyle w:val="Heading3"/>
        <w:spacing w:line="322" w:lineRule="exact"/>
        <w:ind w:left="1250" w:right="0"/>
        <w:jc w:val="left"/>
        <w:rPr>
          <w:rFonts w:ascii="Arial" w:hAnsi="Arial" w:cs="Arial" w:eastAsia="Arial"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年度合并股东权益变动表</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line="243" w:lineRule="exact" w:before="0"/>
        <w:ind w:left="125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4"/>
        <w:rPr>
          <w:rFonts w:ascii="Arial" w:hAnsi="Arial" w:cs="Arial" w:eastAsia="Arial" w:hint="default"/>
          <w:sz w:val="5"/>
          <w:szCs w:val="5"/>
        </w:rPr>
      </w:pPr>
    </w:p>
    <w:tbl>
      <w:tblPr>
        <w:tblW w:w="0" w:type="auto"/>
        <w:jc w:val="left"/>
        <w:tblInd w:w="935" w:type="dxa"/>
        <w:tblLayout w:type="fixed"/>
        <w:tblCellMar>
          <w:top w:w="0" w:type="dxa"/>
          <w:left w:w="0" w:type="dxa"/>
          <w:bottom w:w="0" w:type="dxa"/>
          <w:right w:w="0" w:type="dxa"/>
        </w:tblCellMar>
        <w:tblLook w:val="01E0"/>
      </w:tblPr>
      <w:tblGrid>
        <w:gridCol w:w="2696"/>
        <w:gridCol w:w="991"/>
        <w:gridCol w:w="1134"/>
        <w:gridCol w:w="1277"/>
        <w:gridCol w:w="1283"/>
        <w:gridCol w:w="1196"/>
        <w:gridCol w:w="1277"/>
        <w:gridCol w:w="1417"/>
        <w:gridCol w:w="1418"/>
        <w:gridCol w:w="1276"/>
      </w:tblGrid>
      <w:tr>
        <w:trPr>
          <w:trHeight w:val="244" w:hRule="exact"/>
        </w:trPr>
        <w:tc>
          <w:tcPr>
            <w:tcW w:w="2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8"/>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8"/>
              <w:ind w:left="309"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75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黑体" w:hAnsi="黑体" w:cs="黑体" w:eastAsia="黑体" w:hint="default"/>
                <w:sz w:val="18"/>
                <w:szCs w:val="18"/>
              </w:rPr>
            </w:pPr>
            <w:r>
              <w:rPr>
                <w:rFonts w:ascii="黑体" w:hAnsi="黑体" w:cs="黑体" w:eastAsia="黑体" w:hint="default"/>
                <w:sz w:val="18"/>
                <w:szCs w:val="18"/>
              </w:rPr>
              <w:t>归属于本公司股东权益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2"/>
              <w:ind w:right="0"/>
              <w:jc w:val="left"/>
              <w:rPr>
                <w:rFonts w:ascii="Arial" w:hAnsi="Arial" w:cs="Arial" w:eastAsia="Arial" w:hint="default"/>
                <w:sz w:val="23"/>
                <w:szCs w:val="23"/>
              </w:rPr>
            </w:pPr>
          </w:p>
          <w:p>
            <w:pPr>
              <w:pStyle w:val="TableParagraph"/>
              <w:spacing w:line="240" w:lineRule="auto"/>
              <w:ind w:left="225"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20"/>
                <w:szCs w:val="20"/>
              </w:rPr>
            </w:pPr>
          </w:p>
          <w:p>
            <w:pPr>
              <w:pStyle w:val="TableParagraph"/>
              <w:spacing w:line="234" w:lineRule="exact"/>
              <w:ind w:right="101"/>
              <w:jc w:val="right"/>
              <w:rPr>
                <w:rFonts w:ascii="黑体" w:hAnsi="黑体" w:cs="黑体" w:eastAsia="黑体" w:hint="default"/>
                <w:sz w:val="18"/>
                <w:szCs w:val="18"/>
              </w:rPr>
            </w:pPr>
            <w:r>
              <w:rPr>
                <w:rFonts w:ascii="黑体" w:hAnsi="黑体" w:cs="黑体" w:eastAsia="黑体" w:hint="default"/>
                <w:sz w:val="18"/>
                <w:szCs w:val="18"/>
              </w:rPr>
              <w:t>股东权益合</w:t>
            </w:r>
          </w:p>
          <w:p>
            <w:pPr>
              <w:pStyle w:val="TableParagraph"/>
              <w:spacing w:line="234" w:lineRule="exact"/>
              <w:ind w:right="101"/>
              <w:jc w:val="right"/>
              <w:rPr>
                <w:rFonts w:ascii="黑体" w:hAnsi="黑体" w:cs="黑体" w:eastAsia="黑体" w:hint="default"/>
                <w:sz w:val="18"/>
                <w:szCs w:val="18"/>
              </w:rPr>
            </w:pPr>
            <w:r>
              <w:rPr>
                <w:rFonts w:ascii="黑体" w:hAnsi="黑体" w:cs="黑体" w:eastAsia="黑体" w:hint="default"/>
                <w:sz w:val="18"/>
                <w:szCs w:val="18"/>
              </w:rPr>
              <w:t>计</w:t>
            </w:r>
          </w:p>
        </w:tc>
      </w:tr>
      <w:tr>
        <w:trPr>
          <w:trHeight w:val="711" w:hRule="exact"/>
        </w:trPr>
        <w:tc>
          <w:tcPr>
            <w:tcW w:w="269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01"/>
              <w:jc w:val="right"/>
              <w:rPr>
                <w:rFonts w:ascii="黑体" w:hAnsi="黑体" w:cs="黑体" w:eastAsia="黑体" w:hint="default"/>
                <w:sz w:val="18"/>
                <w:szCs w:val="18"/>
              </w:rPr>
            </w:pPr>
            <w:r>
              <w:rPr>
                <w:rFonts w:ascii="黑体" w:hAnsi="黑体" w:cs="黑体" w:eastAsia="黑体" w:hint="default"/>
                <w:sz w:val="18"/>
                <w:szCs w:val="18"/>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02"/>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34" w:lineRule="exact"/>
              <w:ind w:right="101"/>
              <w:jc w:val="right"/>
              <w:rPr>
                <w:rFonts w:ascii="黑体" w:hAnsi="黑体" w:cs="黑体" w:eastAsia="黑体" w:hint="default"/>
                <w:sz w:val="18"/>
                <w:szCs w:val="18"/>
              </w:rPr>
            </w:pPr>
            <w:r>
              <w:rPr>
                <w:rFonts w:ascii="黑体" w:hAnsi="黑体" w:cs="黑体" w:eastAsia="黑体" w:hint="default"/>
                <w:sz w:val="18"/>
                <w:szCs w:val="18"/>
              </w:rPr>
              <w:t>其他综合收</w:t>
            </w:r>
          </w:p>
          <w:p>
            <w:pPr>
              <w:pStyle w:val="TableParagraph"/>
              <w:spacing w:line="234" w:lineRule="exact"/>
              <w:ind w:right="101"/>
              <w:jc w:val="right"/>
              <w:rPr>
                <w:rFonts w:ascii="黑体" w:hAnsi="黑体" w:cs="黑体" w:eastAsia="黑体" w:hint="default"/>
                <w:sz w:val="18"/>
                <w:szCs w:val="18"/>
              </w:rPr>
            </w:pPr>
            <w:r>
              <w:rPr>
                <w:rFonts w:ascii="黑体" w:hAnsi="黑体" w:cs="黑体" w:eastAsia="黑体" w:hint="default"/>
                <w:sz w:val="18"/>
                <w:szCs w:val="18"/>
              </w:rPr>
              <w:t>益</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01"/>
              <w:jc w:val="right"/>
              <w:rPr>
                <w:rFonts w:ascii="黑体" w:hAnsi="黑体" w:cs="黑体" w:eastAsia="黑体" w:hint="default"/>
                <w:sz w:val="18"/>
                <w:szCs w:val="18"/>
              </w:rPr>
            </w:pPr>
            <w:r>
              <w:rPr>
                <w:rFonts w:ascii="黑体" w:hAnsi="黑体" w:cs="黑体" w:eastAsia="黑体" w:hint="default"/>
                <w:sz w:val="18"/>
                <w:szCs w:val="18"/>
              </w:rPr>
              <w:t>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34" w:lineRule="exact"/>
              <w:ind w:right="102"/>
              <w:jc w:val="right"/>
              <w:rPr>
                <w:rFonts w:ascii="黑体" w:hAnsi="黑体" w:cs="黑体" w:eastAsia="黑体" w:hint="default"/>
                <w:sz w:val="18"/>
                <w:szCs w:val="18"/>
              </w:rPr>
            </w:pPr>
            <w:r>
              <w:rPr>
                <w:rFonts w:ascii="黑体" w:hAnsi="黑体" w:cs="黑体" w:eastAsia="黑体" w:hint="default"/>
                <w:sz w:val="18"/>
                <w:szCs w:val="18"/>
              </w:rPr>
              <w:t>一般风险准</w:t>
            </w:r>
          </w:p>
          <w:p>
            <w:pPr>
              <w:pStyle w:val="TableParagraph"/>
              <w:spacing w:line="234" w:lineRule="exact"/>
              <w:ind w:right="102"/>
              <w:jc w:val="right"/>
              <w:rPr>
                <w:rFonts w:ascii="黑体" w:hAnsi="黑体" w:cs="黑体" w:eastAsia="黑体" w:hint="default"/>
                <w:sz w:val="18"/>
                <w:szCs w:val="18"/>
              </w:rPr>
            </w:pPr>
            <w:r>
              <w:rPr>
                <w:rFonts w:ascii="黑体" w:hAnsi="黑体" w:cs="黑体" w:eastAsia="黑体" w:hint="default"/>
                <w:sz w:val="18"/>
                <w:szCs w:val="18"/>
              </w:rPr>
              <w:t>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01"/>
              <w:jc w:val="right"/>
              <w:rPr>
                <w:rFonts w:ascii="黑体" w:hAnsi="黑体" w:cs="黑体" w:eastAsia="黑体" w:hint="default"/>
                <w:sz w:val="18"/>
                <w:szCs w:val="18"/>
              </w:rPr>
            </w:pPr>
            <w:r>
              <w:rPr>
                <w:rFonts w:ascii="黑体" w:hAnsi="黑体" w:cs="黑体" w:eastAsia="黑体" w:hint="default"/>
                <w:sz w:val="18"/>
                <w:szCs w:val="18"/>
              </w:rPr>
              <w:t>未分配利润</w:t>
            </w:r>
          </w:p>
        </w:tc>
        <w:tc>
          <w:tcPr>
            <w:tcW w:w="141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217" w:hRule="exact"/>
        </w:trPr>
        <w:tc>
          <w:tcPr>
            <w:tcW w:w="26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7,383,043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4,679,567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(77,343)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1,160,735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10,321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16,125,532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254,947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29,536,802</w:t>
            </w:r>
          </w:p>
        </w:tc>
      </w:tr>
      <w:tr>
        <w:trPr>
          <w:trHeight w:val="216" w:hRule="exact"/>
        </w:trPr>
        <w:tc>
          <w:tcPr>
            <w:tcW w:w="26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Arial" w:hAnsi="Arial" w:cs="Arial" w:eastAsia="Arial" w:hint="default"/>
                <w:sz w:val="18"/>
                <w:szCs w:val="18"/>
              </w:rPr>
              <w:t>2015</w:t>
            </w:r>
            <w:r>
              <w:rPr>
                <w:rFonts w:ascii="Arial" w:hAnsi="Arial" w:cs="Arial" w:eastAsia="Arial" w:hint="default"/>
                <w:spacing w:val="-9"/>
                <w:sz w:val="18"/>
                <w:szCs w:val="18"/>
              </w:rPr>
              <w:t> </w:t>
            </w:r>
            <w:r>
              <w:rPr>
                <w:rFonts w:ascii="黑体" w:hAnsi="黑体" w:cs="黑体" w:eastAsia="黑体" w:hint="default"/>
                <w:sz w:val="18"/>
                <w:szCs w:val="18"/>
              </w:rPr>
              <w:t>年度增减变动额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872,504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2"/>
                <w:sz w:val="18"/>
              </w:rPr>
              <w:t>(114,772)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757,732</w:t>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139,176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69,488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208,664</w:t>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139,176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872,504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(45,284)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966,396</w:t>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少数股东投入资本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557,274</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942,325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1,499,599</w:t>
            </w:r>
          </w:p>
        </w:tc>
      </w:tr>
      <w:tr>
        <w:trPr>
          <w:trHeight w:val="26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购买少数股东股权</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Arial" w:hAnsi="Arial" w:cs="Arial" w:eastAsia="Arial" w:hint="default"/>
                <w:sz w:val="18"/>
                <w:szCs w:val="18"/>
              </w:rPr>
            </w:pPr>
            <w:r>
              <w:rPr>
                <w:rFonts w:ascii="Arial"/>
                <w:spacing w:val="-1"/>
                <w:w w:val="95"/>
                <w:sz w:val="18"/>
              </w:rPr>
              <w:t>899</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Arial" w:hAnsi="Arial" w:cs="Arial" w:eastAsia="Arial" w:hint="default"/>
                <w:sz w:val="18"/>
                <w:szCs w:val="18"/>
              </w:rPr>
            </w:pPr>
            <w:r>
              <w:rPr>
                <w:rFonts w:ascii="Arial"/>
                <w:spacing w:val="-1"/>
                <w:sz w:val="18"/>
              </w:rPr>
              <w:t>(79,048)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Arial" w:hAnsi="Arial" w:cs="Arial" w:eastAsia="Arial" w:hint="default"/>
                <w:sz w:val="18"/>
                <w:szCs w:val="18"/>
              </w:rPr>
            </w:pPr>
            <w:r>
              <w:rPr>
                <w:rFonts w:ascii="Arial"/>
                <w:spacing w:val="-1"/>
                <w:sz w:val="18"/>
              </w:rPr>
              <w:t>(78,149)</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127,658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127,658</w:t>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245,550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245,550</w:t>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17,543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(17,543)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(369,152)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(3,638)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(372,790)</w:t>
            </w:r>
          </w:p>
        </w:tc>
      </w:tr>
      <w:tr>
        <w:trPr>
          <w:trHeight w:val="217" w:hRule="exact"/>
        </w:trPr>
        <w:tc>
          <w:tcPr>
            <w:tcW w:w="26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7,383,043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5,237,740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61,833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1,160,735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27,864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2"/>
                <w:sz w:val="18"/>
              </w:rPr>
              <w:t>16,611,341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1,442,510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31,925,066</w:t>
            </w:r>
          </w:p>
        </w:tc>
      </w:tr>
    </w:tbl>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9"/>
          <w:szCs w:val="19"/>
        </w:rPr>
      </w:pPr>
    </w:p>
    <w:p>
      <w:pPr>
        <w:spacing w:before="44"/>
        <w:ind w:left="101"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21"/>
          <w:szCs w:val="21"/>
        </w:rPr>
      </w:pPr>
    </w:p>
    <w:p>
      <w:pPr>
        <w:tabs>
          <w:tab w:pos="3433" w:val="left" w:leader="none"/>
          <w:tab w:pos="7483" w:val="left" w:leader="none"/>
        </w:tabs>
        <w:spacing w:before="0"/>
        <w:ind w:left="102"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pgSz w:w="16840" w:h="11910" w:orient="landscape"/>
          <w:pgMar w:header="603" w:footer="759" w:top="840" w:bottom="940" w:left="820" w:right="0"/>
        </w:sectPr>
      </w:pPr>
    </w:p>
    <w:p>
      <w:pPr>
        <w:pStyle w:val="Heading3"/>
        <w:spacing w:line="312" w:lineRule="exact" w:before="15"/>
        <w:ind w:left="592" w:right="0"/>
        <w:jc w:val="left"/>
        <w:rPr>
          <w:rFonts w:ascii="黑体" w:hAnsi="黑体" w:cs="黑体" w:eastAsia="黑体" w:hint="default"/>
        </w:rPr>
      </w:pPr>
      <w:r>
        <w:rPr>
          <w:rFonts w:ascii="黑体" w:hAnsi="黑体" w:cs="黑体" w:eastAsia="黑体" w:hint="default"/>
        </w:rPr>
        <w:t>苏宁云商集团股份有限公司</w:t>
      </w:r>
    </w:p>
    <w:p>
      <w:pPr>
        <w:pStyle w:val="Heading3"/>
        <w:spacing w:line="324" w:lineRule="exact"/>
        <w:ind w:left="592" w:right="0"/>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年度公司股东权益变动表</w:t>
      </w:r>
    </w:p>
    <w:p>
      <w:pPr>
        <w:spacing w:line="243" w:lineRule="exact" w:before="0"/>
        <w:ind w:left="59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2628"/>
        <w:gridCol w:w="742"/>
        <w:gridCol w:w="1092"/>
        <w:gridCol w:w="1019"/>
        <w:gridCol w:w="1389"/>
        <w:gridCol w:w="1198"/>
        <w:gridCol w:w="1152"/>
        <w:gridCol w:w="1206"/>
      </w:tblGrid>
      <w:tr>
        <w:trPr>
          <w:trHeight w:val="476"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6"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股本</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3"/>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8"/>
              <w:jc w:val="right"/>
              <w:rPr>
                <w:rFonts w:ascii="黑体" w:hAnsi="黑体" w:cs="黑体" w:eastAsia="黑体" w:hint="default"/>
                <w:sz w:val="18"/>
                <w:szCs w:val="18"/>
              </w:rPr>
            </w:pPr>
            <w:r>
              <w:rPr>
                <w:rFonts w:ascii="黑体" w:hAnsi="黑体" w:cs="黑体" w:eastAsia="黑体" w:hint="default"/>
                <w:sz w:val="18"/>
                <w:szCs w:val="18"/>
              </w:rPr>
              <w:t>其他综合收益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3" w:right="0"/>
              <w:jc w:val="left"/>
              <w:rPr>
                <w:rFonts w:ascii="黑体" w:hAnsi="黑体" w:cs="黑体" w:eastAsia="黑体" w:hint="default"/>
                <w:sz w:val="18"/>
                <w:szCs w:val="18"/>
              </w:rPr>
            </w:pPr>
            <w:r>
              <w:rPr>
                <w:rFonts w:ascii="黑体" w:hAnsi="黑体" w:cs="黑体" w:eastAsia="黑体" w:hint="default"/>
                <w:sz w:val="18"/>
                <w:szCs w:val="18"/>
              </w:rPr>
              <w:t>盈余公积</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0"/>
              <w:jc w:val="right"/>
              <w:rPr>
                <w:rFonts w:ascii="黑体" w:hAnsi="黑体" w:cs="黑体" w:eastAsia="黑体" w:hint="default"/>
                <w:sz w:val="18"/>
                <w:szCs w:val="18"/>
              </w:rPr>
            </w:pPr>
            <w:r>
              <w:rPr>
                <w:rFonts w:ascii="黑体" w:hAnsi="黑体" w:cs="黑体" w:eastAsia="黑体" w:hint="default"/>
                <w:sz w:val="18"/>
                <w:szCs w:val="18"/>
              </w:rPr>
              <w:t>未分配利润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黑体" w:hAnsi="黑体" w:cs="黑体" w:eastAsia="黑体" w:hint="default"/>
                <w:sz w:val="18"/>
                <w:szCs w:val="18"/>
              </w:rPr>
            </w:pPr>
            <w:r>
              <w:rPr>
                <w:rFonts w:ascii="黑体" w:hAnsi="黑体" w:cs="黑体" w:eastAsia="黑体" w:hint="default"/>
                <w:sz w:val="18"/>
                <w:szCs w:val="18"/>
              </w:rPr>
              <w:t>股东权益合</w:t>
            </w:r>
          </w:p>
          <w:p>
            <w:pPr>
              <w:pStyle w:val="TableParagraph"/>
              <w:spacing w:line="235" w:lineRule="exact"/>
              <w:ind w:right="1"/>
              <w:jc w:val="center"/>
              <w:rPr>
                <w:rFonts w:ascii="黑体" w:hAnsi="黑体" w:cs="黑体" w:eastAsia="黑体" w:hint="default"/>
                <w:sz w:val="18"/>
                <w:szCs w:val="18"/>
              </w:rPr>
            </w:pPr>
            <w:r>
              <w:rPr>
                <w:rFonts w:ascii="黑体" w:hAnsi="黑体" w:cs="黑体" w:eastAsia="黑体" w:hint="default"/>
                <w:sz w:val="18"/>
                <w:szCs w:val="18"/>
              </w:rPr>
              <w:t>计</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7,383,043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5,065,208</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2"/>
              <w:jc w:val="right"/>
              <w:rPr>
                <w:rFonts w:ascii="Arial" w:hAnsi="Arial" w:cs="Arial" w:eastAsia="Arial" w:hint="default"/>
                <w:sz w:val="18"/>
                <w:szCs w:val="18"/>
              </w:rPr>
            </w:pPr>
            <w:r>
              <w:rPr>
                <w:rFonts w:ascii="Arial"/>
                <w:spacing w:val="-1"/>
                <w:sz w:val="18"/>
              </w:rPr>
              <w:t>(17,433)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1,160,735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8"/>
              <w:jc w:val="right"/>
              <w:rPr>
                <w:rFonts w:ascii="Arial" w:hAnsi="Arial" w:cs="Arial" w:eastAsia="Arial" w:hint="default"/>
                <w:sz w:val="18"/>
                <w:szCs w:val="18"/>
              </w:rPr>
            </w:pPr>
            <w:r>
              <w:rPr>
                <w:rFonts w:ascii="Arial"/>
                <w:spacing w:val="-1"/>
                <w:sz w:val="18"/>
              </w:rPr>
              <w:t>6,502,378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2" w:right="0"/>
              <w:jc w:val="left"/>
              <w:rPr>
                <w:rFonts w:ascii="Arial" w:hAnsi="Arial" w:cs="Arial" w:eastAsia="Arial" w:hint="default"/>
                <w:sz w:val="18"/>
                <w:szCs w:val="18"/>
              </w:rPr>
            </w:pPr>
            <w:r>
              <w:rPr>
                <w:rFonts w:ascii="Arial"/>
                <w:sz w:val="18"/>
              </w:rPr>
              <w:t>20,093,931</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9"/>
                <w:sz w:val="18"/>
                <w:szCs w:val="18"/>
              </w:rPr>
              <w:t> </w:t>
            </w:r>
            <w:r>
              <w:rPr>
                <w:rFonts w:ascii="黑体" w:hAnsi="黑体" w:cs="黑体" w:eastAsia="黑体" w:hint="default"/>
                <w:sz w:val="18"/>
                <w:szCs w:val="18"/>
              </w:rPr>
              <w:t>年度增减变动额</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净亏损</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2"/>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(533,486)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(533,486)</w:t>
            </w:r>
          </w:p>
        </w:tc>
      </w:tr>
      <w:tr>
        <w:trPr>
          <w:trHeight w:val="24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3"/>
              <w:jc w:val="right"/>
              <w:rPr>
                <w:rFonts w:ascii="Arial" w:hAnsi="Arial" w:cs="Arial" w:eastAsia="Arial" w:hint="default"/>
                <w:sz w:val="18"/>
                <w:szCs w:val="18"/>
              </w:rPr>
            </w:pPr>
            <w:r>
              <w:rPr>
                <w:rFonts w:ascii="Arial"/>
                <w:spacing w:val="-1"/>
                <w:sz w:val="18"/>
              </w:rPr>
              <w:t>125,858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8"/>
              <w:jc w:val="right"/>
              <w:rPr>
                <w:rFonts w:ascii="Arial" w:hAnsi="Arial" w:cs="Arial" w:eastAsia="Arial" w:hint="default"/>
                <w:sz w:val="18"/>
                <w:szCs w:val="18"/>
              </w:rPr>
            </w:pPr>
            <w:r>
              <w:rPr>
                <w:rFonts w:ascii="Arial"/>
                <w:w w:val="99"/>
                <w:sz w:val="18"/>
              </w:rPr>
              <w:t>-</w:t>
            </w:r>
            <w:r>
              <w:rPr>
                <w:rFonts w:ascii="Arial"/>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93" w:right="0"/>
              <w:jc w:val="left"/>
              <w:rPr>
                <w:rFonts w:ascii="Arial" w:hAnsi="Arial" w:cs="Arial" w:eastAsia="Arial" w:hint="default"/>
                <w:sz w:val="18"/>
                <w:szCs w:val="18"/>
              </w:rPr>
            </w:pPr>
            <w:r>
              <w:rPr>
                <w:rFonts w:ascii="Arial"/>
                <w:sz w:val="18"/>
              </w:rPr>
              <w:t>125,858</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综合收益总额合计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3"/>
              <w:jc w:val="right"/>
              <w:rPr>
                <w:rFonts w:ascii="Arial" w:hAnsi="Arial" w:cs="Arial" w:eastAsia="Arial" w:hint="default"/>
                <w:sz w:val="18"/>
                <w:szCs w:val="18"/>
              </w:rPr>
            </w:pPr>
            <w:r>
              <w:rPr>
                <w:rFonts w:ascii="Arial"/>
                <w:spacing w:val="-1"/>
                <w:sz w:val="18"/>
              </w:rPr>
              <w:t>125,858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(533,486)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(407,628)</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2"/>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8"/>
              <w:jc w:val="right"/>
              <w:rPr>
                <w:rFonts w:ascii="Arial" w:hAnsi="Arial" w:cs="Arial" w:eastAsia="Arial" w:hint="default"/>
                <w:sz w:val="18"/>
                <w:szCs w:val="18"/>
              </w:rPr>
            </w:pPr>
            <w:r>
              <w:rPr>
                <w:rFonts w:ascii="Arial"/>
                <w:w w:val="99"/>
                <w:sz w:val="18"/>
              </w:rPr>
              <w:t>-</w:t>
            </w:r>
            <w:r>
              <w:rPr>
                <w:rFonts w:ascii="Arial"/>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0"/>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15" w:right="0"/>
              <w:jc w:val="left"/>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2"/>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8"/>
              <w:jc w:val="right"/>
              <w:rPr>
                <w:rFonts w:ascii="Arial" w:hAnsi="Arial" w:cs="Arial" w:eastAsia="Arial" w:hint="default"/>
                <w:sz w:val="18"/>
                <w:szCs w:val="18"/>
              </w:rPr>
            </w:pPr>
            <w:r>
              <w:rPr>
                <w:rFonts w:ascii="Arial"/>
                <w:w w:val="99"/>
                <w:sz w:val="18"/>
              </w:rPr>
              <w:t>-</w:t>
            </w:r>
            <w:r>
              <w:rPr>
                <w:rFonts w:ascii="Arial"/>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黑体" w:hAnsi="黑体" w:cs="黑体" w:eastAsia="黑体" w:hint="default"/>
                <w:sz w:val="18"/>
                <w:szCs w:val="18"/>
              </w:rPr>
              <w:t>日年末余额</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7,383,043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5,065,208</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3"/>
              <w:jc w:val="right"/>
              <w:rPr>
                <w:rFonts w:ascii="Arial" w:hAnsi="Arial" w:cs="Arial" w:eastAsia="Arial" w:hint="default"/>
                <w:sz w:val="18"/>
                <w:szCs w:val="18"/>
              </w:rPr>
            </w:pPr>
            <w:r>
              <w:rPr>
                <w:rFonts w:ascii="Arial"/>
                <w:spacing w:val="-1"/>
                <w:sz w:val="18"/>
              </w:rPr>
              <w:t>108,425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1,160,735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8"/>
              <w:jc w:val="right"/>
              <w:rPr>
                <w:rFonts w:ascii="Arial" w:hAnsi="Arial" w:cs="Arial" w:eastAsia="Arial" w:hint="default"/>
                <w:sz w:val="18"/>
                <w:szCs w:val="18"/>
              </w:rPr>
            </w:pPr>
            <w:r>
              <w:rPr>
                <w:rFonts w:ascii="Arial"/>
                <w:spacing w:val="-1"/>
                <w:sz w:val="18"/>
              </w:rPr>
              <w:t>5,968,892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2" w:right="0"/>
              <w:jc w:val="left"/>
              <w:rPr>
                <w:rFonts w:ascii="Arial" w:hAnsi="Arial" w:cs="Arial" w:eastAsia="Arial" w:hint="default"/>
                <w:sz w:val="18"/>
                <w:szCs w:val="18"/>
              </w:rPr>
            </w:pPr>
            <w:r>
              <w:rPr>
                <w:rFonts w:ascii="Arial"/>
                <w:sz w:val="18"/>
              </w:rPr>
              <w:t>19,686,303</w:t>
            </w:r>
          </w:p>
        </w:tc>
      </w:tr>
      <w:tr>
        <w:trPr>
          <w:trHeight w:val="242"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7,383,043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5,065,208</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3"/>
              <w:jc w:val="right"/>
              <w:rPr>
                <w:rFonts w:ascii="Arial" w:hAnsi="Arial" w:cs="Arial" w:eastAsia="Arial" w:hint="default"/>
                <w:sz w:val="18"/>
                <w:szCs w:val="18"/>
              </w:rPr>
            </w:pPr>
            <w:r>
              <w:rPr>
                <w:rFonts w:ascii="Arial"/>
                <w:spacing w:val="-1"/>
                <w:sz w:val="18"/>
              </w:rPr>
              <w:t>108,425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1,160,735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8"/>
              <w:jc w:val="right"/>
              <w:rPr>
                <w:rFonts w:ascii="Arial" w:hAnsi="Arial" w:cs="Arial" w:eastAsia="Arial" w:hint="default"/>
                <w:sz w:val="18"/>
                <w:szCs w:val="18"/>
              </w:rPr>
            </w:pPr>
            <w:r>
              <w:rPr>
                <w:rFonts w:ascii="Arial"/>
                <w:spacing w:val="-1"/>
                <w:sz w:val="18"/>
              </w:rPr>
              <w:t>5,968,892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2" w:right="0"/>
              <w:jc w:val="left"/>
              <w:rPr>
                <w:rFonts w:ascii="Arial" w:hAnsi="Arial" w:cs="Arial" w:eastAsia="Arial" w:hint="default"/>
                <w:sz w:val="18"/>
                <w:szCs w:val="18"/>
              </w:rPr>
            </w:pPr>
            <w:r>
              <w:rPr>
                <w:rFonts w:ascii="Arial"/>
                <w:sz w:val="18"/>
              </w:rPr>
              <w:t>19,686,303</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Arial" w:hAnsi="Arial" w:cs="Arial" w:eastAsia="Arial" w:hint="default"/>
                <w:sz w:val="18"/>
                <w:szCs w:val="18"/>
              </w:rPr>
              <w:t>2015</w:t>
            </w:r>
            <w:r>
              <w:rPr>
                <w:rFonts w:ascii="Arial" w:hAnsi="Arial" w:cs="Arial" w:eastAsia="Arial" w:hint="default"/>
                <w:spacing w:val="-9"/>
                <w:sz w:val="18"/>
                <w:szCs w:val="18"/>
              </w:rPr>
              <w:t> </w:t>
            </w:r>
            <w:r>
              <w:rPr>
                <w:rFonts w:ascii="黑体" w:hAnsi="黑体" w:cs="黑体" w:eastAsia="黑体" w:hint="default"/>
                <w:sz w:val="18"/>
                <w:szCs w:val="18"/>
              </w:rPr>
              <w:t>年度增减变动额</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329,667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42" w:right="0"/>
              <w:jc w:val="left"/>
              <w:rPr>
                <w:rFonts w:ascii="Arial" w:hAnsi="Arial" w:cs="Arial" w:eastAsia="Arial" w:hint="default"/>
                <w:sz w:val="18"/>
                <w:szCs w:val="18"/>
              </w:rPr>
            </w:pPr>
            <w:r>
              <w:rPr>
                <w:rFonts w:ascii="Arial"/>
                <w:sz w:val="18"/>
              </w:rPr>
              <w:t>329,667</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158,709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w w:val="99"/>
                <w:sz w:val="18"/>
              </w:rPr>
              <w:t>-</w:t>
            </w:r>
            <w:r>
              <w:rPr>
                <w:rFonts w:ascii="Arial"/>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42" w:right="0"/>
              <w:jc w:val="left"/>
              <w:rPr>
                <w:rFonts w:ascii="Arial" w:hAnsi="Arial" w:cs="Arial" w:eastAsia="Arial" w:hint="default"/>
                <w:sz w:val="18"/>
                <w:szCs w:val="18"/>
              </w:rPr>
            </w:pPr>
            <w:r>
              <w:rPr>
                <w:rFonts w:ascii="Arial"/>
                <w:sz w:val="18"/>
              </w:rPr>
              <w:t>158,709</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综合收益总额合计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158,709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329,667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42" w:right="0"/>
              <w:jc w:val="left"/>
              <w:rPr>
                <w:rFonts w:ascii="Arial" w:hAnsi="Arial" w:cs="Arial" w:eastAsia="Arial" w:hint="default"/>
                <w:sz w:val="18"/>
                <w:szCs w:val="18"/>
              </w:rPr>
            </w:pPr>
            <w:r>
              <w:rPr>
                <w:rFonts w:ascii="Arial"/>
                <w:sz w:val="18"/>
              </w:rPr>
              <w:t>488,376</w:t>
            </w:r>
          </w:p>
        </w:tc>
      </w:tr>
      <w:tr>
        <w:trPr>
          <w:trHeight w:val="24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(369,152)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2" w:right="0"/>
              <w:jc w:val="left"/>
              <w:rPr>
                <w:rFonts w:ascii="Arial" w:hAnsi="Arial" w:cs="Arial" w:eastAsia="Arial" w:hint="default"/>
                <w:sz w:val="18"/>
                <w:szCs w:val="18"/>
              </w:rPr>
            </w:pPr>
            <w:r>
              <w:rPr>
                <w:rFonts w:ascii="Arial"/>
                <w:sz w:val="18"/>
              </w:rPr>
              <w:t>(369,152)</w:t>
            </w:r>
          </w:p>
        </w:tc>
      </w:tr>
      <w:tr>
        <w:trPr>
          <w:trHeight w:val="217"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黑体" w:hAnsi="黑体" w:cs="黑体" w:eastAsia="黑体" w:hint="default"/>
                <w:sz w:val="18"/>
                <w:szCs w:val="18"/>
              </w:rPr>
              <w:t>日年末余额</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7,383,043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5,065,208</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267,134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spacing w:val="-1"/>
                <w:sz w:val="18"/>
              </w:rPr>
              <w:t>1,160,735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5,929,407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92" w:right="0"/>
              <w:jc w:val="left"/>
              <w:rPr>
                <w:rFonts w:ascii="Arial" w:hAnsi="Arial" w:cs="Arial" w:eastAsia="Arial" w:hint="default"/>
                <w:sz w:val="18"/>
                <w:szCs w:val="18"/>
              </w:rPr>
            </w:pPr>
            <w:r>
              <w:rPr>
                <w:rFonts w:ascii="Arial"/>
                <w:sz w:val="18"/>
              </w:rPr>
              <w:t>19,805,527</w:t>
            </w:r>
          </w:p>
        </w:tc>
      </w:tr>
    </w:tbl>
    <w:p>
      <w:pPr>
        <w:spacing w:line="240" w:lineRule="auto" w:before="6"/>
        <w:rPr>
          <w:rFonts w:ascii="Arial" w:hAnsi="Arial" w:cs="Arial" w:eastAsia="Arial" w:hint="default"/>
          <w:sz w:val="24"/>
          <w:szCs w:val="24"/>
        </w:rPr>
      </w:pPr>
    </w:p>
    <w:p>
      <w:pPr>
        <w:spacing w:before="44"/>
        <w:ind w:left="59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21"/>
          <w:szCs w:val="21"/>
        </w:rPr>
      </w:pPr>
    </w:p>
    <w:p>
      <w:pPr>
        <w:tabs>
          <w:tab w:pos="3911" w:val="left" w:leader="none"/>
          <w:tab w:pos="7951" w:val="left" w:leader="none"/>
        </w:tabs>
        <w:spacing w:before="0"/>
        <w:ind w:left="920" w:right="1467" w:hanging="328"/>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1"/>
          <w:sz w:val="18"/>
          <w:szCs w:val="18"/>
        </w:rPr>
        <w:t> </w:t>
      </w:r>
      <w:r>
        <w:rPr>
          <w:rFonts w:ascii="宋体" w:hAnsi="宋体" w:cs="宋体" w:eastAsia="宋体" w:hint="default"/>
          <w:sz w:val="18"/>
          <w:szCs w:val="18"/>
        </w:rPr>
        <w:t>张近东</w:t>
        <w:tab/>
      </w:r>
      <w:r>
        <w:rPr>
          <w:rFonts w:ascii="宋体" w:hAnsi="宋体" w:cs="宋体" w:eastAsia="宋体" w:hint="default"/>
          <w:spacing w:val="-1"/>
          <w:sz w:val="18"/>
          <w:szCs w:val="18"/>
        </w:rPr>
        <w:t>主管会计工作的负责人：肖忠祥</w:t>
        <w:tab/>
      </w:r>
      <w:r>
        <w:rPr>
          <w:rFonts w:ascii="宋体" w:hAnsi="宋体" w:cs="宋体" w:eastAsia="宋体" w:hint="default"/>
          <w:spacing w:val="-2"/>
          <w:sz w:val="18"/>
          <w:szCs w:val="18"/>
        </w:rPr>
        <w:t>会计机构负责人：华志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松</w:t>
      </w:r>
    </w:p>
    <w:p>
      <w:pPr>
        <w:spacing w:after="0"/>
        <w:jc w:val="left"/>
        <w:rPr>
          <w:rFonts w:ascii="宋体" w:hAnsi="宋体" w:cs="宋体" w:eastAsia="宋体" w:hint="default"/>
          <w:sz w:val="18"/>
          <w:szCs w:val="18"/>
        </w:rPr>
        <w:sectPr>
          <w:headerReference w:type="default" r:id="rId38"/>
          <w:footerReference w:type="default" r:id="rId39"/>
          <w:pgSz w:w="11910" w:h="16840"/>
          <w:pgMar w:header="0" w:footer="912" w:top="500" w:bottom="1100" w:left="700" w:right="0"/>
          <w:pgNumType w:start="11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680"/>
        <w:gridCol w:w="8554"/>
      </w:tblGrid>
      <w:tr>
        <w:trPr>
          <w:trHeight w:val="415"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554"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黑体" w:hAnsi="黑体" w:cs="黑体" w:eastAsia="黑体" w:hint="default"/>
                <w:sz w:val="24"/>
                <w:szCs w:val="24"/>
              </w:rPr>
            </w:pPr>
            <w:r>
              <w:rPr>
                <w:rFonts w:ascii="黑体" w:hAnsi="黑体" w:cs="黑体" w:eastAsia="黑体" w:hint="default"/>
                <w:sz w:val="24"/>
                <w:szCs w:val="24"/>
              </w:rPr>
              <w:t>公司基本情况</w:t>
            </w:r>
          </w:p>
        </w:tc>
      </w:tr>
      <w:tr>
        <w:trPr>
          <w:trHeight w:val="4013" w:hRule="exact"/>
        </w:trPr>
        <w:tc>
          <w:tcPr>
            <w:tcW w:w="680" w:type="dxa"/>
            <w:tcBorders>
              <w:top w:val="nil" w:sz="6" w:space="0" w:color="auto"/>
              <w:left w:val="nil" w:sz="6" w:space="0" w:color="auto"/>
              <w:bottom w:val="nil" w:sz="6" w:space="0" w:color="auto"/>
              <w:right w:val="nil" w:sz="6" w:space="0" w:color="auto"/>
            </w:tcBorders>
          </w:tcPr>
          <w:p>
            <w:pPr/>
          </w:p>
        </w:tc>
        <w:tc>
          <w:tcPr>
            <w:tcW w:w="8554" w:type="dxa"/>
            <w:tcBorders>
              <w:top w:val="nil" w:sz="6" w:space="0" w:color="auto"/>
              <w:left w:val="nil" w:sz="6" w:space="0" w:color="auto"/>
              <w:bottom w:val="nil" w:sz="6" w:space="0" w:color="auto"/>
              <w:right w:val="nil" w:sz="6" w:space="0" w:color="auto"/>
            </w:tcBorders>
          </w:tcPr>
          <w:p>
            <w:pPr>
              <w:pStyle w:val="TableParagraph"/>
              <w:spacing w:line="232" w:lineRule="auto" w:before="109"/>
              <w:ind w:left="239" w:right="315"/>
              <w:jc w:val="both"/>
              <w:rPr>
                <w:rFonts w:ascii="宋体" w:hAnsi="宋体" w:cs="宋体" w:eastAsia="宋体" w:hint="default"/>
                <w:sz w:val="24"/>
                <w:szCs w:val="24"/>
              </w:rPr>
            </w:pPr>
            <w:r>
              <w:rPr>
                <w:rFonts w:ascii="宋体" w:hAnsi="宋体" w:cs="宋体" w:eastAsia="宋体" w:hint="default"/>
                <w:sz w:val="24"/>
                <w:szCs w:val="24"/>
              </w:rPr>
              <w:t>苏宁云商集团股份有限公司</w:t>
            </w:r>
            <w:r>
              <w:rPr>
                <w:rFonts w:ascii="Arial" w:hAnsi="Arial" w:cs="Arial" w:eastAsia="Arial" w:hint="default"/>
                <w:sz w:val="24"/>
                <w:szCs w:val="24"/>
              </w:rPr>
              <w:t>(</w:t>
            </w:r>
            <w:r>
              <w:rPr>
                <w:rFonts w:ascii="宋体" w:hAnsi="宋体" w:cs="宋体" w:eastAsia="宋体" w:hint="default"/>
                <w:sz w:val="24"/>
                <w:szCs w:val="24"/>
              </w:rPr>
              <w:t>以下简称</w:t>
            </w:r>
            <w:r>
              <w:rPr>
                <w:rFonts w:ascii="Arial" w:hAnsi="Arial" w:cs="Arial" w:eastAsia="Arial" w:hint="default"/>
                <w:sz w:val="24"/>
                <w:szCs w:val="24"/>
              </w:rPr>
              <w:t>“</w:t>
            </w:r>
            <w:r>
              <w:rPr>
                <w:rFonts w:ascii="宋体" w:hAnsi="宋体" w:cs="宋体" w:eastAsia="宋体" w:hint="default"/>
                <w:sz w:val="24"/>
                <w:szCs w:val="24"/>
              </w:rPr>
              <w:t>本公司</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的前身系于 </w:t>
            </w:r>
            <w:r>
              <w:rPr>
                <w:rFonts w:ascii="Arial" w:hAnsi="Arial" w:cs="Arial" w:eastAsia="Arial" w:hint="default"/>
                <w:sz w:val="24"/>
                <w:szCs w:val="24"/>
              </w:rPr>
              <w:t>1996 </w:t>
            </w:r>
            <w:r>
              <w:rPr>
                <w:rFonts w:ascii="宋体" w:hAnsi="宋体" w:cs="宋体" w:eastAsia="宋体" w:hint="default"/>
                <w:sz w:val="24"/>
                <w:szCs w:val="24"/>
              </w:rPr>
              <w:t>年 </w:t>
            </w:r>
            <w:r>
              <w:rPr>
                <w:rFonts w:ascii="Arial" w:hAnsi="Arial" w:cs="Arial" w:eastAsia="Arial" w:hint="default"/>
                <w:sz w:val="24"/>
                <w:szCs w:val="24"/>
              </w:rPr>
              <w:t>5 </w:t>
            </w:r>
            <w:r>
              <w:rPr>
                <w:rFonts w:ascii="宋体" w:hAnsi="宋体" w:cs="宋体" w:eastAsia="宋体" w:hint="default"/>
                <w:sz w:val="24"/>
                <w:szCs w:val="24"/>
              </w:rPr>
              <w:t>月</w:t>
            </w:r>
            <w:r>
              <w:rPr>
                <w:rFonts w:ascii="宋体" w:hAnsi="宋体" w:cs="宋体" w:eastAsia="宋体" w:hint="default"/>
                <w:spacing w:val="1"/>
                <w:sz w:val="24"/>
                <w:szCs w:val="24"/>
              </w:rPr>
              <w:t> </w:t>
            </w:r>
            <w:r>
              <w:rPr>
                <w:rFonts w:ascii="Arial" w:hAnsi="Arial" w:cs="Arial" w:eastAsia="Arial" w:hint="default"/>
                <w:sz w:val="24"/>
                <w:szCs w:val="24"/>
              </w:rPr>
              <w:t>15</w:t>
            </w:r>
            <w:r>
              <w:rPr>
                <w:rFonts w:ascii="Arial" w:hAnsi="Arial" w:cs="Arial" w:eastAsia="Arial" w:hint="default"/>
                <w:w w:val="99"/>
                <w:sz w:val="24"/>
                <w:szCs w:val="24"/>
              </w:rPr>
              <w:t> </w:t>
            </w:r>
            <w:r>
              <w:rPr>
                <w:rFonts w:ascii="宋体" w:hAnsi="宋体" w:cs="宋体" w:eastAsia="宋体" w:hint="default"/>
                <w:sz w:val="24"/>
                <w:szCs w:val="24"/>
              </w:rPr>
              <w:t>日在中华人民共和国江苏省南京市注册成立的江苏苏宁交家电有限公司，成</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立时的注册资本为人民币</w:t>
            </w:r>
            <w:r>
              <w:rPr>
                <w:rFonts w:ascii="宋体" w:hAnsi="宋体" w:cs="宋体" w:eastAsia="宋体" w:hint="default"/>
                <w:spacing w:val="-60"/>
                <w:sz w:val="24"/>
                <w:szCs w:val="24"/>
              </w:rPr>
              <w:t> </w:t>
            </w:r>
            <w:r>
              <w:rPr>
                <w:rFonts w:ascii="Arial" w:hAnsi="Arial" w:cs="Arial" w:eastAsia="Arial" w:hint="default"/>
                <w:sz w:val="24"/>
                <w:szCs w:val="24"/>
              </w:rPr>
              <w:t>120</w:t>
            </w:r>
            <w:r>
              <w:rPr>
                <w:rFonts w:ascii="Arial" w:hAnsi="Arial" w:cs="Arial" w:eastAsia="Arial" w:hint="default"/>
                <w:spacing w:val="-7"/>
                <w:sz w:val="24"/>
                <w:szCs w:val="24"/>
              </w:rPr>
              <w:t> </w:t>
            </w:r>
            <w:r>
              <w:rPr>
                <w:rFonts w:ascii="宋体" w:hAnsi="宋体" w:cs="宋体" w:eastAsia="宋体" w:hint="default"/>
                <w:spacing w:val="-8"/>
                <w:sz w:val="24"/>
                <w:szCs w:val="24"/>
              </w:rPr>
              <w:t>万元。于</w:t>
            </w:r>
            <w:r>
              <w:rPr>
                <w:rFonts w:ascii="宋体" w:hAnsi="宋体" w:cs="宋体" w:eastAsia="宋体" w:hint="default"/>
                <w:spacing w:val="-60"/>
                <w:sz w:val="24"/>
                <w:szCs w:val="24"/>
              </w:rPr>
              <w:t> </w:t>
            </w:r>
            <w:r>
              <w:rPr>
                <w:rFonts w:ascii="Arial" w:hAnsi="Arial" w:cs="Arial" w:eastAsia="Arial" w:hint="default"/>
                <w:sz w:val="24"/>
                <w:szCs w:val="24"/>
              </w:rPr>
              <w:t>2000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7</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28</w:t>
            </w:r>
            <w:r>
              <w:rPr>
                <w:rFonts w:ascii="Arial" w:hAnsi="Arial" w:cs="Arial" w:eastAsia="Arial" w:hint="default"/>
                <w:spacing w:val="-7"/>
                <w:sz w:val="24"/>
                <w:szCs w:val="24"/>
              </w:rPr>
              <w:t> </w:t>
            </w:r>
            <w:r>
              <w:rPr>
                <w:rFonts w:ascii="宋体" w:hAnsi="宋体" w:cs="宋体" w:eastAsia="宋体" w:hint="default"/>
                <w:spacing w:val="-4"/>
                <w:sz w:val="24"/>
                <w:szCs w:val="24"/>
              </w:rPr>
              <w:t>日，经江苏省工商行</w:t>
            </w:r>
          </w:p>
          <w:p>
            <w:pPr>
              <w:pStyle w:val="TableParagraph"/>
              <w:spacing w:line="303" w:lineRule="exact"/>
              <w:ind w:left="239" w:right="0"/>
              <w:jc w:val="both"/>
              <w:rPr>
                <w:rFonts w:ascii="宋体" w:hAnsi="宋体" w:cs="宋体" w:eastAsia="宋体" w:hint="default"/>
                <w:sz w:val="24"/>
                <w:szCs w:val="24"/>
              </w:rPr>
            </w:pPr>
            <w:r>
              <w:rPr>
                <w:rFonts w:ascii="宋体" w:hAnsi="宋体" w:cs="宋体" w:eastAsia="宋体" w:hint="default"/>
                <w:sz w:val="24"/>
                <w:szCs w:val="24"/>
              </w:rPr>
              <w:t>政管理局批准更名为江苏苏宁交家电集团有限公司。于</w:t>
            </w:r>
            <w:r>
              <w:rPr>
                <w:rFonts w:ascii="宋体" w:hAnsi="宋体" w:cs="宋体" w:eastAsia="宋体" w:hint="default"/>
                <w:spacing w:val="-65"/>
                <w:sz w:val="24"/>
                <w:szCs w:val="24"/>
              </w:rPr>
              <w:t> </w:t>
            </w:r>
            <w:r>
              <w:rPr>
                <w:rFonts w:ascii="Arial" w:hAnsi="Arial" w:cs="Arial" w:eastAsia="Arial" w:hint="default"/>
                <w:sz w:val="24"/>
                <w:szCs w:val="24"/>
              </w:rPr>
              <w:t>2000</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8</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30</w:t>
            </w:r>
            <w:r>
              <w:rPr>
                <w:rFonts w:ascii="Arial" w:hAnsi="Arial" w:cs="Arial" w:eastAsia="Arial" w:hint="default"/>
                <w:spacing w:val="-12"/>
                <w:sz w:val="24"/>
                <w:szCs w:val="24"/>
              </w:rPr>
              <w:t> </w:t>
            </w:r>
            <w:r>
              <w:rPr>
                <w:rFonts w:ascii="宋体" w:hAnsi="宋体" w:cs="宋体" w:eastAsia="宋体" w:hint="default"/>
                <w:sz w:val="24"/>
                <w:szCs w:val="24"/>
              </w:rPr>
              <w:t>日经</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国家工商行政管理局批准更名为苏宁交家电</w:t>
            </w:r>
            <w:r>
              <w:rPr>
                <w:rFonts w:ascii="Arial" w:hAnsi="Arial" w:cs="Arial" w:eastAsia="Arial" w:hint="default"/>
                <w:sz w:val="24"/>
                <w:szCs w:val="24"/>
              </w:rPr>
              <w:t>(</w:t>
            </w:r>
            <w:r>
              <w:rPr>
                <w:rFonts w:ascii="宋体" w:hAnsi="宋体" w:cs="宋体" w:eastAsia="宋体" w:hint="default"/>
                <w:sz w:val="24"/>
                <w:szCs w:val="24"/>
              </w:rPr>
              <w:t>集团</w:t>
            </w:r>
            <w:r>
              <w:rPr>
                <w:rFonts w:ascii="Arial" w:hAnsi="Arial" w:cs="Arial" w:eastAsia="Arial" w:hint="default"/>
                <w:sz w:val="24"/>
                <w:szCs w:val="24"/>
              </w:rPr>
              <w:t>)</w:t>
            </w:r>
            <w:r>
              <w:rPr>
                <w:rFonts w:ascii="宋体" w:hAnsi="宋体" w:cs="宋体" w:eastAsia="宋体" w:hint="default"/>
                <w:sz w:val="24"/>
                <w:szCs w:val="24"/>
              </w:rPr>
              <w:t>有限公司。于</w:t>
            </w:r>
            <w:r>
              <w:rPr>
                <w:rFonts w:ascii="宋体" w:hAnsi="宋体" w:cs="宋体" w:eastAsia="宋体" w:hint="default"/>
                <w:spacing w:val="-69"/>
                <w:sz w:val="24"/>
                <w:szCs w:val="24"/>
              </w:rPr>
              <w:t> </w:t>
            </w:r>
            <w:r>
              <w:rPr>
                <w:rFonts w:ascii="Arial" w:hAnsi="Arial" w:cs="Arial" w:eastAsia="Arial" w:hint="default"/>
                <w:sz w:val="24"/>
                <w:szCs w:val="24"/>
              </w:rPr>
              <w:t>2001</w:t>
            </w:r>
            <w:r>
              <w:rPr>
                <w:rFonts w:ascii="Arial" w:hAnsi="Arial" w:cs="Arial" w:eastAsia="Arial"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sz w:val="24"/>
                <w:szCs w:val="24"/>
              </w:rPr>
              <w:t>6</w:t>
            </w:r>
            <w:r>
              <w:rPr>
                <w:rFonts w:ascii="Arial" w:hAnsi="Arial" w:cs="Arial" w:eastAsia="Arial" w:hint="default"/>
                <w:spacing w:val="-16"/>
                <w:sz w:val="24"/>
                <w:szCs w:val="24"/>
              </w:rPr>
              <w:t> </w:t>
            </w:r>
            <w:r>
              <w:rPr>
                <w:rFonts w:ascii="宋体" w:hAnsi="宋体" w:cs="宋体" w:eastAsia="宋体" w:hint="default"/>
                <w:sz w:val="24"/>
                <w:szCs w:val="24"/>
              </w:rPr>
              <w:t>月</w:t>
            </w:r>
          </w:p>
          <w:p>
            <w:pPr>
              <w:pStyle w:val="TableParagraph"/>
              <w:spacing w:line="311" w:lineRule="exact"/>
              <w:ind w:left="239" w:right="0"/>
              <w:jc w:val="both"/>
              <w:rPr>
                <w:rFonts w:ascii="Arial" w:hAnsi="Arial" w:cs="Arial" w:eastAsia="Arial" w:hint="default"/>
                <w:sz w:val="24"/>
                <w:szCs w:val="24"/>
              </w:rPr>
            </w:pPr>
            <w:r>
              <w:rPr>
                <w:rFonts w:ascii="Arial" w:hAnsi="Arial" w:cs="Arial" w:eastAsia="Arial" w:hint="default"/>
                <w:sz w:val="24"/>
                <w:szCs w:val="24"/>
              </w:rPr>
              <w:t>28  </w:t>
            </w:r>
            <w:r>
              <w:rPr>
                <w:rFonts w:ascii="宋体" w:hAnsi="宋体" w:cs="宋体" w:eastAsia="宋体" w:hint="default"/>
                <w:sz w:val="24"/>
                <w:szCs w:val="24"/>
              </w:rPr>
              <w:t>日，经江苏省人民政府苏政复</w:t>
            </w:r>
            <w:r>
              <w:rPr>
                <w:rFonts w:ascii="Arial" w:hAnsi="Arial" w:cs="Arial" w:eastAsia="Arial" w:hint="default"/>
                <w:sz w:val="24"/>
                <w:szCs w:val="24"/>
              </w:rPr>
              <w:t>[2001]109</w:t>
            </w:r>
            <w:r>
              <w:rPr>
                <w:rFonts w:ascii="Arial" w:hAnsi="Arial" w:cs="Arial" w:eastAsia="Arial" w:hint="default"/>
                <w:spacing w:val="45"/>
                <w:sz w:val="24"/>
                <w:szCs w:val="24"/>
              </w:rPr>
              <w:t> </w:t>
            </w:r>
            <w:r>
              <w:rPr>
                <w:rFonts w:ascii="宋体" w:hAnsi="宋体" w:cs="宋体" w:eastAsia="宋体" w:hint="default"/>
                <w:sz w:val="24"/>
                <w:szCs w:val="24"/>
              </w:rPr>
              <w:t>号文批准，以苏宁交家电</w:t>
            </w:r>
            <w:r>
              <w:rPr>
                <w:rFonts w:ascii="Arial" w:hAnsi="Arial" w:cs="Arial" w:eastAsia="Arial" w:hint="default"/>
                <w:sz w:val="24"/>
                <w:szCs w:val="24"/>
              </w:rPr>
              <w:t>(</w:t>
            </w:r>
            <w:r>
              <w:rPr>
                <w:rFonts w:ascii="宋体" w:hAnsi="宋体" w:cs="宋体" w:eastAsia="宋体" w:hint="default"/>
                <w:sz w:val="24"/>
                <w:szCs w:val="24"/>
              </w:rPr>
              <w:t>集团</w:t>
            </w:r>
            <w:r>
              <w:rPr>
                <w:rFonts w:ascii="Arial" w:hAnsi="Arial" w:cs="Arial" w:eastAsia="Arial" w:hint="default"/>
                <w:sz w:val="24"/>
                <w:szCs w:val="24"/>
              </w:rPr>
              <w:t>)</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有限公司于</w:t>
            </w:r>
            <w:r>
              <w:rPr>
                <w:rFonts w:ascii="宋体" w:hAnsi="宋体" w:cs="宋体" w:eastAsia="宋体" w:hint="default"/>
                <w:spacing w:val="-47"/>
                <w:sz w:val="24"/>
                <w:szCs w:val="24"/>
              </w:rPr>
              <w:t> </w:t>
            </w:r>
            <w:r>
              <w:rPr>
                <w:rFonts w:ascii="Arial" w:hAnsi="Arial" w:cs="Arial" w:eastAsia="Arial" w:hint="default"/>
                <w:sz w:val="24"/>
                <w:szCs w:val="24"/>
              </w:rPr>
              <w:t>2000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日的净资产整体变更为苏宁电器连锁集团股份</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有限公司，股本总额为人民币</w:t>
            </w:r>
            <w:r>
              <w:rPr>
                <w:rFonts w:ascii="宋体" w:hAnsi="宋体" w:cs="宋体" w:eastAsia="宋体" w:hint="default"/>
                <w:spacing w:val="-49"/>
                <w:sz w:val="24"/>
                <w:szCs w:val="24"/>
              </w:rPr>
              <w:t> </w:t>
            </w:r>
            <w:r>
              <w:rPr>
                <w:rFonts w:ascii="Arial" w:hAnsi="Arial" w:cs="Arial" w:eastAsia="Arial" w:hint="default"/>
                <w:sz w:val="24"/>
                <w:szCs w:val="24"/>
              </w:rPr>
              <w:t>68,160,000</w:t>
            </w:r>
            <w:r>
              <w:rPr>
                <w:rFonts w:ascii="Arial" w:hAnsi="Arial" w:cs="Arial" w:eastAsia="Arial" w:hint="default"/>
                <w:spacing w:val="3"/>
                <w:sz w:val="24"/>
                <w:szCs w:val="24"/>
              </w:rPr>
              <w:t> </w:t>
            </w:r>
            <w:r>
              <w:rPr>
                <w:rFonts w:ascii="宋体" w:hAnsi="宋体" w:cs="宋体" w:eastAsia="宋体" w:hint="default"/>
                <w:sz w:val="24"/>
                <w:szCs w:val="24"/>
              </w:rPr>
              <w:t>元，于</w:t>
            </w:r>
            <w:r>
              <w:rPr>
                <w:rFonts w:ascii="宋体" w:hAnsi="宋体" w:cs="宋体" w:eastAsia="宋体" w:hint="default"/>
                <w:spacing w:val="-49"/>
                <w:sz w:val="24"/>
                <w:szCs w:val="24"/>
              </w:rPr>
              <w:t> </w:t>
            </w:r>
            <w:r>
              <w:rPr>
                <w:rFonts w:ascii="Arial" w:hAnsi="Arial" w:cs="Arial" w:eastAsia="Arial" w:hint="default"/>
                <w:sz w:val="24"/>
                <w:szCs w:val="24"/>
              </w:rPr>
              <w:t>2001</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6</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29</w:t>
            </w:r>
            <w:r>
              <w:rPr>
                <w:rFonts w:ascii="Arial" w:hAnsi="Arial" w:cs="Arial" w:eastAsia="Arial" w:hint="default"/>
                <w:spacing w:val="5"/>
                <w:sz w:val="24"/>
                <w:szCs w:val="24"/>
              </w:rPr>
              <w:t> </w:t>
            </w:r>
            <w:r>
              <w:rPr>
                <w:rFonts w:ascii="宋体" w:hAnsi="宋体" w:cs="宋体" w:eastAsia="宋体" w:hint="default"/>
                <w:sz w:val="24"/>
                <w:szCs w:val="24"/>
              </w:rPr>
              <w:t>日领取营</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pacing w:val="-8"/>
                <w:sz w:val="24"/>
                <w:szCs w:val="24"/>
              </w:rPr>
              <w:t>业执照。此后，根据</w:t>
            </w:r>
            <w:r>
              <w:rPr>
                <w:rFonts w:ascii="宋体" w:hAnsi="宋体" w:cs="宋体" w:eastAsia="宋体" w:hint="default"/>
                <w:spacing w:val="-77"/>
                <w:sz w:val="24"/>
                <w:szCs w:val="24"/>
              </w:rPr>
              <w:t> </w:t>
            </w:r>
            <w:r>
              <w:rPr>
                <w:rFonts w:ascii="Arial" w:hAnsi="Arial" w:cs="Arial" w:eastAsia="Arial" w:hint="default"/>
                <w:sz w:val="24"/>
                <w:szCs w:val="24"/>
              </w:rPr>
              <w:t>2005</w:t>
            </w:r>
            <w:r>
              <w:rPr>
                <w:rFonts w:ascii="Arial" w:hAnsi="Arial" w:cs="Arial" w:eastAsia="Arial" w:hint="default"/>
                <w:spacing w:val="-23"/>
                <w:sz w:val="24"/>
                <w:szCs w:val="24"/>
              </w:rPr>
              <w:t> </w:t>
            </w:r>
            <w:r>
              <w:rPr>
                <w:rFonts w:ascii="宋体" w:hAnsi="宋体" w:cs="宋体" w:eastAsia="宋体" w:hint="default"/>
                <w:sz w:val="24"/>
                <w:szCs w:val="24"/>
              </w:rPr>
              <w:t>年第二次临时股东大会决议，本公司更名为苏宁电</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器股份有限公司</w:t>
            </w:r>
            <w:r>
              <w:rPr>
                <w:rFonts w:ascii="宋体" w:hAnsi="宋体" w:cs="宋体" w:eastAsia="宋体" w:hint="default"/>
                <w:spacing w:val="-120"/>
                <w:sz w:val="24"/>
                <w:szCs w:val="24"/>
              </w:rPr>
              <w:t>。</w:t>
            </w:r>
            <w:r>
              <w:rPr>
                <w:rFonts w:ascii="宋体" w:hAnsi="宋体" w:cs="宋体" w:eastAsia="宋体" w:hint="default"/>
                <w:sz w:val="24"/>
                <w:szCs w:val="24"/>
              </w:rPr>
              <w:t>根据</w:t>
            </w:r>
            <w:r>
              <w:rPr>
                <w:rFonts w:ascii="宋体" w:hAnsi="宋体" w:cs="宋体" w:eastAsia="宋体" w:hint="default"/>
                <w:spacing w:val="-69"/>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3</w:t>
            </w:r>
            <w:r>
              <w:rPr>
                <w:rFonts w:ascii="Arial" w:hAnsi="Arial" w:cs="Arial" w:eastAsia="Arial" w:hint="default"/>
                <w:spacing w:val="-15"/>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w w:val="99"/>
                <w:sz w:val="24"/>
                <w:szCs w:val="24"/>
              </w:rPr>
              <w:t>3</w:t>
            </w:r>
            <w:r>
              <w:rPr>
                <w:rFonts w:ascii="Arial" w:hAnsi="Arial" w:cs="Arial" w:eastAsia="Arial" w:hint="default"/>
                <w:spacing w:val="-15"/>
                <w:sz w:val="24"/>
                <w:szCs w:val="24"/>
              </w:rPr>
              <w:t> </w:t>
            </w:r>
            <w:r>
              <w:rPr>
                <w:rFonts w:ascii="宋体" w:hAnsi="宋体" w:cs="宋体" w:eastAsia="宋体" w:hint="default"/>
                <w:sz w:val="24"/>
                <w:szCs w:val="24"/>
              </w:rPr>
              <w:t>月召开的</w:t>
            </w:r>
            <w:r>
              <w:rPr>
                <w:rFonts w:ascii="宋体" w:hAnsi="宋体" w:cs="宋体" w:eastAsia="宋体" w:hint="default"/>
                <w:spacing w:val="-69"/>
                <w:sz w:val="24"/>
                <w:szCs w:val="24"/>
              </w:rPr>
              <w:t> </w:t>
            </w:r>
            <w:r>
              <w:rPr>
                <w:rFonts w:ascii="Arial" w:hAnsi="Arial" w:cs="Arial" w:eastAsia="Arial" w:hint="default"/>
                <w:w w:val="99"/>
                <w:sz w:val="24"/>
                <w:szCs w:val="24"/>
              </w:rPr>
              <w:t>2013</w:t>
            </w:r>
            <w:r>
              <w:rPr>
                <w:rFonts w:ascii="Arial" w:hAnsi="Arial" w:cs="Arial" w:eastAsia="Arial" w:hint="default"/>
                <w:spacing w:val="-16"/>
                <w:sz w:val="24"/>
                <w:szCs w:val="24"/>
              </w:rPr>
              <w:t> </w:t>
            </w:r>
            <w:r>
              <w:rPr>
                <w:rFonts w:ascii="宋体" w:hAnsi="宋体" w:cs="宋体" w:eastAsia="宋体" w:hint="default"/>
                <w:sz w:val="24"/>
                <w:szCs w:val="24"/>
              </w:rPr>
              <w:t>年第一次临时股东大会决议，</w:t>
            </w:r>
          </w:p>
          <w:p>
            <w:pPr>
              <w:pStyle w:val="TableParagraph"/>
              <w:spacing w:line="310" w:lineRule="exact" w:before="22"/>
              <w:ind w:left="239" w:right="316"/>
              <w:jc w:val="both"/>
              <w:rPr>
                <w:rFonts w:ascii="宋体" w:hAnsi="宋体" w:cs="宋体" w:eastAsia="宋体" w:hint="default"/>
                <w:sz w:val="24"/>
                <w:szCs w:val="24"/>
              </w:rPr>
            </w:pPr>
            <w:r>
              <w:rPr>
                <w:rFonts w:ascii="宋体" w:hAnsi="宋体" w:cs="宋体" w:eastAsia="宋体" w:hint="default"/>
                <w:sz w:val="24"/>
                <w:szCs w:val="24"/>
              </w:rPr>
              <w:t>本公司更名为苏宁云商集团股份有限公司，并于</w:t>
            </w:r>
            <w:r>
              <w:rPr>
                <w:rFonts w:ascii="宋体" w:hAnsi="宋体" w:cs="宋体" w:eastAsia="宋体" w:hint="default"/>
                <w:spacing w:val="-65"/>
                <w:sz w:val="24"/>
                <w:szCs w:val="24"/>
              </w:rPr>
              <w:t> </w:t>
            </w:r>
            <w:r>
              <w:rPr>
                <w:rFonts w:ascii="Arial" w:hAnsi="Arial" w:cs="Arial" w:eastAsia="Arial" w:hint="default"/>
                <w:sz w:val="24"/>
                <w:szCs w:val="24"/>
              </w:rPr>
              <w:t>2013</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3</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20</w:t>
            </w:r>
            <w:r>
              <w:rPr>
                <w:rFonts w:ascii="Arial" w:hAnsi="Arial" w:cs="Arial" w:eastAsia="Arial" w:hint="default"/>
                <w:spacing w:val="-12"/>
                <w:sz w:val="24"/>
                <w:szCs w:val="24"/>
              </w:rPr>
              <w:t> </w:t>
            </w:r>
            <w:r>
              <w:rPr>
                <w:rFonts w:ascii="宋体" w:hAnsi="宋体" w:cs="宋体" w:eastAsia="宋体" w:hint="default"/>
                <w:sz w:val="24"/>
                <w:szCs w:val="24"/>
              </w:rPr>
              <w:t>日取得变更 后的营业执照。本公司总部地址为中华人民共和国江苏省南京市。</w:t>
            </w:r>
          </w:p>
        </w:tc>
      </w:tr>
      <w:tr>
        <w:trPr>
          <w:trHeight w:val="8343" w:hRule="exact"/>
        </w:trPr>
        <w:tc>
          <w:tcPr>
            <w:tcW w:w="680" w:type="dxa"/>
            <w:tcBorders>
              <w:top w:val="nil" w:sz="6" w:space="0" w:color="auto"/>
              <w:left w:val="nil" w:sz="6" w:space="0" w:color="auto"/>
              <w:bottom w:val="nil" w:sz="6" w:space="0" w:color="auto"/>
              <w:right w:val="nil" w:sz="6" w:space="0" w:color="auto"/>
            </w:tcBorders>
          </w:tcPr>
          <w:p>
            <w:pPr/>
          </w:p>
        </w:tc>
        <w:tc>
          <w:tcPr>
            <w:tcW w:w="8554"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239" w:right="312"/>
              <w:jc w:val="both"/>
              <w:rPr>
                <w:rFonts w:ascii="宋体" w:hAnsi="宋体" w:cs="宋体" w:eastAsia="宋体" w:hint="default"/>
                <w:sz w:val="24"/>
                <w:szCs w:val="24"/>
              </w:rPr>
            </w:pPr>
            <w:r>
              <w:rPr>
                <w:rFonts w:ascii="宋体" w:hAnsi="宋体" w:cs="宋体" w:eastAsia="宋体" w:hint="default"/>
                <w:spacing w:val="2"/>
                <w:sz w:val="24"/>
                <w:szCs w:val="24"/>
              </w:rPr>
              <w:t>经中国证券监督管理委员会证监发行字</w:t>
            </w:r>
            <w:r>
              <w:rPr>
                <w:rFonts w:ascii="Arial" w:hAnsi="Arial" w:cs="Arial" w:eastAsia="Arial" w:hint="default"/>
                <w:spacing w:val="2"/>
                <w:sz w:val="24"/>
                <w:szCs w:val="24"/>
              </w:rPr>
              <w:t>[2004]97 </w:t>
            </w:r>
            <w:r>
              <w:rPr>
                <w:rFonts w:ascii="宋体" w:hAnsi="宋体" w:cs="宋体" w:eastAsia="宋体" w:hint="default"/>
                <w:spacing w:val="4"/>
                <w:sz w:val="24"/>
                <w:szCs w:val="24"/>
              </w:rPr>
              <w:t>号文</w:t>
            </w:r>
            <w:r>
              <w:rPr>
                <w:rFonts w:ascii="Arial" w:hAnsi="Arial" w:cs="Arial" w:eastAsia="Arial" w:hint="default"/>
                <w:spacing w:val="4"/>
                <w:sz w:val="24"/>
                <w:szCs w:val="24"/>
              </w:rPr>
              <w:t>“</w:t>
            </w:r>
            <w:r>
              <w:rPr>
                <w:rFonts w:ascii="宋体" w:hAnsi="宋体" w:cs="宋体" w:eastAsia="宋体" w:hint="default"/>
                <w:spacing w:val="4"/>
                <w:sz w:val="24"/>
                <w:szCs w:val="24"/>
              </w:rPr>
              <w:t>关于核准苏宁电器连</w:t>
            </w:r>
            <w:r>
              <w:rPr>
                <w:rFonts w:ascii="宋体" w:hAnsi="宋体" w:cs="宋体" w:eastAsia="宋体" w:hint="default"/>
                <w:spacing w:val="-114"/>
                <w:sz w:val="24"/>
                <w:szCs w:val="24"/>
              </w:rPr>
              <w:t> </w:t>
            </w:r>
            <w:r>
              <w:rPr>
                <w:rFonts w:ascii="宋体" w:hAnsi="宋体" w:cs="宋体" w:eastAsia="宋体" w:hint="default"/>
                <w:sz w:val="24"/>
                <w:szCs w:val="24"/>
              </w:rPr>
              <w:t>锁集团股份有限公司公开发行股票的通知</w:t>
            </w:r>
            <w:r>
              <w:rPr>
                <w:rFonts w:ascii="Arial" w:hAnsi="Arial" w:cs="Arial" w:eastAsia="Arial" w:hint="default"/>
                <w:sz w:val="24"/>
                <w:szCs w:val="24"/>
              </w:rPr>
              <w:t>”</w:t>
            </w:r>
            <w:r>
              <w:rPr>
                <w:rFonts w:ascii="宋体" w:hAnsi="宋体" w:cs="宋体" w:eastAsia="宋体" w:hint="default"/>
                <w:sz w:val="24"/>
                <w:szCs w:val="24"/>
              </w:rPr>
              <w:t>批准，本公司于</w:t>
            </w:r>
            <w:r>
              <w:rPr>
                <w:rFonts w:ascii="宋体" w:hAnsi="宋体" w:cs="宋体" w:eastAsia="宋体" w:hint="default"/>
                <w:spacing w:val="-55"/>
                <w:sz w:val="24"/>
                <w:szCs w:val="24"/>
              </w:rPr>
              <w:t> </w:t>
            </w:r>
            <w:r>
              <w:rPr>
                <w:rFonts w:ascii="Arial" w:hAnsi="Arial" w:cs="Arial" w:eastAsia="Arial" w:hint="default"/>
                <w:sz w:val="24"/>
                <w:szCs w:val="24"/>
              </w:rPr>
              <w:t>2004</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7</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7</w:t>
            </w:r>
            <w:r>
              <w:rPr>
                <w:rFonts w:ascii="Arial" w:hAnsi="Arial" w:cs="Arial" w:eastAsia="Arial" w:hint="default"/>
                <w:spacing w:val="-2"/>
                <w:sz w:val="24"/>
                <w:szCs w:val="24"/>
              </w:rPr>
              <w:t> </w:t>
            </w:r>
            <w:r>
              <w:rPr>
                <w:rFonts w:ascii="宋体" w:hAnsi="宋体" w:cs="宋体" w:eastAsia="宋体" w:hint="default"/>
                <w:sz w:val="24"/>
                <w:szCs w:val="24"/>
              </w:rPr>
              <w:t>日 向境内投资者发行了</w:t>
            </w:r>
            <w:r>
              <w:rPr>
                <w:rFonts w:ascii="宋体" w:hAnsi="宋体" w:cs="宋体" w:eastAsia="宋体" w:hint="default"/>
                <w:spacing w:val="-56"/>
                <w:sz w:val="24"/>
                <w:szCs w:val="24"/>
              </w:rPr>
              <w:t> </w:t>
            </w:r>
            <w:r>
              <w:rPr>
                <w:rFonts w:ascii="Arial" w:hAnsi="Arial" w:cs="Arial" w:eastAsia="Arial" w:hint="default"/>
                <w:sz w:val="24"/>
                <w:szCs w:val="24"/>
              </w:rPr>
              <w:t>2,500</w:t>
            </w:r>
            <w:r>
              <w:rPr>
                <w:rFonts w:ascii="Arial" w:hAnsi="Arial" w:cs="Arial" w:eastAsia="Arial" w:hint="default"/>
                <w:spacing w:val="-4"/>
                <w:sz w:val="24"/>
                <w:szCs w:val="24"/>
              </w:rPr>
              <w:t> </w:t>
            </w:r>
            <w:r>
              <w:rPr>
                <w:rFonts w:ascii="宋体" w:hAnsi="宋体" w:cs="宋体" w:eastAsia="宋体" w:hint="default"/>
                <w:sz w:val="24"/>
                <w:szCs w:val="24"/>
              </w:rPr>
              <w:t>万股人民币普通股</w:t>
            </w:r>
            <w:r>
              <w:rPr>
                <w:rFonts w:ascii="Arial" w:hAnsi="Arial" w:cs="Arial" w:eastAsia="Arial" w:hint="default"/>
                <w:sz w:val="24"/>
                <w:szCs w:val="24"/>
              </w:rPr>
              <w:t>(</w:t>
            </w:r>
            <w:r>
              <w:rPr>
                <w:rFonts w:ascii="宋体" w:hAnsi="宋体" w:cs="宋体" w:eastAsia="宋体" w:hint="default"/>
                <w:sz w:val="24"/>
                <w:szCs w:val="24"/>
              </w:rPr>
              <w:t>以下称为</w:t>
            </w:r>
            <w:r>
              <w:rPr>
                <w:rFonts w:ascii="Arial" w:hAnsi="Arial" w:cs="Arial" w:eastAsia="Arial" w:hint="default"/>
                <w:sz w:val="24"/>
                <w:szCs w:val="24"/>
              </w:rPr>
              <w:t>“</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，每股面值人 </w:t>
            </w:r>
            <w:r>
              <w:rPr>
                <w:rFonts w:ascii="宋体" w:hAnsi="宋体" w:cs="宋体" w:eastAsia="宋体" w:hint="default"/>
                <w:spacing w:val="10"/>
                <w:sz w:val="24"/>
                <w:szCs w:val="24"/>
              </w:rPr>
              <w:t>民币 </w:t>
            </w:r>
            <w:r>
              <w:rPr>
                <w:rFonts w:ascii="Arial" w:hAnsi="Arial" w:cs="Arial" w:eastAsia="Arial" w:hint="default"/>
                <w:sz w:val="24"/>
                <w:szCs w:val="24"/>
              </w:rPr>
              <w:t>1  </w:t>
            </w:r>
            <w:r>
              <w:rPr>
                <w:rFonts w:ascii="宋体" w:hAnsi="宋体" w:cs="宋体" w:eastAsia="宋体" w:hint="default"/>
                <w:spacing w:val="17"/>
                <w:sz w:val="24"/>
                <w:szCs w:val="24"/>
              </w:rPr>
              <w:t>元，每股发行价为人民币 </w:t>
            </w:r>
            <w:r>
              <w:rPr>
                <w:rFonts w:ascii="Arial" w:hAnsi="Arial" w:cs="Arial" w:eastAsia="Arial" w:hint="default"/>
                <w:sz w:val="24"/>
                <w:szCs w:val="24"/>
              </w:rPr>
              <w:t>16.33 </w:t>
            </w:r>
            <w:r>
              <w:rPr>
                <w:rFonts w:ascii="Arial" w:hAnsi="Arial" w:cs="Arial" w:eastAsia="Arial" w:hint="default"/>
                <w:spacing w:val="44"/>
                <w:sz w:val="24"/>
                <w:szCs w:val="24"/>
              </w:rPr>
              <w:t> </w:t>
            </w:r>
            <w:r>
              <w:rPr>
                <w:rFonts w:ascii="宋体" w:hAnsi="宋体" w:cs="宋体" w:eastAsia="宋体" w:hint="default"/>
                <w:spacing w:val="17"/>
                <w:sz w:val="24"/>
                <w:szCs w:val="24"/>
              </w:rPr>
              <w:t>元，发行后总股本增至人民币</w:t>
            </w:r>
          </w:p>
          <w:p>
            <w:pPr>
              <w:pStyle w:val="TableParagraph"/>
              <w:spacing w:line="312" w:lineRule="exact" w:before="13"/>
              <w:ind w:left="239" w:right="316"/>
              <w:jc w:val="both"/>
              <w:rPr>
                <w:rFonts w:ascii="宋体" w:hAnsi="宋体" w:cs="宋体" w:eastAsia="宋体" w:hint="default"/>
                <w:sz w:val="24"/>
                <w:szCs w:val="24"/>
              </w:rPr>
            </w:pPr>
            <w:r>
              <w:rPr>
                <w:rFonts w:ascii="Arial" w:hAnsi="Arial" w:cs="Arial" w:eastAsia="Arial" w:hint="default"/>
                <w:sz w:val="24"/>
                <w:szCs w:val="24"/>
              </w:rPr>
              <w:t>93,160,000</w:t>
            </w:r>
            <w:r>
              <w:rPr>
                <w:rFonts w:ascii="Arial" w:hAnsi="Arial" w:cs="Arial" w:eastAsia="Arial" w:hint="default"/>
                <w:spacing w:val="6"/>
                <w:sz w:val="24"/>
                <w:szCs w:val="24"/>
              </w:rPr>
              <w:t> </w:t>
            </w:r>
            <w:r>
              <w:rPr>
                <w:rFonts w:ascii="宋体" w:hAnsi="宋体" w:cs="宋体" w:eastAsia="宋体" w:hint="default"/>
                <w:sz w:val="24"/>
                <w:szCs w:val="24"/>
              </w:rPr>
              <w:t>元，本公司发行的</w:t>
            </w:r>
            <w:r>
              <w:rPr>
                <w:rFonts w:ascii="宋体" w:hAnsi="宋体" w:cs="宋体" w:eastAsia="宋体" w:hint="default"/>
                <w:spacing w:val="-48"/>
                <w:sz w:val="24"/>
                <w:szCs w:val="24"/>
              </w:rPr>
              <w:t> </w:t>
            </w:r>
            <w:r>
              <w:rPr>
                <w:rFonts w:ascii="Arial" w:hAnsi="Arial" w:cs="Arial" w:eastAsia="Arial" w:hint="default"/>
                <w:sz w:val="24"/>
                <w:szCs w:val="24"/>
              </w:rPr>
              <w:t>A</w:t>
            </w:r>
            <w:r>
              <w:rPr>
                <w:rFonts w:ascii="Arial" w:hAnsi="Arial" w:cs="Arial" w:eastAsia="Arial" w:hint="default"/>
                <w:spacing w:val="5"/>
                <w:sz w:val="24"/>
                <w:szCs w:val="24"/>
              </w:rPr>
              <w:t> </w:t>
            </w:r>
            <w:r>
              <w:rPr>
                <w:rFonts w:ascii="宋体" w:hAnsi="宋体" w:cs="宋体" w:eastAsia="宋体" w:hint="default"/>
                <w:sz w:val="24"/>
                <w:szCs w:val="24"/>
              </w:rPr>
              <w:t>股于</w:t>
            </w:r>
            <w:r>
              <w:rPr>
                <w:rFonts w:ascii="宋体" w:hAnsi="宋体" w:cs="宋体" w:eastAsia="宋体" w:hint="default"/>
                <w:spacing w:val="-48"/>
                <w:sz w:val="24"/>
                <w:szCs w:val="24"/>
              </w:rPr>
              <w:t> </w:t>
            </w:r>
            <w:r>
              <w:rPr>
                <w:rFonts w:ascii="Arial" w:hAnsi="Arial" w:cs="Arial" w:eastAsia="Arial" w:hint="default"/>
                <w:sz w:val="24"/>
                <w:szCs w:val="24"/>
              </w:rPr>
              <w:t>2004</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Arial" w:hAnsi="Arial" w:cs="Arial" w:eastAsia="Arial" w:hint="default"/>
                <w:sz w:val="24"/>
                <w:szCs w:val="24"/>
              </w:rPr>
              <w:t>21</w:t>
            </w:r>
            <w:r>
              <w:rPr>
                <w:rFonts w:ascii="Arial" w:hAnsi="Arial" w:cs="Arial" w:eastAsia="Arial" w:hint="default"/>
                <w:spacing w:val="5"/>
                <w:sz w:val="24"/>
                <w:szCs w:val="24"/>
              </w:rPr>
              <w:t> </w:t>
            </w:r>
            <w:r>
              <w:rPr>
                <w:rFonts w:ascii="宋体" w:hAnsi="宋体" w:cs="宋体" w:eastAsia="宋体" w:hint="default"/>
                <w:sz w:val="24"/>
                <w:szCs w:val="24"/>
              </w:rPr>
              <w:t>日在深圳证券交易所 中小企业板块挂牌上市交易。</w:t>
            </w: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5</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22</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2004</w:t>
            </w:r>
            <w:r>
              <w:rPr>
                <w:rFonts w:ascii="Arial" w:hAnsi="Arial" w:cs="Arial" w:eastAsia="Arial" w:hint="default"/>
                <w:spacing w:val="-2"/>
                <w:sz w:val="24"/>
                <w:szCs w:val="24"/>
              </w:rPr>
              <w:t> </w:t>
            </w:r>
            <w:r>
              <w:rPr>
                <w:rFonts w:ascii="宋体" w:hAnsi="宋体" w:cs="宋体" w:eastAsia="宋体" w:hint="default"/>
                <w:sz w:val="24"/>
                <w:szCs w:val="24"/>
              </w:rPr>
              <w:t>年年度股东大会通过，本公司以资本公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积转增股本人民币 </w:t>
            </w:r>
            <w:r>
              <w:rPr>
                <w:rFonts w:ascii="Arial" w:hAnsi="Arial" w:cs="Arial" w:eastAsia="Arial" w:hint="default"/>
                <w:sz w:val="24"/>
                <w:szCs w:val="24"/>
              </w:rPr>
              <w:t>93,160,000 </w:t>
            </w:r>
            <w:r>
              <w:rPr>
                <w:rFonts w:ascii="Arial" w:hAnsi="Arial" w:cs="Arial" w:eastAsia="Arial" w:hint="default"/>
                <w:spacing w:val="8"/>
                <w:sz w:val="24"/>
                <w:szCs w:val="24"/>
              </w:rPr>
              <w:t> </w:t>
            </w:r>
            <w:r>
              <w:rPr>
                <w:rFonts w:ascii="宋体" w:hAnsi="宋体" w:cs="宋体" w:eastAsia="宋体" w:hint="default"/>
                <w:spacing w:val="2"/>
                <w:sz w:val="24"/>
                <w:szCs w:val="24"/>
              </w:rPr>
              <w:t>元。经此次转增后，股本总额变更为人民币</w:t>
            </w:r>
          </w:p>
          <w:p>
            <w:pPr>
              <w:pStyle w:val="TableParagraph"/>
              <w:spacing w:line="322" w:lineRule="exact"/>
              <w:ind w:left="239" w:right="0"/>
              <w:jc w:val="both"/>
              <w:rPr>
                <w:rFonts w:ascii="宋体" w:hAnsi="宋体" w:cs="宋体" w:eastAsia="宋体" w:hint="default"/>
                <w:sz w:val="24"/>
                <w:szCs w:val="24"/>
              </w:rPr>
            </w:pPr>
            <w:r>
              <w:rPr>
                <w:rFonts w:ascii="Arial" w:hAnsi="Arial" w:cs="Arial" w:eastAsia="Arial" w:hint="default"/>
                <w:sz w:val="24"/>
                <w:szCs w:val="24"/>
              </w:rPr>
              <w:t>186,320,000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29</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年第二次临时股东大会决议通过，本公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149,056,000</w:t>
            </w:r>
            <w:r>
              <w:rPr>
                <w:rFonts w:ascii="Arial" w:hAnsi="Arial" w:cs="Arial" w:eastAsia="Arial" w:hint="default"/>
                <w:spacing w:val="-10"/>
                <w:sz w:val="24"/>
                <w:szCs w:val="24"/>
              </w:rPr>
              <w:t> </w:t>
            </w:r>
            <w:r>
              <w:rPr>
                <w:rFonts w:ascii="宋体" w:hAnsi="宋体" w:cs="宋体" w:eastAsia="宋体" w:hint="default"/>
                <w:sz w:val="24"/>
                <w:szCs w:val="24"/>
              </w:rPr>
              <w:t>元。经此次转增后，股本总额变</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更为人民币</w:t>
            </w:r>
            <w:r>
              <w:rPr>
                <w:rFonts w:ascii="宋体" w:hAnsi="宋体" w:cs="宋体" w:eastAsia="宋体" w:hint="default"/>
                <w:spacing w:val="-61"/>
                <w:sz w:val="24"/>
                <w:szCs w:val="24"/>
              </w:rPr>
              <w:t> </w:t>
            </w:r>
            <w:r>
              <w:rPr>
                <w:rFonts w:ascii="Arial" w:hAnsi="Arial" w:cs="Arial" w:eastAsia="Arial" w:hint="default"/>
                <w:sz w:val="24"/>
                <w:szCs w:val="24"/>
              </w:rPr>
              <w:t>335,376,000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25" w:lineRule="auto"/>
              <w:ind w:left="239" w:right="312"/>
              <w:jc w:val="both"/>
              <w:rPr>
                <w:rFonts w:ascii="宋体" w:hAnsi="宋体" w:cs="宋体" w:eastAsia="宋体" w:hint="default"/>
                <w:sz w:val="24"/>
                <w:szCs w:val="24"/>
              </w:rPr>
            </w:pPr>
            <w:r>
              <w:rPr>
                <w:rFonts w:ascii="宋体" w:hAnsi="宋体" w:cs="宋体" w:eastAsia="宋体" w:hint="default"/>
                <w:spacing w:val="2"/>
                <w:sz w:val="24"/>
                <w:szCs w:val="24"/>
              </w:rPr>
              <w:t>经中国证券监督管理委员会证监发行字</w:t>
            </w:r>
            <w:r>
              <w:rPr>
                <w:rFonts w:ascii="Arial" w:hAnsi="Arial" w:cs="Arial" w:eastAsia="Arial" w:hint="default"/>
                <w:spacing w:val="2"/>
                <w:sz w:val="24"/>
                <w:szCs w:val="24"/>
              </w:rPr>
              <w:t>[2006]21 </w:t>
            </w:r>
            <w:r>
              <w:rPr>
                <w:rFonts w:ascii="宋体" w:hAnsi="宋体" w:cs="宋体" w:eastAsia="宋体" w:hint="default"/>
                <w:spacing w:val="4"/>
                <w:sz w:val="24"/>
                <w:szCs w:val="24"/>
              </w:rPr>
              <w:t>号文</w:t>
            </w:r>
            <w:r>
              <w:rPr>
                <w:rFonts w:ascii="Arial" w:hAnsi="Arial" w:cs="Arial" w:eastAsia="Arial" w:hint="default"/>
                <w:spacing w:val="4"/>
                <w:sz w:val="24"/>
                <w:szCs w:val="24"/>
              </w:rPr>
              <w:t>“</w:t>
            </w:r>
            <w:r>
              <w:rPr>
                <w:rFonts w:ascii="宋体" w:hAnsi="宋体" w:cs="宋体" w:eastAsia="宋体" w:hint="default"/>
                <w:spacing w:val="4"/>
                <w:sz w:val="24"/>
                <w:szCs w:val="24"/>
              </w:rPr>
              <w:t>关于核准苏宁电器股</w:t>
            </w:r>
            <w:r>
              <w:rPr>
                <w:rFonts w:ascii="宋体" w:hAnsi="宋体" w:cs="宋体" w:eastAsia="宋体" w:hint="default"/>
                <w:spacing w:val="-114"/>
                <w:sz w:val="24"/>
                <w:szCs w:val="24"/>
              </w:rPr>
              <w:t> </w:t>
            </w:r>
            <w:r>
              <w:rPr>
                <w:rFonts w:ascii="宋体" w:hAnsi="宋体" w:cs="宋体" w:eastAsia="宋体" w:hint="default"/>
                <w:spacing w:val="-5"/>
                <w:sz w:val="24"/>
                <w:szCs w:val="24"/>
              </w:rPr>
              <w:t>份有限公司非公开发行股票的通知</w:t>
            </w:r>
            <w:r>
              <w:rPr>
                <w:rFonts w:ascii="Arial" w:hAnsi="Arial" w:cs="Arial" w:eastAsia="Arial" w:hint="default"/>
                <w:spacing w:val="-5"/>
                <w:sz w:val="24"/>
                <w:szCs w:val="24"/>
              </w:rPr>
              <w:t>”</w:t>
            </w:r>
            <w:r>
              <w:rPr>
                <w:rFonts w:ascii="宋体" w:hAnsi="宋体" w:cs="宋体" w:eastAsia="宋体" w:hint="default"/>
                <w:spacing w:val="-5"/>
                <w:sz w:val="24"/>
                <w:szCs w:val="24"/>
              </w:rPr>
              <w:t>批准，本公司于</w:t>
            </w:r>
            <w:r>
              <w:rPr>
                <w:rFonts w:ascii="宋体" w:hAnsi="宋体" w:cs="宋体" w:eastAsia="宋体" w:hint="default"/>
                <w:spacing w:val="-58"/>
                <w:sz w:val="24"/>
                <w:szCs w:val="24"/>
              </w:rPr>
              <w:t> </w:t>
            </w:r>
            <w:r>
              <w:rPr>
                <w:rFonts w:ascii="Arial" w:hAnsi="Arial" w:cs="Arial" w:eastAsia="Arial" w:hint="default"/>
                <w:spacing w:val="-1"/>
                <w:w w:val="99"/>
                <w:sz w:val="24"/>
                <w:szCs w:val="24"/>
              </w:rPr>
              <w:t>2006</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w w:val="99"/>
                <w:sz w:val="24"/>
                <w:szCs w:val="24"/>
              </w:rPr>
              <w:t>6</w:t>
            </w:r>
            <w:r>
              <w:rPr>
                <w:rFonts w:ascii="Arial" w:hAnsi="Arial" w:cs="Arial" w:eastAsia="Arial" w:hint="default"/>
                <w:spacing w:val="-5"/>
                <w:w w:val="9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pacing w:val="-1"/>
                <w:w w:val="99"/>
                <w:sz w:val="24"/>
                <w:szCs w:val="24"/>
              </w:rPr>
              <w:t>20</w:t>
            </w:r>
            <w:r>
              <w:rPr>
                <w:rFonts w:ascii="Arial" w:hAnsi="Arial" w:cs="Arial" w:eastAsia="Arial" w:hint="default"/>
                <w:spacing w:val="-4"/>
                <w:w w:val="99"/>
                <w:sz w:val="24"/>
                <w:szCs w:val="24"/>
              </w:rPr>
              <w:t> </w:t>
            </w:r>
            <w:r>
              <w:rPr>
                <w:rFonts w:ascii="宋体" w:hAnsi="宋体" w:cs="宋体" w:eastAsia="宋体" w:hint="default"/>
                <w:sz w:val="24"/>
                <w:szCs w:val="24"/>
              </w:rPr>
              <w:t>日向特定 投资者非公开发行</w:t>
            </w:r>
            <w:r>
              <w:rPr>
                <w:rFonts w:ascii="宋体" w:hAnsi="宋体" w:cs="宋体" w:eastAsia="宋体" w:hint="default"/>
                <w:spacing w:val="-57"/>
                <w:sz w:val="24"/>
                <w:szCs w:val="24"/>
              </w:rPr>
              <w:t> </w:t>
            </w:r>
            <w:r>
              <w:rPr>
                <w:rFonts w:ascii="Arial" w:hAnsi="Arial" w:cs="Arial" w:eastAsia="Arial" w:hint="default"/>
                <w:sz w:val="24"/>
                <w:szCs w:val="24"/>
              </w:rPr>
              <w:t>2,500</w:t>
            </w:r>
            <w:r>
              <w:rPr>
                <w:rFonts w:ascii="Arial" w:hAnsi="Arial" w:cs="Arial" w:eastAsia="Arial" w:hint="default"/>
                <w:spacing w:val="-4"/>
                <w:sz w:val="24"/>
                <w:szCs w:val="24"/>
              </w:rPr>
              <w:t> </w:t>
            </w:r>
            <w:r>
              <w:rPr>
                <w:rFonts w:ascii="宋体" w:hAnsi="宋体" w:cs="宋体" w:eastAsia="宋体" w:hint="default"/>
                <w:sz w:val="24"/>
                <w:szCs w:val="24"/>
              </w:rPr>
              <w:t>万</w:t>
            </w:r>
            <w:r>
              <w:rPr>
                <w:rFonts w:ascii="宋体" w:hAnsi="宋体" w:cs="宋体" w:eastAsia="宋体" w:hint="default"/>
                <w:spacing w:val="-57"/>
                <w:sz w:val="24"/>
                <w:szCs w:val="24"/>
              </w:rPr>
              <w:t> </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 币</w:t>
            </w:r>
            <w:r>
              <w:rPr>
                <w:rFonts w:ascii="宋体" w:hAnsi="宋体" w:cs="宋体" w:eastAsia="宋体" w:hint="default"/>
                <w:spacing w:val="-61"/>
                <w:sz w:val="24"/>
                <w:szCs w:val="24"/>
              </w:rPr>
              <w:t> </w:t>
            </w:r>
            <w:r>
              <w:rPr>
                <w:rFonts w:ascii="Arial" w:hAnsi="Arial" w:cs="Arial" w:eastAsia="Arial" w:hint="default"/>
                <w:sz w:val="24"/>
                <w:szCs w:val="24"/>
              </w:rPr>
              <w:t>48</w:t>
            </w:r>
            <w:r>
              <w:rPr>
                <w:rFonts w:ascii="Arial" w:hAnsi="Arial" w:cs="Arial" w:eastAsia="Arial" w:hint="default"/>
                <w:spacing w:val="-8"/>
                <w:sz w:val="24"/>
                <w:szCs w:val="24"/>
              </w:rPr>
              <w:t> </w:t>
            </w:r>
            <w:r>
              <w:rPr>
                <w:rFonts w:ascii="宋体" w:hAnsi="宋体" w:cs="宋体" w:eastAsia="宋体" w:hint="default"/>
                <w:sz w:val="24"/>
                <w:szCs w:val="24"/>
              </w:rPr>
              <w:t>元，股本总额变更为人民币</w:t>
            </w:r>
            <w:r>
              <w:rPr>
                <w:rFonts w:ascii="宋体" w:hAnsi="宋体" w:cs="宋体" w:eastAsia="宋体" w:hint="default"/>
                <w:spacing w:val="-61"/>
                <w:sz w:val="24"/>
                <w:szCs w:val="24"/>
              </w:rPr>
              <w:t> </w:t>
            </w:r>
            <w:r>
              <w:rPr>
                <w:rFonts w:ascii="Arial" w:hAnsi="Arial" w:cs="Arial" w:eastAsia="Arial" w:hint="default"/>
                <w:sz w:val="24"/>
                <w:szCs w:val="24"/>
              </w:rPr>
              <w:t>360,376,000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2006</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13</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2006</w:t>
            </w:r>
            <w:r>
              <w:rPr>
                <w:rFonts w:ascii="Arial" w:hAnsi="Arial" w:cs="Arial" w:eastAsia="Arial" w:hint="default"/>
                <w:spacing w:val="-2"/>
                <w:sz w:val="24"/>
                <w:szCs w:val="24"/>
              </w:rPr>
              <w:t> </w:t>
            </w:r>
            <w:r>
              <w:rPr>
                <w:rFonts w:ascii="宋体" w:hAnsi="宋体" w:cs="宋体" w:eastAsia="宋体" w:hint="default"/>
                <w:sz w:val="24"/>
                <w:szCs w:val="24"/>
              </w:rPr>
              <w:t>年第二次临时股东大会决议通过，本公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360,376,000</w:t>
            </w:r>
            <w:r>
              <w:rPr>
                <w:rFonts w:ascii="Arial" w:hAnsi="Arial" w:cs="Arial" w:eastAsia="Arial" w:hint="default"/>
                <w:spacing w:val="-10"/>
                <w:sz w:val="24"/>
                <w:szCs w:val="24"/>
              </w:rPr>
              <w:t> </w:t>
            </w:r>
            <w:r>
              <w:rPr>
                <w:rFonts w:ascii="宋体" w:hAnsi="宋体" w:cs="宋体" w:eastAsia="宋体" w:hint="default"/>
                <w:sz w:val="24"/>
                <w:szCs w:val="24"/>
              </w:rPr>
              <w:t>元。经此次转增后，股本总额变</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更为人民币</w:t>
            </w:r>
            <w:r>
              <w:rPr>
                <w:rFonts w:ascii="宋体" w:hAnsi="宋体" w:cs="宋体" w:eastAsia="宋体" w:hint="default"/>
                <w:spacing w:val="-61"/>
                <w:sz w:val="24"/>
                <w:szCs w:val="24"/>
              </w:rPr>
              <w:t> </w:t>
            </w:r>
            <w:r>
              <w:rPr>
                <w:rFonts w:ascii="Arial" w:hAnsi="Arial" w:cs="Arial" w:eastAsia="Arial" w:hint="default"/>
                <w:sz w:val="24"/>
                <w:szCs w:val="24"/>
              </w:rPr>
              <w:t>720,752,000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3"/>
                <w:sz w:val="24"/>
                <w:szCs w:val="24"/>
              </w:rPr>
              <w:t> </w:t>
            </w: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30</w:t>
            </w:r>
            <w:r>
              <w:rPr>
                <w:rFonts w:ascii="Arial" w:hAnsi="Arial" w:cs="Arial" w:eastAsia="Arial" w:hint="default"/>
                <w:spacing w:val="-9"/>
                <w:sz w:val="24"/>
                <w:szCs w:val="24"/>
              </w:rPr>
              <w:t> </w:t>
            </w:r>
            <w:r>
              <w:rPr>
                <w:rFonts w:ascii="宋体" w:hAnsi="宋体" w:cs="宋体" w:eastAsia="宋体" w:hint="default"/>
                <w:sz w:val="24"/>
                <w:szCs w:val="24"/>
              </w:rPr>
              <w:t>日召开的</w:t>
            </w:r>
            <w:r>
              <w:rPr>
                <w:rFonts w:ascii="宋体" w:hAnsi="宋体" w:cs="宋体" w:eastAsia="宋体" w:hint="default"/>
                <w:spacing w:val="-63"/>
                <w:sz w:val="24"/>
                <w:szCs w:val="24"/>
              </w:rPr>
              <w:t> </w:t>
            </w:r>
            <w:r>
              <w:rPr>
                <w:rFonts w:ascii="Arial" w:hAnsi="Arial" w:cs="Arial" w:eastAsia="Arial" w:hint="default"/>
                <w:sz w:val="24"/>
                <w:szCs w:val="24"/>
              </w:rPr>
              <w:t>2006</w:t>
            </w:r>
            <w:r>
              <w:rPr>
                <w:rFonts w:ascii="Arial" w:hAnsi="Arial" w:cs="Arial" w:eastAsia="Arial" w:hint="default"/>
                <w:spacing w:val="47"/>
                <w:sz w:val="24"/>
                <w:szCs w:val="24"/>
              </w:rPr>
              <w:t> </w:t>
            </w:r>
            <w:r>
              <w:rPr>
                <w:rFonts w:ascii="宋体" w:hAnsi="宋体" w:cs="宋体" w:eastAsia="宋体" w:hint="default"/>
                <w:sz w:val="24"/>
                <w:szCs w:val="24"/>
              </w:rPr>
              <w:t>年年度股东大会决议通过，本公司以资</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本公积转增股本人民币 </w:t>
            </w:r>
            <w:r>
              <w:rPr>
                <w:rFonts w:ascii="Arial" w:hAnsi="Arial" w:cs="Arial" w:eastAsia="Arial" w:hint="default"/>
                <w:sz w:val="24"/>
                <w:szCs w:val="24"/>
              </w:rPr>
              <w:t>720,752,000</w:t>
            </w:r>
            <w:r>
              <w:rPr>
                <w:rFonts w:ascii="Arial" w:hAnsi="Arial" w:cs="Arial" w:eastAsia="Arial" w:hint="default"/>
                <w:spacing w:val="-9"/>
                <w:sz w:val="24"/>
                <w:szCs w:val="24"/>
              </w:rPr>
              <w:t> </w:t>
            </w:r>
            <w:r>
              <w:rPr>
                <w:rFonts w:ascii="宋体" w:hAnsi="宋体" w:cs="宋体" w:eastAsia="宋体" w:hint="default"/>
                <w:sz w:val="24"/>
                <w:szCs w:val="24"/>
              </w:rPr>
              <w:t>元。经此次转增后，股本总额变更为人</w:t>
            </w: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0"/>
                <w:sz w:val="24"/>
                <w:szCs w:val="24"/>
              </w:rPr>
              <w:t> </w:t>
            </w:r>
            <w:r>
              <w:rPr>
                <w:rFonts w:ascii="Arial" w:hAnsi="Arial" w:cs="Arial" w:eastAsia="Arial" w:hint="default"/>
                <w:sz w:val="24"/>
                <w:szCs w:val="24"/>
              </w:rPr>
              <w:t>1,441,504,000</w:t>
            </w:r>
            <w:r>
              <w:rPr>
                <w:rFonts w:ascii="Arial" w:hAnsi="Arial" w:cs="Arial" w:eastAsia="Arial" w:hint="default"/>
                <w:spacing w:val="-8"/>
                <w:sz w:val="24"/>
                <w:szCs w:val="24"/>
              </w:rPr>
              <w:t> </w:t>
            </w:r>
            <w:r>
              <w:rPr>
                <w:rFonts w:ascii="宋体" w:hAnsi="宋体" w:cs="宋体" w:eastAsia="宋体" w:hint="default"/>
                <w:sz w:val="24"/>
                <w:szCs w:val="24"/>
              </w:rPr>
              <w:t>元。</w:t>
            </w:r>
          </w:p>
        </w:tc>
      </w:tr>
    </w:tbl>
    <w:p>
      <w:pPr>
        <w:spacing w:after="0" w:line="322" w:lineRule="exact"/>
        <w:jc w:val="both"/>
        <w:rPr>
          <w:rFonts w:ascii="宋体" w:hAnsi="宋体" w:cs="宋体" w:eastAsia="宋体" w:hint="default"/>
          <w:sz w:val="24"/>
          <w:szCs w:val="24"/>
        </w:rPr>
        <w:sectPr>
          <w:headerReference w:type="default" r:id="rId40"/>
          <w:pgSz w:w="11910" w:h="16840"/>
          <w:pgMar w:header="755" w:footer="912" w:top="186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80"/>
        <w:gridCol w:w="8556"/>
      </w:tblGrid>
      <w:tr>
        <w:trPr>
          <w:trHeight w:val="467"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556"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公司基本情况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2694" w:hRule="exact"/>
        </w:trPr>
        <w:tc>
          <w:tcPr>
            <w:tcW w:w="680" w:type="dxa"/>
            <w:tcBorders>
              <w:top w:val="nil" w:sz="6" w:space="0" w:color="auto"/>
              <w:left w:val="nil" w:sz="6" w:space="0" w:color="auto"/>
              <w:bottom w:val="nil" w:sz="6" w:space="0" w:color="auto"/>
              <w:right w:val="nil" w:sz="6" w:space="0" w:color="auto"/>
            </w:tcBorders>
          </w:tcPr>
          <w:p>
            <w:pPr/>
          </w:p>
        </w:tc>
        <w:tc>
          <w:tcPr>
            <w:tcW w:w="8556" w:type="dxa"/>
            <w:tcBorders>
              <w:top w:val="nil" w:sz="6" w:space="0" w:color="auto"/>
              <w:left w:val="nil" w:sz="6" w:space="0" w:color="auto"/>
              <w:bottom w:val="nil" w:sz="6" w:space="0" w:color="auto"/>
              <w:right w:val="nil" w:sz="6" w:space="0" w:color="auto"/>
            </w:tcBorders>
          </w:tcPr>
          <w:p>
            <w:pPr>
              <w:pStyle w:val="TableParagraph"/>
              <w:spacing w:line="225" w:lineRule="auto" w:before="158"/>
              <w:ind w:left="239" w:right="319"/>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[2008]647</w:t>
            </w:r>
            <w:r>
              <w:rPr>
                <w:rFonts w:ascii="Arial" w:hAnsi="Arial" w:cs="Arial" w:eastAsia="Arial" w:hint="default"/>
                <w:spacing w:val="54"/>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关于核准苏宁电器股份 </w:t>
            </w:r>
            <w:r>
              <w:rPr>
                <w:rFonts w:ascii="宋体" w:hAnsi="宋体" w:cs="宋体" w:eastAsia="宋体" w:hint="default"/>
                <w:spacing w:val="-5"/>
                <w:sz w:val="24"/>
                <w:szCs w:val="24"/>
              </w:rPr>
              <w:t>有限公司非公开发行股票的批复</w:t>
            </w:r>
            <w:r>
              <w:rPr>
                <w:rFonts w:ascii="Arial" w:hAnsi="Arial" w:cs="Arial" w:eastAsia="Arial" w:hint="default"/>
                <w:spacing w:val="-5"/>
                <w:sz w:val="24"/>
                <w:szCs w:val="24"/>
              </w:rPr>
              <w:t>”</w:t>
            </w:r>
            <w:r>
              <w:rPr>
                <w:rFonts w:ascii="宋体" w:hAnsi="宋体" w:cs="宋体" w:eastAsia="宋体" w:hint="default"/>
                <w:spacing w:val="-5"/>
                <w:sz w:val="24"/>
                <w:szCs w:val="24"/>
              </w:rPr>
              <w:t>批准，本公司于</w:t>
            </w:r>
            <w:r>
              <w:rPr>
                <w:rFonts w:ascii="宋体" w:hAnsi="宋体" w:cs="宋体" w:eastAsia="宋体" w:hint="default"/>
                <w:spacing w:val="-59"/>
                <w:sz w:val="24"/>
                <w:szCs w:val="24"/>
              </w:rPr>
              <w:t> </w:t>
            </w:r>
            <w:r>
              <w:rPr>
                <w:rFonts w:ascii="Arial" w:hAnsi="Arial" w:cs="Arial" w:eastAsia="Arial" w:hint="default"/>
                <w:spacing w:val="-1"/>
                <w:w w:val="99"/>
                <w:sz w:val="24"/>
                <w:szCs w:val="24"/>
              </w:rPr>
              <w:t>2008</w:t>
            </w:r>
            <w:r>
              <w:rPr>
                <w:rFonts w:ascii="Arial" w:hAnsi="Arial" w:cs="Arial" w:eastAsia="Arial" w:hint="default"/>
                <w:spacing w:val="-5"/>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w w:val="99"/>
                <w:sz w:val="24"/>
                <w:szCs w:val="24"/>
              </w:rPr>
              <w:t>5</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pacing w:val="-1"/>
                <w:w w:val="99"/>
                <w:sz w:val="24"/>
                <w:szCs w:val="24"/>
              </w:rPr>
              <w:t>16</w:t>
            </w:r>
            <w:r>
              <w:rPr>
                <w:rFonts w:ascii="Arial" w:hAnsi="Arial" w:cs="Arial" w:eastAsia="Arial" w:hint="default"/>
                <w:spacing w:val="-5"/>
                <w:w w:val="99"/>
                <w:sz w:val="24"/>
                <w:szCs w:val="24"/>
              </w:rPr>
              <w:t> </w:t>
            </w:r>
            <w:r>
              <w:rPr>
                <w:rFonts w:ascii="宋体" w:hAnsi="宋体" w:cs="宋体" w:eastAsia="宋体" w:hint="default"/>
                <w:sz w:val="24"/>
                <w:szCs w:val="24"/>
              </w:rPr>
              <w:t>日向特定投 资者非公开发行</w:t>
            </w:r>
            <w:r>
              <w:rPr>
                <w:rFonts w:ascii="宋体" w:hAnsi="宋体" w:cs="宋体" w:eastAsia="宋体" w:hint="default"/>
                <w:spacing w:val="-57"/>
                <w:sz w:val="24"/>
                <w:szCs w:val="24"/>
              </w:rPr>
              <w:t> </w:t>
            </w:r>
            <w:r>
              <w:rPr>
                <w:rFonts w:ascii="Arial" w:hAnsi="Arial" w:cs="Arial" w:eastAsia="Arial" w:hint="default"/>
                <w:sz w:val="24"/>
                <w:szCs w:val="24"/>
              </w:rPr>
              <w:t>5,400</w:t>
            </w:r>
            <w:r>
              <w:rPr>
                <w:rFonts w:ascii="Arial" w:hAnsi="Arial" w:cs="Arial" w:eastAsia="Arial" w:hint="default"/>
                <w:spacing w:val="-4"/>
                <w:sz w:val="24"/>
                <w:szCs w:val="24"/>
              </w:rPr>
              <w:t> </w:t>
            </w:r>
            <w:r>
              <w:rPr>
                <w:rFonts w:ascii="宋体" w:hAnsi="宋体" w:cs="宋体" w:eastAsia="宋体" w:hint="default"/>
                <w:sz w:val="24"/>
                <w:szCs w:val="24"/>
              </w:rPr>
              <w:t>万</w:t>
            </w:r>
            <w:r>
              <w:rPr>
                <w:rFonts w:ascii="宋体" w:hAnsi="宋体" w:cs="宋体" w:eastAsia="宋体" w:hint="default"/>
                <w:spacing w:val="-57"/>
                <w:sz w:val="24"/>
                <w:szCs w:val="24"/>
              </w:rPr>
              <w:t> </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元，每股发行价为人民币 </w:t>
            </w:r>
            <w:r>
              <w:rPr>
                <w:rFonts w:ascii="Arial" w:hAnsi="Arial" w:cs="Arial" w:eastAsia="Arial" w:hint="default"/>
                <w:sz w:val="24"/>
                <w:szCs w:val="24"/>
              </w:rPr>
              <w:t>45</w:t>
            </w:r>
            <w:r>
              <w:rPr>
                <w:rFonts w:ascii="Arial" w:hAnsi="Arial" w:cs="Arial" w:eastAsia="Arial" w:hint="default"/>
                <w:spacing w:val="-8"/>
                <w:sz w:val="24"/>
                <w:szCs w:val="24"/>
              </w:rPr>
              <w:t> </w:t>
            </w:r>
            <w:r>
              <w:rPr>
                <w:rFonts w:ascii="宋体" w:hAnsi="宋体" w:cs="宋体" w:eastAsia="宋体" w:hint="default"/>
                <w:sz w:val="24"/>
                <w:szCs w:val="24"/>
              </w:rPr>
              <w:t>元，股本总额变更为人民币</w:t>
            </w:r>
            <w:r>
              <w:rPr>
                <w:rFonts w:ascii="宋体" w:hAnsi="宋体" w:cs="宋体" w:eastAsia="宋体" w:hint="default"/>
                <w:spacing w:val="-61"/>
                <w:sz w:val="24"/>
                <w:szCs w:val="24"/>
              </w:rPr>
              <w:t> </w:t>
            </w:r>
            <w:r>
              <w:rPr>
                <w:rFonts w:ascii="Arial" w:hAnsi="Arial" w:cs="Arial" w:eastAsia="Arial" w:hint="default"/>
                <w:sz w:val="24"/>
                <w:szCs w:val="24"/>
              </w:rPr>
              <w:t>1,495,504,000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16</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年第一次临时股东大会决议通过，本公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1,495,504,000</w:t>
            </w:r>
            <w:r>
              <w:rPr>
                <w:rFonts w:ascii="Arial" w:hAnsi="Arial" w:cs="Arial" w:eastAsia="Arial" w:hint="default"/>
                <w:spacing w:val="31"/>
                <w:sz w:val="24"/>
                <w:szCs w:val="24"/>
              </w:rPr>
              <w:t> </w:t>
            </w:r>
            <w:r>
              <w:rPr>
                <w:rFonts w:ascii="宋体" w:hAnsi="宋体" w:cs="宋体" w:eastAsia="宋体" w:hint="default"/>
                <w:sz w:val="24"/>
                <w:szCs w:val="24"/>
              </w:rPr>
              <w:t>元。经此次转增后，股本总额</w:t>
            </w: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变更为人民币</w:t>
            </w:r>
            <w:r>
              <w:rPr>
                <w:rFonts w:ascii="宋体" w:hAnsi="宋体" w:cs="宋体" w:eastAsia="宋体" w:hint="default"/>
                <w:spacing w:val="-60"/>
                <w:sz w:val="24"/>
                <w:szCs w:val="24"/>
              </w:rPr>
              <w:t> </w:t>
            </w:r>
            <w:r>
              <w:rPr>
                <w:rFonts w:ascii="Arial" w:hAnsi="Arial" w:cs="Arial" w:eastAsia="Arial" w:hint="default"/>
                <w:sz w:val="24"/>
                <w:szCs w:val="24"/>
              </w:rPr>
              <w:t>2,991,008,000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2009</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年年度股东大会决议通过，本公司以现</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有总股本</w:t>
            </w:r>
            <w:r>
              <w:rPr>
                <w:rFonts w:ascii="宋体" w:hAnsi="宋体" w:cs="宋体" w:eastAsia="宋体" w:hint="default"/>
                <w:spacing w:val="-60"/>
                <w:sz w:val="24"/>
                <w:szCs w:val="24"/>
              </w:rPr>
              <w:t> </w:t>
            </w:r>
            <w:r>
              <w:rPr>
                <w:rFonts w:ascii="Arial" w:hAnsi="Arial" w:cs="Arial" w:eastAsia="Arial" w:hint="default"/>
                <w:sz w:val="24"/>
                <w:szCs w:val="24"/>
              </w:rPr>
              <w:t>2,991,008,000</w:t>
            </w:r>
            <w:r>
              <w:rPr>
                <w:rFonts w:ascii="Arial" w:hAnsi="Arial" w:cs="Arial" w:eastAsia="Arial" w:hint="default"/>
                <w:spacing w:val="-7"/>
                <w:sz w:val="24"/>
                <w:szCs w:val="24"/>
              </w:rPr>
              <w:t> </w:t>
            </w:r>
            <w:r>
              <w:rPr>
                <w:rFonts w:ascii="宋体" w:hAnsi="宋体" w:cs="宋体" w:eastAsia="宋体" w:hint="default"/>
                <w:spacing w:val="-6"/>
                <w:sz w:val="24"/>
                <w:szCs w:val="24"/>
              </w:rPr>
              <w:t>股为基数，向全体股东每</w:t>
            </w:r>
            <w:r>
              <w:rPr>
                <w:rFonts w:ascii="宋体" w:hAnsi="宋体" w:cs="宋体" w:eastAsia="宋体" w:hint="default"/>
                <w:spacing w:val="-60"/>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股送</w:t>
            </w:r>
            <w:r>
              <w:rPr>
                <w:rFonts w:ascii="宋体" w:hAnsi="宋体" w:cs="宋体" w:eastAsia="宋体" w:hint="default"/>
                <w:spacing w:val="-60"/>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股红股并派发现</w:t>
            </w:r>
          </w:p>
          <w:p>
            <w:pPr>
              <w:pStyle w:val="TableParagraph"/>
              <w:spacing w:line="232" w:lineRule="auto"/>
              <w:ind w:left="239" w:right="200"/>
              <w:jc w:val="left"/>
              <w:rPr>
                <w:rFonts w:ascii="宋体" w:hAnsi="宋体" w:cs="宋体" w:eastAsia="宋体" w:hint="default"/>
                <w:sz w:val="24"/>
                <w:szCs w:val="24"/>
              </w:rPr>
            </w:pPr>
            <w:r>
              <w:rPr>
                <w:rFonts w:ascii="宋体" w:hAnsi="宋体" w:cs="宋体" w:eastAsia="宋体" w:hint="default"/>
                <w:sz w:val="24"/>
                <w:szCs w:val="24"/>
              </w:rPr>
              <w:t>金红利人民币</w:t>
            </w:r>
            <w:r>
              <w:rPr>
                <w:rFonts w:ascii="宋体" w:hAnsi="宋体" w:cs="宋体" w:eastAsia="宋体" w:hint="default"/>
                <w:spacing w:val="-59"/>
                <w:sz w:val="24"/>
                <w:szCs w:val="24"/>
              </w:rPr>
              <w:t> </w:t>
            </w:r>
            <w:r>
              <w:rPr>
                <w:rFonts w:ascii="Arial" w:hAnsi="Arial" w:cs="Arial" w:eastAsia="Arial" w:hint="default"/>
                <w:sz w:val="24"/>
                <w:szCs w:val="24"/>
              </w:rPr>
              <w:t>0.3</w:t>
            </w:r>
            <w:r>
              <w:rPr>
                <w:rFonts w:ascii="Arial" w:hAnsi="Arial" w:cs="Arial" w:eastAsia="Arial" w:hint="default"/>
                <w:spacing w:val="-6"/>
                <w:sz w:val="24"/>
                <w:szCs w:val="24"/>
              </w:rPr>
              <w:t> </w:t>
            </w:r>
            <w:r>
              <w:rPr>
                <w:rFonts w:ascii="宋体" w:hAnsi="宋体" w:cs="宋体" w:eastAsia="宋体" w:hint="default"/>
                <w:spacing w:val="-13"/>
                <w:sz w:val="24"/>
                <w:szCs w:val="24"/>
              </w:rPr>
              <w:t>元；同时，公司以资本公积金向全体股东每</w:t>
            </w:r>
            <w:r>
              <w:rPr>
                <w:rFonts w:ascii="宋体" w:hAnsi="宋体" w:cs="宋体" w:eastAsia="宋体" w:hint="default"/>
                <w:spacing w:val="-59"/>
                <w:sz w:val="24"/>
                <w:szCs w:val="24"/>
              </w:rPr>
              <w:t> </w:t>
            </w:r>
            <w:r>
              <w:rPr>
                <w:rFonts w:ascii="Arial" w:hAnsi="Arial" w:cs="Arial" w:eastAsia="Arial" w:hint="default"/>
                <w:spacing w:val="-1"/>
                <w:w w:val="99"/>
                <w:sz w:val="24"/>
                <w:szCs w:val="24"/>
              </w:rPr>
              <w:t>10</w:t>
            </w:r>
            <w:r>
              <w:rPr>
                <w:rFonts w:ascii="Arial" w:hAnsi="Arial" w:cs="Arial" w:eastAsia="Arial" w:hint="default"/>
                <w:spacing w:val="-6"/>
                <w:w w:val="99"/>
                <w:sz w:val="24"/>
                <w:szCs w:val="24"/>
              </w:rPr>
              <w:t> </w:t>
            </w:r>
            <w:r>
              <w:rPr>
                <w:rFonts w:ascii="宋体" w:hAnsi="宋体" w:cs="宋体" w:eastAsia="宋体" w:hint="default"/>
                <w:sz w:val="24"/>
                <w:szCs w:val="24"/>
              </w:rPr>
              <w:t>股转增</w:t>
            </w:r>
            <w:r>
              <w:rPr>
                <w:rFonts w:ascii="宋体" w:hAnsi="宋体" w:cs="宋体" w:eastAsia="宋体" w:hint="default"/>
                <w:spacing w:val="-59"/>
                <w:sz w:val="24"/>
                <w:szCs w:val="24"/>
              </w:rPr>
              <w:t> </w:t>
            </w:r>
            <w:r>
              <w:rPr>
                <w:rFonts w:ascii="Arial" w:hAnsi="Arial" w:cs="Arial" w:eastAsia="Arial" w:hint="default"/>
                <w:w w:val="99"/>
                <w:sz w:val="24"/>
                <w:szCs w:val="24"/>
              </w:rPr>
              <w:t>3</w:t>
            </w:r>
            <w:r>
              <w:rPr>
                <w:rFonts w:ascii="Arial" w:hAnsi="Arial" w:cs="Arial" w:eastAsia="Arial" w:hint="default"/>
                <w:spacing w:val="54"/>
                <w:w w:val="99"/>
                <w:sz w:val="24"/>
                <w:szCs w:val="24"/>
              </w:rPr>
              <w:t> </w:t>
            </w:r>
            <w:r>
              <w:rPr>
                <w:rFonts w:ascii="宋体" w:hAnsi="宋体" w:cs="宋体" w:eastAsia="宋体" w:hint="default"/>
                <w:sz w:val="24"/>
                <w:szCs w:val="24"/>
              </w:rPr>
              <w:t>股。 </w:t>
            </w:r>
            <w:r>
              <w:rPr>
                <w:rFonts w:ascii="宋体" w:hAnsi="宋体" w:cs="宋体" w:eastAsia="宋体" w:hint="default"/>
                <w:spacing w:val="16"/>
                <w:sz w:val="24"/>
                <w:szCs w:val="24"/>
              </w:rPr>
              <w:t>经过此次分红派息以及资本公积金转增股本后，股本总额变更为人民币</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Arial" w:hAnsi="Arial" w:cs="Arial" w:eastAsia="Arial" w:hint="default"/>
                <w:sz w:val="24"/>
                <w:szCs w:val="24"/>
              </w:rPr>
              <w:t>4,486,512,000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25" w:lineRule="auto"/>
              <w:ind w:left="239" w:right="318"/>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经中国证券监督管理委员会证监许可字</w:t>
            </w:r>
            <w:r>
              <w:rPr>
                <w:rFonts w:ascii="Arial" w:hAnsi="Arial" w:cs="Arial" w:eastAsia="Arial" w:hint="default"/>
                <w:sz w:val="24"/>
                <w:szCs w:val="24"/>
              </w:rPr>
              <w:t>[2009]1351</w:t>
            </w:r>
            <w:r>
              <w:rPr>
                <w:rFonts w:ascii="Arial" w:hAnsi="Arial" w:cs="Arial" w:eastAsia="Arial" w:hint="default"/>
                <w:spacing w:val="4"/>
                <w:sz w:val="24"/>
                <w:szCs w:val="24"/>
              </w:rPr>
              <w:t> </w:t>
            </w:r>
            <w:r>
              <w:rPr>
                <w:rFonts w:ascii="宋体" w:hAnsi="宋体" w:cs="宋体" w:eastAsia="宋体" w:hint="default"/>
                <w:sz w:val="24"/>
                <w:szCs w:val="24"/>
              </w:rPr>
              <w:t>号《关于核准苏宁电器股 份有限公司非公开发行股票的批复》批准，本公司于</w:t>
            </w:r>
            <w:r>
              <w:rPr>
                <w:rFonts w:ascii="宋体" w:hAnsi="宋体" w:cs="宋体" w:eastAsia="宋体" w:hint="default"/>
                <w:spacing w:val="-46"/>
                <w:sz w:val="24"/>
                <w:szCs w:val="24"/>
              </w:rPr>
              <w:t> </w:t>
            </w:r>
            <w:r>
              <w:rPr>
                <w:rFonts w:ascii="Arial" w:hAnsi="Arial" w:cs="Arial" w:eastAsia="Arial" w:hint="default"/>
                <w:sz w:val="24"/>
                <w:szCs w:val="24"/>
              </w:rPr>
              <w:t>2009</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23</w:t>
            </w:r>
            <w:r>
              <w:rPr>
                <w:rFonts w:ascii="Arial" w:hAnsi="Arial" w:cs="Arial" w:eastAsia="Arial" w:hint="default"/>
                <w:spacing w:val="6"/>
                <w:sz w:val="24"/>
                <w:szCs w:val="24"/>
              </w:rPr>
              <w:t> </w:t>
            </w:r>
            <w:r>
              <w:rPr>
                <w:rFonts w:ascii="宋体" w:hAnsi="宋体" w:cs="宋体" w:eastAsia="宋体" w:hint="default"/>
                <w:sz w:val="24"/>
                <w:szCs w:val="24"/>
              </w:rPr>
              <w:t>日以 </w:t>
            </w:r>
            <w:r>
              <w:rPr>
                <w:rFonts w:ascii="宋体" w:hAnsi="宋体" w:cs="宋体" w:eastAsia="宋体" w:hint="default"/>
                <w:spacing w:val="9"/>
                <w:sz w:val="24"/>
                <w:szCs w:val="24"/>
              </w:rPr>
              <w:t>非公开发行股票的方式向证券投资基金等特定投资者发行人民币普通股</w:t>
            </w:r>
            <w:r>
              <w:rPr>
                <w:rFonts w:ascii="Arial" w:hAnsi="Arial" w:cs="Arial" w:eastAsia="Arial" w:hint="default"/>
                <w:spacing w:val="9"/>
                <w:sz w:val="24"/>
                <w:szCs w:val="24"/>
              </w:rPr>
              <w:t>(A</w:t>
            </w:r>
            <w:r>
              <w:rPr>
                <w:rFonts w:ascii="Arial" w:hAnsi="Arial" w:cs="Arial" w:eastAsia="Arial" w:hint="default"/>
                <w:spacing w:val="-63"/>
                <w:sz w:val="24"/>
                <w:szCs w:val="24"/>
              </w:rPr>
              <w:t> </w:t>
            </w:r>
            <w:r>
              <w:rPr>
                <w:rFonts w:ascii="宋体" w:hAnsi="宋体" w:cs="宋体" w:eastAsia="宋体" w:hint="default"/>
                <w:sz w:val="24"/>
                <w:szCs w:val="24"/>
              </w:rPr>
              <w:t>股</w:t>
            </w:r>
            <w:r>
              <w:rPr>
                <w:rFonts w:ascii="Arial" w:hAnsi="Arial" w:cs="Arial" w:eastAsia="Arial" w:hint="default"/>
                <w:sz w:val="24"/>
                <w:szCs w:val="24"/>
              </w:rPr>
              <w:t>)177,629,244</w:t>
            </w:r>
            <w:r>
              <w:rPr>
                <w:rFonts w:ascii="Arial" w:hAnsi="Arial" w:cs="Arial" w:eastAsia="Arial" w:hint="default"/>
                <w:spacing w:val="-3"/>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元，每股发行价为人民币</w:t>
            </w:r>
            <w:r>
              <w:rPr>
                <w:rFonts w:ascii="宋体" w:hAnsi="宋体" w:cs="宋体" w:eastAsia="宋体" w:hint="default"/>
                <w:spacing w:val="-56"/>
                <w:sz w:val="24"/>
                <w:szCs w:val="24"/>
              </w:rPr>
              <w:t> </w:t>
            </w:r>
            <w:r>
              <w:rPr>
                <w:rFonts w:ascii="Arial" w:hAnsi="Arial" w:cs="Arial" w:eastAsia="Arial" w:hint="default"/>
                <w:sz w:val="24"/>
                <w:szCs w:val="24"/>
              </w:rPr>
              <w:t>17.20</w:t>
            </w:r>
            <w:r>
              <w:rPr>
                <w:rFonts w:ascii="Arial" w:hAnsi="Arial" w:cs="Arial" w:eastAsia="Arial" w:hint="default"/>
                <w:spacing w:val="-4"/>
                <w:sz w:val="24"/>
                <w:szCs w:val="24"/>
              </w:rPr>
              <w:t> </w:t>
            </w:r>
            <w:r>
              <w:rPr>
                <w:rFonts w:ascii="宋体" w:hAnsi="宋体" w:cs="宋体" w:eastAsia="宋体" w:hint="default"/>
                <w:sz w:val="24"/>
                <w:szCs w:val="24"/>
              </w:rPr>
              <w:t>元，</w:t>
            </w:r>
          </w:p>
          <w:p>
            <w:pPr>
              <w:pStyle w:val="TableParagraph"/>
              <w:spacing w:line="315" w:lineRule="exact"/>
              <w:ind w:left="239" w:right="0"/>
              <w:jc w:val="both"/>
              <w:rPr>
                <w:rFonts w:ascii="宋体" w:hAnsi="宋体" w:cs="宋体" w:eastAsia="宋体" w:hint="default"/>
                <w:sz w:val="24"/>
                <w:szCs w:val="24"/>
              </w:rPr>
            </w:pPr>
            <w:r>
              <w:rPr>
                <w:rFonts w:ascii="宋体" w:hAnsi="宋体" w:cs="宋体" w:eastAsia="宋体" w:hint="default"/>
                <w:sz w:val="24"/>
                <w:szCs w:val="24"/>
              </w:rPr>
              <w:t>股本总额变更为人民币</w:t>
            </w:r>
            <w:r>
              <w:rPr>
                <w:rFonts w:ascii="宋体" w:hAnsi="宋体" w:cs="宋体" w:eastAsia="宋体" w:hint="default"/>
                <w:spacing w:val="-60"/>
                <w:sz w:val="24"/>
                <w:szCs w:val="24"/>
              </w:rPr>
              <w:t> </w:t>
            </w:r>
            <w:r>
              <w:rPr>
                <w:rFonts w:ascii="Arial" w:hAnsi="Arial" w:cs="Arial" w:eastAsia="Arial" w:hint="default"/>
                <w:sz w:val="24"/>
                <w:szCs w:val="24"/>
              </w:rPr>
              <w:t>4,664,141,244</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0"/>
                <w:sz w:val="24"/>
                <w:szCs w:val="24"/>
              </w:rPr>
              <w:t> </w:t>
            </w:r>
            <w:r>
              <w:rPr>
                <w:rFonts w:ascii="Arial" w:hAnsi="Arial" w:cs="Arial" w:eastAsia="Arial" w:hint="default"/>
                <w:sz w:val="24"/>
                <w:szCs w:val="24"/>
              </w:rPr>
              <w:t>2010</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日召开的</w:t>
            </w:r>
            <w:r>
              <w:rPr>
                <w:rFonts w:ascii="宋体" w:hAnsi="宋体" w:cs="宋体" w:eastAsia="宋体" w:hint="default"/>
                <w:spacing w:val="-60"/>
                <w:sz w:val="24"/>
                <w:szCs w:val="24"/>
              </w:rPr>
              <w:t> </w:t>
            </w:r>
            <w:r>
              <w:rPr>
                <w:rFonts w:ascii="Arial" w:hAnsi="Arial" w:cs="Arial" w:eastAsia="Arial" w:hint="default"/>
                <w:sz w:val="24"/>
                <w:szCs w:val="24"/>
              </w:rPr>
              <w:t>2009</w:t>
            </w:r>
            <w:r>
              <w:rPr>
                <w:rFonts w:ascii="Arial" w:hAnsi="Arial" w:cs="Arial" w:eastAsia="Arial" w:hint="default"/>
                <w:spacing w:val="-7"/>
                <w:sz w:val="24"/>
                <w:szCs w:val="24"/>
              </w:rPr>
              <w:t> </w:t>
            </w:r>
            <w:r>
              <w:rPr>
                <w:rFonts w:ascii="宋体" w:hAnsi="宋体" w:cs="宋体" w:eastAsia="宋体" w:hint="default"/>
                <w:spacing w:val="-4"/>
                <w:sz w:val="24"/>
                <w:szCs w:val="24"/>
              </w:rPr>
              <w:t>年年度股东大会决议通过，本公司以资本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公积转增股本人民币 </w:t>
            </w:r>
            <w:r>
              <w:rPr>
                <w:rFonts w:ascii="Arial" w:hAnsi="Arial" w:cs="Arial" w:eastAsia="Arial" w:hint="default"/>
                <w:sz w:val="24"/>
                <w:szCs w:val="24"/>
              </w:rPr>
              <w:t>2,332,070,622</w:t>
            </w:r>
            <w:r>
              <w:rPr>
                <w:rFonts w:ascii="Arial" w:hAnsi="Arial" w:cs="Arial" w:eastAsia="Arial" w:hint="default"/>
                <w:spacing w:val="30"/>
                <w:sz w:val="24"/>
                <w:szCs w:val="24"/>
              </w:rPr>
              <w:t> </w:t>
            </w:r>
            <w:r>
              <w:rPr>
                <w:rFonts w:ascii="宋体" w:hAnsi="宋体" w:cs="宋体" w:eastAsia="宋体" w:hint="default"/>
                <w:sz w:val="24"/>
                <w:szCs w:val="24"/>
              </w:rPr>
              <w:t>元。经此次转增后，股本总额变更为人</w:t>
            </w: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9"/>
                <w:sz w:val="24"/>
                <w:szCs w:val="24"/>
              </w:rPr>
              <w:t> </w:t>
            </w:r>
            <w:r>
              <w:rPr>
                <w:rFonts w:ascii="Arial" w:hAnsi="Arial" w:cs="Arial" w:eastAsia="Arial" w:hint="default"/>
                <w:sz w:val="24"/>
                <w:szCs w:val="24"/>
              </w:rPr>
              <w:t>6,996,211,866</w:t>
            </w:r>
            <w:r>
              <w:rPr>
                <w:rFonts w:ascii="Arial" w:hAnsi="Arial" w:cs="Arial" w:eastAsia="Arial" w:hint="default"/>
                <w:spacing w:val="-17"/>
                <w:sz w:val="24"/>
                <w:szCs w:val="24"/>
              </w:rPr>
              <w:t> </w:t>
            </w:r>
            <w:r>
              <w:rPr>
                <w:rFonts w:ascii="宋体" w:hAnsi="宋体" w:cs="宋体" w:eastAsia="宋体" w:hint="default"/>
                <w:sz w:val="24"/>
                <w:szCs w:val="24"/>
              </w:rPr>
              <w:t>元。</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25" w:lineRule="auto"/>
              <w:ind w:left="239" w:right="319"/>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[2012]477</w:t>
            </w:r>
            <w:r>
              <w:rPr>
                <w:rFonts w:ascii="Arial" w:hAnsi="Arial" w:cs="Arial" w:eastAsia="Arial" w:hint="default"/>
                <w:spacing w:val="2"/>
                <w:sz w:val="24"/>
                <w:szCs w:val="24"/>
              </w:rPr>
              <w:t> </w:t>
            </w:r>
            <w:r>
              <w:rPr>
                <w:rFonts w:ascii="宋体" w:hAnsi="宋体" w:cs="宋体" w:eastAsia="宋体" w:hint="default"/>
                <w:spacing w:val="-8"/>
                <w:sz w:val="24"/>
                <w:szCs w:val="24"/>
              </w:rPr>
              <w:t>号《关于核准苏宁电器股份有</w:t>
            </w:r>
            <w:r>
              <w:rPr>
                <w:rFonts w:ascii="宋体" w:hAnsi="宋体" w:cs="宋体" w:eastAsia="宋体" w:hint="default"/>
                <w:sz w:val="24"/>
                <w:szCs w:val="24"/>
              </w:rPr>
              <w:t> 限公司非公开发行股票的批复》批准，本公司于</w:t>
            </w:r>
            <w:r>
              <w:rPr>
                <w:rFonts w:ascii="宋体" w:hAnsi="宋体" w:cs="宋体" w:eastAsia="宋体" w:hint="default"/>
                <w:spacing w:val="-41"/>
                <w:sz w:val="24"/>
                <w:szCs w:val="24"/>
              </w:rPr>
              <w:t> </w:t>
            </w:r>
            <w:r>
              <w:rPr>
                <w:rFonts w:ascii="Arial" w:hAnsi="Arial" w:cs="Arial" w:eastAsia="Arial" w:hint="default"/>
                <w:sz w:val="24"/>
                <w:szCs w:val="24"/>
              </w:rPr>
              <w:t>2012</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2"/>
                <w:sz w:val="24"/>
                <w:szCs w:val="24"/>
              </w:rPr>
              <w:t> </w:t>
            </w:r>
            <w:r>
              <w:rPr>
                <w:rFonts w:ascii="Arial" w:hAnsi="Arial" w:cs="Arial" w:eastAsia="Arial" w:hint="default"/>
                <w:sz w:val="24"/>
                <w:szCs w:val="24"/>
              </w:rPr>
              <w:t>7</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Arial" w:hAnsi="Arial" w:cs="Arial" w:eastAsia="Arial" w:hint="default"/>
                <w:sz w:val="24"/>
                <w:szCs w:val="24"/>
              </w:rPr>
              <w:t>2</w:t>
            </w:r>
            <w:r>
              <w:rPr>
                <w:rFonts w:ascii="Arial" w:hAnsi="Arial" w:cs="Arial" w:eastAsia="Arial" w:hint="default"/>
                <w:spacing w:val="10"/>
                <w:sz w:val="24"/>
                <w:szCs w:val="24"/>
              </w:rPr>
              <w:t> </w:t>
            </w:r>
            <w:r>
              <w:rPr>
                <w:rFonts w:ascii="宋体" w:hAnsi="宋体" w:cs="宋体" w:eastAsia="宋体" w:hint="default"/>
                <w:sz w:val="24"/>
                <w:szCs w:val="24"/>
              </w:rPr>
              <w:t>日以非公开 发行股票的方式向特定投资者发行人民币普通股</w:t>
            </w:r>
            <w:r>
              <w:rPr>
                <w:rFonts w:ascii="Arial" w:hAnsi="Arial" w:cs="Arial" w:eastAsia="Arial" w:hint="default"/>
                <w:sz w:val="24"/>
                <w:szCs w:val="24"/>
              </w:rPr>
              <w:t>(A </w:t>
            </w:r>
            <w:r>
              <w:rPr>
                <w:rFonts w:ascii="宋体" w:hAnsi="宋体" w:cs="宋体" w:eastAsia="宋体" w:hint="default"/>
                <w:sz w:val="24"/>
                <w:szCs w:val="24"/>
              </w:rPr>
              <w:t>股</w:t>
            </w:r>
            <w:r>
              <w:rPr>
                <w:rFonts w:ascii="Arial" w:hAnsi="Arial" w:cs="Arial" w:eastAsia="Arial" w:hint="default"/>
                <w:sz w:val="24"/>
                <w:szCs w:val="24"/>
              </w:rPr>
              <w:t>)386,831,284</w:t>
            </w:r>
            <w:r>
              <w:rPr>
                <w:rFonts w:ascii="Arial" w:hAnsi="Arial" w:cs="Arial" w:eastAsia="Arial" w:hint="default"/>
                <w:spacing w:val="-13"/>
                <w:sz w:val="24"/>
                <w:szCs w:val="24"/>
              </w:rPr>
              <w:t> </w:t>
            </w:r>
            <w:r>
              <w:rPr>
                <w:rFonts w:ascii="宋体" w:hAnsi="宋体" w:cs="宋体" w:eastAsia="宋体" w:hint="default"/>
                <w:spacing w:val="-6"/>
                <w:sz w:val="24"/>
                <w:szCs w:val="24"/>
              </w:rPr>
              <w:t>股，每股</w:t>
            </w:r>
            <w:r>
              <w:rPr>
                <w:rFonts w:ascii="宋体" w:hAnsi="宋体" w:cs="宋体" w:eastAsia="宋体" w:hint="default"/>
                <w:sz w:val="24"/>
                <w:szCs w:val="24"/>
              </w:rPr>
              <w:t> 面值人民币 </w:t>
            </w:r>
            <w:r>
              <w:rPr>
                <w:rFonts w:ascii="Arial" w:hAnsi="Arial" w:cs="Arial" w:eastAsia="Arial" w:hint="default"/>
                <w:sz w:val="24"/>
                <w:szCs w:val="24"/>
              </w:rPr>
              <w:t>1  </w:t>
            </w:r>
            <w:r>
              <w:rPr>
                <w:rFonts w:ascii="宋体" w:hAnsi="宋体" w:cs="宋体" w:eastAsia="宋体" w:hint="default"/>
                <w:sz w:val="24"/>
                <w:szCs w:val="24"/>
              </w:rPr>
              <w:t>元，每股发行价为人民币 </w:t>
            </w:r>
            <w:r>
              <w:rPr>
                <w:rFonts w:ascii="Arial" w:hAnsi="Arial" w:cs="Arial" w:eastAsia="Arial" w:hint="default"/>
                <w:sz w:val="24"/>
                <w:szCs w:val="24"/>
              </w:rPr>
              <w:t>12.15 </w:t>
            </w:r>
            <w:r>
              <w:rPr>
                <w:rFonts w:ascii="Arial" w:hAnsi="Arial" w:cs="Arial" w:eastAsia="Arial" w:hint="default"/>
                <w:spacing w:val="21"/>
                <w:sz w:val="24"/>
                <w:szCs w:val="24"/>
              </w:rPr>
              <w:t> </w:t>
            </w:r>
            <w:r>
              <w:rPr>
                <w:rFonts w:ascii="宋体" w:hAnsi="宋体" w:cs="宋体" w:eastAsia="宋体" w:hint="default"/>
                <w:sz w:val="24"/>
                <w:szCs w:val="24"/>
              </w:rPr>
              <w:t>元，股本总额变更为人民币</w:t>
            </w:r>
          </w:p>
          <w:p>
            <w:pPr>
              <w:pStyle w:val="TableParagraph"/>
              <w:spacing w:line="315" w:lineRule="exact"/>
              <w:ind w:left="239" w:right="0"/>
              <w:jc w:val="both"/>
              <w:rPr>
                <w:rFonts w:ascii="宋体" w:hAnsi="宋体" w:cs="宋体" w:eastAsia="宋体" w:hint="default"/>
                <w:sz w:val="24"/>
                <w:szCs w:val="24"/>
              </w:rPr>
            </w:pPr>
            <w:r>
              <w:rPr>
                <w:rFonts w:ascii="Arial" w:hAnsi="Arial" w:cs="Arial" w:eastAsia="Arial" w:hint="default"/>
                <w:sz w:val="24"/>
                <w:szCs w:val="24"/>
              </w:rPr>
              <w:t>7,383,043,150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2" w:lineRule="auto"/>
              <w:ind w:left="239" w:right="198"/>
              <w:jc w:val="left"/>
              <w:rPr>
                <w:rFonts w:ascii="宋体" w:hAnsi="宋体" w:cs="宋体" w:eastAsia="宋体" w:hint="default"/>
                <w:sz w:val="24"/>
                <w:szCs w:val="24"/>
              </w:rPr>
            </w:pPr>
            <w:r>
              <w:rPr>
                <w:rFonts w:ascii="宋体" w:hAnsi="宋体" w:cs="宋体" w:eastAsia="宋体" w:hint="default"/>
                <w:spacing w:val="-4"/>
                <w:sz w:val="24"/>
                <w:szCs w:val="24"/>
              </w:rPr>
              <w:t>本公司及子公司</w:t>
            </w:r>
            <w:r>
              <w:rPr>
                <w:rFonts w:ascii="Arial" w:hAnsi="Arial" w:cs="Arial" w:eastAsia="Arial" w:hint="default"/>
                <w:spacing w:val="-4"/>
                <w:sz w:val="24"/>
                <w:szCs w:val="24"/>
              </w:rPr>
              <w:t>(</w:t>
            </w:r>
            <w:r>
              <w:rPr>
                <w:rFonts w:ascii="宋体" w:hAnsi="宋体" w:cs="宋体" w:eastAsia="宋体" w:hint="default"/>
                <w:spacing w:val="-4"/>
                <w:sz w:val="24"/>
                <w:szCs w:val="24"/>
              </w:rPr>
              <w:t>以下合称</w:t>
            </w:r>
            <w:r>
              <w:rPr>
                <w:rFonts w:ascii="Arial" w:hAnsi="Arial" w:cs="Arial" w:eastAsia="Arial" w:hint="default"/>
                <w:spacing w:val="-4"/>
                <w:sz w:val="24"/>
                <w:szCs w:val="24"/>
              </w:rPr>
              <w:t>“</w:t>
            </w:r>
            <w:r>
              <w:rPr>
                <w:rFonts w:ascii="宋体" w:hAnsi="宋体" w:cs="宋体" w:eastAsia="宋体" w:hint="default"/>
                <w:spacing w:val="-4"/>
                <w:sz w:val="24"/>
                <w:szCs w:val="24"/>
              </w:rPr>
              <w:t>本集团</w:t>
            </w:r>
            <w:r>
              <w:rPr>
                <w:rFonts w:ascii="Arial" w:hAnsi="Arial" w:cs="Arial" w:eastAsia="Arial" w:hint="default"/>
                <w:spacing w:val="-4"/>
                <w:sz w:val="24"/>
                <w:szCs w:val="24"/>
              </w:rPr>
              <w:t>”</w:t>
            </w:r>
            <w:r>
              <w:rPr>
                <w:rFonts w:ascii="Arial" w:hAnsi="Arial" w:cs="Arial" w:eastAsia="Arial" w:hint="default"/>
                <w:spacing w:val="-4"/>
                <w:sz w:val="24"/>
                <w:szCs w:val="24"/>
              </w:rPr>
              <w:t>)</w:t>
            </w:r>
            <w:r>
              <w:rPr>
                <w:rFonts w:ascii="宋体" w:hAnsi="宋体" w:cs="宋体" w:eastAsia="宋体" w:hint="default"/>
                <w:spacing w:val="-4"/>
                <w:sz w:val="24"/>
                <w:szCs w:val="24"/>
              </w:rPr>
              <w:t>主要经营家用电器、电子产品、办公设备、</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通讯产品及配件的连锁销售和服务，空调配件的销售，制冷空调设备及家用</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电器的安装与维修，计算机软件开发、销售、系统集成，百货、自行车、电</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动助力车、摩托车、汽车的连锁销售，实业投资，场地租赁，柜台出租，国</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pacing w:val="-2"/>
                <w:sz w:val="24"/>
                <w:szCs w:val="24"/>
              </w:rPr>
              <w:t>内商品展览服务，企业形象策划，经济信息咨询服务，人才培训，商务代理，</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仓储，微型计算机配件、软件的销售，微型计算机的安装及维修，废旧物资</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的回收与销售，乐器销售，工艺礼品，纪念品销售，国内贸易，代办</w:t>
            </w:r>
            <w:r>
              <w:rPr>
                <w:rFonts w:ascii="Arial" w:hAnsi="Arial" w:cs="Arial" w:eastAsia="Arial" w:hint="default"/>
                <w:sz w:val="24"/>
                <w:szCs w:val="24"/>
              </w:rPr>
              <w:t>(</w:t>
            </w:r>
            <w:r>
              <w:rPr>
                <w:rFonts w:ascii="宋体" w:hAnsi="宋体" w:cs="宋体" w:eastAsia="宋体" w:hint="default"/>
                <w:sz w:val="24"/>
                <w:szCs w:val="24"/>
              </w:rPr>
              <w:t>移动、 电信、联通</w:t>
            </w:r>
            <w:r>
              <w:rPr>
                <w:rFonts w:ascii="Arial" w:hAnsi="Arial" w:cs="Arial" w:eastAsia="Arial" w:hint="default"/>
                <w:sz w:val="24"/>
                <w:szCs w:val="24"/>
              </w:rPr>
              <w:t>)</w:t>
            </w:r>
            <w:r>
              <w:rPr>
                <w:rFonts w:ascii="宋体" w:hAnsi="宋体" w:cs="宋体" w:eastAsia="宋体" w:hint="default"/>
                <w:sz w:val="24"/>
                <w:szCs w:val="24"/>
              </w:rPr>
              <w:t>委托的各项业务，移动通讯转售业务，货物运输代理，仓储，装 卸搬运等以及本集团从事的电子商务，小额贷款，商业保理，保险销售，物</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流，房地产开发和销售等业务。</w:t>
            </w:r>
          </w:p>
        </w:tc>
      </w:tr>
    </w:tbl>
    <w:p>
      <w:pPr>
        <w:spacing w:after="0" w:line="232"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80"/>
        <w:gridCol w:w="8435"/>
      </w:tblGrid>
      <w:tr>
        <w:trPr>
          <w:trHeight w:val="425"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435"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公司基本情况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526" w:hRule="exact"/>
        </w:trPr>
        <w:tc>
          <w:tcPr>
            <w:tcW w:w="680" w:type="dxa"/>
            <w:tcBorders>
              <w:top w:val="nil" w:sz="6" w:space="0" w:color="auto"/>
              <w:left w:val="nil" w:sz="6" w:space="0" w:color="auto"/>
              <w:bottom w:val="nil" w:sz="6" w:space="0" w:color="auto"/>
              <w:right w:val="nil" w:sz="6" w:space="0" w:color="auto"/>
            </w:tcBorders>
          </w:tcPr>
          <w:p>
            <w:pPr/>
          </w:p>
        </w:tc>
        <w:tc>
          <w:tcPr>
            <w:tcW w:w="8435"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239" w:right="198"/>
              <w:jc w:val="both"/>
              <w:rPr>
                <w:rFonts w:ascii="宋体" w:hAnsi="宋体" w:cs="宋体" w:eastAsia="宋体" w:hint="default"/>
                <w:sz w:val="24"/>
                <w:szCs w:val="24"/>
              </w:rPr>
            </w:pPr>
            <w:r>
              <w:rPr>
                <w:rFonts w:ascii="宋体" w:hAnsi="宋体" w:cs="宋体" w:eastAsia="宋体" w:hint="default"/>
                <w:spacing w:val="-1"/>
                <w:sz w:val="24"/>
                <w:szCs w:val="24"/>
              </w:rPr>
              <w:t>本年度纳入合并范围的主要子公司详见附注六</w:t>
            </w:r>
            <w:r>
              <w:rPr>
                <w:rFonts w:ascii="Arial" w:hAnsi="Arial" w:cs="Arial" w:eastAsia="Arial" w:hint="default"/>
                <w:spacing w:val="-1"/>
                <w:sz w:val="24"/>
                <w:szCs w:val="24"/>
              </w:rPr>
              <w:t>(1)(a)</w:t>
            </w:r>
            <w:r>
              <w:rPr>
                <w:rFonts w:ascii="宋体" w:hAnsi="宋体" w:cs="宋体" w:eastAsia="宋体" w:hint="default"/>
                <w:spacing w:val="-1"/>
                <w:sz w:val="24"/>
                <w:szCs w:val="24"/>
              </w:rPr>
              <w:t>，本年度新纳入合并范围</w:t>
            </w:r>
            <w:r>
              <w:rPr>
                <w:rFonts w:ascii="宋体" w:hAnsi="宋体" w:cs="宋体" w:eastAsia="宋体" w:hint="default"/>
                <w:w w:val="99"/>
                <w:sz w:val="24"/>
                <w:szCs w:val="24"/>
              </w:rPr>
              <w:t> </w:t>
            </w:r>
            <w:r>
              <w:rPr>
                <w:rFonts w:ascii="宋体" w:hAnsi="宋体" w:cs="宋体" w:eastAsia="宋体" w:hint="default"/>
                <w:sz w:val="24"/>
                <w:szCs w:val="24"/>
              </w:rPr>
              <w:t>的子公司主要有聚力传媒开曼公司</w:t>
            </w:r>
            <w:r>
              <w:rPr>
                <w:rFonts w:ascii="Arial" w:hAnsi="Arial" w:cs="Arial" w:eastAsia="Arial" w:hint="default"/>
                <w:sz w:val="24"/>
                <w:szCs w:val="24"/>
              </w:rPr>
              <w:t>(</w:t>
            </w:r>
            <w:r>
              <w:rPr>
                <w:rFonts w:ascii="Arial" w:hAnsi="Arial" w:cs="Arial" w:eastAsia="Arial" w:hint="default"/>
                <w:sz w:val="24"/>
                <w:szCs w:val="24"/>
              </w:rPr>
              <w:t>“PPTV”</w:t>
            </w:r>
            <w:r>
              <w:rPr>
                <w:rFonts w:ascii="Arial" w:hAnsi="Arial" w:cs="Arial" w:eastAsia="Arial" w:hint="default"/>
                <w:sz w:val="24"/>
                <w:szCs w:val="24"/>
              </w:rPr>
              <w:t>)</w:t>
            </w:r>
            <w:r>
              <w:rPr>
                <w:rFonts w:ascii="宋体" w:hAnsi="宋体" w:cs="宋体" w:eastAsia="宋体" w:hint="default"/>
                <w:sz w:val="24"/>
                <w:szCs w:val="24"/>
              </w:rPr>
              <w:t>等，详见附注五</w:t>
            </w:r>
            <w:r>
              <w:rPr>
                <w:rFonts w:ascii="Arial" w:hAnsi="Arial" w:cs="Arial" w:eastAsia="Arial" w:hint="default"/>
                <w:sz w:val="24"/>
                <w:szCs w:val="24"/>
              </w:rPr>
              <w:t>(1)</w:t>
            </w:r>
            <w:r>
              <w:rPr>
                <w:rFonts w:ascii="宋体" w:hAnsi="宋体" w:cs="宋体" w:eastAsia="宋体" w:hint="default"/>
                <w:sz w:val="24"/>
                <w:szCs w:val="24"/>
              </w:rPr>
              <w:t>，本年度不再</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纳入合并范围的子公司主要有 </w:t>
            </w:r>
            <w:r>
              <w:rPr>
                <w:rFonts w:ascii="Arial" w:hAnsi="Arial" w:cs="Arial" w:eastAsia="Arial" w:hint="default"/>
                <w:sz w:val="24"/>
                <w:szCs w:val="24"/>
              </w:rPr>
              <w:t>PPTV</w:t>
            </w:r>
            <w:r>
              <w:rPr>
                <w:rFonts w:ascii="Arial" w:hAnsi="Arial" w:cs="Arial" w:eastAsia="Arial" w:hint="default"/>
                <w:spacing w:val="52"/>
                <w:sz w:val="24"/>
                <w:szCs w:val="24"/>
              </w:rPr>
              <w:t> </w:t>
            </w:r>
            <w:r>
              <w:rPr>
                <w:rFonts w:ascii="宋体" w:hAnsi="宋体" w:cs="宋体" w:eastAsia="宋体" w:hint="default"/>
                <w:sz w:val="24"/>
                <w:szCs w:val="24"/>
              </w:rPr>
              <w:t>和太原苏宁电器售后服务有限公司</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太 原苏宁售后公司</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等，详见附注五</w:t>
            </w:r>
            <w:r>
              <w:rPr>
                <w:rFonts w:ascii="Arial" w:hAnsi="Arial" w:cs="Arial" w:eastAsia="Arial" w:hint="default"/>
                <w:sz w:val="24"/>
                <w:szCs w:val="24"/>
              </w:rPr>
              <w:t>(2)</w:t>
            </w: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w:t>
            </w:r>
          </w:p>
        </w:tc>
      </w:tr>
      <w:tr>
        <w:trPr>
          <w:trHeight w:val="419" w:hRule="exact"/>
        </w:trPr>
        <w:tc>
          <w:tcPr>
            <w:tcW w:w="680" w:type="dxa"/>
            <w:tcBorders>
              <w:top w:val="nil" w:sz="6" w:space="0" w:color="auto"/>
              <w:left w:val="nil" w:sz="6" w:space="0" w:color="auto"/>
              <w:bottom w:val="nil" w:sz="6" w:space="0" w:color="auto"/>
              <w:right w:val="nil" w:sz="6" w:space="0" w:color="auto"/>
            </w:tcBorders>
          </w:tcPr>
          <w:p>
            <w:pPr/>
          </w:p>
        </w:tc>
        <w:tc>
          <w:tcPr>
            <w:tcW w:w="843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39" w:right="0"/>
              <w:jc w:val="left"/>
              <w:rPr>
                <w:rFonts w:ascii="宋体" w:hAnsi="宋体" w:cs="宋体" w:eastAsia="宋体" w:hint="default"/>
                <w:sz w:val="24"/>
                <w:szCs w:val="24"/>
              </w:rPr>
            </w:pPr>
            <w:r>
              <w:rPr>
                <w:rFonts w:ascii="宋体" w:hAnsi="宋体" w:cs="宋体" w:eastAsia="宋体" w:hint="default"/>
                <w:sz w:val="24"/>
                <w:szCs w:val="24"/>
              </w:rPr>
              <w:t>本财务报表由本公司董事会于</w:t>
            </w:r>
            <w:r>
              <w:rPr>
                <w:rFonts w:ascii="宋体" w:hAnsi="宋体" w:cs="宋体" w:eastAsia="宋体" w:hint="default"/>
                <w:spacing w:val="-61"/>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29</w:t>
            </w:r>
            <w:r>
              <w:rPr>
                <w:rFonts w:ascii="Arial" w:hAnsi="Arial" w:cs="Arial" w:eastAsia="Arial" w:hint="default"/>
                <w:spacing w:val="-8"/>
                <w:sz w:val="24"/>
                <w:szCs w:val="24"/>
              </w:rPr>
              <w:t> </w:t>
            </w:r>
            <w:r>
              <w:rPr>
                <w:rFonts w:ascii="宋体" w:hAnsi="宋体" w:cs="宋体" w:eastAsia="宋体" w:hint="default"/>
                <w:sz w:val="24"/>
                <w:szCs w:val="24"/>
              </w:rPr>
              <w:t>日批准报出。</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07"/>
        <w:gridCol w:w="8527"/>
      </w:tblGrid>
      <w:tr>
        <w:trPr>
          <w:trHeight w:val="413"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center"/>
              <w:rPr>
                <w:rFonts w:ascii="黑体" w:hAnsi="黑体" w:cs="黑体" w:eastAsia="黑体" w:hint="default"/>
                <w:sz w:val="24"/>
                <w:szCs w:val="24"/>
              </w:rPr>
            </w:pPr>
            <w:r>
              <w:rPr>
                <w:rFonts w:ascii="黑体" w:hAnsi="黑体" w:cs="黑体" w:eastAsia="黑体" w:hint="default"/>
                <w:sz w:val="24"/>
                <w:szCs w:val="24"/>
              </w:rPr>
              <w:t>二</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exact"/>
              <w:ind w:left="213" w:right="0"/>
              <w:jc w:val="left"/>
              <w:rPr>
                <w:rFonts w:ascii="黑体" w:hAnsi="黑体" w:cs="黑体" w:eastAsia="黑体" w:hint="default"/>
                <w:sz w:val="24"/>
                <w:szCs w:val="24"/>
              </w:rPr>
            </w:pPr>
            <w:r>
              <w:rPr>
                <w:rFonts w:ascii="黑体" w:hAnsi="黑体" w:cs="黑体" w:eastAsia="黑体" w:hint="default"/>
                <w:sz w:val="24"/>
                <w:szCs w:val="24"/>
              </w:rPr>
              <w:t>主要会计政策和会计估计</w:t>
            </w:r>
          </w:p>
        </w:tc>
      </w:tr>
      <w:tr>
        <w:trPr>
          <w:trHeight w:val="2733"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28" w:lineRule="auto" w:before="113"/>
              <w:ind w:left="213" w:right="313"/>
              <w:jc w:val="both"/>
              <w:rPr>
                <w:rFonts w:ascii="宋体" w:hAnsi="宋体" w:cs="宋体" w:eastAsia="宋体" w:hint="default"/>
                <w:sz w:val="24"/>
                <w:szCs w:val="24"/>
              </w:rPr>
            </w:pPr>
            <w:r>
              <w:rPr>
                <w:rFonts w:ascii="宋体" w:hAnsi="宋体" w:cs="宋体" w:eastAsia="宋体" w:hint="default"/>
                <w:sz w:val="24"/>
                <w:szCs w:val="24"/>
              </w:rPr>
              <w:t>本集团根据经营特点确定具体会计政策和会计估计，主要体现在应收款项坏</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pacing w:val="2"/>
                <w:sz w:val="24"/>
                <w:szCs w:val="24"/>
              </w:rPr>
              <w:t>账准备的计提方法</w:t>
            </w:r>
            <w:r>
              <w:rPr>
                <w:rFonts w:ascii="Arial" w:hAnsi="Arial" w:cs="Arial" w:eastAsia="Arial" w:hint="default"/>
                <w:spacing w:val="2"/>
                <w:sz w:val="24"/>
                <w:szCs w:val="24"/>
              </w:rPr>
              <w:t>(</w:t>
            </w:r>
            <w:r>
              <w:rPr>
                <w:rFonts w:ascii="宋体" w:hAnsi="宋体" w:cs="宋体" w:eastAsia="宋体" w:hint="default"/>
                <w:spacing w:val="2"/>
                <w:sz w:val="24"/>
                <w:szCs w:val="24"/>
              </w:rPr>
              <w:t>附注二</w:t>
            </w:r>
            <w:r>
              <w:rPr>
                <w:rFonts w:ascii="Arial" w:hAnsi="Arial" w:cs="Arial" w:eastAsia="Arial" w:hint="default"/>
                <w:spacing w:val="2"/>
                <w:sz w:val="24"/>
                <w:szCs w:val="24"/>
              </w:rPr>
              <w:t>(10))</w:t>
            </w:r>
            <w:r>
              <w:rPr>
                <w:rFonts w:ascii="宋体" w:hAnsi="宋体" w:cs="宋体" w:eastAsia="宋体" w:hint="default"/>
                <w:spacing w:val="2"/>
                <w:sz w:val="24"/>
                <w:szCs w:val="24"/>
              </w:rPr>
              <w:t>、存货的计价方法</w:t>
            </w:r>
            <w:r>
              <w:rPr>
                <w:rFonts w:ascii="Arial" w:hAnsi="Arial" w:cs="Arial" w:eastAsia="Arial" w:hint="default"/>
                <w:spacing w:val="2"/>
                <w:sz w:val="24"/>
                <w:szCs w:val="24"/>
              </w:rPr>
              <w:t>(</w:t>
            </w:r>
            <w:r>
              <w:rPr>
                <w:rFonts w:ascii="宋体" w:hAnsi="宋体" w:cs="宋体" w:eastAsia="宋体" w:hint="default"/>
                <w:spacing w:val="2"/>
                <w:sz w:val="24"/>
                <w:szCs w:val="24"/>
              </w:rPr>
              <w:t>附注二</w:t>
            </w:r>
            <w:r>
              <w:rPr>
                <w:rFonts w:ascii="Arial" w:hAnsi="Arial" w:cs="Arial" w:eastAsia="Arial" w:hint="default"/>
                <w:spacing w:val="2"/>
                <w:sz w:val="24"/>
                <w:szCs w:val="24"/>
              </w:rPr>
              <w:t>(11))</w:t>
            </w:r>
            <w:r>
              <w:rPr>
                <w:rFonts w:ascii="宋体" w:hAnsi="宋体" w:cs="宋体" w:eastAsia="宋体" w:hint="default"/>
                <w:spacing w:val="2"/>
                <w:sz w:val="24"/>
                <w:szCs w:val="24"/>
              </w:rPr>
              <w:t>、可供出售权</w:t>
            </w:r>
            <w:r>
              <w:rPr>
                <w:rFonts w:ascii="宋体" w:hAnsi="宋体" w:cs="宋体" w:eastAsia="宋体" w:hint="default"/>
                <w:spacing w:val="-114"/>
                <w:sz w:val="24"/>
                <w:szCs w:val="24"/>
              </w:rPr>
              <w:t> </w:t>
            </w:r>
            <w:r>
              <w:rPr>
                <w:rFonts w:ascii="宋体" w:hAnsi="宋体" w:cs="宋体" w:eastAsia="宋体" w:hint="default"/>
                <w:sz w:val="24"/>
                <w:szCs w:val="24"/>
              </w:rPr>
              <w:t>益工具发生减值的判断标准</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(9))</w:t>
            </w:r>
            <w:r>
              <w:rPr>
                <w:rFonts w:ascii="宋体" w:hAnsi="宋体" w:cs="宋体" w:eastAsia="宋体" w:hint="default"/>
                <w:sz w:val="24"/>
                <w:szCs w:val="24"/>
              </w:rPr>
              <w:t>、固定资产折旧和无形资产摊销</w:t>
            </w:r>
            <w:r>
              <w:rPr>
                <w:rFonts w:ascii="Arial" w:hAnsi="Arial" w:cs="Arial" w:eastAsia="Arial" w:hint="default"/>
                <w:sz w:val="24"/>
                <w:szCs w:val="24"/>
              </w:rPr>
              <w:t>(</w:t>
            </w:r>
            <w:r>
              <w:rPr>
                <w:rFonts w:ascii="宋体" w:hAnsi="宋体" w:cs="宋体" w:eastAsia="宋体" w:hint="default"/>
                <w:sz w:val="24"/>
                <w:szCs w:val="24"/>
              </w:rPr>
              <w:t>附注</w:t>
            </w:r>
            <w:r>
              <w:rPr>
                <w:rFonts w:ascii="宋体" w:hAnsi="宋体" w:cs="宋体" w:eastAsia="宋体" w:hint="default"/>
                <w:spacing w:val="-113"/>
                <w:sz w:val="24"/>
                <w:szCs w:val="24"/>
              </w:rPr>
              <w:t> </w:t>
            </w:r>
            <w:r>
              <w:rPr>
                <w:rFonts w:ascii="宋体" w:hAnsi="宋体" w:cs="宋体" w:eastAsia="宋体" w:hint="default"/>
                <w:spacing w:val="-1"/>
                <w:sz w:val="24"/>
                <w:szCs w:val="24"/>
              </w:rPr>
              <w:t>二</w:t>
            </w:r>
            <w:r>
              <w:rPr>
                <w:rFonts w:ascii="Arial" w:hAnsi="Arial" w:cs="Arial" w:eastAsia="Arial" w:hint="default"/>
                <w:spacing w:val="-1"/>
                <w:sz w:val="24"/>
                <w:szCs w:val="24"/>
              </w:rPr>
              <w:t>(14)</w:t>
            </w:r>
            <w:r>
              <w:rPr>
                <w:rFonts w:ascii="宋体" w:hAnsi="宋体" w:cs="宋体" w:eastAsia="宋体" w:hint="default"/>
                <w:spacing w:val="-1"/>
                <w:sz w:val="24"/>
                <w:szCs w:val="24"/>
              </w:rPr>
              <w:t>、</w:t>
            </w:r>
            <w:r>
              <w:rPr>
                <w:rFonts w:ascii="Arial" w:hAnsi="Arial" w:cs="Arial" w:eastAsia="Arial" w:hint="default"/>
                <w:spacing w:val="-1"/>
                <w:sz w:val="24"/>
                <w:szCs w:val="24"/>
              </w:rPr>
              <w:t>(17))</w:t>
            </w:r>
            <w:r>
              <w:rPr>
                <w:rFonts w:ascii="宋体" w:hAnsi="宋体" w:cs="宋体" w:eastAsia="宋体" w:hint="default"/>
                <w:spacing w:val="-1"/>
                <w:sz w:val="24"/>
                <w:szCs w:val="24"/>
              </w:rPr>
              <w:t>、开发支出资本化的判断标准</w:t>
            </w:r>
            <w:r>
              <w:rPr>
                <w:rFonts w:ascii="Arial" w:hAnsi="Arial" w:cs="Arial" w:eastAsia="Arial" w:hint="default"/>
                <w:spacing w:val="-1"/>
                <w:sz w:val="24"/>
                <w:szCs w:val="24"/>
              </w:rPr>
              <w:t>(</w:t>
            </w:r>
            <w:r>
              <w:rPr>
                <w:rFonts w:ascii="宋体" w:hAnsi="宋体" w:cs="宋体" w:eastAsia="宋体" w:hint="default"/>
                <w:spacing w:val="-1"/>
                <w:sz w:val="24"/>
                <w:szCs w:val="24"/>
              </w:rPr>
              <w:t>附注二</w:t>
            </w:r>
            <w:r>
              <w:rPr>
                <w:rFonts w:ascii="Arial" w:hAnsi="Arial" w:cs="Arial" w:eastAsia="Arial" w:hint="default"/>
                <w:spacing w:val="-1"/>
                <w:sz w:val="24"/>
                <w:szCs w:val="24"/>
              </w:rPr>
              <w:t>(17))</w:t>
            </w:r>
            <w:r>
              <w:rPr>
                <w:rFonts w:ascii="宋体" w:hAnsi="宋体" w:cs="宋体" w:eastAsia="宋体" w:hint="default"/>
                <w:spacing w:val="-1"/>
                <w:sz w:val="24"/>
                <w:szCs w:val="24"/>
              </w:rPr>
              <w:t>、投资性房地产的计</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6"/>
                <w:sz w:val="24"/>
                <w:szCs w:val="24"/>
              </w:rPr>
              <w:t>量模式</w:t>
            </w:r>
            <w:r>
              <w:rPr>
                <w:rFonts w:ascii="Arial" w:hAnsi="Arial" w:cs="Arial" w:eastAsia="Arial" w:hint="default"/>
                <w:spacing w:val="6"/>
                <w:sz w:val="24"/>
                <w:szCs w:val="24"/>
              </w:rPr>
              <w:t>(</w:t>
            </w:r>
            <w:r>
              <w:rPr>
                <w:rFonts w:ascii="宋体" w:hAnsi="宋体" w:cs="宋体" w:eastAsia="宋体" w:hint="default"/>
                <w:spacing w:val="6"/>
                <w:sz w:val="24"/>
                <w:szCs w:val="24"/>
              </w:rPr>
              <w:t>附注二</w:t>
            </w:r>
            <w:r>
              <w:rPr>
                <w:rFonts w:ascii="Arial" w:hAnsi="Arial" w:cs="Arial" w:eastAsia="Arial" w:hint="default"/>
                <w:spacing w:val="6"/>
                <w:sz w:val="24"/>
                <w:szCs w:val="24"/>
              </w:rPr>
              <w:t>(13))</w:t>
            </w:r>
            <w:r>
              <w:rPr>
                <w:rFonts w:ascii="宋体" w:hAnsi="宋体" w:cs="宋体" w:eastAsia="宋体" w:hint="default"/>
                <w:spacing w:val="6"/>
                <w:sz w:val="24"/>
                <w:szCs w:val="24"/>
              </w:rPr>
              <w:t>、收入的确认时点</w:t>
            </w:r>
            <w:r>
              <w:rPr>
                <w:rFonts w:ascii="Arial" w:hAnsi="Arial" w:cs="Arial" w:eastAsia="Arial" w:hint="default"/>
                <w:spacing w:val="6"/>
                <w:sz w:val="24"/>
                <w:szCs w:val="24"/>
              </w:rPr>
              <w:t>(</w:t>
            </w:r>
            <w:r>
              <w:rPr>
                <w:rFonts w:ascii="宋体" w:hAnsi="宋体" w:cs="宋体" w:eastAsia="宋体" w:hint="default"/>
                <w:spacing w:val="6"/>
                <w:sz w:val="24"/>
                <w:szCs w:val="24"/>
              </w:rPr>
              <w:t>附注二</w:t>
            </w:r>
            <w:r>
              <w:rPr>
                <w:rFonts w:ascii="Arial" w:hAnsi="Arial" w:cs="Arial" w:eastAsia="Arial" w:hint="default"/>
                <w:spacing w:val="6"/>
                <w:sz w:val="24"/>
                <w:szCs w:val="24"/>
              </w:rPr>
              <w:t>(24))</w:t>
            </w:r>
            <w:r>
              <w:rPr>
                <w:rFonts w:ascii="宋体" w:hAnsi="宋体" w:cs="宋体" w:eastAsia="宋体" w:hint="default"/>
                <w:spacing w:val="6"/>
                <w:sz w:val="24"/>
                <w:szCs w:val="24"/>
              </w:rPr>
              <w:t>、长期资产减值</w:t>
            </w:r>
            <w:r>
              <w:rPr>
                <w:rFonts w:ascii="Arial" w:hAnsi="Arial" w:cs="Arial" w:eastAsia="Arial" w:hint="default"/>
                <w:spacing w:val="6"/>
                <w:sz w:val="24"/>
                <w:szCs w:val="24"/>
              </w:rPr>
              <w:t>(</w:t>
            </w:r>
            <w:r>
              <w:rPr>
                <w:rFonts w:ascii="宋体" w:hAnsi="宋体" w:cs="宋体" w:eastAsia="宋体" w:hint="default"/>
                <w:spacing w:val="6"/>
                <w:sz w:val="24"/>
                <w:szCs w:val="24"/>
              </w:rPr>
              <w:t>附注二</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Arial" w:hAnsi="Arial" w:cs="Arial" w:eastAsia="Arial" w:hint="default"/>
                <w:sz w:val="24"/>
                <w:szCs w:val="24"/>
              </w:rPr>
              <w:t>(19))</w:t>
            </w:r>
            <w:r>
              <w:rPr>
                <w:rFonts w:ascii="宋体" w:hAnsi="宋体" w:cs="宋体" w:eastAsia="宋体" w:hint="default"/>
                <w:sz w:val="24"/>
                <w:szCs w:val="24"/>
              </w:rPr>
              <w:t>和积分计划的确认</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(23))</w:t>
            </w:r>
            <w:r>
              <w:rPr>
                <w:rFonts w:ascii="宋体" w:hAnsi="宋体" w:cs="宋体" w:eastAsia="宋体" w:hint="default"/>
                <w:sz w:val="24"/>
                <w:szCs w:val="24"/>
              </w:rPr>
              <w:t>等。</w:t>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13" w:right="0"/>
              <w:jc w:val="both"/>
              <w:rPr>
                <w:rFonts w:ascii="宋体" w:hAnsi="宋体" w:cs="宋体" w:eastAsia="宋体" w:hint="default"/>
                <w:sz w:val="24"/>
                <w:szCs w:val="24"/>
              </w:rPr>
            </w:pPr>
            <w:r>
              <w:rPr>
                <w:rFonts w:ascii="宋体" w:hAnsi="宋体" w:cs="宋体" w:eastAsia="宋体" w:hint="default"/>
                <w:sz w:val="24"/>
                <w:szCs w:val="24"/>
              </w:rPr>
              <w:t>本集团在确定重要的会计政策时所运用的关键估计及判断详见附注二</w:t>
            </w:r>
            <w:r>
              <w:rPr>
                <w:rFonts w:ascii="Arial" w:hAnsi="Arial" w:cs="Arial" w:eastAsia="Arial" w:hint="default"/>
                <w:sz w:val="24"/>
                <w:szCs w:val="24"/>
              </w:rPr>
              <w:t>(30)</w:t>
            </w:r>
            <w:r>
              <w:rPr>
                <w:rFonts w:ascii="宋体" w:hAnsi="宋体" w:cs="宋体" w:eastAsia="宋体" w:hint="default"/>
                <w:sz w:val="24"/>
                <w:szCs w:val="24"/>
              </w:rPr>
              <w:t>。</w:t>
            </w:r>
          </w:p>
        </w:tc>
      </w:tr>
      <w:tr>
        <w:trPr>
          <w:trHeight w:val="585"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
              <w:jc w:val="center"/>
              <w:rPr>
                <w:rFonts w:ascii="Arial" w:hAnsi="Arial" w:cs="Arial" w:eastAsia="Arial" w:hint="default"/>
                <w:sz w:val="24"/>
                <w:szCs w:val="24"/>
              </w:rPr>
            </w:pPr>
            <w:r>
              <w:rPr>
                <w:rFonts w:ascii="Arial"/>
                <w:sz w:val="24"/>
              </w:rPr>
              <w:t>(1)</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3" w:right="0"/>
              <w:jc w:val="left"/>
              <w:rPr>
                <w:rFonts w:ascii="黑体" w:hAnsi="黑体" w:cs="黑体" w:eastAsia="黑体" w:hint="default"/>
                <w:sz w:val="24"/>
                <w:szCs w:val="24"/>
              </w:rPr>
            </w:pPr>
            <w:r>
              <w:rPr>
                <w:rFonts w:ascii="黑体" w:hAnsi="黑体" w:cs="黑体" w:eastAsia="黑体" w:hint="default"/>
                <w:sz w:val="24"/>
                <w:szCs w:val="24"/>
              </w:rPr>
              <w:t>财务报表的编制基础</w:t>
            </w:r>
          </w:p>
        </w:tc>
      </w:tr>
      <w:tr>
        <w:trPr>
          <w:trHeight w:val="2105"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213" w:right="198"/>
              <w:jc w:val="left"/>
              <w:rPr>
                <w:rFonts w:ascii="宋体" w:hAnsi="宋体" w:cs="宋体" w:eastAsia="宋体" w:hint="default"/>
                <w:sz w:val="24"/>
                <w:szCs w:val="24"/>
              </w:rPr>
            </w:pPr>
            <w:r>
              <w:rPr>
                <w:rFonts w:ascii="宋体" w:hAnsi="宋体" w:cs="宋体" w:eastAsia="宋体" w:hint="default"/>
                <w:sz w:val="24"/>
                <w:szCs w:val="24"/>
              </w:rPr>
              <w:t>本财务报表按照财政部于</w:t>
            </w:r>
            <w:r>
              <w:rPr>
                <w:rFonts w:ascii="宋体" w:hAnsi="宋体" w:cs="宋体" w:eastAsia="宋体" w:hint="default"/>
                <w:spacing w:val="-64"/>
                <w:sz w:val="24"/>
                <w:szCs w:val="24"/>
              </w:rPr>
              <w:t> </w:t>
            </w:r>
            <w:r>
              <w:rPr>
                <w:rFonts w:ascii="Arial" w:hAnsi="Arial" w:cs="Arial" w:eastAsia="Arial" w:hint="default"/>
                <w:sz w:val="24"/>
                <w:szCs w:val="24"/>
              </w:rPr>
              <w:t>2006</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15</w:t>
            </w:r>
            <w:r>
              <w:rPr>
                <w:rFonts w:ascii="Arial" w:hAnsi="Arial" w:cs="Arial" w:eastAsia="Arial" w:hint="default"/>
                <w:spacing w:val="-11"/>
                <w:sz w:val="24"/>
                <w:szCs w:val="24"/>
              </w:rPr>
              <w:t> </w:t>
            </w:r>
            <w:r>
              <w:rPr>
                <w:rFonts w:ascii="宋体" w:hAnsi="宋体" w:cs="宋体" w:eastAsia="宋体" w:hint="default"/>
                <w:sz w:val="24"/>
                <w:szCs w:val="24"/>
              </w:rPr>
              <w:t>日及以后期间颁布的《企业会计准 </w:t>
            </w:r>
            <w:r>
              <w:rPr>
                <w:rFonts w:ascii="宋体" w:hAnsi="宋体" w:cs="宋体" w:eastAsia="宋体" w:hint="default"/>
                <w:spacing w:val="-13"/>
                <w:sz w:val="24"/>
                <w:szCs w:val="24"/>
              </w:rPr>
              <w:t>则——基本准则》、各项具体会计准则及相关规定</w:t>
            </w:r>
            <w:r>
              <w:rPr>
                <w:rFonts w:ascii="Arial" w:hAnsi="Arial" w:cs="Arial" w:eastAsia="Arial" w:hint="default"/>
                <w:spacing w:val="-13"/>
                <w:sz w:val="24"/>
                <w:szCs w:val="24"/>
              </w:rPr>
              <w:t>(</w:t>
            </w:r>
            <w:r>
              <w:rPr>
                <w:rFonts w:ascii="宋体" w:hAnsi="宋体" w:cs="宋体" w:eastAsia="宋体" w:hint="default"/>
                <w:spacing w:val="-13"/>
                <w:sz w:val="24"/>
                <w:szCs w:val="24"/>
              </w:rPr>
              <w:t>以下合称“企业会计准则”</w:t>
            </w:r>
            <w:r>
              <w:rPr>
                <w:rFonts w:ascii="Arial" w:hAnsi="Arial" w:cs="Arial" w:eastAsia="Arial" w:hint="default"/>
                <w:spacing w:val="-13"/>
                <w:sz w:val="24"/>
                <w:szCs w:val="24"/>
              </w:rPr>
              <w:t>)</w:t>
            </w:r>
            <w:r>
              <w:rPr>
                <w:rFonts w:ascii="宋体" w:hAnsi="宋体" w:cs="宋体" w:eastAsia="宋体" w:hint="default"/>
                <w:spacing w:val="-13"/>
                <w:sz w:val="24"/>
                <w:szCs w:val="24"/>
              </w:rPr>
              <w:t>、</w:t>
            </w:r>
            <w:r>
              <w:rPr>
                <w:rFonts w:ascii="宋体" w:hAnsi="宋体" w:cs="宋体" w:eastAsia="宋体" w:hint="default"/>
                <w:spacing w:val="-89"/>
                <w:sz w:val="24"/>
                <w:szCs w:val="24"/>
              </w:rPr>
              <w:t> </w:t>
            </w:r>
            <w:r>
              <w:rPr>
                <w:rFonts w:ascii="宋体" w:hAnsi="宋体" w:cs="宋体" w:eastAsia="宋体" w:hint="default"/>
                <w:sz w:val="24"/>
                <w:szCs w:val="24"/>
              </w:rPr>
              <w:t>以及中国证券监督管理委员会《公开发行证券的公司信息披露编报规则第</w:t>
            </w:r>
            <w:r>
              <w:rPr>
                <w:rFonts w:ascii="宋体" w:hAnsi="宋体" w:cs="宋体" w:eastAsia="宋体" w:hint="default"/>
                <w:spacing w:val="-65"/>
                <w:sz w:val="24"/>
                <w:szCs w:val="24"/>
              </w:rPr>
              <w:t> </w:t>
            </w:r>
            <w:r>
              <w:rPr>
                <w:rFonts w:ascii="Arial" w:hAnsi="Arial" w:cs="Arial" w:eastAsia="Arial" w:hint="default"/>
                <w:sz w:val="24"/>
                <w:szCs w:val="24"/>
              </w:rPr>
              <w:t>15</w:t>
            </w:r>
            <w:r>
              <w:rPr>
                <w:rFonts w:ascii="Arial" w:hAnsi="Arial" w:cs="Arial" w:eastAsia="Arial" w:hint="default"/>
                <w:w w:val="99"/>
                <w:sz w:val="24"/>
                <w:szCs w:val="24"/>
              </w:rPr>
              <w:t> </w:t>
            </w:r>
            <w:r>
              <w:rPr>
                <w:rFonts w:ascii="宋体" w:hAnsi="宋体" w:cs="宋体" w:eastAsia="宋体" w:hint="default"/>
                <w:sz w:val="24"/>
                <w:szCs w:val="24"/>
              </w:rPr>
              <w:t>号——财务报告的一般规定》的披露规定编制。</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13" w:right="0"/>
              <w:jc w:val="left"/>
              <w:rPr>
                <w:rFonts w:ascii="宋体" w:hAnsi="宋体" w:cs="宋体" w:eastAsia="宋体" w:hint="default"/>
                <w:sz w:val="24"/>
                <w:szCs w:val="24"/>
              </w:rPr>
            </w:pPr>
            <w:r>
              <w:rPr>
                <w:rFonts w:ascii="宋体" w:hAnsi="宋体" w:cs="宋体" w:eastAsia="宋体" w:hint="default"/>
                <w:sz w:val="24"/>
                <w:szCs w:val="24"/>
              </w:rPr>
              <w:t>本财务报表以持续经营为基础编制。</w:t>
            </w:r>
          </w:p>
        </w:tc>
      </w:tr>
      <w:tr>
        <w:trPr>
          <w:trHeight w:val="596"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
              <w:jc w:val="center"/>
              <w:rPr>
                <w:rFonts w:ascii="Arial" w:hAnsi="Arial" w:cs="Arial" w:eastAsia="Arial" w:hint="default"/>
                <w:sz w:val="24"/>
                <w:szCs w:val="24"/>
              </w:rPr>
            </w:pPr>
            <w:r>
              <w:rPr>
                <w:rFonts w:ascii="Arial"/>
                <w:sz w:val="24"/>
              </w:rPr>
              <w:t>(2)</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3" w:right="0"/>
              <w:jc w:val="left"/>
              <w:rPr>
                <w:rFonts w:ascii="黑体" w:hAnsi="黑体" w:cs="黑体" w:eastAsia="黑体" w:hint="default"/>
                <w:sz w:val="24"/>
                <w:szCs w:val="24"/>
              </w:rPr>
            </w:pPr>
            <w:r>
              <w:rPr>
                <w:rFonts w:ascii="黑体" w:hAnsi="黑体" w:cs="黑体" w:eastAsia="黑体" w:hint="default"/>
                <w:sz w:val="24"/>
                <w:szCs w:val="24"/>
              </w:rPr>
              <w:t>遵循企业会计准则的声明</w:t>
            </w:r>
          </w:p>
        </w:tc>
      </w:tr>
      <w:tr>
        <w:trPr>
          <w:trHeight w:val="1215"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321" w:lineRule="exact" w:before="104"/>
              <w:ind w:left="213" w:right="0"/>
              <w:jc w:val="left"/>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pacing w:val="-57"/>
                <w:sz w:val="24"/>
                <w:szCs w:val="24"/>
              </w:rPr>
              <w:t> </w:t>
            </w:r>
            <w:r>
              <w:rPr>
                <w:rFonts w:ascii="Arial" w:hAnsi="Arial" w:cs="Arial" w:eastAsia="Arial" w:hint="default"/>
                <w:sz w:val="24"/>
                <w:szCs w:val="24"/>
              </w:rPr>
              <w:t>2015</w:t>
            </w:r>
            <w:r>
              <w:rPr>
                <w:rFonts w:ascii="Arial" w:hAnsi="Arial" w:cs="Arial" w:eastAsia="Arial" w:hint="default"/>
                <w:spacing w:val="-4"/>
                <w:sz w:val="24"/>
                <w:szCs w:val="24"/>
              </w:rPr>
              <w:t> </w:t>
            </w:r>
            <w:r>
              <w:rPr>
                <w:rFonts w:ascii="宋体" w:hAnsi="宋体" w:cs="宋体" w:eastAsia="宋体" w:hint="default"/>
                <w:spacing w:val="-4"/>
                <w:sz w:val="24"/>
                <w:szCs w:val="24"/>
              </w:rPr>
              <w:t>年度财务报表符合企业会计准则的要求，真实、完整地反映了本</w:t>
            </w:r>
          </w:p>
          <w:p>
            <w:pPr>
              <w:pStyle w:val="TableParagraph"/>
              <w:spacing w:line="310" w:lineRule="exact" w:before="22"/>
              <w:ind w:left="213" w:right="316"/>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Arial" w:hAnsi="Arial" w:cs="Arial" w:eastAsia="Arial" w:hint="default"/>
                <w:sz w:val="24"/>
                <w:szCs w:val="24"/>
              </w:rPr>
              <w:t>2015</w:t>
            </w:r>
            <w:r>
              <w:rPr>
                <w:rFonts w:ascii="Arial" w:hAnsi="Arial" w:cs="Arial" w:eastAsia="Arial"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Arial" w:hAnsi="Arial" w:cs="Arial" w:eastAsia="Arial" w:hint="default"/>
                <w:sz w:val="24"/>
                <w:szCs w:val="24"/>
              </w:rPr>
              <w:t>12</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Arial" w:hAnsi="Arial" w:cs="Arial" w:eastAsia="Arial" w:hint="default"/>
                <w:sz w:val="24"/>
                <w:szCs w:val="24"/>
              </w:rPr>
              <w:t>31</w:t>
            </w:r>
            <w:r>
              <w:rPr>
                <w:rFonts w:ascii="Arial" w:hAnsi="Arial" w:cs="Arial" w:eastAsia="Arial" w:hint="default"/>
                <w:spacing w:val="-19"/>
                <w:sz w:val="24"/>
                <w:szCs w:val="24"/>
              </w:rPr>
              <w:t> </w:t>
            </w:r>
            <w:r>
              <w:rPr>
                <w:rFonts w:ascii="宋体" w:hAnsi="宋体" w:cs="宋体" w:eastAsia="宋体" w:hint="default"/>
                <w:sz w:val="24"/>
                <w:szCs w:val="24"/>
              </w:rPr>
              <w:t>日的合并及公司财务状况以及</w:t>
            </w:r>
            <w:r>
              <w:rPr>
                <w:rFonts w:ascii="宋体" w:hAnsi="宋体" w:cs="宋体" w:eastAsia="宋体" w:hint="default"/>
                <w:spacing w:val="-72"/>
                <w:sz w:val="24"/>
                <w:szCs w:val="24"/>
              </w:rPr>
              <w:t> </w:t>
            </w:r>
            <w:r>
              <w:rPr>
                <w:rFonts w:ascii="Arial" w:hAnsi="Arial" w:cs="Arial" w:eastAsia="Arial" w:hint="default"/>
                <w:sz w:val="24"/>
                <w:szCs w:val="24"/>
              </w:rPr>
              <w:t>2015</w:t>
            </w:r>
            <w:r>
              <w:rPr>
                <w:rFonts w:ascii="Arial" w:hAnsi="Arial" w:cs="Arial" w:eastAsia="Arial" w:hint="default"/>
                <w:spacing w:val="-19"/>
                <w:sz w:val="24"/>
                <w:szCs w:val="24"/>
              </w:rPr>
              <w:t> </w:t>
            </w:r>
            <w:r>
              <w:rPr>
                <w:rFonts w:ascii="宋体" w:hAnsi="宋体" w:cs="宋体" w:eastAsia="宋体" w:hint="default"/>
                <w:sz w:val="24"/>
                <w:szCs w:val="24"/>
              </w:rPr>
              <w:t>年度的合并及公司 经营成果和现金流量等有关信息。</w:t>
            </w:r>
          </w:p>
        </w:tc>
      </w:tr>
      <w:tr>
        <w:trPr>
          <w:trHeight w:val="602"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
              <w:jc w:val="center"/>
              <w:rPr>
                <w:rFonts w:ascii="Arial" w:hAnsi="Arial" w:cs="Arial" w:eastAsia="Arial" w:hint="default"/>
                <w:sz w:val="24"/>
                <w:szCs w:val="24"/>
              </w:rPr>
            </w:pPr>
            <w:r>
              <w:rPr>
                <w:rFonts w:ascii="Arial"/>
                <w:sz w:val="24"/>
              </w:rPr>
              <w:t>(3)</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13" w:right="0"/>
              <w:jc w:val="left"/>
              <w:rPr>
                <w:rFonts w:ascii="黑体" w:hAnsi="黑体" w:cs="黑体" w:eastAsia="黑体" w:hint="default"/>
                <w:sz w:val="24"/>
                <w:szCs w:val="24"/>
              </w:rPr>
            </w:pPr>
            <w:r>
              <w:rPr>
                <w:rFonts w:ascii="黑体" w:hAnsi="黑体" w:cs="黑体" w:eastAsia="黑体" w:hint="default"/>
                <w:sz w:val="24"/>
                <w:szCs w:val="24"/>
              </w:rPr>
              <w:t>会计年度</w:t>
            </w:r>
          </w:p>
        </w:tc>
      </w:tr>
      <w:tr>
        <w:trPr>
          <w:trHeight w:val="595"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3" w:right="0"/>
              <w:jc w:val="left"/>
              <w:rPr>
                <w:rFonts w:ascii="宋体" w:hAnsi="宋体" w:cs="宋体" w:eastAsia="宋体" w:hint="default"/>
                <w:sz w:val="24"/>
                <w:szCs w:val="24"/>
              </w:rPr>
            </w:pPr>
            <w:r>
              <w:rPr>
                <w:rFonts w:ascii="宋体" w:hAnsi="宋体" w:cs="宋体" w:eastAsia="宋体" w:hint="default"/>
                <w:sz w:val="24"/>
                <w:szCs w:val="24"/>
              </w:rPr>
              <w:t>会计年度为公历</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日起至</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w:t>
            </w:r>
          </w:p>
        </w:tc>
      </w:tr>
      <w:tr>
        <w:trPr>
          <w:trHeight w:val="585"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
              <w:jc w:val="center"/>
              <w:rPr>
                <w:rFonts w:ascii="Arial" w:hAnsi="Arial" w:cs="Arial" w:eastAsia="Arial" w:hint="default"/>
                <w:sz w:val="24"/>
                <w:szCs w:val="24"/>
              </w:rPr>
            </w:pPr>
            <w:r>
              <w:rPr>
                <w:rFonts w:ascii="Arial"/>
                <w:sz w:val="24"/>
              </w:rPr>
              <w:t>(4)</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3" w:right="0"/>
              <w:jc w:val="left"/>
              <w:rPr>
                <w:rFonts w:ascii="黑体" w:hAnsi="黑体" w:cs="黑体" w:eastAsia="黑体" w:hint="default"/>
                <w:sz w:val="24"/>
                <w:szCs w:val="24"/>
              </w:rPr>
            </w:pPr>
            <w:r>
              <w:rPr>
                <w:rFonts w:ascii="黑体" w:hAnsi="黑体" w:cs="黑体" w:eastAsia="黑体" w:hint="default"/>
                <w:sz w:val="24"/>
                <w:szCs w:val="24"/>
              </w:rPr>
              <w:t>记账本位币</w:t>
            </w:r>
          </w:p>
        </w:tc>
      </w:tr>
      <w:tr>
        <w:trPr>
          <w:trHeight w:val="413"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3" w:right="0"/>
              <w:jc w:val="left"/>
              <w:rPr>
                <w:rFonts w:ascii="宋体" w:hAnsi="宋体" w:cs="宋体" w:eastAsia="宋体" w:hint="default"/>
                <w:sz w:val="24"/>
                <w:szCs w:val="24"/>
              </w:rPr>
            </w:pPr>
            <w:r>
              <w:rPr>
                <w:rFonts w:ascii="宋体" w:hAnsi="宋体" w:cs="宋体" w:eastAsia="宋体" w:hint="default"/>
                <w:sz w:val="24"/>
                <w:szCs w:val="24"/>
              </w:rPr>
              <w:t>记账本位币为人民币。</w:t>
            </w:r>
          </w:p>
        </w:tc>
      </w:tr>
    </w:tbl>
    <w:p>
      <w:pPr>
        <w:spacing w:after="0" w:line="240"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7"/>
        <w:gridCol w:w="8495"/>
      </w:tblGrid>
      <w:tr>
        <w:trPr>
          <w:trHeight w:val="496"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center"/>
              <w:rPr>
                <w:rFonts w:ascii="黑体" w:hAnsi="黑体" w:cs="黑体" w:eastAsia="黑体" w:hint="default"/>
                <w:sz w:val="24"/>
                <w:szCs w:val="24"/>
              </w:rPr>
            </w:pPr>
            <w:r>
              <w:rPr>
                <w:rFonts w:ascii="黑体" w:hAnsi="黑体" w:cs="黑体" w:eastAsia="黑体" w:hint="default"/>
                <w:sz w:val="24"/>
                <w:szCs w:val="24"/>
              </w:rPr>
              <w:t>二</w:t>
            </w:r>
          </w:p>
        </w:tc>
        <w:tc>
          <w:tcPr>
            <w:tcW w:w="8495" w:type="dxa"/>
            <w:tcBorders>
              <w:top w:val="nil" w:sz="6" w:space="0" w:color="auto"/>
              <w:left w:val="nil" w:sz="6" w:space="0" w:color="auto"/>
              <w:bottom w:val="nil" w:sz="6" w:space="0" w:color="auto"/>
              <w:right w:val="nil" w:sz="6" w:space="0" w:color="auto"/>
            </w:tcBorders>
          </w:tcPr>
          <w:p>
            <w:pPr>
              <w:pStyle w:val="TableParagraph"/>
              <w:spacing w:line="257" w:lineRule="exact"/>
              <w:ind w:left="213"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2"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1"/>
              <w:jc w:val="center"/>
              <w:rPr>
                <w:rFonts w:ascii="Arial" w:hAnsi="Arial" w:cs="Arial" w:eastAsia="Arial" w:hint="default"/>
                <w:sz w:val="24"/>
                <w:szCs w:val="24"/>
              </w:rPr>
            </w:pPr>
            <w:r>
              <w:rPr>
                <w:rFonts w:ascii="Arial"/>
                <w:sz w:val="24"/>
              </w:rPr>
              <w:t>(5)</w:t>
            </w:r>
          </w:p>
        </w:tc>
        <w:tc>
          <w:tcPr>
            <w:tcW w:w="849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3" w:right="0"/>
              <w:jc w:val="left"/>
              <w:rPr>
                <w:rFonts w:ascii="黑体" w:hAnsi="黑体" w:cs="黑体" w:eastAsia="黑体" w:hint="default"/>
                <w:sz w:val="24"/>
                <w:szCs w:val="24"/>
              </w:rPr>
            </w:pPr>
            <w:r>
              <w:rPr>
                <w:rFonts w:ascii="黑体" w:hAnsi="黑体" w:cs="黑体" w:eastAsia="黑体" w:hint="default"/>
                <w:sz w:val="24"/>
                <w:szCs w:val="24"/>
              </w:rPr>
              <w:t>企业合并</w:t>
            </w:r>
          </w:p>
        </w:tc>
      </w:tr>
      <w:tr>
        <w:trPr>
          <w:trHeight w:val="750"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(a)</w:t>
            </w:r>
          </w:p>
        </w:tc>
        <w:tc>
          <w:tcPr>
            <w:tcW w:w="849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3" w:right="0"/>
              <w:jc w:val="left"/>
              <w:rPr>
                <w:rFonts w:ascii="宋体" w:hAnsi="宋体" w:cs="宋体" w:eastAsia="宋体" w:hint="default"/>
                <w:sz w:val="24"/>
                <w:szCs w:val="24"/>
              </w:rPr>
            </w:pPr>
            <w:r>
              <w:rPr>
                <w:rFonts w:ascii="宋体" w:hAnsi="宋体" w:cs="宋体" w:eastAsia="宋体" w:hint="default"/>
                <w:sz w:val="24"/>
                <w:szCs w:val="24"/>
              </w:rPr>
              <w:t>同一控制下的企业合并</w:t>
            </w:r>
          </w:p>
        </w:tc>
      </w:tr>
      <w:tr>
        <w:trPr>
          <w:trHeight w:val="1988" w:hRule="exact"/>
        </w:trPr>
        <w:tc>
          <w:tcPr>
            <w:tcW w:w="707" w:type="dxa"/>
            <w:tcBorders>
              <w:top w:val="nil" w:sz="6" w:space="0" w:color="auto"/>
              <w:left w:val="nil" w:sz="6" w:space="0" w:color="auto"/>
              <w:bottom w:val="nil" w:sz="6" w:space="0" w:color="auto"/>
              <w:right w:val="nil" w:sz="6" w:space="0" w:color="auto"/>
            </w:tcBorders>
          </w:tcPr>
          <w:p>
            <w:pPr/>
          </w:p>
        </w:tc>
        <w:tc>
          <w:tcPr>
            <w:tcW w:w="8495"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13" w:right="198"/>
              <w:jc w:val="left"/>
              <w:rPr>
                <w:rFonts w:ascii="宋体" w:hAnsi="宋体" w:cs="宋体" w:eastAsia="宋体" w:hint="default"/>
                <w:sz w:val="24"/>
                <w:szCs w:val="24"/>
              </w:rPr>
            </w:pPr>
            <w:r>
              <w:rPr>
                <w:rFonts w:ascii="宋体" w:hAnsi="宋体" w:cs="宋体" w:eastAsia="宋体" w:hint="default"/>
                <w:sz w:val="24"/>
                <w:szCs w:val="24"/>
              </w:rPr>
              <w:t>合并方支付的合并对价及取得的净资产均按账面价值计量。合并方取得的净</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资产账面价值与支付的合并对价账面价值的差额，调整资本公积</w:t>
            </w:r>
            <w:r>
              <w:rPr>
                <w:rFonts w:ascii="Arial" w:hAnsi="Arial" w:cs="Arial" w:eastAsia="Arial" w:hint="default"/>
                <w:sz w:val="24"/>
                <w:szCs w:val="24"/>
              </w:rPr>
              <w:t>(</w:t>
            </w:r>
            <w:r>
              <w:rPr>
                <w:rFonts w:ascii="宋体" w:hAnsi="宋体" w:cs="宋体" w:eastAsia="宋体" w:hint="default"/>
                <w:sz w:val="24"/>
                <w:szCs w:val="24"/>
              </w:rPr>
              <w:t>股本溢价</w:t>
            </w:r>
            <w:r>
              <w:rPr>
                <w:rFonts w:ascii="Arial" w:hAnsi="Arial" w:cs="Arial" w:eastAsia="Arial" w:hint="default"/>
                <w:sz w:val="24"/>
                <w:szCs w:val="24"/>
              </w:rPr>
              <w:t>)</w:t>
            </w:r>
            <w:r>
              <w:rPr>
                <w:rFonts w:ascii="宋体" w:hAnsi="宋体" w:cs="宋体" w:eastAsia="宋体" w:hint="default"/>
                <w:sz w:val="24"/>
                <w:szCs w:val="24"/>
              </w:rPr>
              <w:t>； </w:t>
            </w:r>
            <w:r>
              <w:rPr>
                <w:rFonts w:ascii="宋体" w:hAnsi="宋体" w:cs="宋体" w:eastAsia="宋体" w:hint="default"/>
                <w:spacing w:val="-3"/>
                <w:sz w:val="24"/>
                <w:szCs w:val="24"/>
              </w:rPr>
              <w:t>资本公积</w:t>
            </w:r>
            <w:r>
              <w:rPr>
                <w:rFonts w:ascii="Arial" w:hAnsi="Arial" w:cs="Arial" w:eastAsia="Arial" w:hint="default"/>
                <w:spacing w:val="-3"/>
                <w:sz w:val="24"/>
                <w:szCs w:val="24"/>
              </w:rPr>
              <w:t>(</w:t>
            </w:r>
            <w:r>
              <w:rPr>
                <w:rFonts w:ascii="宋体" w:hAnsi="宋体" w:cs="宋体" w:eastAsia="宋体" w:hint="default"/>
                <w:spacing w:val="-3"/>
                <w:sz w:val="24"/>
                <w:szCs w:val="24"/>
              </w:rPr>
              <w:t>股本溢价</w:t>
            </w:r>
            <w:r>
              <w:rPr>
                <w:rFonts w:ascii="Arial" w:hAnsi="Arial" w:cs="Arial" w:eastAsia="Arial" w:hint="default"/>
                <w:spacing w:val="-3"/>
                <w:sz w:val="24"/>
                <w:szCs w:val="24"/>
              </w:rPr>
              <w:t>)</w:t>
            </w:r>
            <w:r>
              <w:rPr>
                <w:rFonts w:ascii="宋体" w:hAnsi="宋体" w:cs="宋体" w:eastAsia="宋体" w:hint="default"/>
                <w:spacing w:val="-3"/>
                <w:sz w:val="24"/>
                <w:szCs w:val="24"/>
              </w:rPr>
              <w:t>不足以冲减的，调整留存收益。为进行企业合并发生的直</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接相关费用于发生时计入当期损益。为企业合并而发行权益性证券或债务性</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证券的交易费用，计入权益性证券或债务性证券的初始确认金额。</w:t>
            </w:r>
          </w:p>
        </w:tc>
      </w:tr>
      <w:tr>
        <w:trPr>
          <w:trHeight w:val="717"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(b)</w:t>
            </w:r>
          </w:p>
        </w:tc>
        <w:tc>
          <w:tcPr>
            <w:tcW w:w="849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3" w:right="0"/>
              <w:jc w:val="left"/>
              <w:rPr>
                <w:rFonts w:ascii="宋体" w:hAnsi="宋体" w:cs="宋体" w:eastAsia="宋体" w:hint="default"/>
                <w:sz w:val="24"/>
                <w:szCs w:val="24"/>
              </w:rPr>
            </w:pPr>
            <w:r>
              <w:rPr>
                <w:rFonts w:ascii="宋体" w:hAnsi="宋体" w:cs="宋体" w:eastAsia="宋体" w:hint="default"/>
                <w:sz w:val="24"/>
                <w:szCs w:val="24"/>
              </w:rPr>
              <w:t>非同一控制下的企业合并</w:t>
            </w:r>
          </w:p>
        </w:tc>
      </w:tr>
      <w:tr>
        <w:trPr>
          <w:trHeight w:val="5208" w:hRule="exact"/>
        </w:trPr>
        <w:tc>
          <w:tcPr>
            <w:tcW w:w="707" w:type="dxa"/>
            <w:tcBorders>
              <w:top w:val="nil" w:sz="6" w:space="0" w:color="auto"/>
              <w:left w:val="nil" w:sz="6" w:space="0" w:color="auto"/>
              <w:bottom w:val="nil" w:sz="6" w:space="0" w:color="auto"/>
              <w:right w:val="nil" w:sz="6" w:space="0" w:color="auto"/>
            </w:tcBorders>
          </w:tcPr>
          <w:p>
            <w:pPr/>
          </w:p>
        </w:tc>
        <w:tc>
          <w:tcPr>
            <w:tcW w:w="8495" w:type="dxa"/>
            <w:tcBorders>
              <w:top w:val="nil" w:sz="6" w:space="0" w:color="auto"/>
              <w:left w:val="nil" w:sz="6" w:space="0" w:color="auto"/>
              <w:bottom w:val="nil" w:sz="6" w:space="0" w:color="auto"/>
              <w:right w:val="nil" w:sz="6" w:space="0" w:color="auto"/>
            </w:tcBorders>
          </w:tcPr>
          <w:p>
            <w:pPr>
              <w:pStyle w:val="TableParagraph"/>
              <w:spacing w:line="237" w:lineRule="auto" w:before="147"/>
              <w:ind w:left="213" w:right="283"/>
              <w:jc w:val="both"/>
              <w:rPr>
                <w:rFonts w:ascii="宋体" w:hAnsi="宋体" w:cs="宋体" w:eastAsia="宋体" w:hint="default"/>
                <w:sz w:val="24"/>
                <w:szCs w:val="24"/>
              </w:rPr>
            </w:pPr>
            <w:r>
              <w:rPr>
                <w:rFonts w:ascii="宋体" w:hAnsi="宋体" w:cs="宋体" w:eastAsia="宋体" w:hint="default"/>
                <w:sz w:val="24"/>
                <w:szCs w:val="24"/>
              </w:rPr>
              <w:t>购买方发生的合并成本及在合并中取得的可辨认净资产按购买日的公允价值</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计量。合并成本大于合并中取得的被购买方于购买日可辨认净资产公允价值</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份额的差额，确认为商誉；合并成本小于合并中取得的被购买方可辨认净资</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产公允价值份额的差额，计入当期损益。为进行企业合并发生的直接相关费</w:t>
            </w:r>
            <w:r>
              <w:rPr>
                <w:rFonts w:ascii="宋体" w:hAnsi="宋体" w:cs="宋体" w:eastAsia="宋体" w:hint="default"/>
                <w:spacing w:val="-59"/>
                <w:sz w:val="24"/>
                <w:szCs w:val="24"/>
              </w:rPr>
              <w:t> </w:t>
            </w:r>
            <w:r>
              <w:rPr>
                <w:rFonts w:ascii="宋体" w:hAnsi="宋体" w:cs="宋体" w:eastAsia="宋体" w:hint="default"/>
                <w:spacing w:val="-59"/>
                <w:sz w:val="24"/>
                <w:szCs w:val="24"/>
              </w:rPr>
            </w:r>
            <w:r>
              <w:rPr>
                <w:rFonts w:ascii="宋体" w:hAnsi="宋体" w:cs="宋体" w:eastAsia="宋体" w:hint="default"/>
                <w:sz w:val="24"/>
                <w:szCs w:val="24"/>
              </w:rPr>
              <w:t>用于发生时计入当期损益。为企业合并而发行权益性证券或债务性证券的交</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易费用，计入权益性证券或债务性证券的初始确认金额。</w:t>
            </w:r>
          </w:p>
          <w:p>
            <w:pPr>
              <w:pStyle w:val="TableParagraph"/>
              <w:spacing w:line="240" w:lineRule="auto"/>
              <w:ind w:right="0"/>
              <w:jc w:val="left"/>
              <w:rPr>
                <w:rFonts w:ascii="Times New Roman" w:hAnsi="Times New Roman" w:cs="Times New Roman" w:eastAsia="Times New Roman" w:hint="default"/>
                <w:sz w:val="34"/>
                <w:szCs w:val="34"/>
              </w:rPr>
            </w:pPr>
          </w:p>
          <w:p>
            <w:pPr>
              <w:pStyle w:val="TableParagraph"/>
              <w:spacing w:line="237" w:lineRule="auto"/>
              <w:ind w:left="213" w:right="283"/>
              <w:jc w:val="both"/>
              <w:rPr>
                <w:rFonts w:ascii="宋体" w:hAnsi="宋体" w:cs="宋体" w:eastAsia="宋体" w:hint="default"/>
                <w:sz w:val="24"/>
                <w:szCs w:val="24"/>
              </w:rPr>
            </w:pPr>
            <w:r>
              <w:rPr>
                <w:rFonts w:ascii="宋体" w:hAnsi="宋体" w:cs="宋体" w:eastAsia="宋体" w:hint="default"/>
                <w:sz w:val="24"/>
                <w:szCs w:val="24"/>
              </w:rPr>
              <w:t>通过多次交易分步实现的非同一控制下企业合并，在合并财务报表中，对于</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购买日之前持有的被购买方的股权，按照该股权在购买日的公允价值进行重</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新计量，公允价值与其账面价值之间的差额计入当期投资收益；购买日之前</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持有的被购买方的股权涉及权益法核算下的其他综合收益以及除净损益、其</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他综合收益和利润分配外的其他所有者权益变动的，与其相关的其他综合收</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益、其他所有者权益变动应当转为购买日所属当期收益，由于被投资方重新</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计量设定受益计划净负债或净资产变动而产生的其他综合收益除外。商誉为</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之前持有的被购买方股权的公允价值与购买日支付对价的公允价值之和，与</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取得的子公司可辨认净资产于购买日的公允价值份额的差额。</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1"/>
        <w:gridCol w:w="8417"/>
      </w:tblGrid>
      <w:tr>
        <w:trPr>
          <w:trHeight w:val="41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417" w:type="dxa"/>
            <w:tcBorders>
              <w:top w:val="nil" w:sz="6" w:space="0" w:color="auto"/>
              <w:left w:val="nil" w:sz="6" w:space="0" w:color="auto"/>
              <w:bottom w:val="nil" w:sz="6" w:space="0" w:color="auto"/>
              <w:right w:val="nil" w:sz="6" w:space="0" w:color="auto"/>
            </w:tcBorders>
          </w:tcPr>
          <w:p>
            <w:pPr>
              <w:pStyle w:val="TableParagraph"/>
              <w:spacing w:line="257" w:lineRule="exact"/>
              <w:ind w:left="20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
              <w:jc w:val="center"/>
              <w:rPr>
                <w:rFonts w:ascii="Arial" w:hAnsi="Arial" w:cs="Arial" w:eastAsia="Arial" w:hint="default"/>
                <w:sz w:val="24"/>
                <w:szCs w:val="24"/>
              </w:rPr>
            </w:pPr>
            <w:r>
              <w:rPr>
                <w:rFonts w:ascii="Arial"/>
                <w:sz w:val="24"/>
              </w:rPr>
              <w:t>(5)</w:t>
            </w:r>
          </w:p>
        </w:tc>
        <w:tc>
          <w:tcPr>
            <w:tcW w:w="841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7" w:right="0"/>
              <w:jc w:val="left"/>
              <w:rPr>
                <w:rFonts w:ascii="Arial" w:hAnsi="Arial" w:cs="Arial" w:eastAsia="Arial" w:hint="default"/>
                <w:sz w:val="24"/>
                <w:szCs w:val="24"/>
              </w:rPr>
            </w:pPr>
            <w:r>
              <w:rPr>
                <w:rFonts w:ascii="黑体" w:hAnsi="黑体" w:cs="黑体" w:eastAsia="黑体" w:hint="default"/>
                <w:sz w:val="24"/>
                <w:szCs w:val="24"/>
              </w:rPr>
              <w:t>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
              <w:jc w:val="center"/>
              <w:rPr>
                <w:rFonts w:ascii="Arial" w:hAnsi="Arial" w:cs="Arial" w:eastAsia="Arial" w:hint="default"/>
                <w:sz w:val="24"/>
                <w:szCs w:val="24"/>
              </w:rPr>
            </w:pPr>
            <w:r>
              <w:rPr>
                <w:rFonts w:ascii="Arial"/>
                <w:sz w:val="24"/>
              </w:rPr>
              <w:t>(c)</w:t>
            </w:r>
          </w:p>
        </w:tc>
        <w:tc>
          <w:tcPr>
            <w:tcW w:w="841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7" w:right="0"/>
              <w:jc w:val="left"/>
              <w:rPr>
                <w:rFonts w:ascii="宋体" w:hAnsi="宋体" w:cs="宋体" w:eastAsia="宋体" w:hint="default"/>
                <w:sz w:val="24"/>
                <w:szCs w:val="24"/>
              </w:rPr>
            </w:pPr>
            <w:r>
              <w:rPr>
                <w:rFonts w:ascii="宋体" w:hAnsi="宋体" w:cs="宋体" w:eastAsia="宋体" w:hint="default"/>
                <w:sz w:val="24"/>
                <w:szCs w:val="24"/>
              </w:rPr>
              <w:t>购买子公司少数股权</w:t>
            </w:r>
          </w:p>
        </w:tc>
      </w:tr>
      <w:tr>
        <w:trPr>
          <w:trHeight w:val="2139" w:hRule="exact"/>
        </w:trPr>
        <w:tc>
          <w:tcPr>
            <w:tcW w:w="701" w:type="dxa"/>
            <w:tcBorders>
              <w:top w:val="nil" w:sz="6" w:space="0" w:color="auto"/>
              <w:left w:val="nil" w:sz="6" w:space="0" w:color="auto"/>
              <w:bottom w:val="nil" w:sz="6" w:space="0" w:color="auto"/>
              <w:right w:val="nil" w:sz="6" w:space="0" w:color="auto"/>
            </w:tcBorders>
          </w:tcPr>
          <w:p>
            <w:pPr/>
          </w:p>
        </w:tc>
        <w:tc>
          <w:tcPr>
            <w:tcW w:w="8417" w:type="dxa"/>
            <w:tcBorders>
              <w:top w:val="nil" w:sz="6" w:space="0" w:color="auto"/>
              <w:left w:val="nil" w:sz="6" w:space="0" w:color="auto"/>
              <w:bottom w:val="nil" w:sz="6" w:space="0" w:color="auto"/>
              <w:right w:val="nil" w:sz="6" w:space="0" w:color="auto"/>
            </w:tcBorders>
          </w:tcPr>
          <w:p>
            <w:pPr>
              <w:pStyle w:val="TableParagraph"/>
              <w:spacing w:line="235" w:lineRule="auto" w:before="105"/>
              <w:ind w:left="207" w:right="198"/>
              <w:jc w:val="both"/>
              <w:rPr>
                <w:rFonts w:ascii="宋体" w:hAnsi="宋体" w:cs="宋体" w:eastAsia="宋体" w:hint="default"/>
                <w:sz w:val="24"/>
                <w:szCs w:val="24"/>
              </w:rPr>
            </w:pPr>
            <w:r>
              <w:rPr>
                <w:rFonts w:ascii="宋体" w:hAnsi="宋体" w:cs="宋体" w:eastAsia="宋体" w:hint="default"/>
                <w:spacing w:val="2"/>
                <w:sz w:val="24"/>
                <w:szCs w:val="24"/>
              </w:rPr>
              <w:t>在取得对子公司的控制权后，自子公司的少数股东处取得少数股东拥有的对</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该子公司全部或部分少数股权，在合并财务报表中，子公司的资产、负债以</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购买日或合并日开始持续计算的金额反映。因购买少数股权新增加的长期股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权投资与按照新增持股比例计算应享有子公司自购买日或合并日持续计算的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4"/>
                <w:sz w:val="24"/>
                <w:szCs w:val="24"/>
              </w:rPr>
              <w:t>净资产份额之间的差额调整资本公积，资本公积</w:t>
            </w:r>
            <w:r>
              <w:rPr>
                <w:rFonts w:ascii="Arial" w:hAnsi="Arial" w:cs="Arial" w:eastAsia="Arial" w:hint="default"/>
                <w:spacing w:val="4"/>
                <w:sz w:val="24"/>
                <w:szCs w:val="24"/>
              </w:rPr>
              <w:t>(</w:t>
            </w:r>
            <w:r>
              <w:rPr>
                <w:rFonts w:ascii="宋体" w:hAnsi="宋体" w:cs="宋体" w:eastAsia="宋体" w:hint="default"/>
                <w:spacing w:val="4"/>
                <w:sz w:val="24"/>
                <w:szCs w:val="24"/>
              </w:rPr>
              <w:t>股本溢价</w:t>
            </w:r>
            <w:r>
              <w:rPr>
                <w:rFonts w:ascii="Arial" w:hAnsi="Arial" w:cs="Arial" w:eastAsia="Arial" w:hint="default"/>
                <w:spacing w:val="4"/>
                <w:sz w:val="24"/>
                <w:szCs w:val="24"/>
              </w:rPr>
              <w:t>)</w:t>
            </w:r>
            <w:r>
              <w:rPr>
                <w:rFonts w:ascii="宋体" w:hAnsi="宋体" w:cs="宋体" w:eastAsia="宋体" w:hint="default"/>
                <w:spacing w:val="4"/>
                <w:sz w:val="24"/>
                <w:szCs w:val="24"/>
              </w:rPr>
              <w:t>的金额不足冲减</w:t>
            </w:r>
            <w:r>
              <w:rPr>
                <w:rFonts w:ascii="宋体" w:hAnsi="宋体" w:cs="宋体" w:eastAsia="宋体" w:hint="default"/>
                <w:spacing w:val="-109"/>
                <w:sz w:val="24"/>
                <w:szCs w:val="24"/>
              </w:rPr>
              <w:t> </w:t>
            </w:r>
            <w:r>
              <w:rPr>
                <w:rFonts w:ascii="宋体" w:hAnsi="宋体" w:cs="宋体" w:eastAsia="宋体" w:hint="default"/>
                <w:sz w:val="24"/>
                <w:szCs w:val="24"/>
              </w:rPr>
              <w:t>的，调整留存收益。</w:t>
            </w: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
              <w:jc w:val="center"/>
              <w:rPr>
                <w:rFonts w:ascii="Arial" w:hAnsi="Arial" w:cs="Arial" w:eastAsia="Arial" w:hint="default"/>
                <w:sz w:val="24"/>
                <w:szCs w:val="24"/>
              </w:rPr>
            </w:pPr>
            <w:r>
              <w:rPr>
                <w:rFonts w:ascii="Arial"/>
                <w:sz w:val="24"/>
              </w:rPr>
              <w:t>(6)</w:t>
            </w:r>
          </w:p>
        </w:tc>
        <w:tc>
          <w:tcPr>
            <w:tcW w:w="841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7" w:right="0"/>
              <w:jc w:val="left"/>
              <w:rPr>
                <w:rFonts w:ascii="黑体" w:hAnsi="黑体" w:cs="黑体" w:eastAsia="黑体" w:hint="default"/>
                <w:sz w:val="24"/>
                <w:szCs w:val="24"/>
              </w:rPr>
            </w:pPr>
            <w:r>
              <w:rPr>
                <w:rFonts w:ascii="黑体" w:hAnsi="黑体" w:cs="黑体" w:eastAsia="黑体" w:hint="default"/>
                <w:sz w:val="24"/>
                <w:szCs w:val="24"/>
              </w:rPr>
              <w:t>合并财务报表的编制方法</w:t>
            </w:r>
          </w:p>
        </w:tc>
      </w:tr>
      <w:tr>
        <w:trPr>
          <w:trHeight w:val="7779" w:hRule="exact"/>
        </w:trPr>
        <w:tc>
          <w:tcPr>
            <w:tcW w:w="701" w:type="dxa"/>
            <w:tcBorders>
              <w:top w:val="nil" w:sz="6" w:space="0" w:color="auto"/>
              <w:left w:val="nil" w:sz="6" w:space="0" w:color="auto"/>
              <w:bottom w:val="nil" w:sz="6" w:space="0" w:color="auto"/>
              <w:right w:val="nil" w:sz="6" w:space="0" w:color="auto"/>
            </w:tcBorders>
          </w:tcPr>
          <w:p>
            <w:pPr/>
          </w:p>
        </w:tc>
        <w:tc>
          <w:tcPr>
            <w:tcW w:w="841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7" w:right="0"/>
              <w:jc w:val="both"/>
              <w:rPr>
                <w:rFonts w:ascii="宋体" w:hAnsi="宋体" w:cs="宋体" w:eastAsia="宋体" w:hint="default"/>
                <w:sz w:val="24"/>
                <w:szCs w:val="24"/>
              </w:rPr>
            </w:pPr>
            <w:r>
              <w:rPr>
                <w:rFonts w:ascii="宋体" w:hAnsi="宋体" w:cs="宋体" w:eastAsia="宋体" w:hint="default"/>
                <w:sz w:val="24"/>
                <w:szCs w:val="24"/>
              </w:rPr>
              <w:t>编制合并财务报表时，合并范围包括本公司及全部子公司。</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207" w:right="202"/>
              <w:jc w:val="both"/>
              <w:rPr>
                <w:rFonts w:ascii="宋体" w:hAnsi="宋体" w:cs="宋体" w:eastAsia="宋体" w:hint="default"/>
                <w:sz w:val="24"/>
                <w:szCs w:val="24"/>
              </w:rPr>
            </w:pPr>
            <w:r>
              <w:rPr>
                <w:rFonts w:ascii="宋体" w:hAnsi="宋体" w:cs="宋体" w:eastAsia="宋体" w:hint="default"/>
                <w:spacing w:val="2"/>
                <w:sz w:val="24"/>
                <w:szCs w:val="24"/>
              </w:rPr>
              <w:t>从取得子公司的实际控制权之日起，本集团开始将其纳入合并范围；从丧失</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2"/>
                <w:sz w:val="24"/>
                <w:szCs w:val="24"/>
              </w:rPr>
              <w:t>实际控制权之日起停止纳入合并范围。对于同一控制下企业合并取得的子公</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司，自其与本公司同受最终控制方控制之日起纳入本公司合并范围，并将其</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在合并日前实现的净利润在合并利润表中单列项目反映。</w:t>
            </w: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7" w:lineRule="auto"/>
              <w:ind w:left="207" w:right="206"/>
              <w:jc w:val="both"/>
              <w:rPr>
                <w:rFonts w:ascii="宋体" w:hAnsi="宋体" w:cs="宋体" w:eastAsia="宋体" w:hint="default"/>
                <w:sz w:val="24"/>
                <w:szCs w:val="24"/>
              </w:rPr>
            </w:pPr>
            <w:r>
              <w:rPr>
                <w:rFonts w:ascii="宋体" w:hAnsi="宋体" w:cs="宋体" w:eastAsia="宋体" w:hint="default"/>
                <w:spacing w:val="2"/>
                <w:sz w:val="24"/>
                <w:szCs w:val="24"/>
              </w:rPr>
              <w:t>在编制合并财务报表时，子公司与本公司采用的会计政策或会计期间不一致</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的，按照本公司的会计政策和会计期间对子公司财务报表进行必要的调整。</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对于非同一控制下企业合并取得的子公司，以购买日可辨认净资产公允价值</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为基础对其财务报表进行调整。</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207" w:right="200"/>
              <w:jc w:val="both"/>
              <w:rPr>
                <w:rFonts w:ascii="宋体" w:hAnsi="宋体" w:cs="宋体" w:eastAsia="宋体" w:hint="default"/>
                <w:sz w:val="24"/>
                <w:szCs w:val="24"/>
              </w:rPr>
            </w:pPr>
            <w:r>
              <w:rPr>
                <w:rFonts w:ascii="宋体" w:hAnsi="宋体" w:cs="宋体" w:eastAsia="宋体" w:hint="default"/>
                <w:spacing w:val="2"/>
                <w:sz w:val="24"/>
                <w:szCs w:val="24"/>
              </w:rPr>
              <w:t>集团内所有重大往来余额、交易及未实现利润在合并财务报表编制时予以抵</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销。子公司的股东权益、当期净损益及综合收益中不属于本公司所拥有的部</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分分别作为少数股东权益、少数股东损益及归属于少数股东的综合收益总额</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在合并财务报表中股东权益、净利润及综合收益总额项下单独列示。本公司</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2"/>
                <w:sz w:val="24"/>
                <w:szCs w:val="24"/>
              </w:rPr>
              <w:t>向子公司出售资产所发生的未实现内部交易损益，全额抵销归属于本公司股</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2"/>
                <w:sz w:val="24"/>
                <w:szCs w:val="24"/>
              </w:rPr>
              <w:t>东的净利润；子公司向本公司出售资产所发生的未实现内部交易损益，按本</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公司对该子公司的分配比例在归属于本公司股东的净利润和少数股东损益之</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间分配抵销。子公司之间出售资产所发生的未实现内部交易损益，按照本公</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2"/>
                <w:sz w:val="24"/>
                <w:szCs w:val="24"/>
              </w:rPr>
              <w:t>司对出售方子公司的分配比例在归属于本公司股东的净利润和少数股东损益</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之间分配抵销。</w:t>
            </w: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312" w:lineRule="exact"/>
              <w:ind w:left="207" w:right="211"/>
              <w:jc w:val="both"/>
              <w:rPr>
                <w:rFonts w:ascii="宋体" w:hAnsi="宋体" w:cs="宋体" w:eastAsia="宋体" w:hint="default"/>
                <w:sz w:val="24"/>
                <w:szCs w:val="24"/>
              </w:rPr>
            </w:pPr>
            <w:r>
              <w:rPr>
                <w:rFonts w:ascii="宋体" w:hAnsi="宋体" w:cs="宋体" w:eastAsia="宋体" w:hint="default"/>
                <w:spacing w:val="2"/>
                <w:sz w:val="24"/>
                <w:szCs w:val="24"/>
              </w:rPr>
              <w:t>如果以本集团为会计主体与以本公司或子公司为会计主体对同一交易的认定</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不同时，从本集团的角度对该交易予以调整。</w:t>
            </w:r>
          </w:p>
        </w:tc>
      </w:tr>
    </w:tbl>
    <w:p>
      <w:pPr>
        <w:spacing w:after="0" w:line="312"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1"/>
        <w:gridCol w:w="8408"/>
      </w:tblGrid>
      <w:tr>
        <w:trPr>
          <w:trHeight w:val="49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408" w:type="dxa"/>
            <w:tcBorders>
              <w:top w:val="nil" w:sz="6" w:space="0" w:color="auto"/>
              <w:left w:val="nil" w:sz="6" w:space="0" w:color="auto"/>
              <w:bottom w:val="nil" w:sz="6" w:space="0" w:color="auto"/>
              <w:right w:val="nil" w:sz="6" w:space="0" w:color="auto"/>
            </w:tcBorders>
          </w:tcPr>
          <w:p>
            <w:pPr>
              <w:pStyle w:val="TableParagraph"/>
              <w:spacing w:line="257" w:lineRule="exact"/>
              <w:ind w:left="20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5"/>
              <w:jc w:val="center"/>
              <w:rPr>
                <w:rFonts w:ascii="Arial" w:hAnsi="Arial" w:cs="Arial" w:eastAsia="Arial" w:hint="default"/>
                <w:sz w:val="24"/>
                <w:szCs w:val="24"/>
              </w:rPr>
            </w:pPr>
            <w:r>
              <w:rPr>
                <w:rFonts w:ascii="Arial"/>
                <w:sz w:val="24"/>
              </w:rPr>
              <w:t>(7)</w:t>
            </w: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黑体" w:hAnsi="黑体" w:cs="黑体" w:eastAsia="黑体" w:hint="default"/>
                <w:sz w:val="24"/>
                <w:szCs w:val="24"/>
              </w:rPr>
            </w:pPr>
            <w:r>
              <w:rPr>
                <w:rFonts w:ascii="黑体" w:hAnsi="黑体" w:cs="黑体" w:eastAsia="黑体" w:hint="default"/>
                <w:sz w:val="24"/>
                <w:szCs w:val="24"/>
              </w:rPr>
              <w:t>现金及现金等价物</w:t>
            </w:r>
          </w:p>
        </w:tc>
      </w:tr>
      <w:tr>
        <w:trPr>
          <w:trHeight w:val="1055" w:hRule="exact"/>
        </w:trPr>
        <w:tc>
          <w:tcPr>
            <w:tcW w:w="701" w:type="dxa"/>
            <w:tcBorders>
              <w:top w:val="nil" w:sz="6" w:space="0" w:color="auto"/>
              <w:left w:val="nil" w:sz="6" w:space="0" w:color="auto"/>
              <w:bottom w:val="nil" w:sz="6" w:space="0" w:color="auto"/>
              <w:right w:val="nil" w:sz="6" w:space="0" w:color="auto"/>
            </w:tcBorders>
          </w:tcPr>
          <w:p>
            <w:pPr/>
          </w:p>
        </w:tc>
        <w:tc>
          <w:tcPr>
            <w:tcW w:w="8408"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07" w:right="203"/>
              <w:jc w:val="left"/>
              <w:rPr>
                <w:rFonts w:ascii="宋体" w:hAnsi="宋体" w:cs="宋体" w:eastAsia="宋体" w:hint="default"/>
                <w:sz w:val="24"/>
                <w:szCs w:val="24"/>
              </w:rPr>
            </w:pPr>
            <w:r>
              <w:rPr>
                <w:rFonts w:ascii="宋体" w:hAnsi="宋体" w:cs="宋体" w:eastAsia="宋体" w:hint="default"/>
                <w:spacing w:val="2"/>
                <w:sz w:val="24"/>
                <w:szCs w:val="24"/>
              </w:rPr>
              <w:t>现金及现金等价物是指库存现金，可随时用于支付的存款，以及持有的期限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短、流动性强、易于转换为已知金额现金、价值变动风险很小的投资。</w:t>
            </w:r>
          </w:p>
        </w:tc>
      </w:tr>
      <w:tr>
        <w:trPr>
          <w:trHeight w:val="74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Arial" w:hAnsi="Arial" w:cs="Arial" w:eastAsia="Arial" w:hint="default"/>
                <w:sz w:val="24"/>
                <w:szCs w:val="24"/>
              </w:rPr>
            </w:pPr>
            <w:r>
              <w:rPr>
                <w:rFonts w:ascii="Arial"/>
                <w:sz w:val="24"/>
              </w:rPr>
              <w:t>(8)</w:t>
            </w: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07" w:right="0"/>
              <w:jc w:val="left"/>
              <w:rPr>
                <w:rFonts w:ascii="黑体" w:hAnsi="黑体" w:cs="黑体" w:eastAsia="黑体" w:hint="default"/>
                <w:sz w:val="24"/>
                <w:szCs w:val="24"/>
              </w:rPr>
            </w:pPr>
            <w:r>
              <w:rPr>
                <w:rFonts w:ascii="黑体" w:hAnsi="黑体" w:cs="黑体" w:eastAsia="黑体" w:hint="default"/>
                <w:sz w:val="24"/>
                <w:szCs w:val="24"/>
              </w:rPr>
              <w:t>外币折算</w:t>
            </w:r>
          </w:p>
        </w:tc>
      </w:tr>
      <w:tr>
        <w:trPr>
          <w:trHeight w:val="75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6"/>
              <w:jc w:val="center"/>
              <w:rPr>
                <w:rFonts w:ascii="Arial" w:hAnsi="Arial" w:cs="Arial" w:eastAsia="Arial" w:hint="default"/>
                <w:sz w:val="24"/>
                <w:szCs w:val="24"/>
              </w:rPr>
            </w:pPr>
            <w:r>
              <w:rPr>
                <w:rFonts w:ascii="Arial"/>
                <w:sz w:val="24"/>
              </w:rPr>
              <w:t>(a)</w:t>
            </w: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07" w:right="0"/>
              <w:jc w:val="left"/>
              <w:rPr>
                <w:rFonts w:ascii="宋体" w:hAnsi="宋体" w:cs="宋体" w:eastAsia="宋体" w:hint="default"/>
                <w:sz w:val="24"/>
                <w:szCs w:val="24"/>
              </w:rPr>
            </w:pPr>
            <w:r>
              <w:rPr>
                <w:rFonts w:ascii="宋体" w:hAnsi="宋体" w:cs="宋体" w:eastAsia="宋体" w:hint="default"/>
                <w:sz w:val="24"/>
                <w:szCs w:val="24"/>
              </w:rPr>
              <w:t>外币交易</w:t>
            </w:r>
          </w:p>
        </w:tc>
      </w:tr>
      <w:tr>
        <w:trPr>
          <w:trHeight w:val="747" w:hRule="exact"/>
        </w:trPr>
        <w:tc>
          <w:tcPr>
            <w:tcW w:w="701" w:type="dxa"/>
            <w:tcBorders>
              <w:top w:val="nil" w:sz="6" w:space="0" w:color="auto"/>
              <w:left w:val="nil" w:sz="6" w:space="0" w:color="auto"/>
              <w:bottom w:val="nil" w:sz="6" w:space="0" w:color="auto"/>
              <w:right w:val="nil" w:sz="6" w:space="0" w:color="auto"/>
            </w:tcBorders>
          </w:tcPr>
          <w:p>
            <w:pP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7" w:right="0"/>
              <w:jc w:val="left"/>
              <w:rPr>
                <w:rFonts w:ascii="宋体" w:hAnsi="宋体" w:cs="宋体" w:eastAsia="宋体" w:hint="default"/>
                <w:sz w:val="24"/>
                <w:szCs w:val="24"/>
              </w:rPr>
            </w:pPr>
            <w:r>
              <w:rPr>
                <w:rFonts w:ascii="宋体" w:hAnsi="宋体" w:cs="宋体" w:eastAsia="宋体" w:hint="default"/>
                <w:sz w:val="24"/>
                <w:szCs w:val="24"/>
              </w:rPr>
              <w:t>外币交易按交易发生日的即期汇率将外币金额折算为人民币入账。</w:t>
            </w:r>
          </w:p>
        </w:tc>
      </w:tr>
      <w:tr>
        <w:trPr>
          <w:trHeight w:val="1738" w:hRule="exact"/>
        </w:trPr>
        <w:tc>
          <w:tcPr>
            <w:tcW w:w="701" w:type="dxa"/>
            <w:tcBorders>
              <w:top w:val="nil" w:sz="6" w:space="0" w:color="auto"/>
              <w:left w:val="nil" w:sz="6" w:space="0" w:color="auto"/>
              <w:bottom w:val="nil" w:sz="6" w:space="0" w:color="auto"/>
              <w:right w:val="nil" w:sz="6" w:space="0" w:color="auto"/>
            </w:tcBorders>
          </w:tcPr>
          <w:p>
            <w:pPr/>
          </w:p>
        </w:tc>
        <w:tc>
          <w:tcPr>
            <w:tcW w:w="8408"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198"/>
              <w:jc w:val="both"/>
              <w:rPr>
                <w:rFonts w:ascii="宋体" w:hAnsi="宋体" w:cs="宋体" w:eastAsia="宋体" w:hint="default"/>
                <w:sz w:val="24"/>
                <w:szCs w:val="24"/>
              </w:rPr>
            </w:pPr>
            <w:r>
              <w:rPr>
                <w:rFonts w:ascii="宋体" w:hAnsi="宋体" w:cs="宋体" w:eastAsia="宋体" w:hint="default"/>
                <w:spacing w:val="2"/>
                <w:sz w:val="24"/>
                <w:szCs w:val="24"/>
              </w:rPr>
              <w:t>于资产负债表日，外币货币性项目采用资产负债表日的即期汇率折算为人民</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币。为购建符合借款费用资本化条件的资产而借入的外币专门借款产生的汇</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兑差额在资本化期间内予以资本化；其他汇兑差额直接计入当期损益。以历</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4"/>
                <w:szCs w:val="24"/>
              </w:rPr>
              <w:t>史成本计量的外币非货币性项目，采用交易发生日的即期汇率折算。汇率变</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动对现金的影响额在现金流量表中单独列示。</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07"/>
        <w:gridCol w:w="8409"/>
      </w:tblGrid>
      <w:tr>
        <w:trPr>
          <w:trHeight w:val="50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8409" w:type="dxa"/>
            <w:tcBorders>
              <w:top w:val="nil" w:sz="6" w:space="0" w:color="auto"/>
              <w:left w:val="nil" w:sz="6" w:space="0" w:color="auto"/>
              <w:bottom w:val="nil" w:sz="6" w:space="0" w:color="auto"/>
              <w:right w:val="nil" w:sz="6" w:space="0" w:color="auto"/>
            </w:tcBorders>
          </w:tcPr>
          <w:p>
            <w:pPr>
              <w:pStyle w:val="TableParagraph"/>
              <w:spacing w:line="247" w:lineRule="exact"/>
              <w:ind w:left="213" w:right="0"/>
              <w:jc w:val="left"/>
              <w:rPr>
                <w:rFonts w:ascii="宋体" w:hAnsi="宋体" w:cs="宋体" w:eastAsia="宋体" w:hint="default"/>
                <w:sz w:val="24"/>
                <w:szCs w:val="24"/>
              </w:rPr>
            </w:pPr>
            <w:r>
              <w:rPr>
                <w:rFonts w:ascii="宋体" w:hAnsi="宋体" w:cs="宋体" w:eastAsia="宋体" w:hint="default"/>
                <w:sz w:val="24"/>
                <w:szCs w:val="24"/>
              </w:rPr>
              <w:t>外币财务报表的折算</w:t>
            </w:r>
          </w:p>
        </w:tc>
      </w:tr>
      <w:tr>
        <w:trPr>
          <w:trHeight w:val="2050" w:hRule="exact"/>
        </w:trPr>
        <w:tc>
          <w:tcPr>
            <w:tcW w:w="707"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3" w:right="198"/>
              <w:jc w:val="both"/>
              <w:rPr>
                <w:rFonts w:ascii="宋体" w:hAnsi="宋体" w:cs="宋体" w:eastAsia="宋体" w:hint="default"/>
                <w:sz w:val="24"/>
                <w:szCs w:val="24"/>
              </w:rPr>
            </w:pPr>
            <w:r>
              <w:rPr>
                <w:rFonts w:ascii="宋体" w:hAnsi="宋体" w:cs="宋体" w:eastAsia="宋体" w:hint="default"/>
                <w:sz w:val="24"/>
                <w:szCs w:val="24"/>
              </w:rPr>
              <w:t>境外经营的资产负债表中的资产和负债项目，采用资产负债表日的即期汇率</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折算，股东权益中除未分配利润项目外，其他项目采用发生时的即期汇率折</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算。境外经营的利润表中的收入与费用项目，采用交易发生日的即期汇率折</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算。上述折算产生的外币报表折算差额，计入其他综合收益。境外经营的现</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金流量项目，采用现金流量发生日的即期汇率折算。汇率变动对现金的影响</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额，在现金流量表中单独列示。</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7"/>
        <w:gridCol w:w="8430"/>
      </w:tblGrid>
      <w:tr>
        <w:trPr>
          <w:trHeight w:val="496"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center"/>
              <w:rPr>
                <w:rFonts w:ascii="黑体" w:hAnsi="黑体" w:cs="黑体" w:eastAsia="黑体" w:hint="default"/>
                <w:sz w:val="24"/>
                <w:szCs w:val="24"/>
              </w:rPr>
            </w:pPr>
            <w:r>
              <w:rPr>
                <w:rFonts w:ascii="黑体" w:hAnsi="黑体" w:cs="黑体" w:eastAsia="黑体" w:hint="default"/>
                <w:sz w:val="24"/>
                <w:szCs w:val="24"/>
              </w:rPr>
              <w:t>二</w:t>
            </w:r>
          </w:p>
        </w:tc>
        <w:tc>
          <w:tcPr>
            <w:tcW w:w="8430" w:type="dxa"/>
            <w:tcBorders>
              <w:top w:val="nil" w:sz="6" w:space="0" w:color="auto"/>
              <w:left w:val="nil" w:sz="6" w:space="0" w:color="auto"/>
              <w:bottom w:val="nil" w:sz="6" w:space="0" w:color="auto"/>
              <w:right w:val="nil" w:sz="6" w:space="0" w:color="auto"/>
            </w:tcBorders>
          </w:tcPr>
          <w:p>
            <w:pPr>
              <w:pStyle w:val="TableParagraph"/>
              <w:spacing w:line="257" w:lineRule="exact"/>
              <w:ind w:left="213"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2"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1"/>
              <w:jc w:val="center"/>
              <w:rPr>
                <w:rFonts w:ascii="Arial" w:hAnsi="Arial" w:cs="Arial" w:eastAsia="Arial" w:hint="default"/>
                <w:sz w:val="24"/>
                <w:szCs w:val="24"/>
              </w:rPr>
            </w:pPr>
            <w:r>
              <w:rPr>
                <w:rFonts w:ascii="Arial"/>
                <w:sz w:val="24"/>
              </w:rPr>
              <w:t>(9)</w:t>
            </w: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3" w:right="0"/>
              <w:jc w:val="left"/>
              <w:rPr>
                <w:rFonts w:ascii="黑体" w:hAnsi="黑体" w:cs="黑体" w:eastAsia="黑体" w:hint="default"/>
                <w:sz w:val="24"/>
                <w:szCs w:val="24"/>
              </w:rPr>
            </w:pPr>
            <w:r>
              <w:rPr>
                <w:rFonts w:ascii="黑体" w:hAnsi="黑体" w:cs="黑体" w:eastAsia="黑体" w:hint="default"/>
                <w:sz w:val="24"/>
                <w:szCs w:val="24"/>
              </w:rPr>
              <w:t>金融工具</w:t>
            </w:r>
          </w:p>
        </w:tc>
      </w:tr>
      <w:tr>
        <w:trPr>
          <w:trHeight w:val="747"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(a)</w:t>
            </w: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3" w:right="0"/>
              <w:jc w:val="left"/>
              <w:rPr>
                <w:rFonts w:ascii="宋体" w:hAnsi="宋体" w:cs="宋体" w:eastAsia="宋体" w:hint="default"/>
                <w:sz w:val="24"/>
                <w:szCs w:val="24"/>
              </w:rPr>
            </w:pPr>
            <w:r>
              <w:rPr>
                <w:rFonts w:ascii="宋体" w:hAnsi="宋体" w:cs="宋体" w:eastAsia="宋体" w:hint="default"/>
                <w:sz w:val="24"/>
                <w:szCs w:val="24"/>
              </w:rPr>
              <w:t>金融资产</w:t>
            </w:r>
          </w:p>
        </w:tc>
      </w:tr>
      <w:tr>
        <w:trPr>
          <w:trHeight w:val="750"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1"/>
              <w:jc w:val="center"/>
              <w:rPr>
                <w:rFonts w:ascii="Arial" w:hAnsi="Arial" w:cs="Arial" w:eastAsia="Arial" w:hint="default"/>
                <w:sz w:val="24"/>
                <w:szCs w:val="24"/>
              </w:rPr>
            </w:pPr>
            <w:r>
              <w:rPr>
                <w:rFonts w:ascii="Arial"/>
                <w:sz w:val="24"/>
              </w:rPr>
              <w:t>(i)</w:t>
            </w: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3" w:right="0"/>
              <w:jc w:val="left"/>
              <w:rPr>
                <w:rFonts w:ascii="宋体" w:hAnsi="宋体" w:cs="宋体" w:eastAsia="宋体" w:hint="default"/>
                <w:sz w:val="24"/>
                <w:szCs w:val="24"/>
              </w:rPr>
            </w:pPr>
            <w:r>
              <w:rPr>
                <w:rFonts w:ascii="宋体" w:hAnsi="宋体" w:cs="宋体" w:eastAsia="宋体" w:hint="default"/>
                <w:sz w:val="24"/>
                <w:szCs w:val="24"/>
              </w:rPr>
              <w:t>金融资产分类</w:t>
            </w:r>
          </w:p>
        </w:tc>
      </w:tr>
      <w:tr>
        <w:trPr>
          <w:trHeight w:val="1370"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3" w:right="228"/>
              <w:jc w:val="both"/>
              <w:rPr>
                <w:rFonts w:ascii="宋体" w:hAnsi="宋体" w:cs="宋体" w:eastAsia="宋体" w:hint="default"/>
                <w:sz w:val="24"/>
                <w:szCs w:val="24"/>
              </w:rPr>
            </w:pPr>
            <w:r>
              <w:rPr>
                <w:rFonts w:ascii="宋体" w:hAnsi="宋体" w:cs="宋体" w:eastAsia="宋体" w:hint="default"/>
                <w:sz w:val="24"/>
                <w:szCs w:val="24"/>
              </w:rPr>
              <w:t>金融资产于初始确认时分类为：以公允价值计量且其变动计入当期损益的金</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融资产、应收款项、可供出售金融资产和持有至到期投资。金融资产的分类</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取决于本集团对金融资产的持有意图和持有能力。</w:t>
            </w:r>
          </w:p>
        </w:tc>
      </w:tr>
      <w:tr>
        <w:trPr>
          <w:trHeight w:val="747"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w:t>
            </w:r>
          </w:p>
        </w:tc>
      </w:tr>
      <w:tr>
        <w:trPr>
          <w:trHeight w:val="1059"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213" w:right="202"/>
              <w:jc w:val="left"/>
              <w:rPr>
                <w:rFonts w:ascii="宋体" w:hAnsi="宋体" w:cs="宋体" w:eastAsia="宋体" w:hint="default"/>
                <w:sz w:val="24"/>
                <w:szCs w:val="24"/>
              </w:rPr>
            </w:pPr>
            <w:r>
              <w:rPr>
                <w:rFonts w:ascii="宋体" w:hAnsi="宋体" w:cs="宋体" w:eastAsia="宋体" w:hint="default"/>
                <w:spacing w:val="2"/>
                <w:sz w:val="24"/>
                <w:szCs w:val="24"/>
              </w:rPr>
              <w:t>以公允价值计量且其变动计入当期损益的金融资产包括交易性金融资产和直</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接指定为以公允价值计量且其变动计入当期损益的金融资产。</w:t>
            </w:r>
          </w:p>
        </w:tc>
      </w:tr>
      <w:tr>
        <w:trPr>
          <w:trHeight w:val="747"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13" w:right="0"/>
              <w:jc w:val="left"/>
              <w:rPr>
                <w:rFonts w:ascii="宋体" w:hAnsi="宋体" w:cs="宋体" w:eastAsia="宋体" w:hint="default"/>
                <w:sz w:val="24"/>
                <w:szCs w:val="24"/>
              </w:rPr>
            </w:pPr>
            <w:r>
              <w:rPr>
                <w:rFonts w:ascii="宋体" w:hAnsi="宋体" w:cs="宋体" w:eastAsia="宋体" w:hint="default"/>
                <w:sz w:val="24"/>
                <w:szCs w:val="24"/>
              </w:rPr>
              <w:t>应收款项</w:t>
            </w:r>
          </w:p>
        </w:tc>
      </w:tr>
      <w:tr>
        <w:trPr>
          <w:trHeight w:val="1058"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13" w:right="200"/>
              <w:jc w:val="left"/>
              <w:rPr>
                <w:rFonts w:ascii="宋体" w:hAnsi="宋体" w:cs="宋体" w:eastAsia="宋体" w:hint="default"/>
                <w:sz w:val="24"/>
                <w:szCs w:val="24"/>
              </w:rPr>
            </w:pPr>
            <w:r>
              <w:rPr>
                <w:rFonts w:ascii="宋体" w:hAnsi="宋体" w:cs="宋体" w:eastAsia="宋体" w:hint="default"/>
                <w:spacing w:val="2"/>
                <w:sz w:val="24"/>
                <w:szCs w:val="24"/>
              </w:rPr>
              <w:t>应收款项及贷款是指在活跃市场中没有报价、回收金额固定或可确定的非衍</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生金融资产。</w:t>
            </w:r>
          </w:p>
        </w:tc>
      </w:tr>
      <w:tr>
        <w:trPr>
          <w:trHeight w:val="748"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1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r>
      <w:tr>
        <w:trPr>
          <w:trHeight w:val="1116"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13" w:right="198"/>
              <w:jc w:val="both"/>
              <w:rPr>
                <w:rFonts w:ascii="宋体" w:hAnsi="宋体" w:cs="宋体" w:eastAsia="宋体" w:hint="default"/>
                <w:sz w:val="24"/>
                <w:szCs w:val="24"/>
              </w:rPr>
            </w:pPr>
            <w:r>
              <w:rPr>
                <w:rFonts w:ascii="宋体" w:hAnsi="宋体" w:cs="宋体" w:eastAsia="宋体" w:hint="default"/>
                <w:spacing w:val="2"/>
                <w:sz w:val="24"/>
                <w:szCs w:val="24"/>
              </w:rPr>
              <w:t>可供出售金融资产包括初始确认时即被指定为可供出售的非衍生金融资产及</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未被划分为其他类的金融资产。自资产负债表日起</w:t>
            </w:r>
            <w:r>
              <w:rPr>
                <w:rFonts w:ascii="宋体" w:hAnsi="宋体" w:cs="宋体" w:eastAsia="宋体" w:hint="default"/>
                <w:spacing w:val="-53"/>
                <w:sz w:val="24"/>
                <w:szCs w:val="24"/>
              </w:rPr>
              <w:t> </w:t>
            </w:r>
            <w:r>
              <w:rPr>
                <w:rFonts w:ascii="Arial" w:hAnsi="Arial" w:cs="Arial" w:eastAsia="Arial" w:hint="default"/>
                <w:sz w:val="24"/>
                <w:szCs w:val="24"/>
              </w:rPr>
              <w:t>12 </w:t>
            </w:r>
            <w:r>
              <w:rPr>
                <w:rFonts w:ascii="宋体" w:hAnsi="宋体" w:cs="宋体" w:eastAsia="宋体" w:hint="default"/>
                <w:sz w:val="24"/>
                <w:szCs w:val="24"/>
              </w:rPr>
              <w:t>个月内将出售的可供出 售金融资产在资产负债表中列示为其他流动资产。</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818" w:type="dxa"/>
        <w:tblLayout w:type="fixed"/>
        <w:tblCellMar>
          <w:top w:w="0" w:type="dxa"/>
          <w:left w:w="0" w:type="dxa"/>
          <w:bottom w:w="0" w:type="dxa"/>
          <w:right w:w="0" w:type="dxa"/>
        </w:tblCellMar>
        <w:tblLook w:val="01E0"/>
      </w:tblPr>
      <w:tblGrid>
        <w:gridCol w:w="8428"/>
      </w:tblGrid>
      <w:tr>
        <w:trPr>
          <w:trHeight w:val="493" w:hRule="exact"/>
        </w:trPr>
        <w:tc>
          <w:tcPr>
            <w:tcW w:w="842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r>
      <w:tr>
        <w:trPr>
          <w:trHeight w:val="1751" w:hRule="exact"/>
        </w:trPr>
        <w:tc>
          <w:tcPr>
            <w:tcW w:w="842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0" w:right="198"/>
              <w:jc w:val="left"/>
              <w:rPr>
                <w:rFonts w:ascii="宋体" w:hAnsi="宋体" w:cs="宋体" w:eastAsia="宋体" w:hint="default"/>
                <w:sz w:val="24"/>
                <w:szCs w:val="24"/>
              </w:rPr>
            </w:pPr>
            <w:r>
              <w:rPr>
                <w:rFonts w:ascii="宋体" w:hAnsi="宋体" w:cs="宋体" w:eastAsia="宋体" w:hint="default"/>
                <w:spacing w:val="2"/>
                <w:sz w:val="24"/>
                <w:szCs w:val="24"/>
              </w:rPr>
              <w:t>持有至到期投资是指到期日固定、回收金额固定或可确定，且管理层有明确</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意图和能力持有至到期的非衍生金融资产。取得时期限超过</w:t>
            </w:r>
            <w:r>
              <w:rPr>
                <w:rFonts w:ascii="宋体" w:hAnsi="宋体" w:cs="宋体" w:eastAsia="宋体" w:hint="default"/>
                <w:spacing w:val="-81"/>
                <w:sz w:val="24"/>
                <w:szCs w:val="24"/>
              </w:rPr>
              <w:t> </w:t>
            </w:r>
            <w:r>
              <w:rPr>
                <w:rFonts w:ascii="Arial" w:hAnsi="Arial" w:cs="Arial" w:eastAsia="Arial" w:hint="default"/>
                <w:sz w:val="24"/>
                <w:szCs w:val="24"/>
              </w:rPr>
              <w:t>12</w:t>
            </w:r>
            <w:r>
              <w:rPr>
                <w:rFonts w:ascii="Arial" w:hAnsi="Arial" w:cs="Arial" w:eastAsia="Arial" w:hint="default"/>
                <w:spacing w:val="-28"/>
                <w:sz w:val="24"/>
                <w:szCs w:val="24"/>
              </w:rPr>
              <w:t> </w:t>
            </w:r>
            <w:r>
              <w:rPr>
                <w:rFonts w:ascii="宋体" w:hAnsi="宋体" w:cs="宋体" w:eastAsia="宋体" w:hint="default"/>
                <w:sz w:val="24"/>
                <w:szCs w:val="24"/>
              </w:rPr>
              <w:t>个月但自资产</w:t>
            </w:r>
          </w:p>
          <w:p>
            <w:pPr>
              <w:pStyle w:val="TableParagraph"/>
              <w:spacing w:line="301" w:lineRule="exact"/>
              <w:ind w:left="200" w:right="0"/>
              <w:jc w:val="left"/>
              <w:rPr>
                <w:rFonts w:ascii="宋体" w:hAnsi="宋体" w:cs="宋体" w:eastAsia="宋体" w:hint="default"/>
                <w:sz w:val="24"/>
                <w:szCs w:val="24"/>
              </w:rPr>
            </w:pPr>
            <w:r>
              <w:rPr>
                <w:rFonts w:ascii="宋体" w:hAnsi="宋体" w:cs="宋体" w:eastAsia="宋体" w:hint="default"/>
                <w:sz w:val="24"/>
                <w:szCs w:val="24"/>
              </w:rPr>
              <w:t>负债表日起</w:t>
            </w:r>
            <w:r>
              <w:rPr>
                <w:rFonts w:ascii="宋体" w:hAnsi="宋体" w:cs="宋体" w:eastAsia="宋体" w:hint="default"/>
                <w:spacing w:val="-60"/>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个月</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60"/>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个月</w:t>
            </w:r>
            <w:r>
              <w:rPr>
                <w:rFonts w:ascii="Arial" w:hAnsi="Arial" w:cs="Arial" w:eastAsia="Arial" w:hint="default"/>
                <w:sz w:val="24"/>
                <w:szCs w:val="24"/>
              </w:rPr>
              <w:t>)</w:t>
            </w:r>
            <w:r>
              <w:rPr>
                <w:rFonts w:ascii="宋体" w:hAnsi="宋体" w:cs="宋体" w:eastAsia="宋体" w:hint="default"/>
                <w:sz w:val="24"/>
                <w:szCs w:val="24"/>
              </w:rPr>
              <w:t>内到期的持有至到期投资</w:t>
            </w:r>
            <w:r>
              <w:rPr>
                <w:rFonts w:ascii="宋体" w:hAnsi="宋体" w:cs="宋体" w:eastAsia="宋体" w:hint="default"/>
                <w:spacing w:val="-107"/>
                <w:sz w:val="24"/>
                <w:szCs w:val="24"/>
              </w:rPr>
              <w:t>，</w:t>
            </w:r>
            <w:r>
              <w:rPr>
                <w:rFonts w:ascii="宋体" w:hAnsi="宋体" w:cs="宋体" w:eastAsia="宋体" w:hint="default"/>
                <w:sz w:val="24"/>
                <w:szCs w:val="24"/>
              </w:rPr>
              <w:t>列示为一年内到期</w:t>
            </w:r>
          </w:p>
          <w:p>
            <w:pPr>
              <w:pStyle w:val="TableParagraph"/>
              <w:spacing w:line="311" w:lineRule="exact"/>
              <w:ind w:left="200" w:right="0"/>
              <w:jc w:val="left"/>
              <w:rPr>
                <w:rFonts w:ascii="宋体" w:hAnsi="宋体" w:cs="宋体" w:eastAsia="宋体" w:hint="default"/>
                <w:sz w:val="24"/>
                <w:szCs w:val="24"/>
              </w:rPr>
            </w:pPr>
            <w:r>
              <w:rPr>
                <w:rFonts w:ascii="宋体" w:hAnsi="宋体" w:cs="宋体" w:eastAsia="宋体" w:hint="default"/>
                <w:spacing w:val="-5"/>
                <w:sz w:val="24"/>
                <w:szCs w:val="24"/>
              </w:rPr>
              <w:t>的非流动资产；取得时期限在</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个月之内</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pacing w:val="-5"/>
                <w:sz w:val="24"/>
                <w:szCs w:val="24"/>
              </w:rPr>
              <w:t>个月</w:t>
            </w:r>
            <w:r>
              <w:rPr>
                <w:rFonts w:ascii="Arial" w:hAnsi="Arial" w:cs="Arial" w:eastAsia="Arial" w:hint="default"/>
                <w:spacing w:val="-5"/>
                <w:sz w:val="24"/>
                <w:szCs w:val="24"/>
              </w:rPr>
              <w:t>)</w:t>
            </w:r>
            <w:r>
              <w:rPr>
                <w:rFonts w:ascii="宋体" w:hAnsi="宋体" w:cs="宋体" w:eastAsia="宋体" w:hint="default"/>
                <w:spacing w:val="-5"/>
                <w:sz w:val="24"/>
                <w:szCs w:val="24"/>
              </w:rPr>
              <w:t>的持有至到期投资，列</w:t>
            </w:r>
          </w:p>
          <w:p>
            <w:pPr>
              <w:pStyle w:val="TableParagraph"/>
              <w:spacing w:line="321" w:lineRule="exact"/>
              <w:ind w:left="200" w:right="0"/>
              <w:jc w:val="left"/>
              <w:rPr>
                <w:rFonts w:ascii="宋体" w:hAnsi="宋体" w:cs="宋体" w:eastAsia="宋体" w:hint="default"/>
                <w:sz w:val="24"/>
                <w:szCs w:val="24"/>
              </w:rPr>
            </w:pPr>
            <w:r>
              <w:rPr>
                <w:rFonts w:ascii="宋体" w:hAnsi="宋体" w:cs="宋体" w:eastAsia="宋体" w:hint="default"/>
                <w:sz w:val="24"/>
                <w:szCs w:val="24"/>
              </w:rPr>
              <w:t>示为其他流动资产。于</w:t>
            </w:r>
            <w:r>
              <w:rPr>
                <w:rFonts w:ascii="宋体" w:hAnsi="宋体" w:cs="宋体" w:eastAsia="宋体" w:hint="default"/>
                <w:spacing w:val="-62"/>
                <w:sz w:val="24"/>
                <w:szCs w:val="24"/>
              </w:rPr>
              <w:t> </w:t>
            </w: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年度及</w:t>
            </w:r>
            <w:r>
              <w:rPr>
                <w:rFonts w:ascii="宋体" w:hAnsi="宋体" w:cs="宋体" w:eastAsia="宋体" w:hint="default"/>
                <w:spacing w:val="-62"/>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年度，本集团无此类金融资产。</w:t>
            </w:r>
          </w:p>
        </w:tc>
      </w:tr>
    </w:tbl>
    <w:p>
      <w:pPr>
        <w:spacing w:after="0" w:line="321"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01"/>
        <w:gridCol w:w="8530"/>
      </w:tblGrid>
      <w:tr>
        <w:trPr>
          <w:trHeight w:val="495"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530"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7"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5"/>
              <w:jc w:val="center"/>
              <w:rPr>
                <w:rFonts w:ascii="Arial" w:hAnsi="Arial" w:cs="Arial" w:eastAsia="Arial" w:hint="default"/>
                <w:sz w:val="24"/>
                <w:szCs w:val="24"/>
              </w:rPr>
            </w:pPr>
            <w:r>
              <w:rPr>
                <w:rFonts w:ascii="Arial"/>
                <w:sz w:val="24"/>
              </w:rPr>
              <w:t>(9)</w:t>
            </w:r>
          </w:p>
        </w:tc>
        <w:tc>
          <w:tcPr>
            <w:tcW w:w="85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6"/>
              <w:jc w:val="center"/>
              <w:rPr>
                <w:rFonts w:ascii="Arial" w:hAnsi="Arial" w:cs="Arial" w:eastAsia="Arial" w:hint="default"/>
                <w:sz w:val="24"/>
                <w:szCs w:val="24"/>
              </w:rPr>
            </w:pPr>
            <w:r>
              <w:rPr>
                <w:rFonts w:ascii="Arial"/>
                <w:sz w:val="24"/>
              </w:rPr>
              <w:t>(a)</w:t>
            </w:r>
          </w:p>
        </w:tc>
        <w:tc>
          <w:tcPr>
            <w:tcW w:w="85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45"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33"/>
              <w:jc w:val="center"/>
              <w:rPr>
                <w:rFonts w:ascii="Arial" w:hAnsi="Arial" w:cs="Arial" w:eastAsia="Arial" w:hint="default"/>
                <w:sz w:val="24"/>
                <w:szCs w:val="24"/>
              </w:rPr>
            </w:pPr>
            <w:r>
              <w:rPr>
                <w:rFonts w:ascii="Arial"/>
                <w:sz w:val="24"/>
              </w:rPr>
              <w:t>(ii)</w:t>
            </w:r>
          </w:p>
        </w:tc>
        <w:tc>
          <w:tcPr>
            <w:tcW w:w="85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宋体" w:hAnsi="宋体" w:cs="宋体" w:eastAsia="宋体" w:hint="default"/>
                <w:sz w:val="24"/>
                <w:szCs w:val="24"/>
              </w:rPr>
            </w:pPr>
            <w:r>
              <w:rPr>
                <w:rFonts w:ascii="宋体" w:hAnsi="宋体" w:cs="宋体" w:eastAsia="宋体" w:hint="default"/>
                <w:sz w:val="24"/>
                <w:szCs w:val="24"/>
              </w:rPr>
              <w:t>确认和计量</w:t>
            </w:r>
          </w:p>
        </w:tc>
      </w:tr>
      <w:tr>
        <w:trPr>
          <w:trHeight w:val="1369" w:hRule="exact"/>
        </w:trPr>
        <w:tc>
          <w:tcPr>
            <w:tcW w:w="701"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198"/>
              <w:jc w:val="both"/>
              <w:rPr>
                <w:rFonts w:ascii="宋体" w:hAnsi="宋体" w:cs="宋体" w:eastAsia="宋体" w:hint="default"/>
                <w:sz w:val="24"/>
                <w:szCs w:val="24"/>
              </w:rPr>
            </w:pPr>
            <w:r>
              <w:rPr>
                <w:rFonts w:ascii="宋体" w:hAnsi="宋体" w:cs="宋体" w:eastAsia="宋体" w:hint="default"/>
                <w:spacing w:val="2"/>
                <w:sz w:val="24"/>
                <w:szCs w:val="24"/>
              </w:rPr>
              <w:t>金融资产于本集团成为金融工具合同的一方时，按公允价值在资产负债表内</w:t>
            </w:r>
            <w:r>
              <w:rPr>
                <w:rFonts w:ascii="宋体" w:hAnsi="宋体" w:cs="宋体" w:eastAsia="宋体" w:hint="default"/>
                <w:sz w:val="24"/>
                <w:szCs w:val="24"/>
              </w:rPr>
              <w:t> </w:t>
            </w:r>
            <w:r>
              <w:rPr>
                <w:rFonts w:ascii="宋体" w:hAnsi="宋体" w:cs="宋体" w:eastAsia="宋体" w:hint="default"/>
                <w:spacing w:val="2"/>
                <w:sz w:val="24"/>
                <w:szCs w:val="24"/>
              </w:rPr>
              <w:t>确认。以公允价值计量且其变动计入当期损益的金融资产，取得时发生的相</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关交易费用计入当期损益；其他金融资产的相关交易费用计入初始确认金额。</w:t>
            </w:r>
          </w:p>
        </w:tc>
      </w:tr>
      <w:tr>
        <w:trPr>
          <w:trHeight w:val="1681" w:hRule="exact"/>
        </w:trPr>
        <w:tc>
          <w:tcPr>
            <w:tcW w:w="701"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292"/>
              <w:jc w:val="both"/>
              <w:rPr>
                <w:rFonts w:ascii="宋体" w:hAnsi="宋体" w:cs="宋体" w:eastAsia="宋体" w:hint="default"/>
                <w:sz w:val="24"/>
                <w:szCs w:val="24"/>
              </w:rPr>
            </w:pPr>
            <w:r>
              <w:rPr>
                <w:rFonts w:ascii="宋体" w:hAnsi="宋体" w:cs="宋体" w:eastAsia="宋体" w:hint="default"/>
                <w:spacing w:val="2"/>
                <w:sz w:val="24"/>
                <w:szCs w:val="24"/>
              </w:rPr>
              <w:t>以公允价值计量且其变动计入当期损益的金融资产和可供出售金融资产按照</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2"/>
                <w:sz w:val="24"/>
                <w:szCs w:val="24"/>
              </w:rPr>
              <w:t>公允价值进行后续计量，但在活跃市场中没有报价且其公允价值不能可靠计</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量的权益工具投资，按照成本计量；应收款项以及持有至到期投资采用实际</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利率法，以摊余成本计量。</w:t>
            </w:r>
          </w:p>
        </w:tc>
      </w:tr>
      <w:tr>
        <w:trPr>
          <w:trHeight w:val="1370" w:hRule="exact"/>
        </w:trPr>
        <w:tc>
          <w:tcPr>
            <w:tcW w:w="701"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289"/>
              <w:jc w:val="both"/>
              <w:rPr>
                <w:rFonts w:ascii="宋体" w:hAnsi="宋体" w:cs="宋体" w:eastAsia="宋体" w:hint="default"/>
                <w:sz w:val="24"/>
                <w:szCs w:val="24"/>
              </w:rPr>
            </w:pPr>
            <w:r>
              <w:rPr>
                <w:rFonts w:ascii="宋体" w:hAnsi="宋体" w:cs="宋体" w:eastAsia="宋体" w:hint="default"/>
                <w:spacing w:val="3"/>
                <w:sz w:val="24"/>
                <w:szCs w:val="24"/>
              </w:rPr>
              <w:t>以公允价值计量且其变动计入当期损益的金融资产的公允价值变动作为公允 </w:t>
            </w:r>
            <w:r>
              <w:rPr>
                <w:rFonts w:ascii="宋体" w:hAnsi="宋体" w:cs="宋体" w:eastAsia="宋体" w:hint="default"/>
                <w:spacing w:val="2"/>
                <w:sz w:val="24"/>
                <w:szCs w:val="24"/>
              </w:rPr>
              <w:t>价值变动损益计入当期损益；在资产持有期间所取得的利息或现金股利以及</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处置时产生的处置损益计入当期损益。</w:t>
            </w:r>
          </w:p>
        </w:tc>
      </w:tr>
      <w:tr>
        <w:trPr>
          <w:trHeight w:val="1739" w:hRule="exact"/>
        </w:trPr>
        <w:tc>
          <w:tcPr>
            <w:tcW w:w="701"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291"/>
              <w:jc w:val="both"/>
              <w:rPr>
                <w:rFonts w:ascii="宋体" w:hAnsi="宋体" w:cs="宋体" w:eastAsia="宋体" w:hint="default"/>
                <w:sz w:val="24"/>
                <w:szCs w:val="24"/>
              </w:rPr>
            </w:pPr>
            <w:r>
              <w:rPr>
                <w:rFonts w:ascii="宋体" w:hAnsi="宋体" w:cs="宋体" w:eastAsia="宋体" w:hint="default"/>
                <w:spacing w:val="2"/>
                <w:sz w:val="24"/>
                <w:szCs w:val="24"/>
              </w:rPr>
              <w:t>除减值损失及外币货币性金融资产形成的汇兑损益外，可供出售金融资产公</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允价值变动直接计入股东权益，待该金融资产终止确认时，原直接计入权益</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的公允价值变动累计额转入当期损益。可供出售债务工具投资在持有期间按</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2"/>
                <w:sz w:val="24"/>
                <w:szCs w:val="24"/>
              </w:rPr>
              <w:t>实际利率法计算的利息，以及被投资单位已宣告发放的与可供出售权益工具</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投资相关的现金股利，作为投资收益计入当期损益。</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15"/>
        <w:gridCol w:w="8424"/>
      </w:tblGrid>
      <w:tr>
        <w:trPr>
          <w:trHeight w:val="501"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(iii)</w:t>
            </w:r>
          </w:p>
        </w:tc>
        <w:tc>
          <w:tcPr>
            <w:tcW w:w="8424" w:type="dxa"/>
            <w:tcBorders>
              <w:top w:val="nil" w:sz="6" w:space="0" w:color="auto"/>
              <w:left w:val="nil" w:sz="6" w:space="0" w:color="auto"/>
              <w:bottom w:val="nil" w:sz="6" w:space="0" w:color="auto"/>
              <w:right w:val="nil" w:sz="6" w:space="0" w:color="auto"/>
            </w:tcBorders>
          </w:tcPr>
          <w:p>
            <w:pPr>
              <w:pStyle w:val="TableParagraph"/>
              <w:spacing w:line="247" w:lineRule="exact"/>
              <w:ind w:left="195" w:right="0"/>
              <w:jc w:val="left"/>
              <w:rPr>
                <w:rFonts w:ascii="宋体" w:hAnsi="宋体" w:cs="宋体" w:eastAsia="宋体" w:hint="default"/>
                <w:sz w:val="24"/>
                <w:szCs w:val="24"/>
              </w:rPr>
            </w:pPr>
            <w:r>
              <w:rPr>
                <w:rFonts w:ascii="宋体" w:hAnsi="宋体" w:cs="宋体" w:eastAsia="宋体" w:hint="default"/>
                <w:sz w:val="24"/>
                <w:szCs w:val="24"/>
              </w:rPr>
              <w:t>金融资产减值</w:t>
            </w:r>
          </w:p>
        </w:tc>
      </w:tr>
      <w:tr>
        <w:trPr>
          <w:trHeight w:val="1350" w:hRule="exact"/>
        </w:trPr>
        <w:tc>
          <w:tcPr>
            <w:tcW w:w="715" w:type="dxa"/>
            <w:tcBorders>
              <w:top w:val="nil" w:sz="6" w:space="0" w:color="auto"/>
              <w:left w:val="nil" w:sz="6" w:space="0" w:color="auto"/>
              <w:bottom w:val="nil" w:sz="6" w:space="0" w:color="auto"/>
              <w:right w:val="nil" w:sz="6" w:space="0" w:color="auto"/>
            </w:tcBorders>
          </w:tcPr>
          <w:p>
            <w:pPr/>
          </w:p>
        </w:tc>
        <w:tc>
          <w:tcPr>
            <w:tcW w:w="842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95" w:right="198"/>
              <w:jc w:val="both"/>
              <w:rPr>
                <w:rFonts w:ascii="宋体" w:hAnsi="宋体" w:cs="宋体" w:eastAsia="宋体" w:hint="default"/>
                <w:sz w:val="24"/>
                <w:szCs w:val="24"/>
              </w:rPr>
            </w:pPr>
            <w:r>
              <w:rPr>
                <w:rFonts w:ascii="宋体" w:hAnsi="宋体" w:cs="宋体" w:eastAsia="宋体" w:hint="default"/>
                <w:spacing w:val="2"/>
                <w:sz w:val="24"/>
                <w:szCs w:val="24"/>
              </w:rPr>
              <w:t>除以公允价值计量且其变动计入当期损益的金融资产外，本集团于资产负债</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2"/>
                <w:sz w:val="24"/>
                <w:szCs w:val="24"/>
              </w:rPr>
              <w:t>表日对金融资产的账面价值进行检查，如果有客观证据表明某项金融资产发</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生减值的，计提减值准备。</w:t>
            </w:r>
          </w:p>
        </w:tc>
      </w:tr>
      <w:tr>
        <w:trPr>
          <w:trHeight w:val="1096" w:hRule="exact"/>
        </w:trPr>
        <w:tc>
          <w:tcPr>
            <w:tcW w:w="715" w:type="dxa"/>
            <w:tcBorders>
              <w:top w:val="nil" w:sz="6" w:space="0" w:color="auto"/>
              <w:left w:val="nil" w:sz="6" w:space="0" w:color="auto"/>
              <w:bottom w:val="nil" w:sz="6" w:space="0" w:color="auto"/>
              <w:right w:val="nil" w:sz="6" w:space="0" w:color="auto"/>
            </w:tcBorders>
          </w:tcPr>
          <w:p>
            <w:pPr/>
          </w:p>
        </w:tc>
        <w:tc>
          <w:tcPr>
            <w:tcW w:w="8424" w:type="dxa"/>
            <w:tcBorders>
              <w:top w:val="nil" w:sz="6" w:space="0" w:color="auto"/>
              <w:left w:val="nil" w:sz="6" w:space="0" w:color="auto"/>
              <w:bottom w:val="nil" w:sz="6" w:space="0" w:color="auto"/>
              <w:right w:val="nil" w:sz="6" w:space="0" w:color="auto"/>
            </w:tcBorders>
          </w:tcPr>
          <w:p>
            <w:pPr>
              <w:pStyle w:val="TableParagraph"/>
              <w:spacing w:line="237" w:lineRule="auto" w:before="162"/>
              <w:ind w:left="195" w:right="205"/>
              <w:jc w:val="both"/>
              <w:rPr>
                <w:rFonts w:ascii="宋体" w:hAnsi="宋体" w:cs="宋体" w:eastAsia="宋体" w:hint="default"/>
                <w:sz w:val="24"/>
                <w:szCs w:val="24"/>
              </w:rPr>
            </w:pPr>
            <w:r>
              <w:rPr>
                <w:rFonts w:ascii="宋体" w:hAnsi="宋体" w:cs="宋体" w:eastAsia="宋体" w:hint="default"/>
                <w:spacing w:val="2"/>
                <w:sz w:val="24"/>
                <w:szCs w:val="24"/>
              </w:rPr>
              <w:t>表明金融资产发生减值的客观证据，是指金融资产初始确认后实际发生的、</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对该金融资产的预计未来现金流量有影响，且本集团能够对该影响进行可靠</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计量的事项。</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15"/>
        <w:gridCol w:w="8425"/>
      </w:tblGrid>
      <w:tr>
        <w:trPr>
          <w:trHeight w:val="416"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exact"/>
              <w:ind w:right="72"/>
              <w:jc w:val="center"/>
              <w:rPr>
                <w:rFonts w:ascii="黑体" w:hAnsi="黑体" w:cs="黑体" w:eastAsia="黑体" w:hint="default"/>
                <w:sz w:val="24"/>
                <w:szCs w:val="24"/>
              </w:rPr>
            </w:pPr>
            <w:r>
              <w:rPr>
                <w:rFonts w:ascii="黑体" w:hAnsi="黑体" w:cs="黑体" w:eastAsia="黑体" w:hint="default"/>
                <w:sz w:val="24"/>
                <w:szCs w:val="24"/>
              </w:rPr>
              <w:t>二</w:t>
            </w:r>
          </w:p>
        </w:tc>
        <w:tc>
          <w:tcPr>
            <w:tcW w:w="8425" w:type="dxa"/>
            <w:tcBorders>
              <w:top w:val="nil" w:sz="6" w:space="0" w:color="auto"/>
              <w:left w:val="nil" w:sz="6" w:space="0" w:color="auto"/>
              <w:bottom w:val="nil" w:sz="6" w:space="0" w:color="auto"/>
              <w:right w:val="nil" w:sz="6" w:space="0" w:color="auto"/>
            </w:tcBorders>
          </w:tcPr>
          <w:p>
            <w:pPr>
              <w:pStyle w:val="TableParagraph"/>
              <w:spacing w:line="257" w:lineRule="exact"/>
              <w:ind w:left="19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
              <w:jc w:val="center"/>
              <w:rPr>
                <w:rFonts w:ascii="Arial" w:hAnsi="Arial" w:cs="Arial" w:eastAsia="Arial" w:hint="default"/>
                <w:sz w:val="24"/>
                <w:szCs w:val="24"/>
              </w:rPr>
            </w:pPr>
            <w:r>
              <w:rPr>
                <w:rFonts w:ascii="Arial"/>
                <w:sz w:val="24"/>
              </w:rPr>
              <w:t>(9)</w:t>
            </w: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5"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
              <w:jc w:val="center"/>
              <w:rPr>
                <w:rFonts w:ascii="Arial" w:hAnsi="Arial" w:cs="Arial" w:eastAsia="Arial" w:hint="default"/>
                <w:sz w:val="24"/>
                <w:szCs w:val="24"/>
              </w:rPr>
            </w:pPr>
            <w:r>
              <w:rPr>
                <w:rFonts w:ascii="Arial"/>
                <w:sz w:val="24"/>
              </w:rPr>
              <w:t>(a)</w:t>
            </w: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5"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91"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4" w:right="0"/>
              <w:jc w:val="center"/>
              <w:rPr>
                <w:rFonts w:ascii="Arial" w:hAnsi="Arial" w:cs="Arial" w:eastAsia="Arial" w:hint="default"/>
                <w:sz w:val="24"/>
                <w:szCs w:val="24"/>
              </w:rPr>
            </w:pPr>
            <w:r>
              <w:rPr>
                <w:rFonts w:ascii="Arial"/>
                <w:sz w:val="24"/>
              </w:rPr>
              <w:t>(iii)</w:t>
            </w: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5" w:right="0"/>
              <w:jc w:val="left"/>
              <w:rPr>
                <w:rFonts w:ascii="Arial" w:hAnsi="Arial" w:cs="Arial" w:eastAsia="Arial" w:hint="default"/>
                <w:sz w:val="24"/>
                <w:szCs w:val="24"/>
              </w:rPr>
            </w:pPr>
            <w:r>
              <w:rPr>
                <w:rFonts w:ascii="宋体" w:hAnsi="宋体" w:cs="宋体" w:eastAsia="宋体" w:hint="default"/>
                <w:sz w:val="24"/>
                <w:szCs w:val="24"/>
              </w:rPr>
              <w:t>金融资产减值</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2586" w:hRule="exact"/>
        </w:trPr>
        <w:tc>
          <w:tcPr>
            <w:tcW w:w="715"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232" w:lineRule="auto" w:before="102"/>
              <w:ind w:left="195" w:right="198"/>
              <w:jc w:val="both"/>
              <w:rPr>
                <w:rFonts w:ascii="宋体" w:hAnsi="宋体" w:cs="宋体" w:eastAsia="宋体" w:hint="default"/>
                <w:sz w:val="24"/>
                <w:szCs w:val="24"/>
              </w:rPr>
            </w:pPr>
            <w:r>
              <w:rPr>
                <w:rFonts w:ascii="宋体" w:hAnsi="宋体" w:cs="宋体" w:eastAsia="宋体" w:hint="default"/>
                <w:spacing w:val="2"/>
                <w:sz w:val="24"/>
                <w:szCs w:val="24"/>
              </w:rPr>
              <w:t>表明可供出售权益工具投资发生减值的客观证据包括权益工具投资的公允价</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值发生严重或非暂时性下跌。本集团于资产负债表日对各项可供出售权益工</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具投资单独进行检查，若该权益工具投资于资产负债表日的公允价值低于其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初始投资成本超过</w:t>
            </w:r>
            <w:r>
              <w:rPr>
                <w:rFonts w:ascii="宋体" w:hAnsi="宋体" w:cs="宋体" w:eastAsia="宋体" w:hint="default"/>
                <w:spacing w:val="-67"/>
                <w:sz w:val="24"/>
                <w:szCs w:val="24"/>
              </w:rPr>
              <w:t> </w:t>
            </w:r>
            <w:r>
              <w:rPr>
                <w:rFonts w:ascii="Arial" w:hAnsi="Arial" w:cs="Arial" w:eastAsia="Arial" w:hint="default"/>
                <w:sz w:val="24"/>
                <w:szCs w:val="24"/>
              </w:rPr>
              <w:t>50%(</w:t>
            </w:r>
            <w:r>
              <w:rPr>
                <w:rFonts w:ascii="宋体" w:hAnsi="宋体" w:cs="宋体" w:eastAsia="宋体" w:hint="default"/>
                <w:sz w:val="24"/>
                <w:szCs w:val="24"/>
              </w:rPr>
              <w:t>含</w:t>
            </w:r>
            <w:r>
              <w:rPr>
                <w:rFonts w:ascii="宋体" w:hAnsi="宋体" w:cs="宋体" w:eastAsia="宋体" w:hint="default"/>
                <w:spacing w:val="-67"/>
                <w:sz w:val="24"/>
                <w:szCs w:val="24"/>
              </w:rPr>
              <w:t> </w:t>
            </w:r>
            <w:r>
              <w:rPr>
                <w:rFonts w:ascii="Arial" w:hAnsi="Arial" w:cs="Arial" w:eastAsia="Arial" w:hint="default"/>
                <w:sz w:val="24"/>
                <w:szCs w:val="24"/>
              </w:rPr>
              <w:t>50%)</w:t>
            </w:r>
            <w:r>
              <w:rPr>
                <w:rFonts w:ascii="宋体" w:hAnsi="宋体" w:cs="宋体" w:eastAsia="宋体" w:hint="default"/>
                <w:sz w:val="24"/>
                <w:szCs w:val="24"/>
              </w:rPr>
              <w:t>或低于其初始投资成本持续时间超过一年</w:t>
            </w:r>
            <w:r>
              <w:rPr>
                <w:rFonts w:ascii="Arial" w:hAnsi="Arial" w:cs="Arial" w:eastAsia="Arial" w:hint="default"/>
                <w:sz w:val="24"/>
                <w:szCs w:val="24"/>
              </w:rPr>
              <w:t>(</w:t>
            </w:r>
            <w:r>
              <w:rPr>
                <w:rFonts w:ascii="宋体" w:hAnsi="宋体" w:cs="宋体" w:eastAsia="宋体" w:hint="default"/>
                <w:sz w:val="24"/>
                <w:szCs w:val="24"/>
              </w:rPr>
              <w:t>含 一年</w:t>
            </w:r>
            <w:r>
              <w:rPr>
                <w:rFonts w:ascii="Arial" w:hAnsi="Arial" w:cs="Arial" w:eastAsia="Arial" w:hint="default"/>
                <w:sz w:val="24"/>
                <w:szCs w:val="24"/>
              </w:rPr>
              <w:t>)</w:t>
            </w:r>
            <w:r>
              <w:rPr>
                <w:rFonts w:ascii="宋体" w:hAnsi="宋体" w:cs="宋体" w:eastAsia="宋体" w:hint="default"/>
                <w:sz w:val="24"/>
                <w:szCs w:val="24"/>
              </w:rPr>
              <w:t>的，则表明其发生减值；若该权益工具投资于资产负债表日的公允价值 低于其初始投资成本超过</w:t>
            </w:r>
            <w:r>
              <w:rPr>
                <w:rFonts w:ascii="宋体" w:hAnsi="宋体" w:cs="宋体" w:eastAsia="宋体" w:hint="default"/>
                <w:spacing w:val="-59"/>
                <w:sz w:val="24"/>
                <w:szCs w:val="24"/>
              </w:rPr>
              <w:t> </w:t>
            </w:r>
            <w:r>
              <w:rPr>
                <w:rFonts w:ascii="Arial" w:hAnsi="Arial" w:cs="Arial" w:eastAsia="Arial" w:hint="default"/>
                <w:sz w:val="24"/>
                <w:szCs w:val="24"/>
              </w:rPr>
              <w:t>20%(</w:t>
            </w:r>
            <w:r>
              <w:rPr>
                <w:rFonts w:ascii="宋体" w:hAnsi="宋体" w:cs="宋体" w:eastAsia="宋体" w:hint="default"/>
                <w:sz w:val="24"/>
                <w:szCs w:val="24"/>
              </w:rPr>
              <w:t>含</w:t>
            </w:r>
            <w:r>
              <w:rPr>
                <w:rFonts w:ascii="宋体" w:hAnsi="宋体" w:cs="宋体" w:eastAsia="宋体" w:hint="default"/>
                <w:spacing w:val="-59"/>
                <w:sz w:val="24"/>
                <w:szCs w:val="24"/>
              </w:rPr>
              <w:t> </w:t>
            </w:r>
            <w:r>
              <w:rPr>
                <w:rFonts w:ascii="Arial" w:hAnsi="Arial" w:cs="Arial" w:eastAsia="Arial" w:hint="default"/>
                <w:sz w:val="24"/>
                <w:szCs w:val="24"/>
              </w:rPr>
              <w:t>20%)</w:t>
            </w:r>
            <w:r>
              <w:rPr>
                <w:rFonts w:ascii="宋体" w:hAnsi="宋体" w:cs="宋体" w:eastAsia="宋体" w:hint="default"/>
                <w:sz w:val="24"/>
                <w:szCs w:val="24"/>
              </w:rPr>
              <w:t>但尚未达到</w:t>
            </w:r>
            <w:r>
              <w:rPr>
                <w:rFonts w:ascii="宋体" w:hAnsi="宋体" w:cs="宋体" w:eastAsia="宋体" w:hint="default"/>
                <w:spacing w:val="-59"/>
                <w:sz w:val="24"/>
                <w:szCs w:val="24"/>
              </w:rPr>
              <w:t> </w:t>
            </w:r>
            <w:r>
              <w:rPr>
                <w:rFonts w:ascii="Arial" w:hAnsi="Arial" w:cs="Arial" w:eastAsia="Arial" w:hint="default"/>
                <w:sz w:val="24"/>
                <w:szCs w:val="24"/>
              </w:rPr>
              <w:t>50%</w:t>
            </w:r>
            <w:r>
              <w:rPr>
                <w:rFonts w:ascii="宋体" w:hAnsi="宋体" w:cs="宋体" w:eastAsia="宋体" w:hint="default"/>
                <w:sz w:val="24"/>
                <w:szCs w:val="24"/>
              </w:rPr>
              <w:t>的，本集团会综合考 </w:t>
            </w:r>
            <w:r>
              <w:rPr>
                <w:rFonts w:ascii="宋体" w:hAnsi="宋体" w:cs="宋体" w:eastAsia="宋体" w:hint="default"/>
                <w:spacing w:val="2"/>
                <w:sz w:val="24"/>
                <w:szCs w:val="24"/>
              </w:rPr>
              <w:t>虑其他相关因素诸如价格波动率等，判断该权益工具投资是否发生减值。本</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集团以个别认定法计算可供出售权益工具投资的初始投资成本。</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696"/>
        <w:gridCol w:w="8446"/>
      </w:tblGrid>
      <w:tr>
        <w:trPr>
          <w:trHeight w:val="1347"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247" w:lineRule="exact"/>
              <w:ind w:left="162" w:right="0"/>
              <w:jc w:val="both"/>
              <w:rPr>
                <w:rFonts w:ascii="宋体" w:hAnsi="宋体" w:cs="宋体" w:eastAsia="宋体" w:hint="default"/>
                <w:sz w:val="24"/>
                <w:szCs w:val="24"/>
              </w:rPr>
            </w:pPr>
            <w:r>
              <w:rPr>
                <w:rFonts w:ascii="宋体" w:hAnsi="宋体" w:cs="宋体" w:eastAsia="宋体" w:hint="default"/>
                <w:spacing w:val="2"/>
                <w:sz w:val="24"/>
                <w:szCs w:val="24"/>
              </w:rPr>
              <w:t>以摊余成本计量的金融资产发生减值时，按预计未来现金流量</w:t>
            </w:r>
            <w:r>
              <w:rPr>
                <w:rFonts w:ascii="Arial" w:hAnsi="Arial" w:cs="Arial" w:eastAsia="Arial" w:hint="default"/>
                <w:spacing w:val="2"/>
                <w:sz w:val="24"/>
                <w:szCs w:val="24"/>
              </w:rPr>
              <w:t>(</w:t>
            </w:r>
            <w:r>
              <w:rPr>
                <w:rFonts w:ascii="宋体" w:hAnsi="宋体" w:cs="宋体" w:eastAsia="宋体" w:hint="default"/>
                <w:spacing w:val="2"/>
                <w:sz w:val="24"/>
                <w:szCs w:val="24"/>
              </w:rPr>
              <w:t>不包括尚未发</w:t>
            </w:r>
            <w:r>
              <w:rPr>
                <w:rFonts w:ascii="宋体" w:hAnsi="宋体" w:cs="宋体" w:eastAsia="宋体" w:hint="default"/>
                <w:sz w:val="24"/>
                <w:szCs w:val="24"/>
              </w:rPr>
            </w:r>
          </w:p>
          <w:p>
            <w:pPr>
              <w:pStyle w:val="TableParagraph"/>
              <w:spacing w:line="232" w:lineRule="auto"/>
              <w:ind w:left="162" w:right="198"/>
              <w:jc w:val="both"/>
              <w:rPr>
                <w:rFonts w:ascii="宋体" w:hAnsi="宋体" w:cs="宋体" w:eastAsia="宋体" w:hint="default"/>
                <w:sz w:val="24"/>
                <w:szCs w:val="24"/>
              </w:rPr>
            </w:pPr>
            <w:r>
              <w:rPr>
                <w:rFonts w:ascii="宋体" w:hAnsi="宋体" w:cs="宋体" w:eastAsia="宋体" w:hint="default"/>
                <w:sz w:val="24"/>
                <w:szCs w:val="24"/>
              </w:rPr>
              <w:t>生的未来信用损失</w:t>
            </w:r>
            <w:r>
              <w:rPr>
                <w:rFonts w:ascii="Arial" w:hAnsi="Arial" w:cs="Arial" w:eastAsia="Arial" w:hint="default"/>
                <w:sz w:val="24"/>
                <w:szCs w:val="24"/>
              </w:rPr>
              <w:t>)</w:t>
            </w:r>
            <w:r>
              <w:rPr>
                <w:rFonts w:ascii="宋体" w:hAnsi="宋体" w:cs="宋体" w:eastAsia="宋体" w:hint="default"/>
                <w:sz w:val="24"/>
                <w:szCs w:val="24"/>
              </w:rPr>
              <w:t>现值低于账面价值的差额，计提减值准备。如果有客观证</w:t>
            </w:r>
            <w:r>
              <w:rPr>
                <w:rFonts w:ascii="宋体" w:hAnsi="宋体" w:cs="宋体" w:eastAsia="宋体" w:hint="default"/>
                <w:spacing w:val="-53"/>
                <w:sz w:val="24"/>
                <w:szCs w:val="24"/>
              </w:rPr>
              <w:t> </w:t>
            </w:r>
            <w:r>
              <w:rPr>
                <w:rFonts w:ascii="宋体" w:hAnsi="宋体" w:cs="宋体" w:eastAsia="宋体" w:hint="default"/>
                <w:spacing w:val="-3"/>
                <w:sz w:val="24"/>
                <w:szCs w:val="24"/>
              </w:rPr>
              <w:t>据表明该金融资产价值已恢复，且客观上与确认该损失后发生的事项有关，原</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确认的减值损失予以转回，计入当期损益。</w:t>
            </w:r>
          </w:p>
        </w:tc>
      </w:tr>
      <w:tr>
        <w:trPr>
          <w:trHeight w:val="3038"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62" w:right="201"/>
              <w:jc w:val="both"/>
              <w:rPr>
                <w:rFonts w:ascii="宋体" w:hAnsi="宋体" w:cs="宋体" w:eastAsia="宋体" w:hint="default"/>
                <w:sz w:val="24"/>
                <w:szCs w:val="24"/>
              </w:rPr>
            </w:pPr>
            <w:r>
              <w:rPr>
                <w:rFonts w:ascii="宋体" w:hAnsi="宋体" w:cs="宋体" w:eastAsia="宋体" w:hint="default"/>
                <w:spacing w:val="-3"/>
                <w:sz w:val="24"/>
                <w:szCs w:val="24"/>
              </w:rPr>
              <w:t>以公允价值计量的可供出售金融资产发生减值时，原直接计入股东权益的因公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允价值下降形成的累计损失予以转出并计入减值损失。对已确认减值损失的可</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供出售债务工具投资，在期后公允价值上升且客观上与确认原减值损失后发生</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的事项有关的，原确认的减值损失予以转回并计入当期损益。对已确认减值损</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失的可供出售权益工具投资，期后公允价值上升直接计入股东权益。</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62" w:right="201"/>
              <w:jc w:val="both"/>
              <w:rPr>
                <w:rFonts w:ascii="宋体" w:hAnsi="宋体" w:cs="宋体" w:eastAsia="宋体" w:hint="default"/>
                <w:sz w:val="24"/>
                <w:szCs w:val="24"/>
              </w:rPr>
            </w:pPr>
            <w:r>
              <w:rPr>
                <w:rFonts w:ascii="宋体" w:hAnsi="宋体" w:cs="宋体" w:eastAsia="宋体" w:hint="default"/>
                <w:spacing w:val="-3"/>
                <w:sz w:val="24"/>
                <w:szCs w:val="24"/>
              </w:rPr>
              <w:t>以成本计量的可供出售金融资产发生减值时，将其账面价值与按照类似金融资</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产当时市场收益率对未来现金流量折现确定的现值之间的差额，确认为减值损</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失，计入当期损益。已发生的减值损失以后期间不再转回。</w:t>
            </w:r>
          </w:p>
        </w:tc>
      </w:tr>
      <w:tr>
        <w:trPr>
          <w:trHeight w:val="591"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(iv)</w:t>
            </w:r>
          </w:p>
        </w:tc>
        <w:tc>
          <w:tcPr>
            <w:tcW w:w="844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62" w:right="0"/>
              <w:jc w:val="left"/>
              <w:rPr>
                <w:rFonts w:ascii="宋体" w:hAnsi="宋体" w:cs="宋体" w:eastAsia="宋体" w:hint="default"/>
                <w:sz w:val="24"/>
                <w:szCs w:val="24"/>
              </w:rPr>
            </w:pPr>
            <w:r>
              <w:rPr>
                <w:rFonts w:ascii="宋体" w:hAnsi="宋体" w:cs="宋体" w:eastAsia="宋体" w:hint="default"/>
                <w:sz w:val="24"/>
                <w:szCs w:val="24"/>
              </w:rPr>
              <w:t>金融资产的终止确认</w:t>
            </w:r>
          </w:p>
        </w:tc>
      </w:tr>
      <w:tr>
        <w:trPr>
          <w:trHeight w:val="1799"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228" w:lineRule="auto" w:before="113"/>
              <w:ind w:left="162" w:right="200"/>
              <w:jc w:val="both"/>
              <w:rPr>
                <w:rFonts w:ascii="宋体" w:hAnsi="宋体" w:cs="宋体" w:eastAsia="宋体" w:hint="default"/>
                <w:sz w:val="24"/>
                <w:szCs w:val="24"/>
              </w:rPr>
            </w:pPr>
            <w:r>
              <w:rPr>
                <w:rFonts w:ascii="宋体" w:hAnsi="宋体" w:cs="宋体" w:eastAsia="宋体" w:hint="default"/>
                <w:spacing w:val="2"/>
                <w:sz w:val="24"/>
                <w:szCs w:val="24"/>
              </w:rPr>
              <w:t>金融资产满足下列条件之一的，予以终止确认：</w:t>
            </w:r>
            <w:r>
              <w:rPr>
                <w:rFonts w:ascii="Arial" w:hAnsi="Arial" w:cs="Arial" w:eastAsia="Arial" w:hint="default"/>
                <w:spacing w:val="2"/>
                <w:sz w:val="24"/>
                <w:szCs w:val="24"/>
              </w:rPr>
              <w:t>(1)</w:t>
            </w:r>
            <w:r>
              <w:rPr>
                <w:rFonts w:ascii="宋体" w:hAnsi="宋体" w:cs="宋体" w:eastAsia="宋体" w:hint="default"/>
                <w:spacing w:val="2"/>
                <w:sz w:val="24"/>
                <w:szCs w:val="24"/>
              </w:rPr>
              <w:t>收取该金融资产现金流量</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的合同权利终止；</w:t>
            </w:r>
            <w:r>
              <w:rPr>
                <w:rFonts w:ascii="Arial" w:hAnsi="Arial" w:cs="Arial" w:eastAsia="Arial" w:hint="default"/>
                <w:spacing w:val="2"/>
                <w:sz w:val="24"/>
                <w:szCs w:val="24"/>
              </w:rPr>
              <w:t>(2)</w:t>
            </w:r>
            <w:r>
              <w:rPr>
                <w:rFonts w:ascii="宋体" w:hAnsi="宋体" w:cs="宋体" w:eastAsia="宋体" w:hint="default"/>
                <w:spacing w:val="2"/>
                <w:sz w:val="24"/>
                <w:szCs w:val="24"/>
              </w:rPr>
              <w:t>该金融资产已转移，且本集团将金融资产所有权上几乎</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2"/>
                <w:sz w:val="24"/>
                <w:szCs w:val="24"/>
              </w:rPr>
              <w:t>所有的风险和报酬转移给转入方；或者</w:t>
            </w:r>
            <w:r>
              <w:rPr>
                <w:rFonts w:ascii="Arial" w:hAnsi="Arial" w:cs="Arial" w:eastAsia="Arial" w:hint="default"/>
                <w:spacing w:val="2"/>
                <w:sz w:val="24"/>
                <w:szCs w:val="24"/>
              </w:rPr>
              <w:t>(3)</w:t>
            </w:r>
            <w:r>
              <w:rPr>
                <w:rFonts w:ascii="宋体" w:hAnsi="宋体" w:cs="宋体" w:eastAsia="宋体" w:hint="default"/>
                <w:spacing w:val="2"/>
                <w:sz w:val="24"/>
                <w:szCs w:val="24"/>
              </w:rPr>
              <w:t>该金融资产已转移，虽然本集团既</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3"/>
                <w:sz w:val="24"/>
                <w:szCs w:val="24"/>
              </w:rPr>
              <w:t>没有转移也没有保留金融资产所有权上几乎所有的风险和报酬，但是放弃了对</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该金融资产控制。</w:t>
            </w:r>
          </w:p>
        </w:tc>
      </w:tr>
      <w:tr>
        <w:trPr>
          <w:trHeight w:val="690"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310" w:lineRule="exact" w:before="97"/>
              <w:ind w:left="162" w:right="201"/>
              <w:jc w:val="left"/>
              <w:rPr>
                <w:rFonts w:ascii="宋体" w:hAnsi="宋体" w:cs="宋体" w:eastAsia="宋体" w:hint="default"/>
                <w:sz w:val="24"/>
                <w:szCs w:val="24"/>
              </w:rPr>
            </w:pPr>
            <w:r>
              <w:rPr>
                <w:rFonts w:ascii="宋体" w:hAnsi="宋体" w:cs="宋体" w:eastAsia="宋体" w:hint="default"/>
                <w:spacing w:val="-3"/>
                <w:sz w:val="24"/>
                <w:szCs w:val="24"/>
              </w:rPr>
              <w:t>金融资产终止确认时，其账面价值与收到的对价以及原直接计入股东权益的公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允价值变动累计额之和的差额，计入当期损益。</w:t>
            </w:r>
          </w:p>
        </w:tc>
      </w:tr>
    </w:tbl>
    <w:p>
      <w:pPr>
        <w:spacing w:after="0" w:line="310"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712"/>
        <w:gridCol w:w="8579"/>
      </w:tblGrid>
      <w:tr>
        <w:trPr>
          <w:trHeight w:val="496"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exact"/>
              <w:ind w:right="70"/>
              <w:jc w:val="center"/>
              <w:rPr>
                <w:rFonts w:ascii="黑体" w:hAnsi="黑体" w:cs="黑体" w:eastAsia="黑体" w:hint="default"/>
                <w:sz w:val="24"/>
                <w:szCs w:val="24"/>
              </w:rPr>
            </w:pPr>
            <w:r>
              <w:rPr>
                <w:rFonts w:ascii="黑体" w:hAnsi="黑体" w:cs="黑体" w:eastAsia="黑体" w:hint="default"/>
                <w:sz w:val="24"/>
                <w:szCs w:val="24"/>
              </w:rPr>
              <w:t>二</w:t>
            </w:r>
          </w:p>
        </w:tc>
        <w:tc>
          <w:tcPr>
            <w:tcW w:w="8579"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
              <w:jc w:val="center"/>
              <w:rPr>
                <w:rFonts w:ascii="Arial" w:hAnsi="Arial" w:cs="Arial" w:eastAsia="Arial" w:hint="default"/>
                <w:sz w:val="24"/>
                <w:szCs w:val="24"/>
              </w:rPr>
            </w:pPr>
            <w:r>
              <w:rPr>
                <w:rFonts w:ascii="Arial"/>
                <w:sz w:val="24"/>
              </w:rPr>
              <w:t>(9)</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
              <w:jc w:val="center"/>
              <w:rPr>
                <w:rFonts w:ascii="Arial" w:hAnsi="Arial" w:cs="Arial" w:eastAsia="Arial" w:hint="default"/>
                <w:sz w:val="24"/>
                <w:szCs w:val="24"/>
              </w:rPr>
            </w:pPr>
            <w:r>
              <w:rPr>
                <w:rFonts w:ascii="Arial"/>
                <w:sz w:val="24"/>
              </w:rPr>
              <w:t>(b)</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宋体" w:hAnsi="宋体" w:cs="宋体" w:eastAsia="宋体" w:hint="default"/>
                <w:sz w:val="24"/>
                <w:szCs w:val="24"/>
              </w:rPr>
            </w:pPr>
            <w:r>
              <w:rPr>
                <w:rFonts w:ascii="宋体" w:hAnsi="宋体" w:cs="宋体" w:eastAsia="宋体" w:hint="default"/>
                <w:sz w:val="24"/>
                <w:szCs w:val="24"/>
              </w:rPr>
              <w:t>金融负债</w:t>
            </w:r>
          </w:p>
        </w:tc>
      </w:tr>
      <w:tr>
        <w:trPr>
          <w:trHeight w:val="1641"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218" w:right="277"/>
              <w:jc w:val="both"/>
              <w:rPr>
                <w:rFonts w:ascii="宋体" w:hAnsi="宋体" w:cs="宋体" w:eastAsia="宋体" w:hint="default"/>
                <w:sz w:val="24"/>
                <w:szCs w:val="24"/>
              </w:rPr>
            </w:pPr>
            <w:r>
              <w:rPr>
                <w:rFonts w:ascii="宋体" w:hAnsi="宋体" w:cs="宋体" w:eastAsia="宋体" w:hint="default"/>
                <w:spacing w:val="4"/>
                <w:sz w:val="24"/>
                <w:szCs w:val="24"/>
              </w:rPr>
              <w:t>金融负债于初始确认时分类为以公允价值计量且其变动计入当期损益的金融</w:t>
            </w:r>
            <w:r>
              <w:rPr>
                <w:rFonts w:ascii="宋体" w:hAnsi="宋体" w:cs="宋体" w:eastAsia="宋体" w:hint="default"/>
                <w:sz w:val="24"/>
                <w:szCs w:val="24"/>
              </w:rPr>
              <w:t> </w:t>
            </w:r>
            <w:r>
              <w:rPr>
                <w:rFonts w:ascii="宋体" w:hAnsi="宋体" w:cs="宋体" w:eastAsia="宋体" w:hint="default"/>
                <w:spacing w:val="-3"/>
                <w:sz w:val="24"/>
                <w:szCs w:val="24"/>
              </w:rPr>
              <w:t>负债和其他金融负债。本集团的金融负债主要为以公允价值计量且其变动计入</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当期损益的金融负债和其他金融负债，包括卖出期权、投资者回售选择权、一</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年以上的远期外汇合约、应付款项、借款及应付债券等。</w:t>
            </w:r>
          </w:p>
        </w:tc>
      </w:tr>
      <w:tr>
        <w:trPr>
          <w:trHeight w:val="978"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0" w:lineRule="exact" w:before="172"/>
              <w:ind w:left="218" w:right="198"/>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以公允价值计量且其变动计入当期损益的金融负债以公允价值进行初始计量， 并以公允价值进行后续计量。</w:t>
            </w:r>
          </w:p>
        </w:tc>
      </w:tr>
      <w:tr>
        <w:trPr>
          <w:trHeight w:val="978"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0" w:lineRule="exact" w:before="172"/>
              <w:ind w:left="218" w:right="302"/>
              <w:jc w:val="left"/>
              <w:rPr>
                <w:rFonts w:ascii="宋体" w:hAnsi="宋体" w:cs="宋体" w:eastAsia="宋体" w:hint="default"/>
                <w:sz w:val="24"/>
                <w:szCs w:val="24"/>
              </w:rPr>
            </w:pPr>
            <w:r>
              <w:rPr>
                <w:rFonts w:ascii="宋体" w:hAnsi="宋体" w:cs="宋体" w:eastAsia="宋体" w:hint="default"/>
                <w:spacing w:val="-4"/>
                <w:sz w:val="24"/>
                <w:szCs w:val="24"/>
              </w:rPr>
              <w:t>应付款项包括应付账款、其他应付款等，以公允价值进行初始计量，并采用实</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际利率法按摊余成本进行后续计量。</w:t>
            </w:r>
          </w:p>
        </w:tc>
      </w:tr>
      <w:tr>
        <w:trPr>
          <w:trHeight w:val="939"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2" w:lineRule="exact" w:before="170"/>
              <w:ind w:left="218" w:right="303"/>
              <w:jc w:val="left"/>
              <w:rPr>
                <w:rFonts w:ascii="宋体" w:hAnsi="宋体" w:cs="宋体" w:eastAsia="宋体" w:hint="default"/>
                <w:sz w:val="24"/>
                <w:szCs w:val="24"/>
              </w:rPr>
            </w:pPr>
            <w:r>
              <w:rPr>
                <w:rFonts w:ascii="宋体" w:hAnsi="宋体" w:cs="宋体" w:eastAsia="宋体" w:hint="default"/>
                <w:spacing w:val="-4"/>
                <w:sz w:val="24"/>
                <w:szCs w:val="24"/>
              </w:rPr>
              <w:t>借款及应付债券按其公允价值扣除交易费用后的金额进行初始计量，并采用实</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际利率法按摊余成本进行后续计量。</w:t>
            </w:r>
          </w:p>
        </w:tc>
      </w:tr>
      <w:tr>
        <w:trPr>
          <w:trHeight w:val="1270"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218" w:right="302"/>
              <w:jc w:val="both"/>
              <w:rPr>
                <w:rFonts w:ascii="宋体" w:hAnsi="宋体" w:cs="宋体" w:eastAsia="宋体" w:hint="default"/>
                <w:sz w:val="24"/>
                <w:szCs w:val="24"/>
              </w:rPr>
            </w:pPr>
            <w:r>
              <w:rPr>
                <w:rFonts w:ascii="宋体" w:hAnsi="宋体" w:cs="宋体" w:eastAsia="宋体" w:hint="default"/>
                <w:spacing w:val="-1"/>
                <w:sz w:val="24"/>
                <w:szCs w:val="24"/>
              </w:rPr>
              <w:t>其他金融负债期限在一年以下</w:t>
            </w:r>
            <w:r>
              <w:rPr>
                <w:rFonts w:ascii="Arial" w:hAnsi="Arial" w:cs="Arial" w:eastAsia="Arial" w:hint="default"/>
                <w:spacing w:val="-1"/>
                <w:sz w:val="24"/>
                <w:szCs w:val="24"/>
              </w:rPr>
              <w:t>(</w:t>
            </w:r>
            <w:r>
              <w:rPr>
                <w:rFonts w:ascii="宋体" w:hAnsi="宋体" w:cs="宋体" w:eastAsia="宋体" w:hint="default"/>
                <w:spacing w:val="-1"/>
                <w:sz w:val="24"/>
                <w:szCs w:val="24"/>
              </w:rPr>
              <w:t>含一年</w:t>
            </w:r>
            <w:r>
              <w:rPr>
                <w:rFonts w:ascii="Arial" w:hAnsi="Arial" w:cs="Arial" w:eastAsia="Arial" w:hint="default"/>
                <w:spacing w:val="-1"/>
                <w:sz w:val="24"/>
                <w:szCs w:val="24"/>
              </w:rPr>
              <w:t>)</w:t>
            </w:r>
            <w:r>
              <w:rPr>
                <w:rFonts w:ascii="宋体" w:hAnsi="宋体" w:cs="宋体" w:eastAsia="宋体" w:hint="default"/>
                <w:spacing w:val="-1"/>
                <w:sz w:val="24"/>
                <w:szCs w:val="24"/>
              </w:rPr>
              <w:t>的，列示为流动负债；期限在一年以上</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5"/>
                <w:sz w:val="24"/>
                <w:szCs w:val="24"/>
              </w:rPr>
              <w:t>但自资产负债表日起一年内</w:t>
            </w:r>
            <w:r>
              <w:rPr>
                <w:rFonts w:ascii="Arial" w:hAnsi="Arial" w:cs="Arial" w:eastAsia="Arial" w:hint="default"/>
                <w:spacing w:val="5"/>
                <w:sz w:val="24"/>
                <w:szCs w:val="24"/>
              </w:rPr>
              <w:t>(</w:t>
            </w:r>
            <w:r>
              <w:rPr>
                <w:rFonts w:ascii="宋体" w:hAnsi="宋体" w:cs="宋体" w:eastAsia="宋体" w:hint="default"/>
                <w:spacing w:val="5"/>
                <w:sz w:val="24"/>
                <w:szCs w:val="24"/>
              </w:rPr>
              <w:t>含一年</w:t>
            </w:r>
            <w:r>
              <w:rPr>
                <w:rFonts w:ascii="Arial" w:hAnsi="Arial" w:cs="Arial" w:eastAsia="Arial" w:hint="default"/>
                <w:spacing w:val="5"/>
                <w:sz w:val="24"/>
                <w:szCs w:val="24"/>
              </w:rPr>
              <w:t>)</w:t>
            </w:r>
            <w:r>
              <w:rPr>
                <w:rFonts w:ascii="宋体" w:hAnsi="宋体" w:cs="宋体" w:eastAsia="宋体" w:hint="default"/>
                <w:spacing w:val="5"/>
                <w:sz w:val="24"/>
                <w:szCs w:val="24"/>
              </w:rPr>
              <w:t>到期的，列示为一年内到期的非流动负</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债；其余列示为非流动负债。</w:t>
            </w:r>
          </w:p>
        </w:tc>
      </w:tr>
      <w:tr>
        <w:trPr>
          <w:trHeight w:val="1346"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62"/>
              <w:ind w:left="218" w:right="303"/>
              <w:jc w:val="both"/>
              <w:rPr>
                <w:rFonts w:ascii="宋体" w:hAnsi="宋体" w:cs="宋体" w:eastAsia="宋体" w:hint="default"/>
                <w:sz w:val="24"/>
                <w:szCs w:val="24"/>
              </w:rPr>
            </w:pPr>
            <w:r>
              <w:rPr>
                <w:rFonts w:ascii="宋体" w:hAnsi="宋体" w:cs="宋体" w:eastAsia="宋体" w:hint="default"/>
                <w:spacing w:val="-4"/>
                <w:sz w:val="24"/>
                <w:szCs w:val="24"/>
              </w:rPr>
              <w:t>当金融负债的现时义务全部或部分已经解除时，终止确认该金融负债或义务已</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解除的部分。终止确认部分的账面价值与支付的对价之间的差额，计入当期损</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益。</w:t>
            </w:r>
          </w:p>
        </w:tc>
      </w:tr>
      <w:tr>
        <w:trPr>
          <w:trHeight w:val="751"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9"/>
              <w:jc w:val="center"/>
              <w:rPr>
                <w:rFonts w:ascii="Arial" w:hAnsi="Arial" w:cs="Arial" w:eastAsia="Arial" w:hint="default"/>
                <w:sz w:val="24"/>
                <w:szCs w:val="24"/>
              </w:rPr>
            </w:pPr>
            <w:r>
              <w:rPr>
                <w:rFonts w:ascii="Arial"/>
                <w:sz w:val="24"/>
              </w:rPr>
              <w:t>(c)</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8" w:right="0"/>
              <w:jc w:val="left"/>
              <w:rPr>
                <w:rFonts w:ascii="宋体" w:hAnsi="宋体" w:cs="宋体" w:eastAsia="宋体" w:hint="default"/>
                <w:sz w:val="24"/>
                <w:szCs w:val="24"/>
              </w:rPr>
            </w:pPr>
            <w:r>
              <w:rPr>
                <w:rFonts w:ascii="宋体" w:hAnsi="宋体" w:cs="宋体" w:eastAsia="宋体" w:hint="default"/>
                <w:sz w:val="24"/>
                <w:szCs w:val="24"/>
              </w:rPr>
              <w:t>金融工具的公允价值确定</w:t>
            </w:r>
          </w:p>
        </w:tc>
      </w:tr>
      <w:tr>
        <w:trPr>
          <w:trHeight w:val="2050"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8" w:right="198"/>
              <w:jc w:val="left"/>
              <w:rPr>
                <w:rFonts w:ascii="宋体" w:hAnsi="宋体" w:cs="宋体" w:eastAsia="宋体" w:hint="default"/>
                <w:sz w:val="24"/>
                <w:szCs w:val="24"/>
              </w:rPr>
            </w:pPr>
            <w:r>
              <w:rPr>
                <w:rFonts w:ascii="宋体" w:hAnsi="宋体" w:cs="宋体" w:eastAsia="宋体" w:hint="default"/>
                <w:spacing w:val="-3"/>
                <w:sz w:val="24"/>
                <w:szCs w:val="24"/>
              </w:rPr>
              <w:t>存在活跃市场的金融工具，以活跃市场中的报价确定其公允价值。不存在活跃</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市场的金融工具，采用估值技术确定其公允价值。在估值时，本集团采用在当</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前情况下适用并且有足够可利用数据和其他信息支持的估值技术，选择与市场</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参与者在相关资产或负债的交易中所考虑的资产或负债特征相一致的输入值， </w:t>
            </w:r>
            <w:r>
              <w:rPr>
                <w:rFonts w:ascii="宋体" w:hAnsi="宋体" w:cs="宋体" w:eastAsia="宋体" w:hint="default"/>
                <w:spacing w:val="-3"/>
                <w:sz w:val="24"/>
                <w:szCs w:val="24"/>
              </w:rPr>
              <w:t>并尽可能优先使用相关可观察输入值。在相关可观察输入值无法取得或取得不</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切实可行的情况下，使用不可观察输入值。</w:t>
            </w:r>
          </w:p>
        </w:tc>
      </w:tr>
    </w:tbl>
    <w:p>
      <w:pPr>
        <w:spacing w:after="0" w:line="237" w:lineRule="auto"/>
        <w:jc w:val="left"/>
        <w:rPr>
          <w:rFonts w:ascii="宋体" w:hAnsi="宋体" w:cs="宋体" w:eastAsia="宋体" w:hint="default"/>
          <w:sz w:val="24"/>
          <w:szCs w:val="24"/>
        </w:rPr>
        <w:sectPr>
          <w:pgSz w:w="11910" w:h="16840"/>
          <w:pgMar w:header="755" w:footer="912" w:top="1900" w:bottom="110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779"/>
        <w:gridCol w:w="3891"/>
        <w:gridCol w:w="4542"/>
      </w:tblGrid>
      <w:tr>
        <w:trPr>
          <w:trHeight w:val="49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891" w:type="dxa"/>
            <w:tcBorders>
              <w:top w:val="nil" w:sz="6" w:space="0" w:color="auto"/>
              <w:left w:val="nil" w:sz="6" w:space="0" w:color="auto"/>
              <w:bottom w:val="nil" w:sz="6" w:space="0" w:color="auto"/>
              <w:right w:val="nil" w:sz="6" w:space="0" w:color="auto"/>
            </w:tcBorders>
          </w:tcPr>
          <w:p>
            <w:pPr>
              <w:pStyle w:val="TableParagraph"/>
              <w:spacing w:line="257" w:lineRule="exact"/>
              <w:ind w:left="152"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4542" w:type="dxa"/>
            <w:tcBorders>
              <w:top w:val="nil" w:sz="6" w:space="0" w:color="auto"/>
              <w:left w:val="nil" w:sz="6" w:space="0" w:color="auto"/>
              <w:bottom w:val="nil" w:sz="6" w:space="0" w:color="auto"/>
              <w:right w:val="nil" w:sz="6" w:space="0" w:color="auto"/>
            </w:tcBorders>
          </w:tcPr>
          <w:p>
            <w:pPr/>
          </w:p>
        </w:tc>
      </w:tr>
      <w:tr>
        <w:trPr>
          <w:trHeight w:val="744"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(10)</w:t>
            </w: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2" w:right="0"/>
              <w:jc w:val="left"/>
              <w:rPr>
                <w:rFonts w:ascii="黑体" w:hAnsi="黑体" w:cs="黑体" w:eastAsia="黑体" w:hint="default"/>
                <w:sz w:val="24"/>
                <w:szCs w:val="24"/>
              </w:rPr>
            </w:pPr>
            <w:r>
              <w:rPr>
                <w:rFonts w:ascii="黑体" w:hAnsi="黑体" w:cs="黑体" w:eastAsia="黑体" w:hint="default"/>
                <w:sz w:val="24"/>
                <w:szCs w:val="24"/>
              </w:rPr>
              <w:t>应收款项</w:t>
            </w:r>
          </w:p>
        </w:tc>
        <w:tc>
          <w:tcPr>
            <w:tcW w:w="4542" w:type="dxa"/>
            <w:tcBorders>
              <w:top w:val="nil" w:sz="6" w:space="0" w:color="auto"/>
              <w:left w:val="nil" w:sz="6" w:space="0" w:color="auto"/>
              <w:bottom w:val="nil" w:sz="6" w:space="0" w:color="auto"/>
              <w:right w:val="nil" w:sz="6" w:space="0" w:color="auto"/>
            </w:tcBorders>
          </w:tcPr>
          <w:p>
            <w:pPr/>
          </w:p>
        </w:tc>
      </w:tr>
      <w:tr>
        <w:trPr>
          <w:trHeight w:val="1367"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182"/>
              <w:ind w:left="930" w:right="198"/>
              <w:jc w:val="both"/>
              <w:rPr>
                <w:rFonts w:ascii="宋体" w:hAnsi="宋体" w:cs="宋体" w:eastAsia="宋体" w:hint="default"/>
                <w:sz w:val="24"/>
                <w:szCs w:val="24"/>
              </w:rPr>
            </w:pPr>
            <w:r>
              <w:rPr>
                <w:rFonts w:ascii="宋体" w:hAnsi="宋体" w:cs="宋体" w:eastAsia="宋体" w:hint="default"/>
                <w:spacing w:val="-3"/>
                <w:sz w:val="24"/>
                <w:szCs w:val="24"/>
              </w:rPr>
              <w:t>应收款项包括应收账款、其他应收款、发放贷款和垫款等。本集团对外销售商</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品或提供劳务形成的应收账款，按从购货方或劳务接受方应收的合同或协议价</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款的公允价值作为初始确认金额。</w:t>
            </w:r>
          </w:p>
        </w:tc>
      </w:tr>
      <w:tr>
        <w:trPr>
          <w:trHeight w:val="75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4"/>
              <w:ind w:left="152" w:right="0"/>
              <w:jc w:val="left"/>
              <w:rPr>
                <w:rFonts w:ascii="宋体" w:hAnsi="宋体" w:cs="宋体" w:eastAsia="宋体" w:hint="default"/>
                <w:sz w:val="24"/>
                <w:szCs w:val="24"/>
              </w:rPr>
            </w:pPr>
            <w:r>
              <w:rPr>
                <w:rFonts w:ascii="宋体" w:hAnsi="宋体" w:cs="宋体" w:eastAsia="宋体" w:hint="default"/>
                <w:sz w:val="24"/>
                <w:szCs w:val="24"/>
              </w:rPr>
              <w:t>单项金额重大并单独计提坏账准备的应收款项</w:t>
            </w:r>
          </w:p>
        </w:tc>
      </w:tr>
      <w:tr>
        <w:trPr>
          <w:trHeight w:val="1058"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209"/>
              <w:ind w:left="930" w:right="198"/>
              <w:jc w:val="left"/>
              <w:rPr>
                <w:rFonts w:ascii="宋体" w:hAnsi="宋体" w:cs="宋体" w:eastAsia="宋体" w:hint="default"/>
                <w:sz w:val="24"/>
                <w:szCs w:val="24"/>
              </w:rPr>
            </w:pPr>
            <w:r>
              <w:rPr>
                <w:rFonts w:ascii="宋体" w:hAnsi="宋体" w:cs="宋体" w:eastAsia="宋体" w:hint="default"/>
                <w:spacing w:val="-3"/>
                <w:sz w:val="24"/>
                <w:szCs w:val="24"/>
              </w:rPr>
              <w:t>对于单项金额重大的应收款项，单独进行减值测试。当存在客观证据表明本集</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团将无法按应收款项的原有条款收回款项时，计提坏账准备。</w:t>
            </w:r>
          </w:p>
        </w:tc>
      </w:tr>
      <w:tr>
        <w:trPr>
          <w:trHeight w:val="753"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930" w:right="0"/>
              <w:jc w:val="left"/>
              <w:rPr>
                <w:rFonts w:ascii="宋体" w:hAnsi="宋体" w:cs="宋体" w:eastAsia="宋体" w:hint="default"/>
                <w:sz w:val="24"/>
                <w:szCs w:val="24"/>
              </w:rPr>
            </w:pPr>
            <w:r>
              <w:rPr>
                <w:rFonts w:ascii="宋体" w:hAnsi="宋体" w:cs="宋体" w:eastAsia="宋体" w:hint="default"/>
                <w:sz w:val="24"/>
                <w:szCs w:val="24"/>
              </w:rPr>
              <w:t>单项金额重大的判断标准为：单项金额超过人民币</w:t>
            </w:r>
            <w:r>
              <w:rPr>
                <w:rFonts w:ascii="宋体" w:hAnsi="宋体" w:cs="宋体" w:eastAsia="宋体" w:hint="default"/>
                <w:spacing w:val="-61"/>
                <w:sz w:val="24"/>
                <w:szCs w:val="24"/>
              </w:rPr>
              <w:t> </w:t>
            </w:r>
            <w:r>
              <w:rPr>
                <w:rFonts w:ascii="Arial" w:hAnsi="Arial" w:cs="Arial" w:eastAsia="Arial" w:hint="default"/>
                <w:sz w:val="24"/>
                <w:szCs w:val="24"/>
              </w:rPr>
              <w:t>100,000,000</w:t>
            </w:r>
            <w:r>
              <w:rPr>
                <w:rFonts w:ascii="Arial" w:hAnsi="Arial" w:cs="Arial" w:eastAsia="Arial" w:hint="default"/>
                <w:spacing w:val="-9"/>
                <w:sz w:val="24"/>
                <w:szCs w:val="24"/>
              </w:rPr>
              <w:t> </w:t>
            </w:r>
            <w:r>
              <w:rPr>
                <w:rFonts w:ascii="宋体" w:hAnsi="宋体" w:cs="宋体" w:eastAsia="宋体" w:hint="default"/>
                <w:sz w:val="24"/>
                <w:szCs w:val="24"/>
              </w:rPr>
              <w:t>元。</w:t>
            </w:r>
          </w:p>
        </w:tc>
      </w:tr>
      <w:tr>
        <w:trPr>
          <w:trHeight w:val="1050"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204"/>
              <w:ind w:left="930" w:right="201"/>
              <w:jc w:val="left"/>
              <w:rPr>
                <w:rFonts w:ascii="宋体" w:hAnsi="宋体" w:cs="宋体" w:eastAsia="宋体" w:hint="default"/>
                <w:sz w:val="24"/>
                <w:szCs w:val="24"/>
              </w:rPr>
            </w:pPr>
            <w:r>
              <w:rPr>
                <w:rFonts w:ascii="宋体" w:hAnsi="宋体" w:cs="宋体" w:eastAsia="宋体" w:hint="default"/>
                <w:spacing w:val="-3"/>
                <w:sz w:val="24"/>
                <w:szCs w:val="24"/>
              </w:rPr>
              <w:t>单项金额重大并单独计提坏账准备的计提方法为：根据应收款项的预计未来现</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金流量现值低于其账面价值的差额进行计提。</w:t>
            </w:r>
          </w:p>
        </w:tc>
      </w:tr>
      <w:tr>
        <w:trPr>
          <w:trHeight w:val="75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2" w:right="0"/>
              <w:jc w:val="left"/>
              <w:rPr>
                <w:rFonts w:ascii="宋体" w:hAnsi="宋体" w:cs="宋体" w:eastAsia="宋体" w:hint="default"/>
                <w:sz w:val="24"/>
                <w:szCs w:val="24"/>
              </w:rPr>
            </w:pPr>
            <w:r>
              <w:rPr>
                <w:rFonts w:ascii="宋体" w:hAnsi="宋体" w:cs="宋体" w:eastAsia="宋体" w:hint="default"/>
                <w:sz w:val="24"/>
                <w:szCs w:val="24"/>
              </w:rPr>
              <w:t>按组合计提坏账准备的应收款项</w:t>
            </w:r>
          </w:p>
        </w:tc>
        <w:tc>
          <w:tcPr>
            <w:tcW w:w="4542" w:type="dxa"/>
            <w:tcBorders>
              <w:top w:val="nil" w:sz="6" w:space="0" w:color="auto"/>
              <w:left w:val="nil" w:sz="6" w:space="0" w:color="auto"/>
              <w:bottom w:val="nil" w:sz="6" w:space="0" w:color="auto"/>
              <w:right w:val="nil" w:sz="6" w:space="0" w:color="auto"/>
            </w:tcBorders>
          </w:tcPr>
          <w:p>
            <w:pPr/>
          </w:p>
        </w:tc>
      </w:tr>
      <w:tr>
        <w:trPr>
          <w:trHeight w:val="1370" w:hRule="exact"/>
        </w:trPr>
        <w:tc>
          <w:tcPr>
            <w:tcW w:w="779" w:type="dxa"/>
            <w:tcBorders>
              <w:top w:val="nil" w:sz="6" w:space="0" w:color="auto"/>
              <w:left w:val="nil" w:sz="6" w:space="0" w:color="auto"/>
              <w:bottom w:val="nil" w:sz="6" w:space="0" w:color="auto"/>
              <w:right w:val="nil" w:sz="6" w:space="0" w:color="auto"/>
            </w:tcBorders>
          </w:tcPr>
          <w:p>
            <w:pPr/>
          </w:p>
        </w:tc>
        <w:tc>
          <w:tcPr>
            <w:tcW w:w="8434" w:type="dxa"/>
            <w:gridSpan w:val="2"/>
            <w:tcBorders>
              <w:top w:val="nil" w:sz="6" w:space="0" w:color="auto"/>
              <w:left w:val="nil" w:sz="6" w:space="0" w:color="auto"/>
              <w:bottom w:val="nil" w:sz="6" w:space="0" w:color="auto"/>
              <w:right w:val="nil" w:sz="6" w:space="0" w:color="auto"/>
            </w:tcBorders>
          </w:tcPr>
          <w:p>
            <w:pPr>
              <w:pStyle w:val="TableParagraph"/>
              <w:spacing w:line="237" w:lineRule="auto" w:before="182"/>
              <w:ind w:left="152" w:right="201"/>
              <w:jc w:val="both"/>
              <w:rPr>
                <w:rFonts w:ascii="宋体" w:hAnsi="宋体" w:cs="宋体" w:eastAsia="宋体" w:hint="default"/>
                <w:sz w:val="24"/>
                <w:szCs w:val="24"/>
              </w:rPr>
            </w:pPr>
            <w:r>
              <w:rPr>
                <w:rFonts w:ascii="宋体" w:hAnsi="宋体" w:cs="宋体" w:eastAsia="宋体" w:hint="default"/>
                <w:spacing w:val="-3"/>
                <w:sz w:val="24"/>
                <w:szCs w:val="24"/>
              </w:rPr>
              <w:t>对于单项金额不重大的应收款项，与经单独测试后未减值的应收款项一起按信</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用风险特征划分为若干组合，根据以前年度与之具有类似信用风险特征的应收</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款项组合的实际损失率为基础，结合现时情况确定应计提的坏账准备。</w:t>
            </w:r>
          </w:p>
        </w:tc>
      </w:tr>
      <w:tr>
        <w:trPr>
          <w:trHeight w:val="748"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2" w:right="0"/>
              <w:jc w:val="left"/>
              <w:rPr>
                <w:rFonts w:ascii="宋体" w:hAnsi="宋体" w:cs="宋体" w:eastAsia="宋体" w:hint="default"/>
                <w:sz w:val="24"/>
                <w:szCs w:val="24"/>
              </w:rPr>
            </w:pPr>
            <w:r>
              <w:rPr>
                <w:rFonts w:ascii="宋体" w:hAnsi="宋体" w:cs="宋体" w:eastAsia="宋体" w:hint="default"/>
                <w:sz w:val="24"/>
                <w:szCs w:val="24"/>
              </w:rPr>
              <w:t>确定组合的依据如下：</w:t>
            </w:r>
          </w:p>
        </w:tc>
        <w:tc>
          <w:tcPr>
            <w:tcW w:w="4542" w:type="dxa"/>
            <w:tcBorders>
              <w:top w:val="nil" w:sz="6" w:space="0" w:color="auto"/>
              <w:left w:val="nil" w:sz="6" w:space="0" w:color="auto"/>
              <w:bottom w:val="nil" w:sz="6" w:space="0" w:color="auto"/>
              <w:right w:val="nil" w:sz="6" w:space="0" w:color="auto"/>
            </w:tcBorders>
          </w:tcPr>
          <w:p>
            <w:pPr/>
          </w:p>
        </w:tc>
      </w:tr>
      <w:tr>
        <w:trPr>
          <w:trHeight w:val="569"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2" w:right="0"/>
              <w:jc w:val="left"/>
              <w:rPr>
                <w:rFonts w:ascii="宋体" w:hAnsi="宋体" w:cs="宋体" w:eastAsia="宋体" w:hint="default"/>
                <w:sz w:val="24"/>
                <w:szCs w:val="24"/>
              </w:rPr>
            </w:pPr>
            <w:r>
              <w:rPr>
                <w:rFonts w:ascii="宋体" w:hAnsi="宋体" w:cs="宋体" w:eastAsia="宋体" w:hint="default"/>
                <w:sz w:val="24"/>
                <w:szCs w:val="24"/>
              </w:rPr>
              <w:t>政府补贴组合</w:t>
            </w:r>
          </w:p>
        </w:tc>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39" w:right="0"/>
              <w:jc w:val="left"/>
              <w:rPr>
                <w:rFonts w:ascii="宋体" w:hAnsi="宋体" w:cs="宋体" w:eastAsia="宋体" w:hint="default"/>
                <w:sz w:val="24"/>
                <w:szCs w:val="24"/>
              </w:rPr>
            </w:pPr>
            <w:r>
              <w:rPr>
                <w:rFonts w:ascii="宋体" w:hAnsi="宋体" w:cs="宋体" w:eastAsia="宋体" w:hint="default"/>
                <w:sz w:val="24"/>
                <w:szCs w:val="24"/>
              </w:rPr>
              <w:t>所有应收的政府补贴款项</w:t>
            </w:r>
          </w:p>
        </w:tc>
      </w:tr>
      <w:tr>
        <w:trPr>
          <w:trHeight w:val="391"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52" w:right="0"/>
              <w:jc w:val="left"/>
              <w:rPr>
                <w:rFonts w:ascii="宋体" w:hAnsi="宋体" w:cs="宋体" w:eastAsia="宋体" w:hint="default"/>
                <w:sz w:val="24"/>
                <w:szCs w:val="24"/>
              </w:rPr>
            </w:pPr>
            <w:r>
              <w:rPr>
                <w:rFonts w:ascii="宋体" w:hAnsi="宋体" w:cs="宋体" w:eastAsia="宋体" w:hint="default"/>
                <w:sz w:val="24"/>
                <w:szCs w:val="24"/>
              </w:rPr>
              <w:t>节能补贴组合</w:t>
            </w:r>
          </w:p>
        </w:tc>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9" w:right="0"/>
              <w:jc w:val="left"/>
              <w:rPr>
                <w:rFonts w:ascii="宋体" w:hAnsi="宋体" w:cs="宋体" w:eastAsia="宋体" w:hint="default"/>
                <w:sz w:val="24"/>
                <w:szCs w:val="24"/>
              </w:rPr>
            </w:pPr>
            <w:r>
              <w:rPr>
                <w:rFonts w:ascii="宋体" w:hAnsi="宋体" w:cs="宋体" w:eastAsia="宋体" w:hint="default"/>
                <w:sz w:val="24"/>
                <w:szCs w:val="24"/>
              </w:rPr>
              <w:t>所有应收的节能补贴款项</w:t>
            </w:r>
          </w:p>
        </w:tc>
      </w:tr>
      <w:tr>
        <w:trPr>
          <w:trHeight w:val="391"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52" w:right="0"/>
              <w:jc w:val="left"/>
              <w:rPr>
                <w:rFonts w:ascii="宋体" w:hAnsi="宋体" w:cs="宋体" w:eastAsia="宋体" w:hint="default"/>
                <w:sz w:val="24"/>
                <w:szCs w:val="24"/>
              </w:rPr>
            </w:pPr>
            <w:r>
              <w:rPr>
                <w:rFonts w:ascii="宋体" w:hAnsi="宋体" w:cs="宋体" w:eastAsia="宋体" w:hint="default"/>
                <w:sz w:val="24"/>
                <w:szCs w:val="24"/>
              </w:rPr>
              <w:t>保本保收益理财产品组合</w:t>
            </w:r>
          </w:p>
        </w:tc>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9" w:right="0"/>
              <w:jc w:val="left"/>
              <w:rPr>
                <w:rFonts w:ascii="宋体" w:hAnsi="宋体" w:cs="宋体" w:eastAsia="宋体" w:hint="default"/>
                <w:sz w:val="24"/>
                <w:szCs w:val="24"/>
              </w:rPr>
            </w:pPr>
            <w:r>
              <w:rPr>
                <w:rFonts w:ascii="宋体" w:hAnsi="宋体" w:cs="宋体" w:eastAsia="宋体" w:hint="default"/>
                <w:sz w:val="24"/>
                <w:szCs w:val="24"/>
              </w:rPr>
              <w:t>所有应收的保本保收益理财产品款项</w:t>
            </w:r>
          </w:p>
        </w:tc>
      </w:tr>
      <w:tr>
        <w:trPr>
          <w:trHeight w:val="742"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52" w:right="0"/>
              <w:jc w:val="left"/>
              <w:rPr>
                <w:rFonts w:ascii="宋体" w:hAnsi="宋体" w:cs="宋体" w:eastAsia="宋体" w:hint="default"/>
                <w:sz w:val="24"/>
                <w:szCs w:val="24"/>
              </w:rPr>
            </w:pPr>
            <w:r>
              <w:rPr>
                <w:rFonts w:ascii="宋体" w:hAnsi="宋体" w:cs="宋体" w:eastAsia="宋体" w:hint="default"/>
                <w:sz w:val="24"/>
                <w:szCs w:val="24"/>
              </w:rPr>
              <w:t>其他款项</w:t>
            </w:r>
          </w:p>
        </w:tc>
        <w:tc>
          <w:tcPr>
            <w:tcW w:w="4542" w:type="dxa"/>
            <w:tcBorders>
              <w:top w:val="nil" w:sz="6" w:space="0" w:color="auto"/>
              <w:left w:val="nil" w:sz="6" w:space="0" w:color="auto"/>
              <w:bottom w:val="nil" w:sz="6" w:space="0" w:color="auto"/>
              <w:right w:val="nil" w:sz="6" w:space="0" w:color="auto"/>
            </w:tcBorders>
          </w:tcPr>
          <w:p>
            <w:pPr>
              <w:pStyle w:val="TableParagraph"/>
              <w:spacing w:line="268" w:lineRule="auto" w:before="1"/>
              <w:ind w:left="139" w:right="320"/>
              <w:jc w:val="left"/>
              <w:rPr>
                <w:rFonts w:ascii="宋体" w:hAnsi="宋体" w:cs="宋体" w:eastAsia="宋体" w:hint="default"/>
                <w:sz w:val="24"/>
                <w:szCs w:val="24"/>
              </w:rPr>
            </w:pPr>
            <w:r>
              <w:rPr>
                <w:rFonts w:ascii="宋体" w:hAnsi="宋体" w:cs="宋体" w:eastAsia="宋体" w:hint="default"/>
                <w:sz w:val="24"/>
                <w:szCs w:val="24"/>
              </w:rPr>
              <w:t>短期应收款项中除政府补贴、节能补贴 及保本保收益理财产品之外的其他款项</w:t>
            </w:r>
          </w:p>
        </w:tc>
      </w:tr>
      <w:tr>
        <w:trPr>
          <w:trHeight w:val="628"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52" w:right="0"/>
              <w:jc w:val="left"/>
              <w:rPr>
                <w:rFonts w:ascii="宋体" w:hAnsi="宋体" w:cs="宋体" w:eastAsia="宋体" w:hint="default"/>
                <w:sz w:val="24"/>
                <w:szCs w:val="24"/>
              </w:rPr>
            </w:pPr>
            <w:r>
              <w:rPr>
                <w:rFonts w:ascii="宋体" w:hAnsi="宋体" w:cs="宋体" w:eastAsia="宋体" w:hint="default"/>
                <w:sz w:val="24"/>
                <w:szCs w:val="24"/>
              </w:rPr>
              <w:t>房屋租赁保证金及采购保证金组合</w:t>
            </w:r>
          </w:p>
        </w:tc>
        <w:tc>
          <w:tcPr>
            <w:tcW w:w="4542"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39" w:right="204"/>
              <w:jc w:val="left"/>
              <w:rPr>
                <w:rFonts w:ascii="宋体" w:hAnsi="宋体" w:cs="宋体" w:eastAsia="宋体" w:hint="default"/>
                <w:sz w:val="24"/>
                <w:szCs w:val="24"/>
              </w:rPr>
            </w:pPr>
            <w:r>
              <w:rPr>
                <w:rFonts w:ascii="宋体" w:hAnsi="宋体" w:cs="宋体" w:eastAsia="宋体" w:hint="default"/>
                <w:spacing w:val="6"/>
                <w:sz w:val="24"/>
                <w:szCs w:val="24"/>
              </w:rPr>
              <w:t>所有长期应收款中的房屋租赁保证金及</w:t>
            </w:r>
            <w:r>
              <w:rPr>
                <w:rFonts w:ascii="宋体" w:hAnsi="宋体" w:cs="宋体" w:eastAsia="宋体" w:hint="default"/>
                <w:sz w:val="24"/>
                <w:szCs w:val="24"/>
              </w:rPr>
              <w:t> 采购保证金</w:t>
            </w:r>
          </w:p>
        </w:tc>
      </w:tr>
    </w:tbl>
    <w:p>
      <w:pPr>
        <w:spacing w:after="0" w:line="312" w:lineRule="exact"/>
        <w:jc w:val="left"/>
        <w:rPr>
          <w:rFonts w:ascii="宋体" w:hAnsi="宋体" w:cs="宋体" w:eastAsia="宋体" w:hint="default"/>
          <w:sz w:val="24"/>
          <w:szCs w:val="24"/>
        </w:rPr>
        <w:sectPr>
          <w:pgSz w:w="11910" w:h="16840"/>
          <w:pgMar w:header="755" w:footer="912" w:top="1900" w:bottom="110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46"/>
        <w:gridCol w:w="3859"/>
        <w:gridCol w:w="1854"/>
        <w:gridCol w:w="2660"/>
      </w:tblGrid>
      <w:tr>
        <w:trPr>
          <w:trHeight w:val="416"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859"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54"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r>
      <w:tr>
        <w:trPr>
          <w:trHeight w:val="587"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(10)</w:t>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Arial" w:hAnsi="Arial" w:cs="Arial" w:eastAsia="Arial" w:hint="default"/>
                <w:sz w:val="24"/>
                <w:szCs w:val="24"/>
              </w:rPr>
            </w:pPr>
            <w:r>
              <w:rPr>
                <w:rFonts w:ascii="黑体" w:hAnsi="黑体" w:cs="黑体" w:eastAsia="黑体" w:hint="default"/>
                <w:sz w:val="24"/>
                <w:szCs w:val="24"/>
              </w:rPr>
              <w:t>应收款项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54"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r>
      <w:tr>
        <w:trPr>
          <w:trHeight w:val="591"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22"/>
              <w:jc w:val="left"/>
              <w:rPr>
                <w:rFonts w:ascii="Arial" w:hAnsi="Arial" w:cs="Arial" w:eastAsia="Arial" w:hint="default"/>
                <w:sz w:val="24"/>
                <w:szCs w:val="24"/>
              </w:rPr>
            </w:pPr>
            <w:r>
              <w:rPr>
                <w:rFonts w:ascii="宋体" w:hAnsi="宋体" w:cs="宋体" w:eastAsia="宋体" w:hint="default"/>
                <w:sz w:val="24"/>
                <w:szCs w:val="24"/>
              </w:rPr>
              <w:t>按组合计提坏账准备的应收款项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854"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r>
      <w:tr>
        <w:trPr>
          <w:trHeight w:val="582" w:hRule="exact"/>
        </w:trPr>
        <w:tc>
          <w:tcPr>
            <w:tcW w:w="746" w:type="dxa"/>
            <w:tcBorders>
              <w:top w:val="nil" w:sz="6" w:space="0" w:color="auto"/>
              <w:left w:val="nil" w:sz="6" w:space="0" w:color="auto"/>
              <w:bottom w:val="nil" w:sz="6" w:space="0" w:color="auto"/>
              <w:right w:val="nil" w:sz="6" w:space="0" w:color="auto"/>
            </w:tcBorders>
          </w:tcPr>
          <w:p>
            <w:pPr/>
          </w:p>
        </w:tc>
        <w:tc>
          <w:tcPr>
            <w:tcW w:w="57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按组合计提坏账准备的计提方法如下：</w:t>
            </w:r>
          </w:p>
        </w:tc>
        <w:tc>
          <w:tcPr>
            <w:tcW w:w="2660" w:type="dxa"/>
            <w:tcBorders>
              <w:top w:val="nil" w:sz="6" w:space="0" w:color="auto"/>
              <w:left w:val="nil" w:sz="6" w:space="0" w:color="auto"/>
              <w:bottom w:val="nil" w:sz="6" w:space="0" w:color="auto"/>
              <w:right w:val="nil" w:sz="6" w:space="0" w:color="auto"/>
            </w:tcBorders>
          </w:tcPr>
          <w:p>
            <w:pPr/>
          </w:p>
        </w:tc>
      </w:tr>
      <w:tr>
        <w:trPr>
          <w:trHeight w:val="2011"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448" w:lineRule="auto" w:before="100"/>
              <w:ind w:left="119" w:right="1097"/>
              <w:jc w:val="left"/>
              <w:rPr>
                <w:rFonts w:ascii="宋体" w:hAnsi="宋体" w:cs="宋体" w:eastAsia="宋体" w:hint="default"/>
                <w:sz w:val="24"/>
                <w:szCs w:val="24"/>
              </w:rPr>
            </w:pPr>
            <w:r>
              <w:rPr>
                <w:rFonts w:ascii="宋体" w:hAnsi="宋体" w:cs="宋体" w:eastAsia="宋体" w:hint="default"/>
                <w:sz w:val="24"/>
                <w:szCs w:val="24"/>
              </w:rPr>
              <w:t>政府补贴组合 节能补贴组合 保本保收益理财产品组合</w:t>
            </w:r>
          </w:p>
        </w:tc>
        <w:tc>
          <w:tcPr>
            <w:tcW w:w="4514" w:type="dxa"/>
            <w:gridSpan w:val="2"/>
            <w:tcBorders>
              <w:top w:val="nil" w:sz="6" w:space="0" w:color="auto"/>
              <w:left w:val="nil" w:sz="6" w:space="0" w:color="auto"/>
              <w:bottom w:val="nil" w:sz="6" w:space="0" w:color="auto"/>
              <w:right w:val="nil" w:sz="6" w:space="0" w:color="auto"/>
            </w:tcBorders>
          </w:tcPr>
          <w:p>
            <w:pPr>
              <w:pStyle w:val="TableParagraph"/>
              <w:spacing w:line="310" w:lineRule="exact" w:before="132"/>
              <w:ind w:left="619" w:right="292" w:hanging="480"/>
              <w:jc w:val="left"/>
              <w:rPr>
                <w:rFonts w:ascii="Arial" w:hAnsi="Arial" w:cs="Arial" w:eastAsia="Arial" w:hint="default"/>
                <w:sz w:val="24"/>
                <w:szCs w:val="24"/>
              </w:rPr>
            </w:pPr>
            <w:r>
              <w:rPr>
                <w:rFonts w:ascii="宋体" w:hAnsi="宋体" w:cs="宋体" w:eastAsia="宋体" w:hint="default"/>
                <w:sz w:val="24"/>
                <w:szCs w:val="24"/>
              </w:rPr>
              <w:t>依据以前年度实际损失率，结合现时情 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p>
            <w:pPr>
              <w:pStyle w:val="TableParagraph"/>
              <w:spacing w:line="282" w:lineRule="exact"/>
              <w:ind w:left="139" w:right="0"/>
              <w:jc w:val="left"/>
              <w:rPr>
                <w:rFonts w:ascii="宋体" w:hAnsi="宋体" w:cs="宋体" w:eastAsia="宋体" w:hint="default"/>
                <w:sz w:val="24"/>
                <w:szCs w:val="24"/>
              </w:rPr>
            </w:pPr>
            <w:r>
              <w:rPr>
                <w:rFonts w:ascii="宋体" w:hAnsi="宋体" w:cs="宋体" w:eastAsia="宋体" w:hint="default"/>
                <w:sz w:val="24"/>
                <w:szCs w:val="24"/>
              </w:rPr>
              <w:t>依据以前年度实际损失率，结合现时情</w:t>
            </w:r>
          </w:p>
          <w:p>
            <w:pPr>
              <w:pStyle w:val="TableParagraph"/>
              <w:spacing w:line="320" w:lineRule="exact"/>
              <w:ind w:left="619" w:right="0"/>
              <w:jc w:val="left"/>
              <w:rPr>
                <w:rFonts w:ascii="Arial" w:hAnsi="Arial" w:cs="Arial" w:eastAsia="Arial" w:hint="default"/>
                <w:sz w:val="24"/>
                <w:szCs w:val="24"/>
              </w:rPr>
            </w:pPr>
            <w:r>
              <w:rPr>
                <w:rFonts w:ascii="宋体" w:hAnsi="宋体" w:cs="宋体" w:eastAsia="宋体" w:hint="default"/>
                <w:sz w:val="24"/>
                <w:szCs w:val="24"/>
              </w:rPr>
              <w:t>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p>
            <w:pPr>
              <w:pStyle w:val="TableParagraph"/>
              <w:spacing w:line="310" w:lineRule="exact" w:before="22"/>
              <w:ind w:left="619" w:right="292" w:hanging="480"/>
              <w:jc w:val="left"/>
              <w:rPr>
                <w:rFonts w:ascii="Arial" w:hAnsi="Arial" w:cs="Arial" w:eastAsia="Arial" w:hint="default"/>
                <w:sz w:val="24"/>
                <w:szCs w:val="24"/>
              </w:rPr>
            </w:pPr>
            <w:r>
              <w:rPr>
                <w:rFonts w:ascii="宋体" w:hAnsi="宋体" w:cs="宋体" w:eastAsia="宋体" w:hint="default"/>
                <w:sz w:val="24"/>
                <w:szCs w:val="24"/>
              </w:rPr>
              <w:t>依据以前年度实际损失率，结合现时情 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tc>
      </w:tr>
      <w:tr>
        <w:trPr>
          <w:trHeight w:val="306"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0" w:lineRule="exact"/>
              <w:ind w:left="119" w:right="0"/>
              <w:jc w:val="left"/>
              <w:rPr>
                <w:rFonts w:ascii="宋体" w:hAnsi="宋体" w:cs="宋体" w:eastAsia="宋体" w:hint="default"/>
                <w:sz w:val="24"/>
                <w:szCs w:val="24"/>
              </w:rPr>
            </w:pPr>
            <w:r>
              <w:rPr>
                <w:rFonts w:ascii="宋体" w:hAnsi="宋体" w:cs="宋体" w:eastAsia="宋体" w:hint="default"/>
                <w:sz w:val="24"/>
                <w:szCs w:val="24"/>
              </w:rPr>
              <w:t>其他款项</w:t>
            </w:r>
          </w:p>
        </w:tc>
        <w:tc>
          <w:tcPr>
            <w:tcW w:w="1854" w:type="dxa"/>
            <w:tcBorders>
              <w:top w:val="nil" w:sz="6" w:space="0" w:color="auto"/>
              <w:left w:val="nil" w:sz="6" w:space="0" w:color="auto"/>
              <w:bottom w:val="nil" w:sz="6" w:space="0" w:color="auto"/>
              <w:right w:val="nil" w:sz="6" w:space="0" w:color="auto"/>
            </w:tcBorders>
          </w:tcPr>
          <w:p>
            <w:pPr>
              <w:pStyle w:val="TableParagraph"/>
              <w:spacing w:line="270" w:lineRule="exact"/>
              <w:ind w:left="139" w:right="0"/>
              <w:jc w:val="left"/>
              <w:rPr>
                <w:rFonts w:ascii="宋体" w:hAnsi="宋体" w:cs="宋体" w:eastAsia="宋体" w:hint="default"/>
                <w:sz w:val="24"/>
                <w:szCs w:val="24"/>
              </w:rPr>
            </w:pPr>
            <w:r>
              <w:rPr>
                <w:rFonts w:ascii="宋体" w:hAnsi="宋体" w:cs="宋体" w:eastAsia="宋体" w:hint="default"/>
                <w:sz w:val="24"/>
                <w:szCs w:val="24"/>
              </w:rPr>
              <w:t>账龄分析法</w:t>
            </w:r>
          </w:p>
        </w:tc>
        <w:tc>
          <w:tcPr>
            <w:tcW w:w="2660" w:type="dxa"/>
            <w:tcBorders>
              <w:top w:val="nil" w:sz="6" w:space="0" w:color="auto"/>
              <w:left w:val="nil" w:sz="6" w:space="0" w:color="auto"/>
              <w:bottom w:val="nil" w:sz="6" w:space="0" w:color="auto"/>
              <w:right w:val="nil" w:sz="6" w:space="0" w:color="auto"/>
            </w:tcBorders>
          </w:tcPr>
          <w:p>
            <w:pPr/>
          </w:p>
        </w:tc>
      </w:tr>
      <w:tr>
        <w:trPr>
          <w:trHeight w:val="767"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5" w:lineRule="exact"/>
              <w:ind w:left="119" w:right="0"/>
              <w:jc w:val="left"/>
              <w:rPr>
                <w:rFonts w:ascii="宋体" w:hAnsi="宋体" w:cs="宋体" w:eastAsia="宋体" w:hint="default"/>
                <w:sz w:val="24"/>
                <w:szCs w:val="24"/>
              </w:rPr>
            </w:pPr>
            <w:r>
              <w:rPr>
                <w:rFonts w:ascii="宋体" w:hAnsi="宋体" w:cs="宋体" w:eastAsia="宋体" w:hint="default"/>
                <w:sz w:val="24"/>
                <w:szCs w:val="24"/>
              </w:rPr>
              <w:t>房屋租赁保证金及采购保证金组合</w:t>
            </w:r>
          </w:p>
        </w:tc>
        <w:tc>
          <w:tcPr>
            <w:tcW w:w="4514" w:type="dxa"/>
            <w:gridSpan w:val="2"/>
            <w:tcBorders>
              <w:top w:val="nil" w:sz="6" w:space="0" w:color="auto"/>
              <w:left w:val="nil" w:sz="6" w:space="0" w:color="auto"/>
              <w:bottom w:val="nil" w:sz="6" w:space="0" w:color="auto"/>
              <w:right w:val="nil" w:sz="6" w:space="0" w:color="auto"/>
            </w:tcBorders>
          </w:tcPr>
          <w:p>
            <w:pPr>
              <w:pStyle w:val="TableParagraph"/>
              <w:spacing w:line="274" w:lineRule="exact"/>
              <w:ind w:left="139" w:right="0"/>
              <w:jc w:val="left"/>
              <w:rPr>
                <w:rFonts w:ascii="宋体" w:hAnsi="宋体" w:cs="宋体" w:eastAsia="宋体" w:hint="default"/>
                <w:sz w:val="24"/>
                <w:szCs w:val="24"/>
              </w:rPr>
            </w:pPr>
            <w:r>
              <w:rPr>
                <w:rFonts w:ascii="宋体" w:hAnsi="宋体" w:cs="宋体" w:eastAsia="宋体" w:hint="default"/>
                <w:spacing w:val="5"/>
                <w:sz w:val="24"/>
                <w:szCs w:val="24"/>
              </w:rPr>
              <w:t>依据以前年度实际损失率，结合现时情</w:t>
            </w:r>
          </w:p>
          <w:p>
            <w:pPr>
              <w:pStyle w:val="TableParagraph"/>
              <w:spacing w:line="330" w:lineRule="exact"/>
              <w:ind w:left="139" w:right="0"/>
              <w:jc w:val="left"/>
              <w:rPr>
                <w:rFonts w:ascii="Arial" w:hAnsi="Arial" w:cs="Arial" w:eastAsia="Arial" w:hint="default"/>
                <w:sz w:val="24"/>
                <w:szCs w:val="24"/>
              </w:rPr>
            </w:pPr>
            <w:r>
              <w:rPr>
                <w:rFonts w:ascii="宋体" w:hAnsi="宋体" w:cs="宋体" w:eastAsia="宋体" w:hint="default"/>
                <w:sz w:val="24"/>
                <w:szCs w:val="24"/>
              </w:rPr>
              <w:t>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tc>
      </w:tr>
      <w:tr>
        <w:trPr>
          <w:trHeight w:val="581" w:hRule="exact"/>
        </w:trPr>
        <w:tc>
          <w:tcPr>
            <w:tcW w:w="746" w:type="dxa"/>
            <w:tcBorders>
              <w:top w:val="nil" w:sz="6" w:space="0" w:color="auto"/>
              <w:left w:val="nil" w:sz="6" w:space="0" w:color="auto"/>
              <w:bottom w:val="nil" w:sz="6" w:space="0" w:color="auto"/>
              <w:right w:val="nil" w:sz="6" w:space="0" w:color="auto"/>
            </w:tcBorders>
          </w:tcPr>
          <w:p>
            <w:pPr/>
          </w:p>
        </w:tc>
        <w:tc>
          <w:tcPr>
            <w:tcW w:w="57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组合中，采用账龄分析法的计提比例列示如下：</w:t>
            </w:r>
          </w:p>
        </w:tc>
        <w:tc>
          <w:tcPr>
            <w:tcW w:w="2660" w:type="dxa"/>
            <w:tcBorders>
              <w:top w:val="nil" w:sz="6" w:space="0" w:color="auto"/>
              <w:left w:val="nil" w:sz="6" w:space="0" w:color="auto"/>
              <w:bottom w:val="nil" w:sz="6" w:space="0" w:color="auto"/>
              <w:right w:val="nil" w:sz="6" w:space="0" w:color="auto"/>
            </w:tcBorders>
          </w:tcPr>
          <w:p>
            <w:pPr/>
          </w:p>
        </w:tc>
      </w:tr>
      <w:tr>
        <w:trPr>
          <w:trHeight w:val="584" w:hRule="exact"/>
        </w:trPr>
        <w:tc>
          <w:tcPr>
            <w:tcW w:w="746" w:type="dxa"/>
            <w:tcBorders>
              <w:top w:val="nil" w:sz="6" w:space="0" w:color="auto"/>
              <w:left w:val="nil" w:sz="6" w:space="0" w:color="auto"/>
              <w:bottom w:val="nil" w:sz="6" w:space="0" w:color="auto"/>
              <w:right w:val="nil" w:sz="6" w:space="0" w:color="auto"/>
            </w:tcBorders>
          </w:tcPr>
          <w:p>
            <w:pPr/>
          </w:p>
        </w:tc>
        <w:tc>
          <w:tcPr>
            <w:tcW w:w="57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493" w:right="0"/>
              <w:jc w:val="lef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454"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97"/>
              <w:jc w:val="right"/>
              <w:rPr>
                <w:rFonts w:ascii="Arial" w:hAnsi="Arial" w:cs="Arial" w:eastAsia="Arial" w:hint="default"/>
                <w:sz w:val="24"/>
                <w:szCs w:val="24"/>
              </w:rPr>
            </w:pPr>
            <w:r>
              <w:rPr>
                <w:rFonts w:ascii="Arial"/>
                <w:w w:val="95"/>
                <w:sz w:val="24"/>
              </w:rPr>
              <w:t>5%</w:t>
            </w:r>
            <w:r>
              <w:rPr>
                <w:rFonts w:ascii="Arial"/>
                <w:sz w:val="24"/>
              </w:rPr>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9"/>
              <w:jc w:val="right"/>
              <w:rPr>
                <w:rFonts w:ascii="Arial" w:hAnsi="Arial" w:cs="Arial" w:eastAsia="Arial" w:hint="default"/>
                <w:sz w:val="24"/>
                <w:szCs w:val="24"/>
              </w:rPr>
            </w:pPr>
            <w:r>
              <w:rPr>
                <w:rFonts w:ascii="Arial"/>
                <w:spacing w:val="-1"/>
                <w:sz w:val="24"/>
              </w:rPr>
              <w:t>5%</w:t>
            </w:r>
          </w:p>
        </w:tc>
      </w:tr>
      <w:tr>
        <w:trPr>
          <w:trHeight w:val="316"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84" w:lineRule="exact"/>
              <w:ind w:left="11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7"/>
              <w:jc w:val="right"/>
              <w:rPr>
                <w:rFonts w:ascii="Arial" w:hAnsi="Arial" w:cs="Arial" w:eastAsia="Arial" w:hint="default"/>
                <w:sz w:val="24"/>
                <w:szCs w:val="24"/>
              </w:rPr>
            </w:pPr>
            <w:r>
              <w:rPr>
                <w:rFonts w:ascii="Arial"/>
                <w:spacing w:val="-1"/>
                <w:sz w:val="24"/>
              </w:rPr>
              <w:t>10%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9"/>
              <w:jc w:val="right"/>
              <w:rPr>
                <w:rFonts w:ascii="Arial" w:hAnsi="Arial" w:cs="Arial" w:eastAsia="Arial" w:hint="default"/>
                <w:sz w:val="24"/>
                <w:szCs w:val="24"/>
              </w:rPr>
            </w:pPr>
            <w:r>
              <w:rPr>
                <w:rFonts w:ascii="Arial"/>
                <w:spacing w:val="-1"/>
                <w:sz w:val="24"/>
              </w:rPr>
              <w:t>10%</w:t>
            </w:r>
          </w:p>
        </w:tc>
      </w:tr>
      <w:tr>
        <w:trPr>
          <w:trHeight w:val="311"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80" w:lineRule="exact"/>
              <w:ind w:left="11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7"/>
              <w:jc w:val="right"/>
              <w:rPr>
                <w:rFonts w:ascii="Arial" w:hAnsi="Arial" w:cs="Arial" w:eastAsia="Arial" w:hint="default"/>
                <w:sz w:val="24"/>
                <w:szCs w:val="24"/>
              </w:rPr>
            </w:pPr>
            <w:r>
              <w:rPr>
                <w:rFonts w:ascii="Arial"/>
                <w:spacing w:val="-1"/>
                <w:sz w:val="24"/>
              </w:rPr>
              <w:t>20%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Arial" w:hAnsi="Arial" w:cs="Arial" w:eastAsia="Arial" w:hint="default"/>
                <w:sz w:val="24"/>
                <w:szCs w:val="24"/>
              </w:rPr>
            </w:pPr>
            <w:r>
              <w:rPr>
                <w:rFonts w:ascii="Arial"/>
                <w:spacing w:val="-1"/>
                <w:sz w:val="24"/>
              </w:rPr>
              <w:t>20%</w:t>
            </w:r>
          </w:p>
        </w:tc>
      </w:tr>
      <w:tr>
        <w:trPr>
          <w:trHeight w:val="311"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9" w:lineRule="exact"/>
              <w:ind w:left="11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7"/>
              <w:jc w:val="right"/>
              <w:rPr>
                <w:rFonts w:ascii="Arial" w:hAnsi="Arial" w:cs="Arial" w:eastAsia="Arial" w:hint="default"/>
                <w:sz w:val="24"/>
                <w:szCs w:val="24"/>
              </w:rPr>
            </w:pPr>
            <w:r>
              <w:rPr>
                <w:rFonts w:ascii="Arial"/>
                <w:spacing w:val="-1"/>
                <w:sz w:val="24"/>
              </w:rPr>
              <w:t>30%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Arial" w:hAnsi="Arial" w:cs="Arial" w:eastAsia="Arial" w:hint="default"/>
                <w:sz w:val="24"/>
                <w:szCs w:val="24"/>
              </w:rPr>
            </w:pPr>
            <w:r>
              <w:rPr>
                <w:rFonts w:ascii="Arial"/>
                <w:spacing w:val="-1"/>
                <w:sz w:val="24"/>
              </w:rPr>
              <w:t>30%</w:t>
            </w:r>
          </w:p>
        </w:tc>
      </w:tr>
      <w:tr>
        <w:trPr>
          <w:trHeight w:val="311"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9" w:lineRule="exact"/>
              <w:ind w:left="119"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7"/>
              <w:jc w:val="right"/>
              <w:rPr>
                <w:rFonts w:ascii="Arial" w:hAnsi="Arial" w:cs="Arial" w:eastAsia="Arial" w:hint="default"/>
                <w:sz w:val="24"/>
                <w:szCs w:val="24"/>
              </w:rPr>
            </w:pPr>
            <w:r>
              <w:rPr>
                <w:rFonts w:ascii="Arial"/>
                <w:spacing w:val="-1"/>
                <w:sz w:val="24"/>
              </w:rPr>
              <w:t>60%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Arial" w:hAnsi="Arial" w:cs="Arial" w:eastAsia="Arial" w:hint="default"/>
                <w:sz w:val="24"/>
                <w:szCs w:val="24"/>
              </w:rPr>
            </w:pPr>
            <w:r>
              <w:rPr>
                <w:rFonts w:ascii="Arial"/>
                <w:spacing w:val="-1"/>
                <w:sz w:val="24"/>
              </w:rPr>
              <w:t>60%</w:t>
            </w:r>
          </w:p>
        </w:tc>
      </w:tr>
      <w:tr>
        <w:trPr>
          <w:trHeight w:val="280"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80" w:lineRule="exact"/>
              <w:ind w:left="119"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8"/>
              <w:jc w:val="right"/>
              <w:rPr>
                <w:rFonts w:ascii="Arial" w:hAnsi="Arial" w:cs="Arial" w:eastAsia="Arial" w:hint="default"/>
                <w:sz w:val="24"/>
                <w:szCs w:val="24"/>
              </w:rPr>
            </w:pPr>
            <w:r>
              <w:rPr>
                <w:rFonts w:ascii="Arial"/>
                <w:spacing w:val="-1"/>
                <w:sz w:val="24"/>
              </w:rPr>
              <w:t>100%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00"/>
              <w:jc w:val="right"/>
              <w:rPr>
                <w:rFonts w:ascii="Arial" w:hAnsi="Arial" w:cs="Arial" w:eastAsia="Arial" w:hint="default"/>
                <w:sz w:val="24"/>
                <w:szCs w:val="24"/>
              </w:rPr>
            </w:pPr>
            <w:r>
              <w:rPr>
                <w:rFonts w:ascii="Arial"/>
                <w:spacing w:val="-1"/>
                <w:sz w:val="24"/>
              </w:rPr>
              <w:t>100%</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686"/>
        <w:gridCol w:w="8457"/>
      </w:tblGrid>
      <w:tr>
        <w:trPr>
          <w:trHeight w:val="430"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5" w:lineRule="exact"/>
              <w:ind w:right="4"/>
              <w:jc w:val="center"/>
              <w:rPr>
                <w:rFonts w:ascii="Arial" w:hAnsi="Arial" w:cs="Arial" w:eastAsia="Arial" w:hint="default"/>
                <w:sz w:val="24"/>
                <w:szCs w:val="24"/>
              </w:rPr>
            </w:pPr>
            <w:r>
              <w:rPr>
                <w:rFonts w:ascii="Arial"/>
                <w:sz w:val="24"/>
              </w:rPr>
              <w:t>(c)</w:t>
            </w:r>
          </w:p>
        </w:tc>
        <w:tc>
          <w:tcPr>
            <w:tcW w:w="8457" w:type="dxa"/>
            <w:tcBorders>
              <w:top w:val="nil" w:sz="6" w:space="0" w:color="auto"/>
              <w:left w:val="nil" w:sz="6" w:space="0" w:color="auto"/>
              <w:bottom w:val="nil" w:sz="6" w:space="0" w:color="auto"/>
              <w:right w:val="nil" w:sz="6" w:space="0" w:color="auto"/>
            </w:tcBorders>
          </w:tcPr>
          <w:p>
            <w:pPr>
              <w:pStyle w:val="TableParagraph"/>
              <w:spacing w:line="247" w:lineRule="exact"/>
              <w:ind w:left="192" w:right="0"/>
              <w:jc w:val="left"/>
              <w:rPr>
                <w:rFonts w:ascii="宋体" w:hAnsi="宋体" w:cs="宋体" w:eastAsia="宋体" w:hint="default"/>
                <w:sz w:val="24"/>
                <w:szCs w:val="24"/>
              </w:rPr>
            </w:pPr>
            <w:r>
              <w:rPr>
                <w:rFonts w:ascii="宋体" w:hAnsi="宋体" w:cs="宋体" w:eastAsia="宋体" w:hint="default"/>
                <w:sz w:val="24"/>
                <w:szCs w:val="24"/>
              </w:rPr>
              <w:t>单项金额虽不重大但单项计提坏账准备的应收款项：</w:t>
            </w:r>
          </w:p>
        </w:tc>
      </w:tr>
      <w:tr>
        <w:trPr>
          <w:trHeight w:val="916" w:hRule="exact"/>
        </w:trPr>
        <w:tc>
          <w:tcPr>
            <w:tcW w:w="686"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310" w:lineRule="exact" w:before="140"/>
              <w:ind w:left="192" w:right="198"/>
              <w:jc w:val="left"/>
              <w:rPr>
                <w:rFonts w:ascii="宋体" w:hAnsi="宋体" w:cs="宋体" w:eastAsia="宋体" w:hint="default"/>
                <w:sz w:val="24"/>
                <w:szCs w:val="24"/>
              </w:rPr>
            </w:pPr>
            <w:r>
              <w:rPr>
                <w:rFonts w:ascii="宋体" w:hAnsi="宋体" w:cs="宋体" w:eastAsia="宋体" w:hint="default"/>
                <w:spacing w:val="-3"/>
                <w:sz w:val="24"/>
                <w:szCs w:val="24"/>
              </w:rPr>
              <w:t>单项计提坏账准备的理由为：存在客观证据表明本集团将无法按应收款项的原</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有条款收回款项。</w:t>
            </w:r>
          </w:p>
        </w:tc>
      </w:tr>
      <w:tr>
        <w:trPr>
          <w:trHeight w:val="912" w:hRule="exact"/>
        </w:trPr>
        <w:tc>
          <w:tcPr>
            <w:tcW w:w="686"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312" w:lineRule="exact" w:before="139"/>
              <w:ind w:left="192" w:right="198"/>
              <w:jc w:val="left"/>
              <w:rPr>
                <w:rFonts w:ascii="宋体" w:hAnsi="宋体" w:cs="宋体" w:eastAsia="宋体" w:hint="default"/>
                <w:sz w:val="24"/>
                <w:szCs w:val="24"/>
              </w:rPr>
            </w:pPr>
            <w:r>
              <w:rPr>
                <w:rFonts w:ascii="宋体" w:hAnsi="宋体" w:cs="宋体" w:eastAsia="宋体" w:hint="default"/>
                <w:spacing w:val="-3"/>
                <w:sz w:val="24"/>
                <w:szCs w:val="24"/>
              </w:rPr>
              <w:t>坏账准备的计提方法为：根据应收款项的预计未来现金流量现值低于其账面价</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值的差额进行计提。</w:t>
            </w:r>
          </w:p>
        </w:tc>
      </w:tr>
      <w:tr>
        <w:trPr>
          <w:trHeight w:val="1983"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7" w:right="0"/>
              <w:jc w:val="center"/>
              <w:rPr>
                <w:rFonts w:ascii="Arial" w:hAnsi="Arial" w:cs="Arial" w:eastAsia="Arial" w:hint="default"/>
                <w:sz w:val="24"/>
                <w:szCs w:val="24"/>
              </w:rPr>
            </w:pPr>
            <w:r>
              <w:rPr>
                <w:rFonts w:ascii="Arial"/>
                <w:sz w:val="24"/>
              </w:rPr>
              <w:t>(d)</w:t>
            </w: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15"/>
              <w:ind w:left="192" w:right="198"/>
              <w:jc w:val="both"/>
              <w:rPr>
                <w:rFonts w:ascii="宋体" w:hAnsi="宋体" w:cs="宋体" w:eastAsia="宋体" w:hint="default"/>
                <w:sz w:val="24"/>
                <w:szCs w:val="24"/>
              </w:rPr>
            </w:pPr>
            <w:r>
              <w:rPr>
                <w:rFonts w:ascii="宋体" w:hAnsi="宋体" w:cs="宋体" w:eastAsia="宋体" w:hint="default"/>
                <w:spacing w:val="-3"/>
                <w:sz w:val="24"/>
                <w:szCs w:val="24"/>
              </w:rPr>
              <w:t>对于发放贷款和垫款，对于单项金额重大的发放贷款和垫款余额，单独进行减</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值测试。当存在客观证据表明本集团将无法按发放贷款和垫款的原有条款收回</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款项时，计提贷款损失准备。对于单项金额不重大的发放贷款和垫款，与经单</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独测试后未减值的发放贷款和垫款一起按信用风险特征划分为若干组合，根据</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以前年度与之具有类似信用风险特征的发放贷款和垫款组合的实际损失率为</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基础，结合现时情况确定应计提的贷款损失准备。</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64"/>
        <w:gridCol w:w="8379"/>
      </w:tblGrid>
      <w:tr>
        <w:trPr>
          <w:trHeight w:val="416"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79" w:type="dxa"/>
            <w:tcBorders>
              <w:top w:val="nil" w:sz="6" w:space="0" w:color="auto"/>
              <w:left w:val="nil" w:sz="6" w:space="0" w:color="auto"/>
              <w:bottom w:val="nil" w:sz="6" w:space="0" w:color="auto"/>
              <w:right w:val="nil" w:sz="6" w:space="0" w:color="auto"/>
            </w:tcBorders>
          </w:tcPr>
          <w:p>
            <w:pPr>
              <w:pStyle w:val="TableParagraph"/>
              <w:spacing w:line="257" w:lineRule="exact"/>
              <w:ind w:left="13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(10)</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7" w:right="0"/>
              <w:jc w:val="left"/>
              <w:rPr>
                <w:rFonts w:ascii="Arial" w:hAnsi="Arial" w:cs="Arial" w:eastAsia="Arial" w:hint="default"/>
                <w:sz w:val="24"/>
                <w:szCs w:val="24"/>
              </w:rPr>
            </w:pPr>
            <w:r>
              <w:rPr>
                <w:rFonts w:ascii="黑体" w:hAnsi="黑体" w:cs="黑体" w:eastAsia="黑体" w:hint="default"/>
                <w:sz w:val="24"/>
                <w:szCs w:val="24"/>
              </w:rPr>
              <w:t>应收款项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893"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(e)</w:t>
            </w:r>
          </w:p>
        </w:tc>
        <w:tc>
          <w:tcPr>
            <w:tcW w:w="8379" w:type="dxa"/>
            <w:tcBorders>
              <w:top w:val="nil" w:sz="6" w:space="0" w:color="auto"/>
              <w:left w:val="nil" w:sz="6" w:space="0" w:color="auto"/>
              <w:bottom w:val="nil" w:sz="6" w:space="0" w:color="auto"/>
              <w:right w:val="nil" w:sz="6" w:space="0" w:color="auto"/>
            </w:tcBorders>
          </w:tcPr>
          <w:p>
            <w:pPr>
              <w:pStyle w:val="TableParagraph"/>
              <w:spacing w:line="310" w:lineRule="exact" w:before="130"/>
              <w:ind w:left="137" w:right="198"/>
              <w:jc w:val="left"/>
              <w:rPr>
                <w:rFonts w:ascii="宋体" w:hAnsi="宋体" w:cs="宋体" w:eastAsia="宋体" w:hint="default"/>
                <w:sz w:val="24"/>
                <w:szCs w:val="24"/>
              </w:rPr>
            </w:pPr>
            <w:r>
              <w:rPr>
                <w:rFonts w:ascii="宋体" w:hAnsi="宋体" w:cs="宋体" w:eastAsia="宋体" w:hint="default"/>
                <w:spacing w:val="-4"/>
                <w:sz w:val="24"/>
                <w:szCs w:val="24"/>
              </w:rPr>
              <w:t>本集团向金融机构以不附追索权方式转让应收款项的，按交易款项扣除已转销</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应收账款的账面价值和相关税费后的差额计入当期损益。</w:t>
            </w:r>
          </w:p>
        </w:tc>
      </w:tr>
      <w:tr>
        <w:trPr>
          <w:trHeight w:val="587"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pacing w:val="-5"/>
                <w:sz w:val="24"/>
              </w:rPr>
              <w:t>(11)</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黑体" w:hAnsi="黑体" w:cs="黑体" w:eastAsia="黑体" w:hint="default"/>
                <w:sz w:val="24"/>
                <w:szCs w:val="24"/>
              </w:rPr>
            </w:pPr>
            <w:r>
              <w:rPr>
                <w:rFonts w:ascii="黑体" w:hAnsi="黑体" w:cs="黑体" w:eastAsia="黑体" w:hint="default"/>
                <w:sz w:val="24"/>
                <w:szCs w:val="24"/>
              </w:rPr>
              <w:t>存货</w:t>
            </w:r>
          </w:p>
        </w:tc>
      </w:tr>
      <w:tr>
        <w:trPr>
          <w:trHeight w:val="591"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分类</w:t>
            </w:r>
          </w:p>
        </w:tc>
      </w:tr>
      <w:tr>
        <w:trPr>
          <w:trHeight w:val="1206"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7" w:right="215"/>
              <w:jc w:val="both"/>
              <w:rPr>
                <w:rFonts w:ascii="宋体" w:hAnsi="宋体" w:cs="宋体" w:eastAsia="宋体" w:hint="default"/>
                <w:sz w:val="24"/>
                <w:szCs w:val="24"/>
              </w:rPr>
            </w:pPr>
            <w:r>
              <w:rPr>
                <w:rFonts w:ascii="宋体" w:hAnsi="宋体" w:cs="宋体" w:eastAsia="宋体" w:hint="default"/>
                <w:spacing w:val="2"/>
                <w:sz w:val="24"/>
                <w:szCs w:val="24"/>
              </w:rPr>
              <w:t>存货包括库存商品、安装维修用备件、房地产开发成本和开发产品，按成本</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2"/>
                <w:sz w:val="24"/>
                <w:szCs w:val="24"/>
              </w:rPr>
              <w:t>与可变现净值孰低计量。房地产开发成本是指尚未建成、以出售为目的的物</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业；开发产品是指已建成、待出售的物业。</w:t>
            </w:r>
          </w:p>
        </w:tc>
      </w:tr>
      <w:tr>
        <w:trPr>
          <w:trHeight w:val="596"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发出存货的计价方法</w:t>
            </w:r>
          </w:p>
        </w:tc>
      </w:tr>
      <w:tr>
        <w:trPr>
          <w:trHeight w:val="1523"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37" w:right="227"/>
              <w:jc w:val="both"/>
              <w:rPr>
                <w:rFonts w:ascii="宋体" w:hAnsi="宋体" w:cs="宋体" w:eastAsia="宋体" w:hint="default"/>
                <w:sz w:val="24"/>
                <w:szCs w:val="24"/>
              </w:rPr>
            </w:pPr>
            <w:r>
              <w:rPr>
                <w:rFonts w:ascii="宋体" w:hAnsi="宋体" w:cs="宋体" w:eastAsia="宋体" w:hint="default"/>
                <w:spacing w:val="2"/>
                <w:sz w:val="24"/>
                <w:szCs w:val="24"/>
              </w:rPr>
              <w:t>库存商品销售时的成本按先进先出法核算。房地产开发成本和开发产品的成</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本包括与房地产开发相关的土地成本、建筑成本、符合资本化条件的借款费</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用、其他直接和间接开发费用等。开发成本于完工后按实际成本结转为开发</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产品；开发产品结转成本时按个别认定法核算。</w:t>
            </w:r>
          </w:p>
        </w:tc>
      </w:tr>
      <w:tr>
        <w:trPr>
          <w:trHeight w:val="596"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(c)</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存货可变现净值的确定依据及存货跌价准备的计提方法</w:t>
            </w:r>
          </w:p>
        </w:tc>
      </w:tr>
      <w:tr>
        <w:trPr>
          <w:trHeight w:val="1211"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37" w:right="198"/>
              <w:jc w:val="both"/>
              <w:rPr>
                <w:rFonts w:ascii="宋体" w:hAnsi="宋体" w:cs="宋体" w:eastAsia="宋体" w:hint="default"/>
                <w:sz w:val="24"/>
                <w:szCs w:val="24"/>
              </w:rPr>
            </w:pPr>
            <w:r>
              <w:rPr>
                <w:rFonts w:ascii="宋体" w:hAnsi="宋体" w:cs="宋体" w:eastAsia="宋体" w:hint="default"/>
                <w:spacing w:val="-4"/>
                <w:sz w:val="24"/>
                <w:szCs w:val="24"/>
              </w:rPr>
              <w:t>存货跌价准备按存货成本高于其可变现净值的差额计提。可变现净值按日常活</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4"/>
                <w:sz w:val="24"/>
                <w:szCs w:val="24"/>
              </w:rPr>
              <w:t>动中，以存货的估计售价减去至完工时估计将要发生的成本、估计的销售费用</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以及相关税费后的金额确定。</w:t>
            </w:r>
          </w:p>
        </w:tc>
      </w:tr>
      <w:tr>
        <w:trPr>
          <w:trHeight w:val="591"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(d)</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安装维修用备件的摊销方法</w:t>
            </w:r>
          </w:p>
        </w:tc>
      </w:tr>
      <w:tr>
        <w:trPr>
          <w:trHeight w:val="584"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7" w:right="0"/>
              <w:jc w:val="left"/>
              <w:rPr>
                <w:rFonts w:ascii="宋体" w:hAnsi="宋体" w:cs="宋体" w:eastAsia="宋体" w:hint="default"/>
                <w:sz w:val="24"/>
                <w:szCs w:val="24"/>
              </w:rPr>
            </w:pPr>
            <w:r>
              <w:rPr>
                <w:rFonts w:ascii="宋体" w:hAnsi="宋体" w:cs="宋体" w:eastAsia="宋体" w:hint="default"/>
                <w:sz w:val="24"/>
                <w:szCs w:val="24"/>
              </w:rPr>
              <w:t>安装维修用备件采用一次转销法进行摊销。</w:t>
            </w:r>
          </w:p>
        </w:tc>
      </w:tr>
      <w:tr>
        <w:trPr>
          <w:trHeight w:val="587"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(e)</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本集团的存货盘存制度采用永续盘存制。</w:t>
            </w:r>
          </w:p>
        </w:tc>
      </w:tr>
      <w:tr>
        <w:trPr>
          <w:trHeight w:val="591"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(12)</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黑体" w:hAnsi="黑体" w:cs="黑体" w:eastAsia="黑体" w:hint="default"/>
                <w:sz w:val="24"/>
                <w:szCs w:val="24"/>
              </w:rPr>
            </w:pPr>
            <w:r>
              <w:rPr>
                <w:rFonts w:ascii="黑体" w:hAnsi="黑体" w:cs="黑体" w:eastAsia="黑体" w:hint="default"/>
                <w:sz w:val="24"/>
                <w:szCs w:val="24"/>
              </w:rPr>
              <w:t>长期股权投资</w:t>
            </w:r>
          </w:p>
        </w:tc>
      </w:tr>
      <w:tr>
        <w:trPr>
          <w:trHeight w:val="898"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37" w:right="215"/>
              <w:jc w:val="left"/>
              <w:rPr>
                <w:rFonts w:ascii="宋体" w:hAnsi="宋体" w:cs="宋体" w:eastAsia="宋体" w:hint="default"/>
                <w:sz w:val="24"/>
                <w:szCs w:val="24"/>
              </w:rPr>
            </w:pPr>
            <w:r>
              <w:rPr>
                <w:rFonts w:ascii="宋体" w:hAnsi="宋体" w:cs="宋体" w:eastAsia="宋体" w:hint="default"/>
                <w:spacing w:val="2"/>
                <w:sz w:val="24"/>
                <w:szCs w:val="24"/>
              </w:rPr>
              <w:t>长期股权投资包括：本公司对子公司的长期股权投资；本集团对合营企业和</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联营企业的长期股权投资。</w:t>
            </w:r>
          </w:p>
        </w:tc>
      </w:tr>
      <w:tr>
        <w:trPr>
          <w:trHeight w:val="1348"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7" w:right="220"/>
              <w:jc w:val="both"/>
              <w:rPr>
                <w:rFonts w:ascii="宋体" w:hAnsi="宋体" w:cs="宋体" w:eastAsia="宋体" w:hint="default"/>
                <w:sz w:val="24"/>
                <w:szCs w:val="24"/>
              </w:rPr>
            </w:pPr>
            <w:r>
              <w:rPr>
                <w:rFonts w:ascii="宋体" w:hAnsi="宋体" w:cs="宋体" w:eastAsia="宋体" w:hint="default"/>
                <w:spacing w:val="2"/>
                <w:sz w:val="24"/>
                <w:szCs w:val="24"/>
              </w:rPr>
              <w:t>子公司为本公司能够对其实施控制的被投资单位。合营企业为本集团通过单</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独主体达成，能够与其他方实施共同控制，且基于法律形式、合同条款及其</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他事实与情况仅对其净资产享有权利的合营安排。联营企业为本集团能够对</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其财务和经营决策具有重大影响的被投资单位。</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775"/>
        <w:gridCol w:w="3389"/>
      </w:tblGrid>
      <w:tr>
        <w:trPr>
          <w:trHeight w:val="49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389"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08"/>
        <w:gridCol w:w="8396"/>
      </w:tblGrid>
      <w:tr>
        <w:trPr>
          <w:trHeight w:val="802" w:hRule="exact"/>
        </w:trPr>
        <w:tc>
          <w:tcPr>
            <w:tcW w:w="708" w:type="dxa"/>
            <w:tcBorders>
              <w:top w:val="nil" w:sz="6" w:space="0" w:color="auto"/>
              <w:left w:val="nil" w:sz="6" w:space="0" w:color="auto"/>
              <w:bottom w:val="nil" w:sz="6" w:space="0" w:color="auto"/>
              <w:right w:val="nil" w:sz="6" w:space="0" w:color="auto"/>
            </w:tcBorders>
          </w:tcPr>
          <w:p>
            <w:pPr/>
          </w:p>
        </w:tc>
        <w:tc>
          <w:tcPr>
            <w:tcW w:w="8396" w:type="dxa"/>
            <w:tcBorders>
              <w:top w:val="nil" w:sz="6" w:space="0" w:color="auto"/>
              <w:left w:val="nil" w:sz="6" w:space="0" w:color="auto"/>
              <w:bottom w:val="nil" w:sz="6" w:space="0" w:color="auto"/>
              <w:right w:val="nil" w:sz="6" w:space="0" w:color="auto"/>
            </w:tcBorders>
          </w:tcPr>
          <w:p>
            <w:pPr>
              <w:pStyle w:val="TableParagraph"/>
              <w:spacing w:line="239" w:lineRule="exact"/>
              <w:ind w:left="214" w:right="0"/>
              <w:jc w:val="left"/>
              <w:rPr>
                <w:rFonts w:ascii="宋体" w:hAnsi="宋体" w:cs="宋体" w:eastAsia="宋体" w:hint="default"/>
                <w:sz w:val="24"/>
                <w:szCs w:val="24"/>
              </w:rPr>
            </w:pPr>
            <w:r>
              <w:rPr>
                <w:rFonts w:ascii="宋体" w:hAnsi="宋体" w:cs="宋体" w:eastAsia="宋体" w:hint="default"/>
                <w:sz w:val="24"/>
                <w:szCs w:val="24"/>
              </w:rPr>
              <w:t>对子公司的投资，在公司财务报表中按照成本法确定的金额列示，在编制合</w:t>
            </w:r>
          </w:p>
          <w:p>
            <w:pPr>
              <w:pStyle w:val="TableParagraph"/>
              <w:spacing w:line="313" w:lineRule="exact"/>
              <w:ind w:left="214" w:right="0"/>
              <w:jc w:val="left"/>
              <w:rPr>
                <w:rFonts w:ascii="宋体" w:hAnsi="宋体" w:cs="宋体" w:eastAsia="宋体" w:hint="default"/>
                <w:sz w:val="24"/>
                <w:szCs w:val="24"/>
              </w:rPr>
            </w:pPr>
            <w:r>
              <w:rPr>
                <w:rFonts w:ascii="宋体" w:hAnsi="宋体" w:cs="宋体" w:eastAsia="宋体" w:hint="default"/>
                <w:sz w:val="24"/>
                <w:szCs w:val="24"/>
              </w:rPr>
              <w:t>并财务报表时按权益法调整后进行合并；对联营企业投资采用权益法核算。</w:t>
            </w:r>
          </w:p>
        </w:tc>
      </w:tr>
      <w:tr>
        <w:trPr>
          <w:trHeight w:val="75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4" w:right="0"/>
              <w:jc w:val="left"/>
              <w:rPr>
                <w:rFonts w:ascii="宋体" w:hAnsi="宋体" w:cs="宋体" w:eastAsia="宋体" w:hint="default"/>
                <w:sz w:val="24"/>
                <w:szCs w:val="24"/>
              </w:rPr>
            </w:pPr>
            <w:r>
              <w:rPr>
                <w:rFonts w:ascii="宋体" w:hAnsi="宋体" w:cs="宋体" w:eastAsia="宋体" w:hint="default"/>
                <w:sz w:val="24"/>
                <w:szCs w:val="24"/>
              </w:rPr>
              <w:t>投资成本确定</w:t>
            </w:r>
          </w:p>
        </w:tc>
      </w:tr>
      <w:tr>
        <w:trPr>
          <w:trHeight w:val="2717" w:hRule="exact"/>
        </w:trPr>
        <w:tc>
          <w:tcPr>
            <w:tcW w:w="708" w:type="dxa"/>
            <w:tcBorders>
              <w:top w:val="nil" w:sz="6" w:space="0" w:color="auto"/>
              <w:left w:val="nil" w:sz="6" w:space="0" w:color="auto"/>
              <w:bottom w:val="nil" w:sz="6" w:space="0" w:color="auto"/>
              <w:right w:val="nil" w:sz="6" w:space="0" w:color="auto"/>
            </w:tcBorders>
          </w:tcPr>
          <w:p>
            <w:pPr/>
          </w:p>
        </w:tc>
        <w:tc>
          <w:tcPr>
            <w:tcW w:w="8396"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4" w:right="198"/>
              <w:jc w:val="both"/>
              <w:rPr>
                <w:rFonts w:ascii="宋体" w:hAnsi="宋体" w:cs="宋体" w:eastAsia="宋体" w:hint="default"/>
                <w:sz w:val="24"/>
                <w:szCs w:val="24"/>
              </w:rPr>
            </w:pPr>
            <w:r>
              <w:rPr>
                <w:rFonts w:ascii="宋体" w:hAnsi="宋体" w:cs="宋体" w:eastAsia="宋体" w:hint="default"/>
                <w:sz w:val="24"/>
                <w:szCs w:val="24"/>
              </w:rPr>
              <w:t>对于企业合并形成的长期股权投资：同一控制下企业合并取得的长期股权投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资，在合并日按照取得被合并方所有者权益账面价值的份额作为投资成本；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非同一控制下企业合并取得的长期股权投资，按照合并成本作为长期股权投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资的投资成本。</w:t>
            </w: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37" w:lineRule="auto"/>
              <w:ind w:left="214" w:right="198"/>
              <w:jc w:val="both"/>
              <w:rPr>
                <w:rFonts w:ascii="宋体" w:hAnsi="宋体" w:cs="宋体" w:eastAsia="宋体" w:hint="default"/>
                <w:sz w:val="24"/>
                <w:szCs w:val="24"/>
              </w:rPr>
            </w:pPr>
            <w:r>
              <w:rPr>
                <w:rFonts w:ascii="宋体" w:hAnsi="宋体" w:cs="宋体" w:eastAsia="宋体" w:hint="default"/>
                <w:sz w:val="24"/>
                <w:szCs w:val="24"/>
              </w:rPr>
              <w:t>对于以企业合并以外的其他方式取得的长期股权投资：支付现金取得的长期</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股权投资，按照实际支付的购买价款作为初始投资成本；发行权益性证券取</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得的长期股权投资，以发行权益性证券的公允价值作为初始投资成本。</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08"/>
        <w:gridCol w:w="8397"/>
      </w:tblGrid>
      <w:tr>
        <w:trPr>
          <w:trHeight w:val="518"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8397" w:type="dxa"/>
            <w:tcBorders>
              <w:top w:val="nil" w:sz="6" w:space="0" w:color="auto"/>
              <w:left w:val="nil" w:sz="6" w:space="0" w:color="auto"/>
              <w:bottom w:val="nil" w:sz="6" w:space="0" w:color="auto"/>
              <w:right w:val="nil" w:sz="6" w:space="0" w:color="auto"/>
            </w:tcBorders>
          </w:tcPr>
          <w:p>
            <w:pPr>
              <w:pStyle w:val="TableParagraph"/>
              <w:spacing w:line="247" w:lineRule="exact"/>
              <w:ind w:left="215" w:right="0"/>
              <w:jc w:val="left"/>
              <w:rPr>
                <w:rFonts w:ascii="宋体" w:hAnsi="宋体" w:cs="宋体" w:eastAsia="宋体" w:hint="default"/>
                <w:sz w:val="24"/>
                <w:szCs w:val="24"/>
              </w:rPr>
            </w:pPr>
            <w:r>
              <w:rPr>
                <w:rFonts w:ascii="宋体" w:hAnsi="宋体" w:cs="宋体" w:eastAsia="宋体" w:hint="default"/>
                <w:sz w:val="24"/>
                <w:szCs w:val="24"/>
              </w:rPr>
              <w:t>后续计量及损益确认方法</w:t>
            </w:r>
          </w:p>
        </w:tc>
      </w:tr>
      <w:tr>
        <w:trPr>
          <w:trHeight w:val="1094" w:hRule="exact"/>
        </w:trPr>
        <w:tc>
          <w:tcPr>
            <w:tcW w:w="708" w:type="dxa"/>
            <w:tcBorders>
              <w:top w:val="nil" w:sz="6" w:space="0" w:color="auto"/>
              <w:left w:val="nil" w:sz="6" w:space="0" w:color="auto"/>
              <w:bottom w:val="nil" w:sz="6" w:space="0" w:color="auto"/>
              <w:right w:val="nil" w:sz="6" w:space="0" w:color="auto"/>
            </w:tcBorders>
          </w:tcPr>
          <w:p>
            <w:pPr/>
          </w:p>
        </w:tc>
        <w:tc>
          <w:tcPr>
            <w:tcW w:w="83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2" w:lineRule="exact"/>
              <w:ind w:left="215" w:right="198"/>
              <w:jc w:val="left"/>
              <w:rPr>
                <w:rFonts w:ascii="宋体" w:hAnsi="宋体" w:cs="宋体" w:eastAsia="宋体" w:hint="default"/>
                <w:sz w:val="24"/>
                <w:szCs w:val="24"/>
              </w:rPr>
            </w:pPr>
            <w:r>
              <w:rPr>
                <w:rFonts w:ascii="宋体" w:hAnsi="宋体" w:cs="宋体" w:eastAsia="宋体" w:hint="default"/>
                <w:sz w:val="24"/>
                <w:szCs w:val="24"/>
              </w:rPr>
              <w:t>采用成本法核算的长期股权投资，按照初始投资成本计量，被投资单位宣告</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分派的现金股利或利润，确认为投资收益计入当期损益。</w:t>
            </w:r>
          </w:p>
        </w:tc>
      </w:tr>
      <w:tr>
        <w:trPr>
          <w:trHeight w:val="1445" w:hRule="exact"/>
        </w:trPr>
        <w:tc>
          <w:tcPr>
            <w:tcW w:w="708" w:type="dxa"/>
            <w:tcBorders>
              <w:top w:val="nil" w:sz="6" w:space="0" w:color="auto"/>
              <w:left w:val="nil" w:sz="6" w:space="0" w:color="auto"/>
              <w:bottom w:val="nil" w:sz="6" w:space="0" w:color="auto"/>
              <w:right w:val="nil" w:sz="6" w:space="0" w:color="auto"/>
            </w:tcBorders>
          </w:tcPr>
          <w:p>
            <w:pPr/>
          </w:p>
        </w:tc>
        <w:tc>
          <w:tcPr>
            <w:tcW w:w="839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215" w:right="198"/>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采用权益法核算的长期股权投资，初始投资成本大于投资时应享有被投资单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位可辨认净资产公允价值份额的，以初始投资成本作为长期股权投资成本；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初始投资成本小于投资时应享有被投资单位可辨认净资产公允价值份额的，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其差额计入当期损益，并相应调增长期股权投资成本。</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5"/>
        <w:gridCol w:w="8448"/>
      </w:tblGrid>
      <w:tr>
        <w:trPr>
          <w:trHeight w:val="49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48"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宋体" w:hAnsi="宋体" w:cs="宋体" w:eastAsia="宋体" w:hint="default"/>
                <w:sz w:val="24"/>
                <w:szCs w:val="24"/>
              </w:rPr>
              <w:t>后续计量及损益确认方法</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3850"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237" w:lineRule="auto" w:before="175"/>
              <w:ind w:left="147" w:right="198"/>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采用权益法核算的长期股权投资，本集团按应享有或应分担的被投资单位的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净损益份额确认当期投资损益。确认被投资单位发生的净亏损，以长期股权</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投资的账面价值以及其他实质上构成对被投资单位净投资的长期权益减记至</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零为限，但本集团负有承担额外损失义务且符合或有事项准则所规定的预计</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负债确认条件的，继续确认投资损失并作为预计负债核算。被投资单位除净</w:t>
            </w:r>
            <w:r>
              <w:rPr>
                <w:rFonts w:ascii="宋体" w:hAnsi="宋体" w:cs="宋体" w:eastAsia="宋体" w:hint="default"/>
                <w:spacing w:val="-74"/>
                <w:sz w:val="24"/>
                <w:szCs w:val="24"/>
              </w:rPr>
              <w:t> </w:t>
            </w:r>
            <w:r>
              <w:rPr>
                <w:rFonts w:ascii="宋体" w:hAnsi="宋体" w:cs="宋体" w:eastAsia="宋体" w:hint="default"/>
                <w:spacing w:val="-74"/>
                <w:sz w:val="24"/>
                <w:szCs w:val="24"/>
              </w:rPr>
            </w:r>
            <w:r>
              <w:rPr>
                <w:rFonts w:ascii="宋体" w:hAnsi="宋体" w:cs="宋体" w:eastAsia="宋体" w:hint="default"/>
                <w:sz w:val="24"/>
                <w:szCs w:val="24"/>
              </w:rPr>
              <w:t>损益、其他综合收益和利润分配以外所有者权益的其他变动，调整长期股权</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投资的账面价值并计入资本公积。被投资单位分派的利润或现金股利于宣告</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分派时按照本集团应分得的部分，相应减少长期股权投资的账面价值。本集</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团与被投资单位之间未实现的内部交易损益按照持股比例计算归属于本集团</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的部分，予以抵销，在此基础上确认投资损益。本集团与被投资单位发生的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2"/>
                <w:sz w:val="24"/>
                <w:szCs w:val="24"/>
              </w:rPr>
              <w:t>内部交易损失，其中属于资产减值损失的部分，相应的未实现损失不予抵销。</w:t>
            </w:r>
          </w:p>
        </w:tc>
      </w:tr>
      <w:tr>
        <w:trPr>
          <w:trHeight w:val="75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7" w:right="0"/>
              <w:jc w:val="left"/>
              <w:rPr>
                <w:rFonts w:ascii="宋体" w:hAnsi="宋体" w:cs="宋体" w:eastAsia="宋体" w:hint="default"/>
                <w:sz w:val="24"/>
                <w:szCs w:val="24"/>
              </w:rPr>
            </w:pPr>
            <w:r>
              <w:rPr>
                <w:rFonts w:ascii="宋体" w:hAnsi="宋体" w:cs="宋体" w:eastAsia="宋体" w:hint="default"/>
                <w:sz w:val="24"/>
                <w:szCs w:val="24"/>
              </w:rPr>
              <w:t>确定对被投资单位具有控制、共同控制、重大影响的依据</w:t>
            </w:r>
          </w:p>
        </w:tc>
      </w:tr>
      <w:tr>
        <w:trPr>
          <w:trHeight w:val="1058"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147" w:right="316"/>
              <w:jc w:val="left"/>
              <w:rPr>
                <w:rFonts w:ascii="宋体" w:hAnsi="宋体" w:cs="宋体" w:eastAsia="宋体" w:hint="default"/>
                <w:sz w:val="24"/>
                <w:szCs w:val="24"/>
              </w:rPr>
            </w:pPr>
            <w:r>
              <w:rPr>
                <w:rFonts w:ascii="宋体" w:hAnsi="宋体" w:cs="宋体" w:eastAsia="宋体" w:hint="default"/>
                <w:sz w:val="24"/>
                <w:szCs w:val="24"/>
              </w:rPr>
              <w:t>控制是指拥有对被投资单位的权力，通过参与被投资单位的相关活动而享有</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可变回报，并且有能力运用对被投资单位的权力影响其回报金额。</w:t>
            </w:r>
          </w:p>
        </w:tc>
      </w:tr>
      <w:tr>
        <w:trPr>
          <w:trHeight w:val="1058"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7" w:right="316"/>
              <w:jc w:val="left"/>
              <w:rPr>
                <w:rFonts w:ascii="宋体" w:hAnsi="宋体" w:cs="宋体" w:eastAsia="宋体" w:hint="default"/>
                <w:sz w:val="24"/>
                <w:szCs w:val="24"/>
              </w:rPr>
            </w:pPr>
            <w:r>
              <w:rPr>
                <w:rFonts w:ascii="宋体" w:hAnsi="宋体" w:cs="宋体" w:eastAsia="宋体" w:hint="default"/>
                <w:sz w:val="24"/>
                <w:szCs w:val="24"/>
              </w:rPr>
              <w:t>共同控制是指按照相关约定对某项安排所共有的控制，并且该安排的相关活</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动必须经过本集团及分享控制权的其他参与方一致同意后才能决策。</w:t>
            </w:r>
          </w:p>
        </w:tc>
      </w:tr>
      <w:tr>
        <w:trPr>
          <w:trHeight w:val="1056"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7" w:right="316"/>
              <w:jc w:val="left"/>
              <w:rPr>
                <w:rFonts w:ascii="宋体" w:hAnsi="宋体" w:cs="宋体" w:eastAsia="宋体" w:hint="default"/>
                <w:sz w:val="24"/>
                <w:szCs w:val="24"/>
              </w:rPr>
            </w:pPr>
            <w:r>
              <w:rPr>
                <w:rFonts w:ascii="宋体" w:hAnsi="宋体" w:cs="宋体" w:eastAsia="宋体" w:hint="default"/>
                <w:sz w:val="24"/>
                <w:szCs w:val="24"/>
              </w:rPr>
              <w:t>重大影响是指对被投资单位的财务和经营政策有参与决策的权力，但并不能</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够控制或者与其他方一起共同控制这些政策的制定。</w:t>
            </w:r>
          </w:p>
        </w:tc>
      </w:tr>
      <w:tr>
        <w:trPr>
          <w:trHeight w:val="75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(d)</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7" w:right="0"/>
              <w:jc w:val="left"/>
              <w:rPr>
                <w:rFonts w:ascii="宋体" w:hAnsi="宋体" w:cs="宋体" w:eastAsia="宋体" w:hint="default"/>
                <w:sz w:val="24"/>
                <w:szCs w:val="24"/>
              </w:rPr>
            </w:pPr>
            <w:r>
              <w:rPr>
                <w:rFonts w:ascii="宋体" w:hAnsi="宋体" w:cs="宋体" w:eastAsia="宋体" w:hint="default"/>
                <w:sz w:val="24"/>
                <w:szCs w:val="24"/>
              </w:rPr>
              <w:t>长期股权投资减值</w:t>
            </w:r>
          </w:p>
        </w:tc>
      </w:tr>
      <w:tr>
        <w:trPr>
          <w:trHeight w:val="817"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7" w:right="313"/>
              <w:jc w:val="left"/>
              <w:rPr>
                <w:rFonts w:ascii="宋体" w:hAnsi="宋体" w:cs="宋体" w:eastAsia="宋体" w:hint="default"/>
                <w:sz w:val="24"/>
                <w:szCs w:val="24"/>
              </w:rPr>
            </w:pPr>
            <w:r>
              <w:rPr>
                <w:rFonts w:ascii="宋体" w:hAnsi="宋体" w:cs="宋体" w:eastAsia="宋体" w:hint="default"/>
                <w:sz w:val="24"/>
                <w:szCs w:val="24"/>
              </w:rPr>
              <w:t>对子公司、合营企业、联营企业的长期股权投资，当其可收回金额低于其账</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面价值时，账面价值减记至可收回金额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(19))</w:t>
            </w:r>
            <w:r>
              <w:rPr>
                <w:rFonts w:ascii="宋体" w:hAnsi="宋体" w:cs="宋体" w:eastAsia="宋体" w:hint="default"/>
                <w:sz w:val="24"/>
                <w:szCs w:val="24"/>
              </w:rPr>
              <w:t>。</w:t>
            </w:r>
          </w:p>
        </w:tc>
      </w:tr>
    </w:tbl>
    <w:p>
      <w:pPr>
        <w:spacing w:after="0" w:line="240"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78"/>
        <w:gridCol w:w="1555"/>
        <w:gridCol w:w="2261"/>
        <w:gridCol w:w="2248"/>
        <w:gridCol w:w="2272"/>
      </w:tblGrid>
      <w:tr>
        <w:trPr>
          <w:trHeight w:val="46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81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48"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r>
      <w:tr>
        <w:trPr>
          <w:trHeight w:val="675"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Arial" w:hAnsi="Arial" w:cs="Arial" w:eastAsia="Arial" w:hint="default"/>
                <w:sz w:val="24"/>
                <w:szCs w:val="24"/>
              </w:rPr>
            </w:pPr>
            <w:r>
              <w:rPr>
                <w:rFonts w:ascii="Arial"/>
                <w:sz w:val="24"/>
              </w:rPr>
              <w:t>(13)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64" w:right="0"/>
              <w:jc w:val="left"/>
              <w:rPr>
                <w:rFonts w:ascii="黑体" w:hAnsi="黑体" w:cs="黑体" w:eastAsia="黑体" w:hint="default"/>
                <w:sz w:val="24"/>
                <w:szCs w:val="24"/>
              </w:rPr>
            </w:pPr>
            <w:r>
              <w:rPr>
                <w:rFonts w:ascii="黑体" w:hAnsi="黑体" w:cs="黑体" w:eastAsia="黑体" w:hint="default"/>
                <w:sz w:val="24"/>
                <w:szCs w:val="24"/>
              </w:rPr>
              <w:t>投资性房地</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1" w:right="0"/>
              <w:jc w:val="left"/>
              <w:rPr>
                <w:rFonts w:ascii="黑体" w:hAnsi="黑体" w:cs="黑体" w:eastAsia="黑体" w:hint="default"/>
                <w:sz w:val="24"/>
                <w:szCs w:val="24"/>
              </w:rPr>
            </w:pPr>
            <w:r>
              <w:rPr>
                <w:rFonts w:ascii="黑体" w:hAnsi="黑体" w:cs="黑体" w:eastAsia="黑体" w:hint="default"/>
                <w:sz w:val="24"/>
                <w:szCs w:val="24"/>
              </w:rPr>
              <w:t>产</w:t>
            </w:r>
          </w:p>
        </w:tc>
        <w:tc>
          <w:tcPr>
            <w:tcW w:w="2248"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r>
      <w:tr>
        <w:trPr>
          <w:trHeight w:val="1646"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47"/>
              <w:ind w:left="164" w:right="198"/>
              <w:jc w:val="both"/>
              <w:rPr>
                <w:rFonts w:ascii="宋体" w:hAnsi="宋体" w:cs="宋体" w:eastAsia="宋体" w:hint="default"/>
                <w:sz w:val="24"/>
                <w:szCs w:val="24"/>
              </w:rPr>
            </w:pPr>
            <w:r>
              <w:rPr>
                <w:rFonts w:ascii="宋体" w:hAnsi="宋体" w:cs="宋体" w:eastAsia="宋体" w:hint="default"/>
                <w:sz w:val="24"/>
                <w:szCs w:val="24"/>
              </w:rPr>
              <w:t>投资性房地产包括已出租的土地使用权和以出租为目的的建筑物以及正在建</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造或开发过程中将用于出租的建筑物，以成本进行初始计量。与投资性房地</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产有关的后续支出，在相关的经济利益很可能流入本集团且其成本能够可靠</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的计量时，计入投资性房地产成本；否则，于发生时计入当期损益。</w:t>
            </w:r>
          </w:p>
        </w:tc>
      </w:tr>
      <w:tr>
        <w:trPr>
          <w:trHeight w:val="1336"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64" w:right="201"/>
              <w:jc w:val="both"/>
              <w:rPr>
                <w:rFonts w:ascii="宋体" w:hAnsi="宋体" w:cs="宋体" w:eastAsia="宋体" w:hint="default"/>
                <w:sz w:val="24"/>
                <w:szCs w:val="24"/>
              </w:rPr>
            </w:pPr>
            <w:r>
              <w:rPr>
                <w:rFonts w:ascii="宋体" w:hAnsi="宋体" w:cs="宋体" w:eastAsia="宋体" w:hint="default"/>
                <w:sz w:val="24"/>
                <w:szCs w:val="24"/>
              </w:rPr>
              <w:t>本集团采用成本模式对所有投资性房地产进行后续计量，按其预计使用寿命</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及净残值率采用年限平均法对投资性房地产计提折旧。投资性房地产的预计</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使用寿命、净残值率及年折旧率列示如下：</w:t>
            </w:r>
          </w:p>
        </w:tc>
      </w:tr>
      <w:tr>
        <w:trPr>
          <w:trHeight w:val="716" w:hRule="exact"/>
        </w:trPr>
        <w:tc>
          <w:tcPr>
            <w:tcW w:w="77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94"/>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09"/>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8"/>
              <w:jc w:val="right"/>
              <w:rPr>
                <w:rFonts w:ascii="宋体" w:hAnsi="宋体" w:cs="宋体" w:eastAsia="宋体" w:hint="default"/>
                <w:sz w:val="24"/>
                <w:szCs w:val="24"/>
              </w:rPr>
            </w:pPr>
            <w:r>
              <w:rPr>
                <w:rFonts w:ascii="宋体" w:hAnsi="宋体" w:cs="宋体" w:eastAsia="宋体" w:hint="default"/>
                <w:sz w:val="24"/>
                <w:szCs w:val="24"/>
              </w:rPr>
              <w:t>年折旧</w:t>
            </w:r>
            <w:r>
              <w:rPr>
                <w:rFonts w:ascii="Arial" w:hAnsi="Arial" w:cs="Arial" w:eastAsia="Arial" w:hint="default"/>
                <w:sz w:val="24"/>
                <w:szCs w:val="24"/>
              </w:rPr>
              <w:t>(</w:t>
            </w:r>
            <w:r>
              <w:rPr>
                <w:rFonts w:ascii="宋体" w:hAnsi="宋体" w:cs="宋体" w:eastAsia="宋体" w:hint="default"/>
                <w:sz w:val="24"/>
                <w:szCs w:val="24"/>
              </w:rPr>
              <w:t>摊销</w:t>
            </w:r>
            <w:r>
              <w:rPr>
                <w:rFonts w:ascii="Arial" w:hAnsi="Arial" w:cs="Arial" w:eastAsia="Arial" w:hint="default"/>
                <w:sz w:val="24"/>
                <w:szCs w:val="24"/>
              </w:rPr>
              <w:t>)</w:t>
            </w:r>
            <w:r>
              <w:rPr>
                <w:rFonts w:ascii="宋体" w:hAnsi="宋体" w:cs="宋体" w:eastAsia="宋体" w:hint="default"/>
                <w:sz w:val="24"/>
                <w:szCs w:val="24"/>
              </w:rPr>
              <w:t>率</w:t>
            </w:r>
          </w:p>
        </w:tc>
      </w:tr>
      <w:tr>
        <w:trPr>
          <w:trHeight w:val="750" w:hRule="exact"/>
        </w:trPr>
        <w:tc>
          <w:tcPr>
            <w:tcW w:w="77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4" w:right="0"/>
              <w:jc w:val="left"/>
              <w:rPr>
                <w:rFonts w:ascii="宋体" w:hAnsi="宋体" w:cs="宋体" w:eastAsia="宋体" w:hint="default"/>
                <w:sz w:val="24"/>
                <w:szCs w:val="24"/>
              </w:rPr>
            </w:pPr>
            <w:r>
              <w:rPr>
                <w:rFonts w:ascii="宋体" w:hAnsi="宋体" w:cs="宋体" w:eastAsia="宋体" w:hint="default"/>
                <w:sz w:val="24"/>
                <w:szCs w:val="24"/>
              </w:rPr>
              <w:t>建筑物</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395"/>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410"/>
              <w:jc w:val="right"/>
              <w:rPr>
                <w:rFonts w:ascii="Arial" w:hAnsi="Arial" w:cs="Arial" w:eastAsia="Arial" w:hint="default"/>
                <w:sz w:val="24"/>
                <w:szCs w:val="24"/>
              </w:rPr>
            </w:pPr>
            <w:r>
              <w:rPr>
                <w:rFonts w:ascii="Arial"/>
                <w:w w:val="95"/>
                <w:sz w:val="24"/>
              </w:rPr>
              <w:t>3%</w:t>
            </w:r>
            <w:r>
              <w:rPr>
                <w:rFonts w:ascii="Arial"/>
                <w:sz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98"/>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4.85%</w:t>
            </w:r>
          </w:p>
        </w:tc>
      </w:tr>
      <w:tr>
        <w:trPr>
          <w:trHeight w:val="1052"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03"/>
              <w:ind w:left="164" w:right="205"/>
              <w:jc w:val="left"/>
              <w:rPr>
                <w:rFonts w:ascii="宋体" w:hAnsi="宋体" w:cs="宋体" w:eastAsia="宋体" w:hint="default"/>
                <w:sz w:val="24"/>
                <w:szCs w:val="24"/>
              </w:rPr>
            </w:pPr>
            <w:r>
              <w:rPr>
                <w:rFonts w:ascii="宋体" w:hAnsi="宋体" w:cs="宋体" w:eastAsia="宋体" w:hint="default"/>
                <w:sz w:val="24"/>
                <w:szCs w:val="24"/>
              </w:rPr>
              <w:t>对投资性房地产的预计使用寿命、预计净残值和折旧方法于每年年度终了进</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行复核并作适当调整。</w:t>
            </w:r>
          </w:p>
        </w:tc>
      </w:tr>
      <w:tr>
        <w:trPr>
          <w:trHeight w:val="1681"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64" w:right="205"/>
              <w:jc w:val="both"/>
              <w:rPr>
                <w:rFonts w:ascii="宋体" w:hAnsi="宋体" w:cs="宋体" w:eastAsia="宋体" w:hint="default"/>
                <w:sz w:val="24"/>
                <w:szCs w:val="24"/>
              </w:rPr>
            </w:pPr>
            <w:r>
              <w:rPr>
                <w:rFonts w:ascii="宋体" w:hAnsi="宋体" w:cs="宋体" w:eastAsia="宋体" w:hint="default"/>
                <w:sz w:val="24"/>
                <w:szCs w:val="24"/>
              </w:rPr>
              <w:t>投资性房地产的用途改变为自用时，自改变之日起，将该投资性房地产转换</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为固定资产或无形资产。自用房地产的用途改变为赚取租金或资本增值时，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自改变之日起，将固定资产或无形资产转换为投资性房地产。发生转换时，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以转换前的账面价值作为转换后的入账价值。</w:t>
            </w:r>
          </w:p>
        </w:tc>
      </w:tr>
      <w:tr>
        <w:trPr>
          <w:trHeight w:val="1370"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64" w:right="201"/>
              <w:jc w:val="both"/>
              <w:rPr>
                <w:rFonts w:ascii="宋体" w:hAnsi="宋体" w:cs="宋体" w:eastAsia="宋体" w:hint="default"/>
                <w:sz w:val="24"/>
                <w:szCs w:val="24"/>
              </w:rPr>
            </w:pPr>
            <w:r>
              <w:rPr>
                <w:rFonts w:ascii="宋体" w:hAnsi="宋体" w:cs="宋体" w:eastAsia="宋体" w:hint="default"/>
                <w:sz w:val="24"/>
                <w:szCs w:val="24"/>
              </w:rPr>
              <w:t>当投资性房地产被处置、或者永久退出使用且预计不能从其处置中取得经济</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利益时，终止确认该项投资性房地产。投资性房地产出售、转让、报废或毁</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损的处置收入扣除其账面价值和相关税费后计入当期损益。</w:t>
            </w:r>
          </w:p>
        </w:tc>
      </w:tr>
      <w:tr>
        <w:trPr>
          <w:trHeight w:val="816"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212"/>
              <w:ind w:left="164" w:right="205"/>
              <w:jc w:val="left"/>
              <w:rPr>
                <w:rFonts w:ascii="宋体" w:hAnsi="宋体" w:cs="宋体" w:eastAsia="宋体" w:hint="default"/>
                <w:sz w:val="24"/>
                <w:szCs w:val="24"/>
              </w:rPr>
            </w:pPr>
            <w:r>
              <w:rPr>
                <w:rFonts w:ascii="宋体" w:hAnsi="宋体" w:cs="宋体" w:eastAsia="宋体" w:hint="default"/>
                <w:sz w:val="24"/>
                <w:szCs w:val="24"/>
              </w:rPr>
              <w:t>当投资性房地产的可收回金额低于其账面价值时，账面价值减记至可收回金</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(19))</w:t>
            </w:r>
            <w:r>
              <w:rPr>
                <w:rFonts w:ascii="宋体" w:hAnsi="宋体" w:cs="宋体" w:eastAsia="宋体" w:hint="default"/>
                <w:sz w:val="24"/>
                <w:szCs w:val="24"/>
              </w:rPr>
              <w:t>。</w:t>
            </w:r>
          </w:p>
        </w:tc>
      </w:tr>
    </w:tbl>
    <w:p>
      <w:pPr>
        <w:spacing w:after="0" w:line="310"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8"/>
        <w:gridCol w:w="2340"/>
        <w:gridCol w:w="2078"/>
        <w:gridCol w:w="1684"/>
        <w:gridCol w:w="2238"/>
      </w:tblGrid>
      <w:tr>
        <w:trPr>
          <w:trHeight w:val="49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441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742"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黑体" w:hAnsi="黑体" w:cs="黑体" w:eastAsia="黑体" w:hint="default"/>
                <w:sz w:val="24"/>
                <w:szCs w:val="24"/>
              </w:rPr>
            </w:pPr>
            <w:r>
              <w:rPr>
                <w:rFonts w:ascii="黑体" w:hAnsi="黑体" w:cs="黑体" w:eastAsia="黑体" w:hint="default"/>
                <w:sz w:val="24"/>
                <w:szCs w:val="24"/>
              </w:rPr>
              <w:t>固定资产</w:t>
            </w:r>
          </w:p>
        </w:tc>
        <w:tc>
          <w:tcPr>
            <w:tcW w:w="207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750"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4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固定资产确认及初始计量</w:t>
            </w: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1068"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209"/>
              <w:ind w:left="928" w:right="208"/>
              <w:jc w:val="left"/>
              <w:rPr>
                <w:rFonts w:ascii="宋体" w:hAnsi="宋体" w:cs="宋体" w:eastAsia="宋体" w:hint="default"/>
                <w:sz w:val="24"/>
                <w:szCs w:val="24"/>
              </w:rPr>
            </w:pPr>
            <w:r>
              <w:rPr>
                <w:rFonts w:ascii="宋体" w:hAnsi="宋体" w:cs="宋体" w:eastAsia="宋体" w:hint="default"/>
                <w:sz w:val="24"/>
                <w:szCs w:val="24"/>
              </w:rPr>
              <w:t>固定资产包括房屋及建筑物、机器设备、运输工具、电子设备以及其他设备</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等。</w:t>
            </w:r>
          </w:p>
        </w:tc>
      </w:tr>
      <w:tr>
        <w:trPr>
          <w:trHeight w:val="1073"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2" w:lineRule="exact"/>
              <w:ind w:left="928" w:right="210"/>
              <w:jc w:val="left"/>
              <w:rPr>
                <w:rFonts w:ascii="宋体" w:hAnsi="宋体" w:cs="宋体" w:eastAsia="宋体" w:hint="default"/>
                <w:sz w:val="24"/>
                <w:szCs w:val="24"/>
              </w:rPr>
            </w:pPr>
            <w:r>
              <w:rPr>
                <w:rFonts w:ascii="宋体" w:hAnsi="宋体" w:cs="宋体" w:eastAsia="宋体" w:hint="default"/>
                <w:sz w:val="24"/>
                <w:szCs w:val="24"/>
              </w:rPr>
              <w:t>固定资产在与其有关的经济利益很可能流入本集团、且其成本能够可靠计量</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时予以确认。购置或新建的固定资产按取得时的成本进行初始计量。</w:t>
            </w:r>
          </w:p>
        </w:tc>
      </w:tr>
      <w:tr>
        <w:trPr>
          <w:trHeight w:val="1372"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37" w:lineRule="auto" w:before="186"/>
              <w:ind w:left="928" w:right="206"/>
              <w:jc w:val="both"/>
              <w:rPr>
                <w:rFonts w:ascii="宋体" w:hAnsi="宋体" w:cs="宋体" w:eastAsia="宋体" w:hint="default"/>
                <w:sz w:val="24"/>
                <w:szCs w:val="24"/>
              </w:rPr>
            </w:pPr>
            <w:r>
              <w:rPr>
                <w:rFonts w:ascii="宋体" w:hAnsi="宋体" w:cs="宋体" w:eastAsia="宋体" w:hint="default"/>
                <w:sz w:val="24"/>
                <w:szCs w:val="24"/>
              </w:rPr>
              <w:t>与固定资产有关的后续支出，在与其有关的经济利益很可能流入本集团且其</w:t>
            </w:r>
            <w:r>
              <w:rPr>
                <w:rFonts w:ascii="宋体" w:hAnsi="宋体" w:cs="宋体" w:eastAsia="宋体" w:hint="default"/>
                <w:spacing w:val="-76"/>
                <w:sz w:val="24"/>
                <w:szCs w:val="24"/>
              </w:rPr>
              <w:t> </w:t>
            </w:r>
            <w:r>
              <w:rPr>
                <w:rFonts w:ascii="宋体" w:hAnsi="宋体" w:cs="宋体" w:eastAsia="宋体" w:hint="default"/>
                <w:spacing w:val="-76"/>
                <w:sz w:val="24"/>
                <w:szCs w:val="24"/>
              </w:rPr>
            </w:r>
            <w:r>
              <w:rPr>
                <w:rFonts w:ascii="宋体" w:hAnsi="宋体" w:cs="宋体" w:eastAsia="宋体" w:hint="default"/>
                <w:sz w:val="24"/>
                <w:szCs w:val="24"/>
              </w:rPr>
              <w:t>成本能够可靠计量时，计入固定资产成本；对于被替换的部分，终止确认其</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账面价值；所有其他后续支出于发生时计入当期损益。</w:t>
            </w:r>
          </w:p>
        </w:tc>
      </w:tr>
      <w:tr>
        <w:trPr>
          <w:trHeight w:val="75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50"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c>
          <w:tcPr>
            <w:tcW w:w="207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1370" w:hRule="exact"/>
        </w:trPr>
        <w:tc>
          <w:tcPr>
            <w:tcW w:w="778" w:type="dxa"/>
            <w:tcBorders>
              <w:top w:val="nil" w:sz="6" w:space="0" w:color="auto"/>
              <w:left w:val="nil" w:sz="6" w:space="0" w:color="auto"/>
              <w:bottom w:val="nil" w:sz="6" w:space="0" w:color="auto"/>
              <w:right w:val="nil" w:sz="6" w:space="0" w:color="auto"/>
            </w:tcBorders>
          </w:tcPr>
          <w:p>
            <w:pPr/>
          </w:p>
        </w:tc>
        <w:tc>
          <w:tcPr>
            <w:tcW w:w="834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09"/>
              <w:ind w:left="150" w:right="202"/>
              <w:jc w:val="both"/>
              <w:rPr>
                <w:rFonts w:ascii="宋体" w:hAnsi="宋体" w:cs="宋体" w:eastAsia="宋体" w:hint="default"/>
                <w:sz w:val="24"/>
                <w:szCs w:val="24"/>
              </w:rPr>
            </w:pPr>
            <w:r>
              <w:rPr>
                <w:rFonts w:ascii="宋体" w:hAnsi="宋体" w:cs="宋体" w:eastAsia="宋体" w:hint="default"/>
                <w:sz w:val="24"/>
                <w:szCs w:val="24"/>
              </w:rPr>
              <w:t>固定资产折旧采用年限平均法并按其入账价值减去预计净残值后在预计使用</w:t>
            </w:r>
            <w:r>
              <w:rPr>
                <w:rFonts w:ascii="宋体" w:hAnsi="宋体" w:cs="宋体" w:eastAsia="宋体" w:hint="default"/>
                <w:spacing w:val="-70"/>
                <w:sz w:val="24"/>
                <w:szCs w:val="24"/>
              </w:rPr>
              <w:t> </w:t>
            </w:r>
            <w:r>
              <w:rPr>
                <w:rFonts w:ascii="宋体" w:hAnsi="宋体" w:cs="宋体" w:eastAsia="宋体" w:hint="default"/>
                <w:spacing w:val="-70"/>
                <w:sz w:val="24"/>
                <w:szCs w:val="24"/>
              </w:rPr>
            </w:r>
            <w:r>
              <w:rPr>
                <w:rFonts w:ascii="宋体" w:hAnsi="宋体" w:cs="宋体" w:eastAsia="宋体" w:hint="default"/>
                <w:sz w:val="24"/>
                <w:szCs w:val="24"/>
              </w:rPr>
              <w:t>寿命内计提。对计提了减值准备的固定资产，则在未来期间按扣除减值准备</w:t>
            </w:r>
            <w:r>
              <w:rPr>
                <w:rFonts w:ascii="宋体" w:hAnsi="宋体" w:cs="宋体" w:eastAsia="宋体" w:hint="default"/>
                <w:spacing w:val="-73"/>
                <w:sz w:val="24"/>
                <w:szCs w:val="24"/>
              </w:rPr>
              <w:t> </w:t>
            </w:r>
            <w:r>
              <w:rPr>
                <w:rFonts w:ascii="宋体" w:hAnsi="宋体" w:cs="宋体" w:eastAsia="宋体" w:hint="default"/>
                <w:spacing w:val="-73"/>
                <w:sz w:val="24"/>
                <w:szCs w:val="24"/>
              </w:rPr>
            </w:r>
            <w:r>
              <w:rPr>
                <w:rFonts w:ascii="宋体" w:hAnsi="宋体" w:cs="宋体" w:eastAsia="宋体" w:hint="default"/>
                <w:sz w:val="24"/>
                <w:szCs w:val="24"/>
              </w:rPr>
              <w:t>后的账面价值及依据尚可使用年限确定折旧额。</w:t>
            </w:r>
          </w:p>
        </w:tc>
      </w:tr>
      <w:tr>
        <w:trPr>
          <w:trHeight w:val="748" w:hRule="exact"/>
        </w:trPr>
        <w:tc>
          <w:tcPr>
            <w:tcW w:w="778" w:type="dxa"/>
            <w:tcBorders>
              <w:top w:val="nil" w:sz="6" w:space="0" w:color="auto"/>
              <w:left w:val="nil" w:sz="6" w:space="0" w:color="auto"/>
              <w:bottom w:val="nil" w:sz="6" w:space="0" w:color="auto"/>
              <w:right w:val="nil" w:sz="6" w:space="0" w:color="auto"/>
            </w:tcBorders>
          </w:tcPr>
          <w:p>
            <w:pPr/>
          </w:p>
        </w:tc>
        <w:tc>
          <w:tcPr>
            <w:tcW w:w="834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150" w:right="0"/>
              <w:jc w:val="left"/>
              <w:rPr>
                <w:rFonts w:ascii="宋体" w:hAnsi="宋体" w:cs="宋体" w:eastAsia="宋体" w:hint="default"/>
                <w:sz w:val="24"/>
                <w:szCs w:val="24"/>
              </w:rPr>
            </w:pPr>
            <w:r>
              <w:rPr>
                <w:rFonts w:ascii="宋体" w:hAnsi="宋体" w:cs="宋体" w:eastAsia="宋体" w:hint="default"/>
                <w:sz w:val="24"/>
                <w:szCs w:val="24"/>
              </w:rPr>
              <w:t>固定资产的预计使用寿命、净残值率及年折旧率列示如下：</w:t>
            </w:r>
          </w:p>
        </w:tc>
      </w:tr>
      <w:tr>
        <w:trPr>
          <w:trHeight w:val="743"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34"/>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8"/>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00"/>
              <w:jc w:val="right"/>
              <w:rPr>
                <w:rFonts w:ascii="宋体" w:hAnsi="宋体" w:cs="宋体" w:eastAsia="宋体" w:hint="default"/>
                <w:sz w:val="24"/>
                <w:szCs w:val="24"/>
              </w:rPr>
            </w:pPr>
            <w:r>
              <w:rPr>
                <w:rFonts w:ascii="宋体" w:hAnsi="宋体" w:cs="宋体" w:eastAsia="宋体" w:hint="default"/>
                <w:sz w:val="24"/>
                <w:szCs w:val="24"/>
              </w:rPr>
              <w:t>年折旧率</w:t>
            </w:r>
          </w:p>
        </w:tc>
      </w:tr>
      <w:tr>
        <w:trPr>
          <w:trHeight w:val="575"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134"/>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Arial" w:hAnsi="Arial" w:cs="Arial" w:eastAsia="Arial" w:hint="default"/>
                <w:sz w:val="24"/>
                <w:szCs w:val="24"/>
              </w:rPr>
            </w:pPr>
            <w:r>
              <w:rPr>
                <w:rFonts w:ascii="Arial"/>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200"/>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3"/>
                <w:sz w:val="24"/>
                <w:szCs w:val="24"/>
              </w:rPr>
              <w:t> </w:t>
            </w:r>
            <w:r>
              <w:rPr>
                <w:rFonts w:ascii="Arial" w:hAnsi="Arial" w:cs="Arial" w:eastAsia="Arial" w:hint="default"/>
                <w:sz w:val="24"/>
                <w:szCs w:val="24"/>
              </w:rPr>
              <w:t>4.85%</w:t>
            </w:r>
          </w:p>
        </w:tc>
      </w:tr>
      <w:tr>
        <w:trPr>
          <w:trHeight w:val="391"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9"/>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Arial" w:hAnsi="Arial" w:cs="Arial" w:eastAsia="Arial" w:hint="default"/>
                <w:sz w:val="24"/>
                <w:szCs w:val="24"/>
              </w:rPr>
            </w:pPr>
            <w:r>
              <w:rPr>
                <w:rFonts w:ascii="Arial"/>
                <w:w w:val="95"/>
                <w:sz w:val="24"/>
              </w:rPr>
              <w:t>9.70%</w:t>
            </w:r>
            <w:r>
              <w:rPr>
                <w:rFonts w:ascii="Arial"/>
                <w:sz w:val="24"/>
              </w:rPr>
            </w:r>
          </w:p>
        </w:tc>
      </w:tr>
      <w:tr>
        <w:trPr>
          <w:trHeight w:val="391"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Arial" w:hAnsi="Arial" w:cs="Arial" w:eastAsia="Arial" w:hint="default"/>
                <w:sz w:val="24"/>
                <w:szCs w:val="24"/>
              </w:rPr>
            </w:pPr>
            <w:r>
              <w:rPr>
                <w:rFonts w:ascii="Arial"/>
                <w:w w:val="95"/>
                <w:sz w:val="24"/>
              </w:rPr>
              <w:t>19.40%</w:t>
            </w:r>
            <w:r>
              <w:rPr>
                <w:rFonts w:ascii="Arial"/>
                <w:sz w:val="24"/>
              </w:rPr>
            </w:r>
          </w:p>
        </w:tc>
      </w:tr>
      <w:tr>
        <w:trPr>
          <w:trHeight w:val="391"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331" w:lineRule="exact"/>
              <w:ind w:right="200"/>
              <w:jc w:val="righ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63"/>
                <w:sz w:val="24"/>
                <w:szCs w:val="24"/>
              </w:rPr>
              <w:t> </w:t>
            </w:r>
            <w:r>
              <w:rPr>
                <w:rFonts w:ascii="Arial" w:hAnsi="Arial" w:cs="Arial" w:eastAsia="Arial" w:hint="default"/>
                <w:sz w:val="24"/>
                <w:szCs w:val="24"/>
              </w:rPr>
              <w:t>32.33%</w:t>
            </w:r>
          </w:p>
        </w:tc>
      </w:tr>
      <w:tr>
        <w:trPr>
          <w:trHeight w:val="573"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4" w:lineRule="exact"/>
              <w:ind w:left="150"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Arial" w:hAnsi="Arial" w:cs="Arial" w:eastAsia="Arial" w:hint="default"/>
                <w:sz w:val="24"/>
                <w:szCs w:val="24"/>
              </w:rPr>
            </w:pPr>
            <w:r>
              <w:rPr>
                <w:rFonts w:ascii="Arial"/>
                <w:w w:val="95"/>
                <w:sz w:val="24"/>
              </w:rPr>
              <w:t>19.40%</w:t>
            </w:r>
            <w:r>
              <w:rPr>
                <w:rFonts w:ascii="Arial"/>
                <w:sz w:val="24"/>
              </w:rPr>
            </w:r>
          </w:p>
        </w:tc>
      </w:tr>
      <w:tr>
        <w:trPr>
          <w:trHeight w:val="799" w:hRule="exact"/>
        </w:trPr>
        <w:tc>
          <w:tcPr>
            <w:tcW w:w="778" w:type="dxa"/>
            <w:tcBorders>
              <w:top w:val="nil" w:sz="6" w:space="0" w:color="auto"/>
              <w:left w:val="nil" w:sz="6" w:space="0" w:color="auto"/>
              <w:bottom w:val="nil" w:sz="6" w:space="0" w:color="auto"/>
              <w:right w:val="nil" w:sz="6" w:space="0" w:color="auto"/>
            </w:tcBorders>
          </w:tcPr>
          <w:p>
            <w:pPr/>
          </w:p>
        </w:tc>
        <w:tc>
          <w:tcPr>
            <w:tcW w:w="834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04"/>
              <w:ind w:left="150" w:right="198"/>
              <w:jc w:val="left"/>
              <w:rPr>
                <w:rFonts w:ascii="宋体" w:hAnsi="宋体" w:cs="宋体" w:eastAsia="宋体" w:hint="default"/>
                <w:sz w:val="24"/>
                <w:szCs w:val="24"/>
              </w:rPr>
            </w:pPr>
            <w:r>
              <w:rPr>
                <w:rFonts w:ascii="宋体" w:hAnsi="宋体" w:cs="宋体" w:eastAsia="宋体" w:hint="default"/>
                <w:sz w:val="24"/>
                <w:szCs w:val="24"/>
              </w:rPr>
              <w:t>对固定资产的预计使用寿命、预计净残值和折旧方法于每年年度终了进行复</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核并作适当调整。</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2"/>
        <w:gridCol w:w="8344"/>
      </w:tblGrid>
      <w:tr>
        <w:trPr>
          <w:trHeight w:val="49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4" w:type="dxa"/>
            <w:tcBorders>
              <w:top w:val="nil" w:sz="6" w:space="0" w:color="auto"/>
              <w:left w:val="nil" w:sz="6" w:space="0" w:color="auto"/>
              <w:bottom w:val="nil" w:sz="6" w:space="0" w:color="auto"/>
              <w:right w:val="nil" w:sz="6" w:space="0" w:color="auto"/>
            </w:tcBorders>
          </w:tcPr>
          <w:p>
            <w:pPr>
              <w:pStyle w:val="TableParagraph"/>
              <w:spacing w:line="257" w:lineRule="exact"/>
              <w:ind w:left="144"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4"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05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8344" w:type="dxa"/>
            <w:tcBorders>
              <w:top w:val="nil" w:sz="6" w:space="0" w:color="auto"/>
              <w:left w:val="nil" w:sz="6" w:space="0" w:color="auto"/>
              <w:bottom w:val="nil" w:sz="6" w:space="0" w:color="auto"/>
              <w:right w:val="nil" w:sz="6" w:space="0" w:color="auto"/>
            </w:tcBorders>
          </w:tcPr>
          <w:p>
            <w:pPr>
              <w:pStyle w:val="TableParagraph"/>
              <w:spacing w:line="310" w:lineRule="exact" w:before="208"/>
              <w:ind w:left="156" w:right="198"/>
              <w:jc w:val="left"/>
              <w:rPr>
                <w:rFonts w:ascii="宋体" w:hAnsi="宋体" w:cs="宋体" w:eastAsia="宋体" w:hint="default"/>
                <w:sz w:val="24"/>
                <w:szCs w:val="24"/>
              </w:rPr>
            </w:pPr>
            <w:r>
              <w:rPr>
                <w:rFonts w:ascii="宋体" w:hAnsi="宋体" w:cs="宋体" w:eastAsia="宋体" w:hint="default"/>
                <w:spacing w:val="-1"/>
                <w:sz w:val="24"/>
                <w:szCs w:val="24"/>
              </w:rPr>
              <w:t>当固定资产的可收回金额低于其账面价值时，账面价值减记至可收回金额</w:t>
            </w:r>
            <w:r>
              <w:rPr>
                <w:rFonts w:ascii="Arial" w:hAnsi="Arial" w:cs="Arial" w:eastAsia="Arial" w:hint="default"/>
                <w:spacing w:val="-1"/>
                <w:sz w:val="24"/>
                <w:szCs w:val="24"/>
              </w:rPr>
              <w:t>(</w:t>
            </w:r>
            <w:r>
              <w:rPr>
                <w:rFonts w:ascii="宋体" w:hAnsi="宋体" w:cs="宋体" w:eastAsia="宋体" w:hint="default"/>
                <w:spacing w:val="-1"/>
                <w:sz w:val="24"/>
                <w:szCs w:val="24"/>
              </w:rPr>
              <w:t>附</w:t>
            </w:r>
            <w:r>
              <w:rPr>
                <w:rFonts w:ascii="宋体" w:hAnsi="宋体" w:cs="宋体" w:eastAsia="宋体" w:hint="default"/>
                <w:spacing w:val="-101"/>
                <w:sz w:val="24"/>
                <w:szCs w:val="24"/>
              </w:rPr>
              <w:t> </w:t>
            </w:r>
            <w:r>
              <w:rPr>
                <w:rFonts w:ascii="宋体" w:hAnsi="宋体" w:cs="宋体" w:eastAsia="宋体" w:hint="default"/>
                <w:sz w:val="24"/>
                <w:szCs w:val="24"/>
              </w:rPr>
              <w:t>注二</w:t>
            </w:r>
            <w:r>
              <w:rPr>
                <w:rFonts w:ascii="Arial" w:hAnsi="Arial" w:cs="Arial" w:eastAsia="Arial" w:hint="default"/>
                <w:sz w:val="24"/>
                <w:szCs w:val="24"/>
              </w:rPr>
              <w:t>(19))</w:t>
            </w:r>
            <w:r>
              <w:rPr>
                <w:rFonts w:ascii="宋体" w:hAnsi="宋体" w:cs="宋体" w:eastAsia="宋体" w:hint="default"/>
                <w:sz w:val="24"/>
                <w:szCs w:val="24"/>
              </w:rPr>
              <w:t>。</w:t>
            </w:r>
          </w:p>
        </w:tc>
      </w:tr>
      <w:tr>
        <w:trPr>
          <w:trHeight w:val="7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(d)</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4" w:right="0"/>
              <w:jc w:val="left"/>
              <w:rPr>
                <w:rFonts w:ascii="宋体" w:hAnsi="宋体" w:cs="宋体" w:eastAsia="宋体" w:hint="default"/>
                <w:sz w:val="24"/>
                <w:szCs w:val="24"/>
              </w:rPr>
            </w:pPr>
            <w:r>
              <w:rPr>
                <w:rFonts w:ascii="宋体" w:hAnsi="宋体" w:cs="宋体" w:eastAsia="宋体" w:hint="default"/>
                <w:sz w:val="24"/>
                <w:szCs w:val="24"/>
              </w:rPr>
              <w:t>固定资产的处置</w:t>
            </w:r>
          </w:p>
        </w:tc>
      </w:tr>
      <w:tr>
        <w:trPr>
          <w:trHeight w:val="1331" w:hRule="exact"/>
        </w:trPr>
        <w:tc>
          <w:tcPr>
            <w:tcW w:w="772"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144" w:right="198"/>
              <w:jc w:val="both"/>
              <w:rPr>
                <w:rFonts w:ascii="宋体" w:hAnsi="宋体" w:cs="宋体" w:eastAsia="宋体" w:hint="default"/>
                <w:sz w:val="24"/>
                <w:szCs w:val="24"/>
              </w:rPr>
            </w:pPr>
            <w:r>
              <w:rPr>
                <w:rFonts w:ascii="宋体" w:hAnsi="宋体" w:cs="宋体" w:eastAsia="宋体" w:hint="default"/>
                <w:sz w:val="24"/>
                <w:szCs w:val="24"/>
              </w:rPr>
              <w:t>当固定资产被处置、或者预期通过使用或处置不能产生经济利益时，终止确</w:t>
            </w:r>
            <w:r>
              <w:rPr>
                <w:rFonts w:ascii="宋体" w:hAnsi="宋体" w:cs="宋体" w:eastAsia="宋体" w:hint="default"/>
                <w:spacing w:val="-55"/>
                <w:sz w:val="24"/>
                <w:szCs w:val="24"/>
              </w:rPr>
              <w:t> </w:t>
            </w:r>
            <w:r>
              <w:rPr>
                <w:rFonts w:ascii="宋体" w:hAnsi="宋体" w:cs="宋体" w:eastAsia="宋体" w:hint="default"/>
                <w:sz w:val="24"/>
                <w:szCs w:val="24"/>
              </w:rPr>
              <w:t>认该固定资产。固定资产出售、转让、报废或毁损的处置收入扣除其账面价</w:t>
            </w:r>
            <w:r>
              <w:rPr>
                <w:rFonts w:ascii="宋体" w:hAnsi="宋体" w:cs="宋体" w:eastAsia="宋体" w:hint="default"/>
                <w:spacing w:val="-55"/>
                <w:sz w:val="24"/>
                <w:szCs w:val="24"/>
              </w:rPr>
              <w:t> </w:t>
            </w:r>
            <w:r>
              <w:rPr>
                <w:rFonts w:ascii="宋体" w:hAnsi="宋体" w:cs="宋体" w:eastAsia="宋体" w:hint="default"/>
                <w:sz w:val="24"/>
                <w:szCs w:val="24"/>
              </w:rPr>
              <w:t>值和相关税费后的金额计入当期损益。</w:t>
            </w:r>
          </w:p>
        </w:tc>
      </w:tr>
      <w:tr>
        <w:trPr>
          <w:trHeight w:val="71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200" w:right="0"/>
              <w:jc w:val="left"/>
              <w:rPr>
                <w:rFonts w:ascii="Arial" w:hAnsi="Arial" w:cs="Arial" w:eastAsia="Arial" w:hint="default"/>
                <w:sz w:val="24"/>
                <w:szCs w:val="24"/>
              </w:rPr>
            </w:pPr>
            <w:r>
              <w:rPr>
                <w:rFonts w:ascii="Arial"/>
                <w:sz w:val="24"/>
              </w:rPr>
              <w:t>(15)</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44" w:right="0"/>
              <w:jc w:val="left"/>
              <w:rPr>
                <w:rFonts w:ascii="黑体" w:hAnsi="黑体" w:cs="黑体" w:eastAsia="黑体" w:hint="default"/>
                <w:sz w:val="24"/>
                <w:szCs w:val="24"/>
              </w:rPr>
            </w:pPr>
            <w:r>
              <w:rPr>
                <w:rFonts w:ascii="黑体" w:hAnsi="黑体" w:cs="黑体" w:eastAsia="黑体" w:hint="default"/>
                <w:sz w:val="24"/>
                <w:szCs w:val="24"/>
              </w:rPr>
              <w:t>在建工程</w:t>
            </w:r>
          </w:p>
        </w:tc>
      </w:tr>
      <w:tr>
        <w:trPr>
          <w:trHeight w:val="1995" w:hRule="exact"/>
        </w:trPr>
        <w:tc>
          <w:tcPr>
            <w:tcW w:w="772"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4" w:right="198"/>
              <w:jc w:val="both"/>
              <w:rPr>
                <w:rFonts w:ascii="宋体" w:hAnsi="宋体" w:cs="宋体" w:eastAsia="宋体" w:hint="default"/>
                <w:sz w:val="24"/>
                <w:szCs w:val="24"/>
              </w:rPr>
            </w:pPr>
            <w:r>
              <w:rPr>
                <w:rFonts w:ascii="宋体" w:hAnsi="宋体" w:cs="宋体" w:eastAsia="宋体" w:hint="default"/>
                <w:sz w:val="24"/>
                <w:szCs w:val="24"/>
              </w:rPr>
              <w:t>在建工程按实际发生的成本计量。实际成本包括建筑成本、安装成本、符合</w:t>
            </w:r>
            <w:r>
              <w:rPr>
                <w:rFonts w:ascii="宋体" w:hAnsi="宋体" w:cs="宋体" w:eastAsia="宋体" w:hint="default"/>
                <w:spacing w:val="-55"/>
                <w:sz w:val="24"/>
                <w:szCs w:val="24"/>
              </w:rPr>
              <w:t> </w:t>
            </w:r>
            <w:r>
              <w:rPr>
                <w:rFonts w:ascii="宋体" w:hAnsi="宋体" w:cs="宋体" w:eastAsia="宋体" w:hint="default"/>
                <w:sz w:val="24"/>
                <w:szCs w:val="24"/>
              </w:rPr>
              <w:t>资本化条件的借款费用以及其他为使在建工程达到预定可使用状态所发生的</w:t>
            </w:r>
            <w:r>
              <w:rPr>
                <w:rFonts w:ascii="宋体" w:hAnsi="宋体" w:cs="宋体" w:eastAsia="宋体" w:hint="default"/>
                <w:spacing w:val="-55"/>
                <w:sz w:val="24"/>
                <w:szCs w:val="24"/>
              </w:rPr>
              <w:t> </w:t>
            </w:r>
            <w:r>
              <w:rPr>
                <w:rFonts w:ascii="宋体" w:hAnsi="宋体" w:cs="宋体" w:eastAsia="宋体" w:hint="default"/>
                <w:sz w:val="24"/>
                <w:szCs w:val="24"/>
              </w:rPr>
              <w:t>必要支出。在建工程在达到预定可使用状态时，转入固定资产并自次月起开</w:t>
            </w:r>
            <w:r>
              <w:rPr>
                <w:rFonts w:ascii="宋体" w:hAnsi="宋体" w:cs="宋体" w:eastAsia="宋体" w:hint="default"/>
                <w:spacing w:val="-55"/>
                <w:sz w:val="24"/>
                <w:szCs w:val="24"/>
              </w:rPr>
              <w:t> </w:t>
            </w:r>
            <w:r>
              <w:rPr>
                <w:rFonts w:ascii="宋体" w:hAnsi="宋体" w:cs="宋体" w:eastAsia="宋体" w:hint="default"/>
                <w:sz w:val="24"/>
                <w:szCs w:val="24"/>
              </w:rPr>
              <w:t>始计提折旧。当在建工程的可收回金额低于其账面价值时，账面价值减记至</w:t>
            </w:r>
            <w:r>
              <w:rPr>
                <w:rFonts w:ascii="宋体" w:hAnsi="宋体" w:cs="宋体" w:eastAsia="宋体" w:hint="default"/>
                <w:spacing w:val="-55"/>
                <w:sz w:val="24"/>
                <w:szCs w:val="24"/>
              </w:rPr>
              <w:t> </w:t>
            </w:r>
            <w:r>
              <w:rPr>
                <w:rFonts w:ascii="宋体" w:hAnsi="宋体" w:cs="宋体" w:eastAsia="宋体" w:hint="default"/>
                <w:sz w:val="24"/>
                <w:szCs w:val="24"/>
              </w:rPr>
              <w:t>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(19))</w:t>
            </w:r>
            <w:r>
              <w:rPr>
                <w:rFonts w:ascii="宋体" w:hAnsi="宋体" w:cs="宋体" w:eastAsia="宋体" w:hint="default"/>
                <w:sz w:val="24"/>
                <w:szCs w:val="24"/>
              </w:rPr>
              <w:t>。</w:t>
            </w:r>
          </w:p>
        </w:tc>
      </w:tr>
      <w:tr>
        <w:trPr>
          <w:trHeight w:val="7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(16)</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6" w:right="0"/>
              <w:jc w:val="left"/>
              <w:rPr>
                <w:rFonts w:ascii="黑体" w:hAnsi="黑体" w:cs="黑体" w:eastAsia="黑体" w:hint="default"/>
                <w:sz w:val="24"/>
                <w:szCs w:val="24"/>
              </w:rPr>
            </w:pPr>
            <w:r>
              <w:rPr>
                <w:rFonts w:ascii="黑体" w:hAnsi="黑体" w:cs="黑体" w:eastAsia="黑体" w:hint="default"/>
                <w:sz w:val="24"/>
                <w:szCs w:val="24"/>
              </w:rPr>
              <w:t>借款费用</w:t>
            </w:r>
          </w:p>
        </w:tc>
      </w:tr>
      <w:tr>
        <w:trPr>
          <w:trHeight w:val="2309" w:hRule="exact"/>
        </w:trPr>
        <w:tc>
          <w:tcPr>
            <w:tcW w:w="772"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6" w:right="202"/>
              <w:jc w:val="both"/>
              <w:rPr>
                <w:rFonts w:ascii="宋体" w:hAnsi="宋体" w:cs="宋体" w:eastAsia="宋体" w:hint="default"/>
                <w:sz w:val="24"/>
                <w:szCs w:val="24"/>
              </w:rPr>
            </w:pPr>
            <w:r>
              <w:rPr>
                <w:rFonts w:ascii="宋体" w:hAnsi="宋体" w:cs="宋体" w:eastAsia="宋体" w:hint="default"/>
                <w:sz w:val="24"/>
                <w:szCs w:val="24"/>
              </w:rPr>
              <w:t>发生的可直接归属于需要经过相当长时间的购建活动才能达到预定可使用状</w:t>
            </w:r>
            <w:r>
              <w:rPr>
                <w:rFonts w:ascii="宋体" w:hAnsi="宋体" w:cs="宋体" w:eastAsia="宋体" w:hint="default"/>
                <w:spacing w:val="-73"/>
                <w:sz w:val="24"/>
                <w:szCs w:val="24"/>
              </w:rPr>
              <w:t> </w:t>
            </w:r>
            <w:r>
              <w:rPr>
                <w:rFonts w:ascii="宋体" w:hAnsi="宋体" w:cs="宋体" w:eastAsia="宋体" w:hint="default"/>
                <w:spacing w:val="-73"/>
                <w:sz w:val="24"/>
                <w:szCs w:val="24"/>
              </w:rPr>
            </w:r>
            <w:r>
              <w:rPr>
                <w:rFonts w:ascii="宋体" w:hAnsi="宋体" w:cs="宋体" w:eastAsia="宋体" w:hint="default"/>
                <w:sz w:val="24"/>
                <w:szCs w:val="24"/>
              </w:rPr>
              <w:t>态之资产的购建的借款费用，在资产支出及借款费用已经发生、为使资产达</w:t>
            </w:r>
            <w:r>
              <w:rPr>
                <w:rFonts w:ascii="宋体" w:hAnsi="宋体" w:cs="宋体" w:eastAsia="宋体" w:hint="default"/>
                <w:spacing w:val="-76"/>
                <w:sz w:val="24"/>
                <w:szCs w:val="24"/>
              </w:rPr>
              <w:t> </w:t>
            </w:r>
            <w:r>
              <w:rPr>
                <w:rFonts w:ascii="宋体" w:hAnsi="宋体" w:cs="宋体" w:eastAsia="宋体" w:hint="default"/>
                <w:spacing w:val="-76"/>
                <w:sz w:val="24"/>
                <w:szCs w:val="24"/>
              </w:rPr>
            </w:r>
            <w:r>
              <w:rPr>
                <w:rFonts w:ascii="宋体" w:hAnsi="宋体" w:cs="宋体" w:eastAsia="宋体" w:hint="default"/>
                <w:sz w:val="24"/>
                <w:szCs w:val="24"/>
              </w:rPr>
              <w:t>到预定可使用状态所必要的购建活动已经开始时，开始资本化并计入该资产</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的成本。当购建的资产达到预定可使用状态时停止资本化，其后发生的借款</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费用计入当期损益。如果资产的购建活动发生非正常中断，并且中断时间连</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续超过</w:t>
            </w:r>
            <w:r>
              <w:rPr>
                <w:rFonts w:ascii="宋体" w:hAnsi="宋体" w:cs="宋体" w:eastAsia="宋体" w:hint="default"/>
                <w:spacing w:val="-60"/>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个月，暂停借款费用的资本化，直至资产的购建活动重新开始。</w:t>
            </w:r>
          </w:p>
        </w:tc>
      </w:tr>
      <w:tr>
        <w:trPr>
          <w:trHeight w:val="1111" w:hRule="exact"/>
        </w:trPr>
        <w:tc>
          <w:tcPr>
            <w:tcW w:w="772"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7" w:lineRule="auto" w:before="176"/>
              <w:ind w:left="156" w:right="203"/>
              <w:jc w:val="both"/>
              <w:rPr>
                <w:rFonts w:ascii="宋体" w:hAnsi="宋体" w:cs="宋体" w:eastAsia="宋体" w:hint="default"/>
                <w:sz w:val="24"/>
                <w:szCs w:val="24"/>
              </w:rPr>
            </w:pPr>
            <w:r>
              <w:rPr>
                <w:rFonts w:ascii="宋体" w:hAnsi="宋体" w:cs="宋体" w:eastAsia="宋体" w:hint="default"/>
                <w:sz w:val="24"/>
                <w:szCs w:val="24"/>
              </w:rPr>
              <w:t>对于为购建符合资本化条件的资产而借入的专门借款，以专门借款当期实际</w:t>
            </w:r>
            <w:r>
              <w:rPr>
                <w:rFonts w:ascii="宋体" w:hAnsi="宋体" w:cs="宋体" w:eastAsia="宋体" w:hint="default"/>
                <w:spacing w:val="-74"/>
                <w:sz w:val="24"/>
                <w:szCs w:val="24"/>
              </w:rPr>
              <w:t> </w:t>
            </w:r>
            <w:r>
              <w:rPr>
                <w:rFonts w:ascii="宋体" w:hAnsi="宋体" w:cs="宋体" w:eastAsia="宋体" w:hint="default"/>
                <w:spacing w:val="-74"/>
                <w:sz w:val="24"/>
                <w:szCs w:val="24"/>
              </w:rPr>
            </w:r>
            <w:r>
              <w:rPr>
                <w:rFonts w:ascii="宋体" w:hAnsi="宋体" w:cs="宋体" w:eastAsia="宋体" w:hint="default"/>
                <w:sz w:val="24"/>
                <w:szCs w:val="24"/>
              </w:rPr>
              <w:t>发生的利息费用减去尚未动用的借款资金存入银行取得的利息收入或进行暂</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时性投资取得的投资收益后的金额确定专门借款借款费用的资本化金额。</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8"/>
        <w:gridCol w:w="8332"/>
      </w:tblGrid>
      <w:tr>
        <w:trPr>
          <w:trHeight w:val="41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32"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(16)</w:t>
            </w:r>
          </w:p>
        </w:tc>
        <w:tc>
          <w:tcPr>
            <w:tcW w:w="833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黑体" w:hAnsi="黑体" w:cs="黑体" w:eastAsia="黑体" w:hint="default"/>
                <w:sz w:val="24"/>
                <w:szCs w:val="24"/>
              </w:rPr>
              <w:t>借款费用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823" w:hRule="exact"/>
        </w:trPr>
        <w:tc>
          <w:tcPr>
            <w:tcW w:w="778" w:type="dxa"/>
            <w:tcBorders>
              <w:top w:val="nil" w:sz="6" w:space="0" w:color="auto"/>
              <w:left w:val="nil" w:sz="6" w:space="0" w:color="auto"/>
              <w:bottom w:val="nil" w:sz="6" w:space="0" w:color="auto"/>
              <w:right w:val="nil" w:sz="6" w:space="0" w:color="auto"/>
            </w:tcBorders>
          </w:tcPr>
          <w:p>
            <w:pPr/>
          </w:p>
        </w:tc>
        <w:tc>
          <w:tcPr>
            <w:tcW w:w="8332" w:type="dxa"/>
            <w:tcBorders>
              <w:top w:val="nil" w:sz="6" w:space="0" w:color="auto"/>
              <w:left w:val="nil" w:sz="6" w:space="0" w:color="auto"/>
              <w:bottom w:val="nil" w:sz="6" w:space="0" w:color="auto"/>
              <w:right w:val="nil" w:sz="6" w:space="0" w:color="auto"/>
            </w:tcBorders>
          </w:tcPr>
          <w:p>
            <w:pPr>
              <w:pStyle w:val="TableParagraph"/>
              <w:spacing w:line="237" w:lineRule="auto" w:before="97"/>
              <w:ind w:left="150" w:right="198"/>
              <w:jc w:val="both"/>
              <w:rPr>
                <w:rFonts w:ascii="宋体" w:hAnsi="宋体" w:cs="宋体" w:eastAsia="宋体" w:hint="default"/>
                <w:sz w:val="24"/>
                <w:szCs w:val="24"/>
              </w:rPr>
            </w:pPr>
            <w:r>
              <w:rPr>
                <w:rFonts w:ascii="宋体" w:hAnsi="宋体" w:cs="宋体" w:eastAsia="宋体" w:hint="default"/>
                <w:sz w:val="24"/>
                <w:szCs w:val="24"/>
              </w:rPr>
              <w:t>对于为购建符合资本化条件的资产而占用的一般借款，按照累计资产支出超</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过专门借款部分的资本支出加权平均数乘以所占用一般借款的加权平均实际</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利率计算确定一般借款借款费用的资本化金额。实际利率为将借款在预期存</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续期间或适用的更短期间内的未来现金流量折现为该借款初始确认金额所使</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用的利率。</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(17)</w:t>
            </w:r>
          </w:p>
        </w:tc>
        <w:tc>
          <w:tcPr>
            <w:tcW w:w="833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黑体" w:hAnsi="黑体" w:cs="黑体" w:eastAsia="黑体" w:hint="default"/>
                <w:sz w:val="24"/>
                <w:szCs w:val="24"/>
              </w:rPr>
            </w:pPr>
            <w:r>
              <w:rPr>
                <w:rFonts w:ascii="黑体" w:hAnsi="黑体" w:cs="黑体" w:eastAsia="黑体" w:hint="default"/>
                <w:sz w:val="24"/>
                <w:szCs w:val="24"/>
              </w:rPr>
              <w:t>无形资产</w:t>
            </w:r>
          </w:p>
        </w:tc>
      </w:tr>
      <w:tr>
        <w:trPr>
          <w:trHeight w:val="894" w:hRule="exact"/>
        </w:trPr>
        <w:tc>
          <w:tcPr>
            <w:tcW w:w="778" w:type="dxa"/>
            <w:tcBorders>
              <w:top w:val="nil" w:sz="6" w:space="0" w:color="auto"/>
              <w:left w:val="nil" w:sz="6" w:space="0" w:color="auto"/>
              <w:bottom w:val="nil" w:sz="6" w:space="0" w:color="auto"/>
              <w:right w:val="nil" w:sz="6" w:space="0" w:color="auto"/>
            </w:tcBorders>
          </w:tcPr>
          <w:p>
            <w:pPr/>
          </w:p>
        </w:tc>
        <w:tc>
          <w:tcPr>
            <w:tcW w:w="8332"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150" w:right="257"/>
              <w:jc w:val="left"/>
              <w:rPr>
                <w:rFonts w:ascii="宋体" w:hAnsi="宋体" w:cs="宋体" w:eastAsia="宋体" w:hint="default"/>
                <w:sz w:val="24"/>
                <w:szCs w:val="24"/>
              </w:rPr>
            </w:pPr>
            <w:r>
              <w:rPr>
                <w:rFonts w:ascii="宋体" w:hAnsi="宋体" w:cs="宋体" w:eastAsia="宋体" w:hint="default"/>
                <w:sz w:val="24"/>
                <w:szCs w:val="24"/>
              </w:rPr>
              <w:t>无形资产包括土地使用权、软件、商标及域名、客户关系及客户清单以及版 权等。</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833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4"/>
                <w:szCs w:val="24"/>
              </w:rPr>
            </w:pPr>
            <w:r>
              <w:rPr>
                <w:rFonts w:ascii="宋体" w:hAnsi="宋体" w:cs="宋体" w:eastAsia="宋体" w:hint="default"/>
                <w:sz w:val="24"/>
                <w:szCs w:val="24"/>
              </w:rPr>
              <w:t>土地使用权</w:t>
            </w:r>
          </w:p>
        </w:tc>
      </w:tr>
      <w:tr>
        <w:trPr>
          <w:trHeight w:val="895" w:hRule="exact"/>
        </w:trPr>
        <w:tc>
          <w:tcPr>
            <w:tcW w:w="778" w:type="dxa"/>
            <w:tcBorders>
              <w:top w:val="nil" w:sz="6" w:space="0" w:color="auto"/>
              <w:left w:val="nil" w:sz="6" w:space="0" w:color="auto"/>
              <w:bottom w:val="nil" w:sz="6" w:space="0" w:color="auto"/>
              <w:right w:val="nil" w:sz="6" w:space="0" w:color="auto"/>
            </w:tcBorders>
          </w:tcPr>
          <w:p>
            <w:pPr/>
          </w:p>
        </w:tc>
        <w:tc>
          <w:tcPr>
            <w:tcW w:w="833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50" w:right="270"/>
              <w:jc w:val="left"/>
              <w:rPr>
                <w:rFonts w:ascii="宋体" w:hAnsi="宋体" w:cs="宋体" w:eastAsia="宋体" w:hint="default"/>
                <w:sz w:val="24"/>
                <w:szCs w:val="24"/>
              </w:rPr>
            </w:pPr>
            <w:r>
              <w:rPr>
                <w:rFonts w:ascii="宋体" w:hAnsi="宋体" w:cs="宋体" w:eastAsia="宋体" w:hint="default"/>
                <w:sz w:val="24"/>
                <w:szCs w:val="24"/>
              </w:rPr>
              <w:t>土地使用权按使用年限</w:t>
            </w:r>
            <w:r>
              <w:rPr>
                <w:rFonts w:ascii="宋体" w:hAnsi="宋体" w:cs="宋体" w:eastAsia="宋体" w:hint="default"/>
                <w:spacing w:val="-58"/>
                <w:sz w:val="24"/>
                <w:szCs w:val="24"/>
              </w:rPr>
              <w:t> </w:t>
            </w:r>
            <w:r>
              <w:rPr>
                <w:rFonts w:ascii="Arial" w:hAnsi="Arial" w:cs="Arial" w:eastAsia="Arial" w:hint="default"/>
                <w:sz w:val="24"/>
                <w:szCs w:val="24"/>
              </w:rPr>
              <w:t>40</w:t>
            </w:r>
            <w:r>
              <w:rPr>
                <w:rFonts w:ascii="Arial" w:hAnsi="Arial" w:cs="Arial" w:eastAsia="Arial"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58"/>
                <w:sz w:val="24"/>
                <w:szCs w:val="24"/>
              </w:rPr>
              <w:t> </w:t>
            </w:r>
            <w:r>
              <w:rPr>
                <w:rFonts w:ascii="Arial" w:hAnsi="Arial" w:cs="Arial" w:eastAsia="Arial" w:hint="default"/>
                <w:sz w:val="24"/>
                <w:szCs w:val="24"/>
              </w:rPr>
              <w:t>70</w:t>
            </w:r>
            <w:r>
              <w:rPr>
                <w:rFonts w:ascii="Arial" w:hAnsi="Arial" w:cs="Arial" w:eastAsia="Arial" w:hint="default"/>
                <w:spacing w:val="-5"/>
                <w:sz w:val="24"/>
                <w:szCs w:val="24"/>
              </w:rPr>
              <w:t> </w:t>
            </w:r>
            <w:r>
              <w:rPr>
                <w:rFonts w:ascii="宋体" w:hAnsi="宋体" w:cs="宋体" w:eastAsia="宋体" w:hint="default"/>
                <w:spacing w:val="-4"/>
                <w:sz w:val="24"/>
                <w:szCs w:val="24"/>
              </w:rPr>
              <w:t>年平均摊销。外购土地及建筑物的价款难以</w:t>
            </w:r>
            <w:r>
              <w:rPr>
                <w:rFonts w:ascii="宋体" w:hAnsi="宋体" w:cs="宋体" w:eastAsia="宋体" w:hint="default"/>
                <w:sz w:val="24"/>
                <w:szCs w:val="24"/>
              </w:rPr>
              <w:t> 在土地使用权与建筑物之间合理分配的，全部作为固定资产。</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833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4"/>
                <w:szCs w:val="24"/>
              </w:rPr>
            </w:pPr>
            <w:r>
              <w:rPr>
                <w:rFonts w:ascii="宋体" w:hAnsi="宋体" w:cs="宋体" w:eastAsia="宋体" w:hint="default"/>
                <w:sz w:val="24"/>
                <w:szCs w:val="24"/>
              </w:rPr>
              <w:t>软件</w:t>
            </w:r>
          </w:p>
        </w:tc>
      </w:tr>
      <w:tr>
        <w:trPr>
          <w:trHeight w:val="590" w:hRule="exact"/>
        </w:trPr>
        <w:tc>
          <w:tcPr>
            <w:tcW w:w="778" w:type="dxa"/>
            <w:tcBorders>
              <w:top w:val="nil" w:sz="6" w:space="0" w:color="auto"/>
              <w:left w:val="nil" w:sz="6" w:space="0" w:color="auto"/>
              <w:bottom w:val="nil" w:sz="6" w:space="0" w:color="auto"/>
              <w:right w:val="nil" w:sz="6" w:space="0" w:color="auto"/>
            </w:tcBorders>
          </w:tcPr>
          <w:p>
            <w:pPr/>
          </w:p>
        </w:tc>
        <w:tc>
          <w:tcPr>
            <w:tcW w:w="833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0" w:right="0"/>
              <w:jc w:val="left"/>
              <w:rPr>
                <w:rFonts w:ascii="宋体" w:hAnsi="宋体" w:cs="宋体" w:eastAsia="宋体" w:hint="default"/>
                <w:sz w:val="24"/>
                <w:szCs w:val="24"/>
              </w:rPr>
            </w:pPr>
            <w:r>
              <w:rPr>
                <w:rFonts w:ascii="宋体" w:hAnsi="宋体" w:cs="宋体" w:eastAsia="宋体" w:hint="default"/>
                <w:sz w:val="24"/>
                <w:szCs w:val="24"/>
              </w:rPr>
              <w:t>软件以实际成本计量，按预计使用年限</w:t>
            </w:r>
            <w:r>
              <w:rPr>
                <w:rFonts w:ascii="宋体" w:hAnsi="宋体" w:cs="宋体" w:eastAsia="宋体" w:hint="default"/>
                <w:spacing w:val="-60"/>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年平均摊销。</w:t>
            </w:r>
          </w:p>
        </w:tc>
      </w:tr>
      <w:tr>
        <w:trPr>
          <w:trHeight w:val="585"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(c)</w:t>
            </w:r>
          </w:p>
        </w:tc>
        <w:tc>
          <w:tcPr>
            <w:tcW w:w="833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宋体" w:hAnsi="宋体" w:cs="宋体" w:eastAsia="宋体" w:hint="default"/>
                <w:sz w:val="24"/>
                <w:szCs w:val="24"/>
              </w:rPr>
            </w:pPr>
            <w:r>
              <w:rPr>
                <w:rFonts w:ascii="宋体" w:hAnsi="宋体" w:cs="宋体" w:eastAsia="宋体" w:hint="default"/>
                <w:sz w:val="24"/>
                <w:szCs w:val="24"/>
              </w:rPr>
              <w:t>商标及域名、客户关系及客户清单</w:t>
            </w:r>
          </w:p>
        </w:tc>
      </w:tr>
      <w:tr>
        <w:trPr>
          <w:trHeight w:val="1206" w:hRule="exact"/>
        </w:trPr>
        <w:tc>
          <w:tcPr>
            <w:tcW w:w="778" w:type="dxa"/>
            <w:tcBorders>
              <w:top w:val="nil" w:sz="6" w:space="0" w:color="auto"/>
              <w:left w:val="nil" w:sz="6" w:space="0" w:color="auto"/>
              <w:bottom w:val="nil" w:sz="6" w:space="0" w:color="auto"/>
              <w:right w:val="nil" w:sz="6" w:space="0" w:color="auto"/>
            </w:tcBorders>
          </w:tcPr>
          <w:p>
            <w:pPr/>
          </w:p>
        </w:tc>
        <w:tc>
          <w:tcPr>
            <w:tcW w:w="8332"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0" w:right="231"/>
              <w:jc w:val="both"/>
              <w:rPr>
                <w:rFonts w:ascii="宋体" w:hAnsi="宋体" w:cs="宋体" w:eastAsia="宋体" w:hint="default"/>
                <w:sz w:val="24"/>
                <w:szCs w:val="24"/>
              </w:rPr>
            </w:pPr>
            <w:r>
              <w:rPr>
                <w:rFonts w:ascii="宋体" w:hAnsi="宋体" w:cs="宋体" w:eastAsia="宋体" w:hint="default"/>
                <w:sz w:val="24"/>
                <w:szCs w:val="24"/>
              </w:rPr>
              <w:t>商标及域名、客户关系及客户清单是在业务合并过程中确认的无形资产。商</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标及域名、客户关系及客户清单以公允价值入账，并按其预计受益期间分期</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平均摊销。</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(d)</w:t>
            </w:r>
          </w:p>
        </w:tc>
        <w:tc>
          <w:tcPr>
            <w:tcW w:w="833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4"/>
                <w:szCs w:val="24"/>
              </w:rPr>
            </w:pPr>
            <w:r>
              <w:rPr>
                <w:rFonts w:ascii="宋体" w:hAnsi="宋体" w:cs="宋体" w:eastAsia="宋体" w:hint="default"/>
                <w:sz w:val="24"/>
                <w:szCs w:val="24"/>
              </w:rPr>
              <w:t>版权</w:t>
            </w:r>
          </w:p>
        </w:tc>
      </w:tr>
      <w:tr>
        <w:trPr>
          <w:trHeight w:val="1036" w:hRule="exact"/>
        </w:trPr>
        <w:tc>
          <w:tcPr>
            <w:tcW w:w="778" w:type="dxa"/>
            <w:tcBorders>
              <w:top w:val="nil" w:sz="6" w:space="0" w:color="auto"/>
              <w:left w:val="nil" w:sz="6" w:space="0" w:color="auto"/>
              <w:bottom w:val="nil" w:sz="6" w:space="0" w:color="auto"/>
              <w:right w:val="nil" w:sz="6" w:space="0" w:color="auto"/>
            </w:tcBorders>
          </w:tcPr>
          <w:p>
            <w:pPr/>
          </w:p>
        </w:tc>
        <w:tc>
          <w:tcPr>
            <w:tcW w:w="8332" w:type="dxa"/>
            <w:tcBorders>
              <w:top w:val="nil" w:sz="6" w:space="0" w:color="auto"/>
              <w:left w:val="nil" w:sz="6" w:space="0" w:color="auto"/>
              <w:bottom w:val="nil" w:sz="6" w:space="0" w:color="auto"/>
              <w:right w:val="nil" w:sz="6" w:space="0" w:color="auto"/>
            </w:tcBorders>
          </w:tcPr>
          <w:p>
            <w:pPr>
              <w:pStyle w:val="TableParagraph"/>
              <w:spacing w:line="232" w:lineRule="auto" w:before="107"/>
              <w:ind w:left="150" w:right="257"/>
              <w:jc w:val="both"/>
              <w:rPr>
                <w:rFonts w:ascii="宋体" w:hAnsi="宋体" w:cs="宋体" w:eastAsia="宋体" w:hint="default"/>
                <w:sz w:val="24"/>
                <w:szCs w:val="24"/>
              </w:rPr>
            </w:pPr>
            <w:r>
              <w:rPr>
                <w:rFonts w:ascii="宋体" w:hAnsi="宋体" w:cs="宋体" w:eastAsia="宋体" w:hint="default"/>
                <w:spacing w:val="2"/>
                <w:sz w:val="24"/>
                <w:szCs w:val="24"/>
              </w:rPr>
              <w:t>版权为影视版权，其预计使用年限为版权授权期限或</w:t>
            </w:r>
            <w:r>
              <w:rPr>
                <w:rFonts w:ascii="Arial" w:hAnsi="Arial" w:cs="Arial" w:eastAsia="Arial" w:hint="default"/>
                <w:spacing w:val="2"/>
                <w:sz w:val="24"/>
                <w:szCs w:val="24"/>
              </w:rPr>
              <w:t>5</w:t>
            </w:r>
            <w:r>
              <w:rPr>
                <w:rFonts w:ascii="宋体" w:hAnsi="宋体" w:cs="宋体" w:eastAsia="宋体" w:hint="default"/>
                <w:spacing w:val="2"/>
                <w:sz w:val="24"/>
                <w:szCs w:val="24"/>
              </w:rPr>
              <w:t>年，本集团在取得版</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权时判定其使用寿命，在使用寿命内采用直线法摊销，摊销金额按照受益项 目计入当期损益。</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10"/>
        <w:gridCol w:w="8304"/>
      </w:tblGrid>
      <w:tr>
        <w:trPr>
          <w:trHeight w:val="500"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8304" w:type="dxa"/>
            <w:tcBorders>
              <w:top w:val="nil" w:sz="6" w:space="0" w:color="auto"/>
              <w:left w:val="nil" w:sz="6" w:space="0" w:color="auto"/>
              <w:bottom w:val="nil" w:sz="6" w:space="0" w:color="auto"/>
              <w:right w:val="nil" w:sz="6" w:space="0" w:color="auto"/>
            </w:tcBorders>
          </w:tcPr>
          <w:p>
            <w:pPr>
              <w:pStyle w:val="TableParagraph"/>
              <w:spacing w:line="247" w:lineRule="exact"/>
              <w:ind w:left="216" w:right="0"/>
              <w:jc w:val="left"/>
              <w:rPr>
                <w:rFonts w:ascii="宋体" w:hAnsi="宋体" w:cs="宋体" w:eastAsia="宋体" w:hint="default"/>
                <w:sz w:val="24"/>
                <w:szCs w:val="24"/>
              </w:rPr>
            </w:pPr>
            <w:r>
              <w:rPr>
                <w:rFonts w:ascii="宋体" w:hAnsi="宋体" w:cs="宋体" w:eastAsia="宋体" w:hint="default"/>
                <w:sz w:val="24"/>
                <w:szCs w:val="24"/>
              </w:rPr>
              <w:t>定期复核使用寿命和摊销方法</w:t>
            </w:r>
          </w:p>
        </w:tc>
      </w:tr>
      <w:tr>
        <w:trPr>
          <w:trHeight w:val="805" w:hRule="exact"/>
        </w:trPr>
        <w:tc>
          <w:tcPr>
            <w:tcW w:w="710" w:type="dxa"/>
            <w:tcBorders>
              <w:top w:val="nil" w:sz="6" w:space="0" w:color="auto"/>
              <w:left w:val="nil" w:sz="6" w:space="0" w:color="auto"/>
              <w:bottom w:val="nil" w:sz="6" w:space="0" w:color="auto"/>
              <w:right w:val="nil" w:sz="6" w:space="0" w:color="auto"/>
            </w:tcBorders>
          </w:tcPr>
          <w:p>
            <w:pPr/>
          </w:p>
        </w:tc>
        <w:tc>
          <w:tcPr>
            <w:tcW w:w="8304"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216" w:right="198"/>
              <w:jc w:val="left"/>
              <w:rPr>
                <w:rFonts w:ascii="宋体" w:hAnsi="宋体" w:cs="宋体" w:eastAsia="宋体" w:hint="default"/>
                <w:sz w:val="24"/>
                <w:szCs w:val="24"/>
              </w:rPr>
            </w:pPr>
            <w:r>
              <w:rPr>
                <w:rFonts w:ascii="宋体" w:hAnsi="宋体" w:cs="宋体" w:eastAsia="宋体" w:hint="default"/>
                <w:spacing w:val="5"/>
                <w:sz w:val="24"/>
                <w:szCs w:val="24"/>
              </w:rPr>
              <w:t>对使用寿命有限的无形资产的预计使用寿命及摊销方法于每年年度终了进</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行复核并作适当调整。</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7"/>
        <w:gridCol w:w="8457"/>
      </w:tblGrid>
      <w:tr>
        <w:trPr>
          <w:trHeight w:val="49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7"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(17)</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(f)</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宋体" w:hAnsi="宋体" w:cs="宋体" w:eastAsia="宋体" w:hint="default"/>
                <w:sz w:val="24"/>
                <w:szCs w:val="24"/>
              </w:rPr>
            </w:pPr>
            <w:r>
              <w:rPr>
                <w:rFonts w:ascii="宋体" w:hAnsi="宋体" w:cs="宋体" w:eastAsia="宋体" w:hint="default"/>
                <w:sz w:val="24"/>
                <w:szCs w:val="24"/>
              </w:rPr>
              <w:t>研究与开发</w:t>
            </w:r>
          </w:p>
        </w:tc>
      </w:tr>
      <w:tr>
        <w:trPr>
          <w:trHeight w:val="1369" w:hRule="exact"/>
        </w:trPr>
        <w:tc>
          <w:tcPr>
            <w:tcW w:w="777"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150" w:right="317"/>
              <w:jc w:val="both"/>
              <w:rPr>
                <w:rFonts w:ascii="宋体" w:hAnsi="宋体" w:cs="宋体" w:eastAsia="宋体" w:hint="default"/>
                <w:sz w:val="24"/>
                <w:szCs w:val="24"/>
              </w:rPr>
            </w:pPr>
            <w:r>
              <w:rPr>
                <w:rFonts w:ascii="宋体" w:hAnsi="宋体" w:cs="宋体" w:eastAsia="宋体" w:hint="default"/>
                <w:sz w:val="24"/>
                <w:szCs w:val="24"/>
              </w:rPr>
              <w:t>本集团开展系统软件的研究与开发。研究开发项目支出根据其性质以及研发</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活动最终形成无形资产是否具有较大不确定性，被分为研究阶段支出和开发</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阶段支出。</w:t>
            </w:r>
          </w:p>
        </w:tc>
      </w:tr>
      <w:tr>
        <w:trPr>
          <w:trHeight w:val="3579" w:hRule="exact"/>
        </w:trPr>
        <w:tc>
          <w:tcPr>
            <w:tcW w:w="777"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198"/>
              <w:jc w:val="left"/>
              <w:rPr>
                <w:rFonts w:ascii="宋体" w:hAnsi="宋体" w:cs="宋体" w:eastAsia="宋体" w:hint="default"/>
                <w:sz w:val="24"/>
                <w:szCs w:val="24"/>
              </w:rPr>
            </w:pPr>
            <w:r>
              <w:rPr>
                <w:rFonts w:ascii="宋体" w:hAnsi="宋体" w:cs="宋体" w:eastAsia="宋体" w:hint="default"/>
                <w:sz w:val="24"/>
                <w:szCs w:val="24"/>
              </w:rPr>
              <w:t>为研究软件而进行的有计划的调查、评价和选择阶段的支出为研究阶段的支</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2"/>
                <w:sz w:val="24"/>
                <w:szCs w:val="24"/>
              </w:rPr>
              <w:t>出，于发生时计入当期损益；最终应用之前，针对软件最终应用的相关设计、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测试阶段的支出为开发阶段的支出，同时满足下列条件的，予以资本化：</w:t>
            </w:r>
          </w:p>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322"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软件的开发已经技术团队进行充分论证；</w:t>
            </w:r>
          </w:p>
          <w:p>
            <w:pPr>
              <w:pStyle w:val="TableParagraph"/>
              <w:spacing w:line="312"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管理层已批准软件开发的预算；</w:t>
            </w:r>
          </w:p>
          <w:p>
            <w:pPr>
              <w:pStyle w:val="TableParagraph"/>
              <w:spacing w:line="312"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前期市场调研的研究分析说明软件的使用将如何产生经济利益；</w:t>
            </w:r>
          </w:p>
          <w:p>
            <w:pPr>
              <w:pStyle w:val="TableParagraph"/>
              <w:spacing w:line="310" w:lineRule="exact" w:before="21"/>
              <w:ind w:left="468" w:right="319" w:hanging="285"/>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2"/>
                <w:sz w:val="24"/>
                <w:szCs w:val="24"/>
              </w:rPr>
              <w:t></w:t>
            </w:r>
            <w:r>
              <w:rPr>
                <w:rFonts w:ascii="Times New Roman" w:hAnsi="Times New Roman" w:cs="Times New Roman" w:eastAsia="Times New Roman" w:hint="default"/>
                <w:spacing w:val="42"/>
                <w:sz w:val="24"/>
                <w:szCs w:val="24"/>
              </w:rPr>
            </w:r>
            <w:r>
              <w:rPr>
                <w:rFonts w:ascii="宋体" w:hAnsi="宋体" w:cs="宋体" w:eastAsia="宋体" w:hint="default"/>
                <w:sz w:val="24"/>
                <w:szCs w:val="24"/>
              </w:rPr>
              <w:t>有足够的技术和资金支持，以进行相关软件的开发活动及后续的使用；以</w:t>
            </w:r>
            <w:r>
              <w:rPr>
                <w:rFonts w:ascii="宋体" w:hAnsi="宋体" w:cs="宋体" w:eastAsia="宋体" w:hint="default"/>
                <w:w w:val="100"/>
                <w:sz w:val="24"/>
                <w:szCs w:val="24"/>
              </w:rPr>
              <w:t> </w:t>
            </w:r>
            <w:r>
              <w:rPr>
                <w:rFonts w:ascii="宋体" w:hAnsi="宋体" w:cs="宋体" w:eastAsia="宋体" w:hint="default"/>
                <w:sz w:val="24"/>
                <w:szCs w:val="24"/>
              </w:rPr>
              <w:t>及</w:t>
            </w:r>
          </w:p>
          <w:p>
            <w:pPr>
              <w:pStyle w:val="TableParagraph"/>
              <w:spacing w:line="303"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软件开发的支出能够可靠地归集。</w:t>
            </w:r>
          </w:p>
        </w:tc>
      </w:tr>
      <w:tr>
        <w:trPr>
          <w:trHeight w:val="1652" w:hRule="exact"/>
        </w:trPr>
        <w:tc>
          <w:tcPr>
            <w:tcW w:w="777"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57"/>
              <w:ind w:left="150" w:right="323"/>
              <w:jc w:val="both"/>
              <w:rPr>
                <w:rFonts w:ascii="宋体" w:hAnsi="宋体" w:cs="宋体" w:eastAsia="宋体" w:hint="default"/>
                <w:sz w:val="24"/>
                <w:szCs w:val="24"/>
              </w:rPr>
            </w:pPr>
            <w:r>
              <w:rPr>
                <w:rFonts w:ascii="宋体" w:hAnsi="宋体" w:cs="宋体" w:eastAsia="宋体" w:hint="default"/>
                <w:sz w:val="24"/>
                <w:szCs w:val="24"/>
              </w:rPr>
              <w:t>不满足上述条件的开发阶段的支出，于发生时计入当期损益。以前期间已计</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入损益的开发支出不在以后期间重新确认为资产。已资本化的开发阶段的支</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出在资产负债表上列示为开发支出，自该项目达到预定用途之日起转为无形</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资产。</w:t>
            </w:r>
          </w:p>
        </w:tc>
      </w:tr>
      <w:tr>
        <w:trPr>
          <w:trHeight w:val="75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(g)</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无形资产减值</w:t>
            </w:r>
          </w:p>
        </w:tc>
      </w:tr>
      <w:tr>
        <w:trPr>
          <w:trHeight w:val="1061" w:hRule="exact"/>
        </w:trPr>
        <w:tc>
          <w:tcPr>
            <w:tcW w:w="777"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50" w:right="317"/>
              <w:jc w:val="left"/>
              <w:rPr>
                <w:rFonts w:ascii="宋体" w:hAnsi="宋体" w:cs="宋体" w:eastAsia="宋体" w:hint="default"/>
                <w:sz w:val="24"/>
                <w:szCs w:val="24"/>
              </w:rPr>
            </w:pPr>
            <w:r>
              <w:rPr>
                <w:rFonts w:ascii="宋体" w:hAnsi="宋体" w:cs="宋体" w:eastAsia="宋体" w:hint="default"/>
                <w:spacing w:val="-1"/>
                <w:sz w:val="24"/>
                <w:szCs w:val="24"/>
              </w:rPr>
              <w:t>当无形资产的可收回金额低于其账面价值时，账面价值减记至可收回金额</w:t>
            </w:r>
            <w:r>
              <w:rPr>
                <w:rFonts w:ascii="Arial" w:hAnsi="Arial" w:cs="Arial" w:eastAsia="Arial" w:hint="default"/>
                <w:spacing w:val="-1"/>
                <w:sz w:val="24"/>
                <w:szCs w:val="24"/>
              </w:rPr>
              <w:t>(</w:t>
            </w:r>
            <w:r>
              <w:rPr>
                <w:rFonts w:ascii="宋体" w:hAnsi="宋体" w:cs="宋体" w:eastAsia="宋体" w:hint="default"/>
                <w:spacing w:val="-1"/>
                <w:sz w:val="24"/>
                <w:szCs w:val="24"/>
              </w:rPr>
              <w:t>附</w:t>
            </w:r>
            <w:r>
              <w:rPr>
                <w:rFonts w:ascii="宋体" w:hAnsi="宋体" w:cs="宋体" w:eastAsia="宋体" w:hint="default"/>
                <w:spacing w:val="-101"/>
                <w:sz w:val="24"/>
                <w:szCs w:val="24"/>
              </w:rPr>
              <w:t> </w:t>
            </w:r>
            <w:r>
              <w:rPr>
                <w:rFonts w:ascii="宋体" w:hAnsi="宋体" w:cs="宋体" w:eastAsia="宋体" w:hint="default"/>
                <w:sz w:val="24"/>
                <w:szCs w:val="24"/>
              </w:rPr>
              <w:t>注二</w:t>
            </w:r>
            <w:r>
              <w:rPr>
                <w:rFonts w:ascii="Arial" w:hAnsi="Arial" w:cs="Arial" w:eastAsia="Arial" w:hint="default"/>
                <w:sz w:val="24"/>
                <w:szCs w:val="24"/>
              </w:rPr>
              <w:t>(19))</w:t>
            </w:r>
            <w:r>
              <w:rPr>
                <w:rFonts w:ascii="宋体" w:hAnsi="宋体" w:cs="宋体" w:eastAsia="宋体" w:hint="default"/>
                <w:sz w:val="24"/>
                <w:szCs w:val="24"/>
              </w:rPr>
              <w:t>。</w:t>
            </w:r>
          </w:p>
        </w:tc>
      </w:tr>
      <w:tr>
        <w:trPr>
          <w:trHeight w:val="74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(18)</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黑体" w:hAnsi="黑体" w:cs="黑体" w:eastAsia="黑体" w:hint="default"/>
                <w:sz w:val="24"/>
                <w:szCs w:val="24"/>
              </w:rPr>
            </w:pPr>
            <w:r>
              <w:rPr>
                <w:rFonts w:ascii="黑体" w:hAnsi="黑体" w:cs="黑体" w:eastAsia="黑体" w:hint="default"/>
                <w:sz w:val="24"/>
                <w:szCs w:val="24"/>
              </w:rPr>
              <w:t>长期待摊费用</w:t>
            </w:r>
          </w:p>
        </w:tc>
      </w:tr>
      <w:tr>
        <w:trPr>
          <w:trHeight w:val="1116" w:hRule="exact"/>
        </w:trPr>
        <w:tc>
          <w:tcPr>
            <w:tcW w:w="777"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318"/>
              <w:jc w:val="both"/>
              <w:rPr>
                <w:rFonts w:ascii="宋体" w:hAnsi="宋体" w:cs="宋体" w:eastAsia="宋体" w:hint="default"/>
                <w:sz w:val="24"/>
                <w:szCs w:val="24"/>
              </w:rPr>
            </w:pPr>
            <w:r>
              <w:rPr>
                <w:rFonts w:ascii="宋体" w:hAnsi="宋体" w:cs="宋体" w:eastAsia="宋体" w:hint="default"/>
                <w:sz w:val="24"/>
                <w:szCs w:val="24"/>
              </w:rPr>
              <w:t>长期待摊费用包括经营租入固定资产改良及其他已经发生但应由本期和以后</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各期负担的、分摊期限在一年以上的各项费用，按预计受益期间分期平均摊</w:t>
            </w:r>
            <w:r>
              <w:rPr>
                <w:rFonts w:ascii="宋体" w:hAnsi="宋体" w:cs="宋体" w:eastAsia="宋体" w:hint="default"/>
                <w:spacing w:val="-70"/>
                <w:sz w:val="24"/>
                <w:szCs w:val="24"/>
              </w:rPr>
              <w:t> </w:t>
            </w:r>
            <w:r>
              <w:rPr>
                <w:rFonts w:ascii="宋体" w:hAnsi="宋体" w:cs="宋体" w:eastAsia="宋体" w:hint="default"/>
                <w:spacing w:val="-70"/>
                <w:sz w:val="24"/>
                <w:szCs w:val="24"/>
              </w:rPr>
            </w:r>
            <w:r>
              <w:rPr>
                <w:rFonts w:ascii="宋体" w:hAnsi="宋体" w:cs="宋体" w:eastAsia="宋体" w:hint="default"/>
                <w:sz w:val="24"/>
                <w:szCs w:val="24"/>
              </w:rPr>
              <w:t>销，并以实际支出减去累计摊销后的净额列示。</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78"/>
        <w:gridCol w:w="8457"/>
      </w:tblGrid>
      <w:tr>
        <w:trPr>
          <w:trHeight w:val="53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7" w:type="dxa"/>
            <w:tcBorders>
              <w:top w:val="nil" w:sz="6" w:space="0" w:color="auto"/>
              <w:left w:val="nil" w:sz="6" w:space="0" w:color="auto"/>
              <w:bottom w:val="nil" w:sz="6" w:space="0" w:color="auto"/>
              <w:right w:val="nil" w:sz="6" w:space="0" w:color="auto"/>
            </w:tcBorders>
          </w:tcPr>
          <w:p>
            <w:pPr>
              <w:pStyle w:val="TableParagraph"/>
              <w:spacing w:line="257" w:lineRule="exact"/>
              <w:ind w:left="151"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(19)</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1" w:right="0"/>
              <w:jc w:val="left"/>
              <w:rPr>
                <w:rFonts w:ascii="黑体" w:hAnsi="黑体" w:cs="黑体" w:eastAsia="黑体" w:hint="default"/>
                <w:sz w:val="24"/>
                <w:szCs w:val="24"/>
              </w:rPr>
            </w:pPr>
            <w:r>
              <w:rPr>
                <w:rFonts w:ascii="黑体" w:hAnsi="黑体" w:cs="黑体" w:eastAsia="黑体" w:hint="default"/>
                <w:sz w:val="24"/>
                <w:szCs w:val="24"/>
              </w:rPr>
              <w:t>长期资产减值</w:t>
            </w:r>
          </w:p>
        </w:tc>
      </w:tr>
      <w:tr>
        <w:trPr>
          <w:trHeight w:val="5772" w:hRule="exact"/>
        </w:trPr>
        <w:tc>
          <w:tcPr>
            <w:tcW w:w="778"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1" w:right="316"/>
              <w:jc w:val="both"/>
              <w:rPr>
                <w:rFonts w:ascii="宋体" w:hAnsi="宋体" w:cs="宋体" w:eastAsia="宋体" w:hint="default"/>
                <w:sz w:val="24"/>
                <w:szCs w:val="24"/>
              </w:rPr>
            </w:pPr>
            <w:r>
              <w:rPr>
                <w:rFonts w:ascii="宋体" w:hAnsi="宋体" w:cs="宋体" w:eastAsia="宋体" w:hint="default"/>
                <w:sz w:val="24"/>
                <w:szCs w:val="24"/>
              </w:rPr>
              <w:t>固定资产、在建工程、使用寿命有限的无形资产、以成本模式计量的投资性</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房地产及对子公司、合营企业、联营企业的长期股权投资等，于资产负债表</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日存在减值迹象的，进行减值测试；尚未达到可使用状态的无形资产，无论</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是否存在减值迹象，至少每年进行减值测试。减值测试结果表明资产的可收</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回金额低于其账面价值的，按其差额计提减值准备并计入减值损失。可收回</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金额为资产的公允价值减去处置费用后的净额与资产预计未来现金流量的现</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值两者之间的较高者。资产减值准备按单项资产为基础计算并确认，如果难</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以对单项资产的可收回金额进行估计的，以该资产所属的资产组确定资产组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的可收回金额。资产组是能够独立产生现金流入的最小资产组合。</w:t>
            </w: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37" w:lineRule="auto"/>
              <w:ind w:left="151" w:right="320"/>
              <w:jc w:val="both"/>
              <w:rPr>
                <w:rFonts w:ascii="宋体" w:hAnsi="宋体" w:cs="宋体" w:eastAsia="宋体" w:hint="default"/>
                <w:sz w:val="24"/>
                <w:szCs w:val="24"/>
              </w:rPr>
            </w:pPr>
            <w:r>
              <w:rPr>
                <w:rFonts w:ascii="宋体" w:hAnsi="宋体" w:cs="宋体" w:eastAsia="宋体" w:hint="default"/>
                <w:sz w:val="24"/>
                <w:szCs w:val="24"/>
              </w:rPr>
              <w:t>在财务报表中单独列示的商誉，无论是否存在减值迹象，至少每年进行减值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测试。减值测试时，商誉的账面价值分摊至预期从企业合并的协同效应中受</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益的资产组或资产组组合。测试结果表明包含分摊的商誉的资产组或资产组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组合的可收回金额低于其账面价值的，确认相应的减值损失。减值损失金额</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先抵减分摊至该资产组或资产组组合的商誉的账面价值，再根据资产组或资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产组组合中除商誉以外的其他各项资产的账面价值所占比重，按比例抵减其</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他各项资产的账面价值。</w:t>
            </w:r>
          </w:p>
        </w:tc>
      </w:tr>
      <w:tr>
        <w:trPr>
          <w:trHeight w:val="727" w:hRule="exact"/>
        </w:trPr>
        <w:tc>
          <w:tcPr>
            <w:tcW w:w="778"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1" w:right="0"/>
              <w:jc w:val="left"/>
              <w:rPr>
                <w:rFonts w:ascii="宋体" w:hAnsi="宋体" w:cs="宋体" w:eastAsia="宋体" w:hint="default"/>
                <w:sz w:val="24"/>
                <w:szCs w:val="24"/>
              </w:rPr>
            </w:pPr>
            <w:r>
              <w:rPr>
                <w:rFonts w:ascii="宋体" w:hAnsi="宋体" w:cs="宋体" w:eastAsia="宋体" w:hint="default"/>
                <w:sz w:val="24"/>
                <w:szCs w:val="24"/>
              </w:rPr>
              <w:t>上述资产减值损失一经确认，以后期间不予转回价值得以恢复的部分。</w:t>
            </w:r>
          </w:p>
        </w:tc>
      </w:tr>
      <w:tr>
        <w:trPr>
          <w:trHeight w:val="72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(20)</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51" w:right="0"/>
              <w:jc w:val="left"/>
              <w:rPr>
                <w:rFonts w:ascii="黑体" w:hAnsi="黑体" w:cs="黑体" w:eastAsia="黑体" w:hint="default"/>
                <w:sz w:val="24"/>
                <w:szCs w:val="24"/>
              </w:rPr>
            </w:pPr>
            <w:r>
              <w:rPr>
                <w:rFonts w:ascii="黑体" w:hAnsi="黑体" w:cs="黑体" w:eastAsia="黑体" w:hint="default"/>
                <w:sz w:val="24"/>
                <w:szCs w:val="24"/>
              </w:rPr>
              <w:t>职工薪酬</w:t>
            </w:r>
          </w:p>
        </w:tc>
      </w:tr>
      <w:tr>
        <w:trPr>
          <w:trHeight w:val="985" w:hRule="exact"/>
        </w:trPr>
        <w:tc>
          <w:tcPr>
            <w:tcW w:w="778"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312" w:lineRule="exact" w:before="175"/>
              <w:ind w:left="151" w:right="198"/>
              <w:jc w:val="left"/>
              <w:rPr>
                <w:rFonts w:ascii="宋体" w:hAnsi="宋体" w:cs="宋体" w:eastAsia="宋体" w:hint="default"/>
                <w:sz w:val="24"/>
                <w:szCs w:val="24"/>
              </w:rPr>
            </w:pPr>
            <w:r>
              <w:rPr>
                <w:rFonts w:ascii="宋体" w:hAnsi="宋体" w:cs="宋体" w:eastAsia="宋体" w:hint="default"/>
                <w:sz w:val="24"/>
                <w:szCs w:val="24"/>
              </w:rPr>
              <w:t>职工薪酬是本集团为获得职工提供的服务或解除劳动关系而给予的各种形式</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6"/>
                <w:sz w:val="24"/>
                <w:szCs w:val="24"/>
              </w:rPr>
              <w:t>的报酬或补偿</w:t>
            </w:r>
            <w:r>
              <w:rPr>
                <w:rFonts w:ascii="宋体" w:hAnsi="宋体" w:cs="宋体" w:eastAsia="宋体" w:hint="default"/>
                <w:spacing w:val="-6"/>
                <w:sz w:val="24"/>
                <w:szCs w:val="24"/>
              </w:rPr>
              <w:t>,</w:t>
            </w:r>
            <w:r>
              <w:rPr>
                <w:rFonts w:ascii="宋体" w:hAnsi="宋体" w:cs="宋体" w:eastAsia="宋体" w:hint="default"/>
                <w:spacing w:val="-6"/>
                <w:sz w:val="24"/>
                <w:szCs w:val="24"/>
              </w:rPr>
              <w:t>包括短期薪酬、离职后福利、辞退福利和其他长期职工福利等。</w:t>
            </w:r>
          </w:p>
        </w:tc>
      </w:tr>
      <w:tr>
        <w:trPr>
          <w:trHeight w:val="66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51" w:right="0"/>
              <w:jc w:val="left"/>
              <w:rPr>
                <w:rFonts w:ascii="宋体" w:hAnsi="宋体" w:cs="宋体" w:eastAsia="宋体" w:hint="default"/>
                <w:sz w:val="24"/>
                <w:szCs w:val="24"/>
              </w:rPr>
            </w:pPr>
            <w:r>
              <w:rPr>
                <w:rFonts w:ascii="宋体" w:hAnsi="宋体" w:cs="宋体" w:eastAsia="宋体" w:hint="default"/>
                <w:sz w:val="24"/>
                <w:szCs w:val="24"/>
              </w:rPr>
              <w:t>短期薪酬</w:t>
            </w:r>
          </w:p>
        </w:tc>
      </w:tr>
      <w:tr>
        <w:trPr>
          <w:trHeight w:val="1354" w:hRule="exact"/>
        </w:trPr>
        <w:tc>
          <w:tcPr>
            <w:tcW w:w="778"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51" w:right="322"/>
              <w:jc w:val="both"/>
              <w:rPr>
                <w:rFonts w:ascii="宋体" w:hAnsi="宋体" w:cs="宋体" w:eastAsia="宋体" w:hint="default"/>
                <w:sz w:val="24"/>
                <w:szCs w:val="24"/>
              </w:rPr>
            </w:pPr>
            <w:r>
              <w:rPr>
                <w:rFonts w:ascii="宋体" w:hAnsi="宋体" w:cs="宋体" w:eastAsia="宋体" w:hint="default"/>
                <w:sz w:val="24"/>
                <w:szCs w:val="24"/>
              </w:rPr>
              <w:t>短期薪酬包括工资、奖金、津贴和补贴、职工福利费、医疗保险费、工伤保</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险费、生育保险费、住房公积金、工会和教育经费、短期带薪缺勤等。本集</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团在职工提供服务的会计期间，将实际发生的短期薪酬确认为负债，并计入</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当期损益或相关资产成本。其中，非货币性福利按照公允价值计量。</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776"/>
        <w:gridCol w:w="8457"/>
      </w:tblGrid>
      <w:tr>
        <w:trPr>
          <w:trHeight w:val="514"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7" w:type="dxa"/>
            <w:tcBorders>
              <w:top w:val="nil" w:sz="6" w:space="0" w:color="auto"/>
              <w:left w:val="nil" w:sz="6" w:space="0" w:color="auto"/>
              <w:bottom w:val="nil" w:sz="6" w:space="0" w:color="auto"/>
              <w:right w:val="nil" w:sz="6" w:space="0" w:color="auto"/>
            </w:tcBorders>
          </w:tcPr>
          <w:p>
            <w:pPr>
              <w:pStyle w:val="TableParagraph"/>
              <w:spacing w:line="257" w:lineRule="exact"/>
              <w:ind w:left="149"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9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(20)</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49" w:right="0"/>
              <w:jc w:val="left"/>
              <w:rPr>
                <w:rFonts w:ascii="Arial" w:hAnsi="Arial" w:cs="Arial" w:eastAsia="Arial" w:hint="default"/>
                <w:sz w:val="24"/>
                <w:szCs w:val="24"/>
              </w:rPr>
            </w:pPr>
            <w:r>
              <w:rPr>
                <w:rFonts w:ascii="黑体" w:hAnsi="黑体" w:cs="黑体" w:eastAsia="黑体" w:hint="default"/>
                <w:sz w:val="24"/>
                <w:szCs w:val="24"/>
              </w:rPr>
              <w:t>职工薪酬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3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87"/>
              <w:ind w:left="200" w:right="0"/>
              <w:jc w:val="left"/>
              <w:rPr>
                <w:rFonts w:ascii="Arial" w:hAnsi="Arial" w:cs="Arial" w:eastAsia="Arial" w:hint="default"/>
                <w:sz w:val="24"/>
                <w:szCs w:val="24"/>
              </w:rPr>
            </w:pPr>
            <w:r>
              <w:rPr>
                <w:rFonts w:ascii="Arial"/>
                <w:sz w:val="24"/>
              </w:rPr>
              <w:t>(b)</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49" w:right="0"/>
              <w:jc w:val="left"/>
              <w:rPr>
                <w:rFonts w:ascii="宋体" w:hAnsi="宋体" w:cs="宋体" w:eastAsia="宋体" w:hint="default"/>
                <w:sz w:val="24"/>
                <w:szCs w:val="24"/>
              </w:rPr>
            </w:pPr>
            <w:r>
              <w:rPr>
                <w:rFonts w:ascii="宋体" w:hAnsi="宋体" w:cs="宋体" w:eastAsia="宋体" w:hint="default"/>
                <w:sz w:val="24"/>
                <w:szCs w:val="24"/>
              </w:rPr>
              <w:t>离职后福利</w:t>
            </w:r>
          </w:p>
        </w:tc>
      </w:tr>
      <w:tr>
        <w:trPr>
          <w:trHeight w:val="1533" w:hRule="exact"/>
        </w:trPr>
        <w:tc>
          <w:tcPr>
            <w:tcW w:w="776"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08"/>
              <w:ind w:left="149" w:right="198"/>
              <w:jc w:val="both"/>
              <w:rPr>
                <w:rFonts w:ascii="宋体" w:hAnsi="宋体" w:cs="宋体" w:eastAsia="宋体" w:hint="default"/>
                <w:sz w:val="24"/>
                <w:szCs w:val="24"/>
              </w:rPr>
            </w:pPr>
            <w:r>
              <w:rPr>
                <w:rFonts w:ascii="宋体" w:hAnsi="宋体" w:cs="宋体" w:eastAsia="宋体" w:hint="default"/>
                <w:sz w:val="24"/>
                <w:szCs w:val="24"/>
              </w:rPr>
              <w:t>本集团将离职后福利计划分类为设定提存计划和设定受益计划。设定提存计</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划是本集团向独立的基金缴存固定费用后，不再承担进一步支付义务的离职</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后福利计划；设定受益计划是除设定提存计划以外的离职后福利计划。于报</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2"/>
                <w:sz w:val="24"/>
                <w:szCs w:val="24"/>
              </w:rPr>
              <w:t>告期内，本集团的离职后福利主要是为员工缴纳的基本养老保险和失业保险。</w:t>
            </w:r>
          </w:p>
        </w:tc>
      </w:tr>
      <w:tr>
        <w:trPr>
          <w:trHeight w:val="620" w:hRule="exact"/>
        </w:trPr>
        <w:tc>
          <w:tcPr>
            <w:tcW w:w="776"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9" w:right="0"/>
              <w:jc w:val="left"/>
              <w:rPr>
                <w:rFonts w:ascii="宋体" w:hAnsi="宋体" w:cs="宋体" w:eastAsia="宋体" w:hint="default"/>
                <w:sz w:val="24"/>
                <w:szCs w:val="24"/>
              </w:rPr>
            </w:pPr>
            <w:r>
              <w:rPr>
                <w:rFonts w:ascii="宋体" w:hAnsi="宋体" w:cs="宋体" w:eastAsia="宋体" w:hint="default"/>
                <w:sz w:val="24"/>
                <w:szCs w:val="24"/>
              </w:rPr>
              <w:t>基本养老保险</w:t>
            </w:r>
          </w:p>
        </w:tc>
      </w:tr>
      <w:tr>
        <w:trPr>
          <w:trHeight w:val="4667" w:hRule="exact"/>
        </w:trPr>
        <w:tc>
          <w:tcPr>
            <w:tcW w:w="776"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29"/>
              <w:ind w:left="149" w:right="322"/>
              <w:jc w:val="both"/>
              <w:rPr>
                <w:rFonts w:ascii="宋体" w:hAnsi="宋体" w:cs="宋体" w:eastAsia="宋体" w:hint="default"/>
                <w:sz w:val="24"/>
                <w:szCs w:val="24"/>
              </w:rPr>
            </w:pPr>
            <w:r>
              <w:rPr>
                <w:rFonts w:ascii="宋体" w:hAnsi="宋体" w:cs="宋体" w:eastAsia="宋体" w:hint="default"/>
                <w:spacing w:val="8"/>
                <w:sz w:val="24"/>
                <w:szCs w:val="24"/>
              </w:rPr>
              <w:t>本集团职工参加了由当地劳动和社会保障部门组织实施的社会基本养老保</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险。本集团以当地规定的社会基本养老保险缴纳基数和比例，按月向当地社</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会基本养老保险经办机构缴纳养老保险费。职工退休后，当地劳动及社会保</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障部门有责任向已退休员工支付社会基本养老金。本集团在职工提供服务的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会计期间，将根据上述社保规定计算应缴纳的金额确认为负债，并计入当期</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损益或相关资产成本。</w:t>
            </w: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2" w:lineRule="auto"/>
              <w:ind w:left="149" w:right="316"/>
              <w:jc w:val="both"/>
              <w:rPr>
                <w:rFonts w:ascii="宋体" w:hAnsi="宋体" w:cs="宋体" w:eastAsia="宋体" w:hint="default"/>
                <w:sz w:val="24"/>
                <w:szCs w:val="24"/>
              </w:rPr>
            </w:pPr>
            <w:r>
              <w:rPr>
                <w:rFonts w:ascii="宋体" w:hAnsi="宋体" w:cs="宋体" w:eastAsia="宋体" w:hint="default"/>
                <w:sz w:val="24"/>
                <w:szCs w:val="24"/>
              </w:rPr>
              <w:t>此外，本集团部分海外公司还向其职工提供国家规定的保险制度外的补充退</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休福利，该类补充退休福利属于设定受益计划。资产负债表上确认的设定受</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益负债为设定受益义务的现值减去计划资产的公允价值。设定受益义务每年</w:t>
            </w:r>
            <w:r>
              <w:rPr>
                <w:rFonts w:ascii="宋体" w:hAnsi="宋体" w:cs="宋体" w:eastAsia="宋体" w:hint="default"/>
                <w:spacing w:val="-66"/>
                <w:sz w:val="24"/>
                <w:szCs w:val="24"/>
              </w:rPr>
              <w:t> </w:t>
            </w:r>
            <w:r>
              <w:rPr>
                <w:rFonts w:ascii="宋体" w:hAnsi="宋体" w:cs="宋体" w:eastAsia="宋体" w:hint="default"/>
                <w:spacing w:val="-66"/>
                <w:sz w:val="24"/>
                <w:szCs w:val="24"/>
              </w:rPr>
            </w:r>
            <w:r>
              <w:rPr>
                <w:rFonts w:ascii="宋体" w:hAnsi="宋体" w:cs="宋体" w:eastAsia="宋体" w:hint="default"/>
                <w:sz w:val="24"/>
                <w:szCs w:val="24"/>
              </w:rPr>
              <w:t>由独立精算师采用与义务期限和币种相似的国债利率、以预期累积福利单位</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pacing w:val="-1"/>
                <w:sz w:val="24"/>
                <w:szCs w:val="24"/>
              </w:rPr>
              <w:t>法计算。与补充退休福利相关的服务费用</w:t>
            </w:r>
            <w:r>
              <w:rPr>
                <w:rFonts w:ascii="Arial" w:hAnsi="Arial" w:cs="Arial" w:eastAsia="Arial" w:hint="default"/>
                <w:spacing w:val="-1"/>
                <w:sz w:val="24"/>
                <w:szCs w:val="24"/>
              </w:rPr>
              <w:t>(</w:t>
            </w:r>
            <w:r>
              <w:rPr>
                <w:rFonts w:ascii="宋体" w:hAnsi="宋体" w:cs="宋体" w:eastAsia="宋体" w:hint="default"/>
                <w:spacing w:val="-1"/>
                <w:sz w:val="24"/>
                <w:szCs w:val="24"/>
              </w:rPr>
              <w:t>包括当期服务成本、过去服务成本</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1"/>
                <w:sz w:val="24"/>
                <w:szCs w:val="24"/>
              </w:rPr>
              <w:t>和结算利得或损失</w:t>
            </w:r>
            <w:r>
              <w:rPr>
                <w:rFonts w:ascii="Arial" w:hAnsi="Arial" w:cs="Arial" w:eastAsia="Arial" w:hint="default"/>
                <w:spacing w:val="-1"/>
                <w:sz w:val="24"/>
                <w:szCs w:val="24"/>
              </w:rPr>
              <w:t>)</w:t>
            </w:r>
            <w:r>
              <w:rPr>
                <w:rFonts w:ascii="宋体" w:hAnsi="宋体" w:cs="宋体" w:eastAsia="宋体" w:hint="default"/>
                <w:spacing w:val="-1"/>
                <w:sz w:val="24"/>
                <w:szCs w:val="24"/>
              </w:rPr>
              <w:t>和利息净额计入当期损益或相关资产成本，重新计量设定</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受益计划净负债或净资产所产生的变动计入其他综合收益。</w:t>
            </w:r>
          </w:p>
        </w:tc>
      </w:tr>
      <w:tr>
        <w:trPr>
          <w:trHeight w:val="666"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49" w:right="0"/>
              <w:jc w:val="left"/>
              <w:rPr>
                <w:rFonts w:ascii="宋体" w:hAnsi="宋体" w:cs="宋体" w:eastAsia="宋体" w:hint="default"/>
                <w:sz w:val="24"/>
                <w:szCs w:val="24"/>
              </w:rPr>
            </w:pPr>
            <w:r>
              <w:rPr>
                <w:rFonts w:ascii="宋体" w:hAnsi="宋体" w:cs="宋体" w:eastAsia="宋体" w:hint="default"/>
                <w:sz w:val="24"/>
                <w:szCs w:val="24"/>
              </w:rPr>
              <w:t>辞退福利</w:t>
            </w:r>
          </w:p>
        </w:tc>
      </w:tr>
      <w:tr>
        <w:trPr>
          <w:trHeight w:val="1838" w:hRule="exact"/>
        </w:trPr>
        <w:tc>
          <w:tcPr>
            <w:tcW w:w="776"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49" w:right="324"/>
              <w:jc w:val="both"/>
              <w:rPr>
                <w:rFonts w:ascii="宋体" w:hAnsi="宋体" w:cs="宋体" w:eastAsia="宋体" w:hint="default"/>
                <w:sz w:val="24"/>
                <w:szCs w:val="24"/>
              </w:rPr>
            </w:pPr>
            <w:r>
              <w:rPr>
                <w:rFonts w:ascii="宋体" w:hAnsi="宋体" w:cs="宋体" w:eastAsia="宋体" w:hint="default"/>
                <w:sz w:val="24"/>
                <w:szCs w:val="24"/>
              </w:rPr>
              <w:t>本集团在职工劳动合同到期之前解除与职工的劳动关系、或者为鼓励职工自</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愿接受裁减而提出给予补偿，在本集团不能单方面撤回解除劳动关系计划或</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8"/>
                <w:sz w:val="24"/>
                <w:szCs w:val="24"/>
              </w:rPr>
              <w:t>裁减建议时和确认与涉及支付辞退福利的重组相关的成本费用时两者孰早</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日，确认因解除与职工的劳动关系给予补偿而产生的负债，同时计入当期损</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益。</w:t>
            </w:r>
          </w:p>
        </w:tc>
      </w:tr>
      <w:tr>
        <w:trPr>
          <w:trHeight w:val="413" w:hRule="exact"/>
        </w:trPr>
        <w:tc>
          <w:tcPr>
            <w:tcW w:w="776"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9" w:right="0"/>
              <w:jc w:val="left"/>
              <w:rPr>
                <w:rFonts w:ascii="宋体" w:hAnsi="宋体" w:cs="宋体" w:eastAsia="宋体" w:hint="default"/>
                <w:sz w:val="24"/>
                <w:szCs w:val="24"/>
              </w:rPr>
            </w:pPr>
            <w:r>
              <w:rPr>
                <w:rFonts w:ascii="宋体" w:hAnsi="宋体" w:cs="宋体" w:eastAsia="宋体" w:hint="default"/>
                <w:sz w:val="24"/>
                <w:szCs w:val="24"/>
              </w:rPr>
              <w:t>预期在资产负债表日起一年内需支付的辞退福利，列示为流动负债。</w:t>
            </w:r>
          </w:p>
        </w:tc>
      </w:tr>
    </w:tbl>
    <w:p>
      <w:pPr>
        <w:spacing w:after="0" w:line="240"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7"/>
        <w:gridCol w:w="8455"/>
      </w:tblGrid>
      <w:tr>
        <w:trPr>
          <w:trHeight w:val="41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5"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(21)</w:t>
            </w: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黑体" w:hAnsi="黑体" w:cs="黑体" w:eastAsia="黑体" w:hint="default"/>
                <w:sz w:val="24"/>
                <w:szCs w:val="24"/>
              </w:rPr>
            </w:pPr>
            <w:r>
              <w:rPr>
                <w:rFonts w:ascii="黑体" w:hAnsi="黑体" w:cs="黑体" w:eastAsia="黑体" w:hint="default"/>
                <w:sz w:val="24"/>
                <w:szCs w:val="24"/>
              </w:rPr>
              <w:t>股利分配</w:t>
            </w:r>
          </w:p>
        </w:tc>
      </w:tr>
      <w:tr>
        <w:trPr>
          <w:trHeight w:val="584"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0" w:right="0"/>
              <w:jc w:val="left"/>
              <w:rPr>
                <w:rFonts w:ascii="宋体" w:hAnsi="宋体" w:cs="宋体" w:eastAsia="宋体" w:hint="default"/>
                <w:sz w:val="24"/>
                <w:szCs w:val="24"/>
              </w:rPr>
            </w:pPr>
            <w:r>
              <w:rPr>
                <w:rFonts w:ascii="宋体" w:hAnsi="宋体" w:cs="宋体" w:eastAsia="宋体" w:hint="default"/>
                <w:sz w:val="24"/>
                <w:szCs w:val="24"/>
              </w:rPr>
              <w:t>现金股利于股东大会批准的当期，确认为负债。</w:t>
            </w:r>
          </w:p>
        </w:tc>
      </w:tr>
      <w:tr>
        <w:trPr>
          <w:trHeight w:val="568"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(22)</w:t>
            </w: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黑体" w:hAnsi="黑体" w:cs="黑体" w:eastAsia="黑体" w:hint="default"/>
                <w:sz w:val="24"/>
                <w:szCs w:val="24"/>
              </w:rPr>
            </w:pPr>
            <w:r>
              <w:rPr>
                <w:rFonts w:ascii="黑体" w:hAnsi="黑体" w:cs="黑体" w:eastAsia="黑体" w:hint="default"/>
                <w:sz w:val="24"/>
                <w:szCs w:val="24"/>
              </w:rPr>
              <w:t>预计负债</w:t>
            </w:r>
          </w:p>
        </w:tc>
      </w:tr>
      <w:tr>
        <w:trPr>
          <w:trHeight w:val="841"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312" w:lineRule="exact" w:before="107"/>
              <w:ind w:left="150" w:right="322"/>
              <w:jc w:val="left"/>
              <w:rPr>
                <w:rFonts w:ascii="宋体" w:hAnsi="宋体" w:cs="宋体" w:eastAsia="宋体" w:hint="default"/>
                <w:sz w:val="24"/>
                <w:szCs w:val="24"/>
              </w:rPr>
            </w:pPr>
            <w:r>
              <w:rPr>
                <w:rFonts w:ascii="宋体" w:hAnsi="宋体" w:cs="宋体" w:eastAsia="宋体" w:hint="default"/>
                <w:sz w:val="24"/>
                <w:szCs w:val="24"/>
              </w:rPr>
              <w:t>因产品质量保证、亏损合同等形成的现时义务，当履行该义务很可能导致经</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济利益的流出，且其金额能够可靠计量时，确认为预计负债。</w:t>
            </w:r>
          </w:p>
        </w:tc>
      </w:tr>
      <w:tr>
        <w:trPr>
          <w:trHeight w:val="1842"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237" w:lineRule="auto" w:before="67"/>
              <w:ind w:left="150" w:right="322"/>
              <w:jc w:val="both"/>
              <w:rPr>
                <w:rFonts w:ascii="宋体" w:hAnsi="宋体" w:cs="宋体" w:eastAsia="宋体" w:hint="default"/>
                <w:sz w:val="24"/>
                <w:szCs w:val="24"/>
              </w:rPr>
            </w:pPr>
            <w:r>
              <w:rPr>
                <w:rFonts w:ascii="宋体" w:hAnsi="宋体" w:cs="宋体" w:eastAsia="宋体" w:hint="default"/>
                <w:sz w:val="24"/>
                <w:szCs w:val="24"/>
              </w:rPr>
              <w:t>预计负债按照履行相关现时义务所需支出的最佳估计数进行初始计量，并综</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合考虑与或有事项有关的风险、不确定性和货币时间价值等因素。货币时间</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价值影响重大的，通过对相关未来现金流出进行折现后确定最佳估计数；因</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随着时间推移所进行的折现还原而导致的预计负债账面价值的增加金额，确</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认为利息费用。</w:t>
            </w:r>
          </w:p>
        </w:tc>
      </w:tr>
      <w:tr>
        <w:trPr>
          <w:trHeight w:val="940"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50" w:right="322"/>
              <w:jc w:val="left"/>
              <w:rPr>
                <w:rFonts w:ascii="宋体" w:hAnsi="宋体" w:cs="宋体" w:eastAsia="宋体" w:hint="default"/>
                <w:sz w:val="24"/>
                <w:szCs w:val="24"/>
              </w:rPr>
            </w:pPr>
            <w:r>
              <w:rPr>
                <w:rFonts w:ascii="宋体" w:hAnsi="宋体" w:cs="宋体" w:eastAsia="宋体" w:hint="default"/>
                <w:sz w:val="24"/>
                <w:szCs w:val="24"/>
              </w:rPr>
              <w:t>于资产负债表日，对预计负债的账面价值进行复核并作适当调整，以反映当</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前的最佳估计数。</w:t>
            </w:r>
          </w:p>
        </w:tc>
      </w:tr>
      <w:tr>
        <w:trPr>
          <w:trHeight w:val="59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(23)</w:t>
            </w: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黑体" w:hAnsi="黑体" w:cs="黑体" w:eastAsia="黑体" w:hint="default"/>
                <w:sz w:val="24"/>
                <w:szCs w:val="24"/>
              </w:rPr>
            </w:pPr>
            <w:r>
              <w:rPr>
                <w:rFonts w:ascii="黑体" w:hAnsi="黑体" w:cs="黑体" w:eastAsia="黑体" w:hint="default"/>
                <w:sz w:val="24"/>
                <w:szCs w:val="24"/>
              </w:rPr>
              <w:t>积分计划</w:t>
            </w:r>
          </w:p>
        </w:tc>
      </w:tr>
      <w:tr>
        <w:trPr>
          <w:trHeight w:val="2473"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0" w:right="198"/>
              <w:jc w:val="left"/>
              <w:rPr>
                <w:rFonts w:ascii="宋体" w:hAnsi="宋体" w:cs="宋体" w:eastAsia="宋体" w:hint="default"/>
                <w:sz w:val="24"/>
                <w:szCs w:val="24"/>
              </w:rPr>
            </w:pPr>
            <w:r>
              <w:rPr>
                <w:rFonts w:ascii="宋体" w:hAnsi="宋体" w:cs="宋体" w:eastAsia="宋体" w:hint="default"/>
                <w:spacing w:val="-2"/>
                <w:sz w:val="24"/>
                <w:szCs w:val="24"/>
              </w:rPr>
              <w:t>本集团实施积分计划，顾客前次消费额产生的积分，可以在下次消费时抵用。</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授予顾客的积分奖励作为销售交易的一部分。销售取得的货款或应收货款在</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商品销售或劳务提供产生的收入与奖励积分的公允价值之间进行分配，取得</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的货款或应收货款扣除奖励积分公允价值的部分后确认为收入，奖励积分的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公允价值确认为递延收益。奖励积分确认的递延收益以授予顾客的积分为基</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准，并根据本集团已公布的积分使用方法和积分的预期兑付率后，按公允价</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值确认。</w:t>
            </w:r>
          </w:p>
        </w:tc>
      </w:tr>
      <w:tr>
        <w:trPr>
          <w:trHeight w:val="742"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310" w:lineRule="exact" w:before="149"/>
              <w:ind w:left="150" w:right="322"/>
              <w:jc w:val="left"/>
              <w:rPr>
                <w:rFonts w:ascii="宋体" w:hAnsi="宋体" w:cs="宋体" w:eastAsia="宋体" w:hint="default"/>
                <w:sz w:val="24"/>
                <w:szCs w:val="24"/>
              </w:rPr>
            </w:pPr>
            <w:r>
              <w:rPr>
                <w:rFonts w:ascii="宋体" w:hAnsi="宋体" w:cs="宋体" w:eastAsia="宋体" w:hint="default"/>
                <w:sz w:val="24"/>
                <w:szCs w:val="24"/>
              </w:rPr>
              <w:t>在顾客兑换奖励积分时，将原计入递延收益的与所兑换积分相关的部分确认</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为收入。</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77"/>
        <w:gridCol w:w="8331"/>
      </w:tblGrid>
      <w:tr>
        <w:trPr>
          <w:trHeight w:val="42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(24)</w:t>
            </w:r>
          </w:p>
        </w:tc>
        <w:tc>
          <w:tcPr>
            <w:tcW w:w="8331" w:type="dxa"/>
            <w:tcBorders>
              <w:top w:val="nil" w:sz="6" w:space="0" w:color="auto"/>
              <w:left w:val="nil" w:sz="6" w:space="0" w:color="auto"/>
              <w:bottom w:val="nil" w:sz="6" w:space="0" w:color="auto"/>
              <w:right w:val="nil" w:sz="6" w:space="0" w:color="auto"/>
            </w:tcBorders>
          </w:tcPr>
          <w:p>
            <w:pPr>
              <w:pStyle w:val="TableParagraph"/>
              <w:spacing w:line="247" w:lineRule="exact"/>
              <w:ind w:left="150" w:right="0"/>
              <w:jc w:val="left"/>
              <w:rPr>
                <w:rFonts w:ascii="黑体" w:hAnsi="黑体" w:cs="黑体" w:eastAsia="黑体" w:hint="default"/>
                <w:sz w:val="24"/>
                <w:szCs w:val="24"/>
              </w:rPr>
            </w:pPr>
            <w:r>
              <w:rPr>
                <w:rFonts w:ascii="黑体" w:hAnsi="黑体" w:cs="黑体" w:eastAsia="黑体" w:hint="default"/>
                <w:sz w:val="24"/>
                <w:szCs w:val="24"/>
              </w:rPr>
              <w:t>收入确认</w:t>
            </w:r>
          </w:p>
        </w:tc>
      </w:tr>
      <w:tr>
        <w:trPr>
          <w:trHeight w:val="1211" w:hRule="exact"/>
        </w:trPr>
        <w:tc>
          <w:tcPr>
            <w:tcW w:w="777" w:type="dxa"/>
            <w:tcBorders>
              <w:top w:val="nil" w:sz="6" w:space="0" w:color="auto"/>
              <w:left w:val="nil" w:sz="6" w:space="0" w:color="auto"/>
              <w:bottom w:val="nil" w:sz="6" w:space="0" w:color="auto"/>
              <w:right w:val="nil" w:sz="6" w:space="0" w:color="auto"/>
            </w:tcBorders>
          </w:tcPr>
          <w:p>
            <w:pPr/>
          </w:p>
        </w:tc>
        <w:tc>
          <w:tcPr>
            <w:tcW w:w="8331"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0" w:right="198" w:hanging="18"/>
              <w:jc w:val="both"/>
              <w:rPr>
                <w:rFonts w:ascii="宋体" w:hAnsi="宋体" w:cs="宋体" w:eastAsia="宋体" w:hint="default"/>
                <w:sz w:val="24"/>
                <w:szCs w:val="24"/>
              </w:rPr>
            </w:pPr>
            <w:r>
              <w:rPr>
                <w:rFonts w:ascii="宋体" w:hAnsi="宋体" w:cs="宋体" w:eastAsia="宋体" w:hint="default"/>
                <w:spacing w:val="2"/>
                <w:sz w:val="24"/>
                <w:szCs w:val="24"/>
              </w:rPr>
              <w:t>收入的金额按照本集团在日常经营活动中销售商品和提供劳务时，已收或应</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收合同或协议价款的公允价值确定。收入按扣除销售折让及销售退回的净额</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列示。</w:t>
            </w:r>
          </w:p>
        </w:tc>
      </w:tr>
      <w:tr>
        <w:trPr>
          <w:trHeight w:val="724" w:hRule="exact"/>
        </w:trPr>
        <w:tc>
          <w:tcPr>
            <w:tcW w:w="777" w:type="dxa"/>
            <w:tcBorders>
              <w:top w:val="nil" w:sz="6" w:space="0" w:color="auto"/>
              <w:left w:val="nil" w:sz="6" w:space="0" w:color="auto"/>
              <w:bottom w:val="nil" w:sz="6" w:space="0" w:color="auto"/>
              <w:right w:val="nil" w:sz="6" w:space="0" w:color="auto"/>
            </w:tcBorders>
          </w:tcPr>
          <w:p>
            <w:pPr/>
          </w:p>
        </w:tc>
        <w:tc>
          <w:tcPr>
            <w:tcW w:w="8331"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150" w:right="200" w:hanging="18"/>
              <w:jc w:val="left"/>
              <w:rPr>
                <w:rFonts w:ascii="宋体" w:hAnsi="宋体" w:cs="宋体" w:eastAsia="宋体" w:hint="default"/>
                <w:sz w:val="24"/>
                <w:szCs w:val="24"/>
              </w:rPr>
            </w:pPr>
            <w:r>
              <w:rPr>
                <w:rFonts w:ascii="宋体" w:hAnsi="宋体" w:cs="宋体" w:eastAsia="宋体" w:hint="default"/>
                <w:spacing w:val="2"/>
                <w:sz w:val="24"/>
                <w:szCs w:val="24"/>
              </w:rPr>
              <w:t>与交易相关的经济利益能够流入本集团，相关的收入能够可靠计量且满足下</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列各项经营活动的特定收入确认标准时，确认相关的收入：</w:t>
            </w:r>
          </w:p>
        </w:tc>
      </w:tr>
    </w:tbl>
    <w:p>
      <w:pPr>
        <w:spacing w:after="0" w:line="310"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68"/>
        <w:gridCol w:w="8350"/>
      </w:tblGrid>
      <w:tr>
        <w:trPr>
          <w:trHeight w:val="416"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50" w:type="dxa"/>
            <w:tcBorders>
              <w:top w:val="nil" w:sz="6" w:space="0" w:color="auto"/>
              <w:left w:val="nil" w:sz="6" w:space="0" w:color="auto"/>
              <w:bottom w:val="nil" w:sz="6" w:space="0" w:color="auto"/>
              <w:right w:val="nil" w:sz="6" w:space="0" w:color="auto"/>
            </w:tcBorders>
          </w:tcPr>
          <w:p>
            <w:pPr>
              <w:pStyle w:val="TableParagraph"/>
              <w:spacing w:line="257" w:lineRule="exact"/>
              <w:ind w:left="159"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(24)</w:t>
            </w:r>
          </w:p>
        </w:tc>
        <w:tc>
          <w:tcPr>
            <w:tcW w:w="835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9" w:right="0"/>
              <w:jc w:val="left"/>
              <w:rPr>
                <w:rFonts w:ascii="Arial" w:hAnsi="Arial" w:cs="Arial" w:eastAsia="Arial" w:hint="default"/>
                <w:sz w:val="24"/>
                <w:szCs w:val="24"/>
              </w:rPr>
            </w:pPr>
            <w:r>
              <w:rPr>
                <w:rFonts w:ascii="黑体" w:hAnsi="黑体" w:cs="黑体" w:eastAsia="黑体" w:hint="default"/>
                <w:sz w:val="24"/>
                <w:szCs w:val="24"/>
              </w:rPr>
              <w:t>收入确认</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5"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(a)</w:t>
            </w:r>
          </w:p>
        </w:tc>
        <w:tc>
          <w:tcPr>
            <w:tcW w:w="83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1" w:right="0"/>
              <w:jc w:val="left"/>
              <w:rPr>
                <w:rFonts w:ascii="宋体" w:hAnsi="宋体" w:cs="宋体" w:eastAsia="宋体" w:hint="default"/>
                <w:sz w:val="24"/>
                <w:szCs w:val="24"/>
              </w:rPr>
            </w:pPr>
            <w:r>
              <w:rPr>
                <w:rFonts w:ascii="宋体" w:hAnsi="宋体" w:cs="宋体" w:eastAsia="宋体" w:hint="default"/>
                <w:sz w:val="24"/>
                <w:szCs w:val="24"/>
              </w:rPr>
              <w:t>销售商品</w:t>
            </w:r>
          </w:p>
        </w:tc>
      </w:tr>
      <w:tr>
        <w:trPr>
          <w:trHeight w:val="1192" w:hRule="exact"/>
        </w:trPr>
        <w:tc>
          <w:tcPr>
            <w:tcW w:w="768"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237" w:lineRule="auto" w:before="88"/>
              <w:ind w:left="159" w:right="203"/>
              <w:jc w:val="both"/>
              <w:rPr>
                <w:rFonts w:ascii="宋体" w:hAnsi="宋体" w:cs="宋体" w:eastAsia="宋体" w:hint="default"/>
                <w:sz w:val="24"/>
                <w:szCs w:val="24"/>
              </w:rPr>
            </w:pPr>
            <w:r>
              <w:rPr>
                <w:rFonts w:ascii="宋体" w:hAnsi="宋体" w:cs="宋体" w:eastAsia="宋体" w:hint="default"/>
                <w:sz w:val="24"/>
                <w:szCs w:val="24"/>
              </w:rPr>
              <w:t>本集团从事商品零售业务，当本集团向消费者转移商品所有权凭证后，商品</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所有权上的主要风险和报酬随之转移，与销售该商品有关的成本能够可靠地</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计量，本集团在此时确认商品的销售收入。</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83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1" w:right="0"/>
              <w:jc w:val="left"/>
              <w:rPr>
                <w:rFonts w:ascii="宋体" w:hAnsi="宋体" w:cs="宋体" w:eastAsia="宋体" w:hint="default"/>
                <w:sz w:val="24"/>
                <w:szCs w:val="24"/>
              </w:rPr>
            </w:pPr>
            <w:r>
              <w:rPr>
                <w:rFonts w:ascii="宋体" w:hAnsi="宋体" w:cs="宋体" w:eastAsia="宋体" w:hint="default"/>
                <w:sz w:val="24"/>
                <w:szCs w:val="24"/>
              </w:rPr>
              <w:t>房地产销售</w:t>
            </w:r>
          </w:p>
        </w:tc>
      </w:tr>
      <w:tr>
        <w:trPr>
          <w:trHeight w:val="1829" w:hRule="exact"/>
        </w:trPr>
        <w:tc>
          <w:tcPr>
            <w:tcW w:w="768"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9" w:right="198" w:hanging="18"/>
              <w:jc w:val="both"/>
              <w:rPr>
                <w:rFonts w:ascii="宋体" w:hAnsi="宋体" w:cs="宋体" w:eastAsia="宋体" w:hint="default"/>
                <w:sz w:val="24"/>
                <w:szCs w:val="24"/>
              </w:rPr>
            </w:pPr>
            <w:r>
              <w:rPr>
                <w:rFonts w:ascii="宋体" w:hAnsi="宋体" w:cs="宋体" w:eastAsia="宋体" w:hint="default"/>
                <w:spacing w:val="2"/>
                <w:sz w:val="24"/>
                <w:szCs w:val="24"/>
              </w:rPr>
              <w:t>销售房地产开发产品的收入在开发产品完工并验收合格，签订具有法律约束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力的销售合同，将开发产品所有权上的主要风险和报酬转移给购买方，本集</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团既没有保留通常与所有权相联系的继续管理权，也没有对已售出的开发产</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品实施有效控制，相关的已发生或将发生的成本能够可靠计量时，确认房地</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产开发产品销售收入的实现。</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(c)</w:t>
            </w:r>
          </w:p>
        </w:tc>
        <w:tc>
          <w:tcPr>
            <w:tcW w:w="835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1" w:right="0"/>
              <w:jc w:val="left"/>
              <w:rPr>
                <w:rFonts w:ascii="宋体" w:hAnsi="宋体" w:cs="宋体" w:eastAsia="宋体" w:hint="default"/>
                <w:sz w:val="24"/>
                <w:szCs w:val="24"/>
              </w:rPr>
            </w:pPr>
            <w:r>
              <w:rPr>
                <w:rFonts w:ascii="宋体" w:hAnsi="宋体" w:cs="宋体" w:eastAsia="宋体" w:hint="default"/>
                <w:sz w:val="24"/>
                <w:szCs w:val="24"/>
              </w:rPr>
              <w:t>提供劳务</w:t>
            </w:r>
          </w:p>
        </w:tc>
      </w:tr>
      <w:tr>
        <w:trPr>
          <w:trHeight w:val="1206" w:hRule="exact"/>
        </w:trPr>
        <w:tc>
          <w:tcPr>
            <w:tcW w:w="768"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9" w:right="202"/>
              <w:jc w:val="both"/>
              <w:rPr>
                <w:rFonts w:ascii="宋体" w:hAnsi="宋体" w:cs="宋体" w:eastAsia="宋体" w:hint="default"/>
                <w:sz w:val="24"/>
                <w:szCs w:val="24"/>
              </w:rPr>
            </w:pPr>
            <w:r>
              <w:rPr>
                <w:rFonts w:ascii="宋体" w:hAnsi="宋体" w:cs="宋体" w:eastAsia="宋体" w:hint="default"/>
                <w:sz w:val="24"/>
                <w:szCs w:val="24"/>
              </w:rPr>
              <w:t>本集团对外提供业务培训劳务、安装维修劳务、代理劳务、连锁店服务劳务</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等，在劳务总收入和总成本能够可靠地计量、与交易相关的经济利益能够流</w:t>
            </w:r>
            <w:r>
              <w:rPr>
                <w:rFonts w:ascii="宋体" w:hAnsi="宋体" w:cs="宋体" w:eastAsia="宋体" w:hint="default"/>
                <w:spacing w:val="-66"/>
                <w:sz w:val="24"/>
                <w:szCs w:val="24"/>
              </w:rPr>
              <w:t> </w:t>
            </w:r>
            <w:r>
              <w:rPr>
                <w:rFonts w:ascii="宋体" w:hAnsi="宋体" w:cs="宋体" w:eastAsia="宋体" w:hint="default"/>
                <w:spacing w:val="-66"/>
                <w:sz w:val="24"/>
                <w:szCs w:val="24"/>
              </w:rPr>
            </w:r>
            <w:r>
              <w:rPr>
                <w:rFonts w:ascii="宋体" w:hAnsi="宋体" w:cs="宋体" w:eastAsia="宋体" w:hint="default"/>
                <w:sz w:val="24"/>
                <w:szCs w:val="24"/>
              </w:rPr>
              <w:t>入企业、劳务的完成程度能够可靠地确定时，确认劳务收入的实现。</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(25)</w:t>
            </w:r>
          </w:p>
        </w:tc>
        <w:tc>
          <w:tcPr>
            <w:tcW w:w="83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70" w:right="0"/>
              <w:jc w:val="left"/>
              <w:rPr>
                <w:rFonts w:ascii="黑体" w:hAnsi="黑体" w:cs="黑体" w:eastAsia="黑体" w:hint="default"/>
                <w:sz w:val="24"/>
                <w:szCs w:val="24"/>
              </w:rPr>
            </w:pPr>
            <w:r>
              <w:rPr>
                <w:rFonts w:ascii="黑体" w:hAnsi="黑体" w:cs="黑体" w:eastAsia="黑体" w:hint="default"/>
                <w:sz w:val="24"/>
                <w:szCs w:val="24"/>
              </w:rPr>
              <w:t>政府补助</w:t>
            </w:r>
          </w:p>
        </w:tc>
      </w:tr>
      <w:tr>
        <w:trPr>
          <w:trHeight w:val="899" w:hRule="exact"/>
        </w:trPr>
        <w:tc>
          <w:tcPr>
            <w:tcW w:w="768"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70" w:right="210"/>
              <w:jc w:val="left"/>
              <w:rPr>
                <w:rFonts w:ascii="宋体" w:hAnsi="宋体" w:cs="宋体" w:eastAsia="宋体" w:hint="default"/>
                <w:sz w:val="24"/>
                <w:szCs w:val="24"/>
              </w:rPr>
            </w:pPr>
            <w:r>
              <w:rPr>
                <w:rFonts w:ascii="宋体" w:hAnsi="宋体" w:cs="宋体" w:eastAsia="宋体" w:hint="default"/>
                <w:sz w:val="24"/>
                <w:szCs w:val="24"/>
              </w:rPr>
              <w:t>政府补助为本集团从政府无偿取得的货币性资产或非货币性资产，包括税费</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返还、财政补贴等。</w:t>
            </w:r>
          </w:p>
        </w:tc>
      </w:tr>
      <w:tr>
        <w:trPr>
          <w:trHeight w:val="1210" w:hRule="exact"/>
        </w:trPr>
        <w:tc>
          <w:tcPr>
            <w:tcW w:w="768"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70" w:right="210"/>
              <w:jc w:val="both"/>
              <w:rPr>
                <w:rFonts w:ascii="宋体" w:hAnsi="宋体" w:cs="宋体" w:eastAsia="宋体" w:hint="default"/>
                <w:sz w:val="24"/>
                <w:szCs w:val="24"/>
              </w:rPr>
            </w:pPr>
            <w:r>
              <w:rPr>
                <w:rFonts w:ascii="宋体" w:hAnsi="宋体" w:cs="宋体" w:eastAsia="宋体" w:hint="default"/>
                <w:sz w:val="24"/>
                <w:szCs w:val="24"/>
              </w:rPr>
              <w:t>政府补助在本集团能够满足其所附的条件并且能够收到时，予以确认。政府</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补助为货币性资产的，按照收到或应收的金额计量。政府补助为非货币性资</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产的，按照公允价值计量；公允价值不能可靠取得的，按照名义金额计量。</w:t>
            </w:r>
          </w:p>
        </w:tc>
      </w:tr>
      <w:tr>
        <w:trPr>
          <w:trHeight w:val="1210" w:hRule="exact"/>
        </w:trPr>
        <w:tc>
          <w:tcPr>
            <w:tcW w:w="768"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70" w:right="210"/>
              <w:jc w:val="both"/>
              <w:rPr>
                <w:rFonts w:ascii="宋体" w:hAnsi="宋体" w:cs="宋体" w:eastAsia="宋体" w:hint="default"/>
                <w:sz w:val="24"/>
                <w:szCs w:val="24"/>
              </w:rPr>
            </w:pPr>
            <w:r>
              <w:rPr>
                <w:rFonts w:ascii="宋体" w:hAnsi="宋体" w:cs="宋体" w:eastAsia="宋体" w:hint="default"/>
                <w:sz w:val="24"/>
                <w:szCs w:val="24"/>
              </w:rPr>
              <w:t>与资产相关的政府补助，是指企业取得的、用于购建或以其他方式形成长期</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资产的政府补助。与收益相关的政府补助是指除与资产相关的政府补助之外</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的政府补助。</w:t>
            </w:r>
          </w:p>
        </w:tc>
      </w:tr>
      <w:tr>
        <w:trPr>
          <w:trHeight w:val="899" w:hRule="exact"/>
        </w:trPr>
        <w:tc>
          <w:tcPr>
            <w:tcW w:w="768"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70" w:right="210"/>
              <w:jc w:val="left"/>
              <w:rPr>
                <w:rFonts w:ascii="宋体" w:hAnsi="宋体" w:cs="宋体" w:eastAsia="宋体" w:hint="default"/>
                <w:sz w:val="24"/>
                <w:szCs w:val="24"/>
              </w:rPr>
            </w:pPr>
            <w:r>
              <w:rPr>
                <w:rFonts w:ascii="宋体" w:hAnsi="宋体" w:cs="宋体" w:eastAsia="宋体" w:hint="default"/>
                <w:sz w:val="24"/>
                <w:szCs w:val="24"/>
              </w:rPr>
              <w:t>与资产相关的政府补助，确认为递延收益，并在相关资产使用寿命内平均分</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配，计入当期损益。按照名义金额计量的政府补助，直接计入当期损益。</w:t>
            </w:r>
          </w:p>
        </w:tc>
      </w:tr>
      <w:tr>
        <w:trPr>
          <w:trHeight w:val="1036" w:hRule="exact"/>
        </w:trPr>
        <w:tc>
          <w:tcPr>
            <w:tcW w:w="768"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70" w:right="210"/>
              <w:jc w:val="both"/>
              <w:rPr>
                <w:rFonts w:ascii="宋体" w:hAnsi="宋体" w:cs="宋体" w:eastAsia="宋体" w:hint="default"/>
                <w:sz w:val="24"/>
                <w:szCs w:val="24"/>
              </w:rPr>
            </w:pPr>
            <w:r>
              <w:rPr>
                <w:rFonts w:ascii="宋体" w:hAnsi="宋体" w:cs="宋体" w:eastAsia="宋体" w:hint="default"/>
                <w:sz w:val="24"/>
                <w:szCs w:val="24"/>
              </w:rPr>
              <w:t>与收益相关的政府补助，用于补偿以后期间的相关费用或损失的，确认为递</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延收益，并在确认相关费用的期间，计入当期损益；用于补偿已发生的相关</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费用或损失的，直接计入当期损益。</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2"/>
        <w:gridCol w:w="8345"/>
      </w:tblGrid>
      <w:tr>
        <w:trPr>
          <w:trHeight w:val="41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5" w:type="dxa"/>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(26)</w:t>
            </w: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4" w:right="0"/>
              <w:jc w:val="left"/>
              <w:rPr>
                <w:rFonts w:ascii="黑体" w:hAnsi="黑体" w:cs="黑体" w:eastAsia="黑体" w:hint="default"/>
                <w:sz w:val="24"/>
                <w:szCs w:val="24"/>
              </w:rPr>
            </w:pPr>
            <w:r>
              <w:rPr>
                <w:rFonts w:ascii="黑体" w:hAnsi="黑体" w:cs="黑体" w:eastAsia="黑体" w:hint="default"/>
                <w:sz w:val="24"/>
                <w:szCs w:val="24"/>
              </w:rPr>
              <w:t>递延所得税资产和递延所得税负债</w:t>
            </w:r>
          </w:p>
        </w:tc>
      </w:tr>
      <w:tr>
        <w:trPr>
          <w:trHeight w:val="2784"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5" w:lineRule="auto" w:before="105"/>
              <w:ind w:left="144" w:right="198"/>
              <w:jc w:val="both"/>
              <w:rPr>
                <w:rFonts w:ascii="宋体" w:hAnsi="宋体" w:cs="宋体" w:eastAsia="宋体" w:hint="default"/>
                <w:sz w:val="24"/>
                <w:szCs w:val="24"/>
              </w:rPr>
            </w:pPr>
            <w:r>
              <w:rPr>
                <w:rFonts w:ascii="宋体" w:hAnsi="宋体" w:cs="宋体" w:eastAsia="宋体" w:hint="default"/>
                <w:sz w:val="24"/>
                <w:szCs w:val="24"/>
              </w:rPr>
              <w:t>递延所得税资产和递延所得税负债根据资产和负债的计税基础与其账面价值</w:t>
            </w:r>
            <w:r>
              <w:rPr>
                <w:rFonts w:ascii="宋体" w:hAnsi="宋体" w:cs="宋体" w:eastAsia="宋体" w:hint="default"/>
                <w:spacing w:val="-55"/>
                <w:sz w:val="24"/>
                <w:szCs w:val="24"/>
              </w:rPr>
              <w:t> </w:t>
            </w:r>
            <w:r>
              <w:rPr>
                <w:rFonts w:ascii="宋体" w:hAnsi="宋体" w:cs="宋体" w:eastAsia="宋体" w:hint="default"/>
                <w:spacing w:val="-3"/>
                <w:sz w:val="24"/>
                <w:szCs w:val="24"/>
              </w:rPr>
              <w:t>的差额</w:t>
            </w:r>
            <w:r>
              <w:rPr>
                <w:rFonts w:ascii="Arial" w:hAnsi="Arial" w:cs="Arial" w:eastAsia="Arial" w:hint="default"/>
                <w:spacing w:val="-3"/>
                <w:sz w:val="24"/>
                <w:szCs w:val="24"/>
              </w:rPr>
              <w:t>(</w:t>
            </w:r>
            <w:r>
              <w:rPr>
                <w:rFonts w:ascii="宋体" w:hAnsi="宋体" w:cs="宋体" w:eastAsia="宋体" w:hint="default"/>
                <w:spacing w:val="-3"/>
                <w:sz w:val="24"/>
                <w:szCs w:val="24"/>
              </w:rPr>
              <w:t>暂时性差异</w:t>
            </w:r>
            <w:r>
              <w:rPr>
                <w:rFonts w:ascii="Arial" w:hAnsi="Arial" w:cs="Arial" w:eastAsia="Arial" w:hint="default"/>
                <w:spacing w:val="-3"/>
                <w:sz w:val="24"/>
                <w:szCs w:val="24"/>
              </w:rPr>
              <w:t>)</w:t>
            </w:r>
            <w:r>
              <w:rPr>
                <w:rFonts w:ascii="宋体" w:hAnsi="宋体" w:cs="宋体" w:eastAsia="宋体" w:hint="default"/>
                <w:spacing w:val="-3"/>
                <w:sz w:val="24"/>
                <w:szCs w:val="24"/>
              </w:rPr>
              <w:t>计算确认。对于按照税法规定能够于以后年度抵减应纳税</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所得额的可抵扣亏损，确认相应的递延所得税资产。对于商誉的初始确认产</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生的暂时性差异，不确认相应的递延所得税负债。对于既不影响会计利润也</w:t>
            </w:r>
            <w:r>
              <w:rPr>
                <w:rFonts w:ascii="宋体" w:hAnsi="宋体" w:cs="宋体" w:eastAsia="宋体" w:hint="default"/>
                <w:spacing w:val="-55"/>
                <w:sz w:val="24"/>
                <w:szCs w:val="24"/>
              </w:rPr>
              <w:t> </w:t>
            </w:r>
            <w:r>
              <w:rPr>
                <w:rFonts w:ascii="宋体" w:hAnsi="宋体" w:cs="宋体" w:eastAsia="宋体" w:hint="default"/>
                <w:spacing w:val="3"/>
                <w:sz w:val="24"/>
                <w:szCs w:val="24"/>
              </w:rPr>
              <w:t>不影响应纳税所得额</w:t>
            </w:r>
            <w:r>
              <w:rPr>
                <w:rFonts w:ascii="Arial" w:hAnsi="Arial" w:cs="Arial" w:eastAsia="Arial" w:hint="default"/>
                <w:spacing w:val="3"/>
                <w:sz w:val="24"/>
                <w:szCs w:val="24"/>
              </w:rPr>
              <w:t>(</w:t>
            </w:r>
            <w:r>
              <w:rPr>
                <w:rFonts w:ascii="宋体" w:hAnsi="宋体" w:cs="宋体" w:eastAsia="宋体" w:hint="default"/>
                <w:spacing w:val="3"/>
                <w:sz w:val="24"/>
                <w:szCs w:val="24"/>
              </w:rPr>
              <w:t>或可抵扣亏损</w:t>
            </w:r>
            <w:r>
              <w:rPr>
                <w:rFonts w:ascii="Arial" w:hAnsi="Arial" w:cs="Arial" w:eastAsia="Arial" w:hint="default"/>
                <w:spacing w:val="3"/>
                <w:sz w:val="24"/>
                <w:szCs w:val="24"/>
              </w:rPr>
              <w:t>)</w:t>
            </w:r>
            <w:r>
              <w:rPr>
                <w:rFonts w:ascii="宋体" w:hAnsi="宋体" w:cs="宋体" w:eastAsia="宋体" w:hint="default"/>
                <w:spacing w:val="3"/>
                <w:sz w:val="24"/>
                <w:szCs w:val="24"/>
              </w:rPr>
              <w:t>的非企业合并的交易中产生的资产或负</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债的初始确认形成的暂时性差异，不确认相应的递延所得税资产和递延所得</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税负债。于资产负债表日，递延所得税资产和递延所得税负债，按照预期收</w:t>
            </w:r>
            <w:r>
              <w:rPr>
                <w:rFonts w:ascii="宋体" w:hAnsi="宋体" w:cs="宋体" w:eastAsia="宋体" w:hint="default"/>
                <w:spacing w:val="-55"/>
                <w:sz w:val="24"/>
                <w:szCs w:val="24"/>
              </w:rPr>
              <w:t> </w:t>
            </w:r>
            <w:r>
              <w:rPr>
                <w:rFonts w:ascii="宋体" w:hAnsi="宋体" w:cs="宋体" w:eastAsia="宋体" w:hint="default"/>
                <w:sz w:val="24"/>
                <w:szCs w:val="24"/>
              </w:rPr>
              <w:t>回该资产或清偿该负债期间的适用税率计量。</w:t>
            </w:r>
          </w:p>
        </w:tc>
      </w:tr>
      <w:tr>
        <w:trPr>
          <w:trHeight w:val="935"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310" w:lineRule="exact" w:before="150"/>
              <w:ind w:left="144" w:right="198"/>
              <w:jc w:val="left"/>
              <w:rPr>
                <w:rFonts w:ascii="宋体" w:hAnsi="宋体" w:cs="宋体" w:eastAsia="宋体" w:hint="default"/>
                <w:sz w:val="24"/>
                <w:szCs w:val="24"/>
              </w:rPr>
            </w:pPr>
            <w:r>
              <w:rPr>
                <w:rFonts w:ascii="宋体" w:hAnsi="宋体" w:cs="宋体" w:eastAsia="宋体" w:hint="default"/>
                <w:sz w:val="24"/>
                <w:szCs w:val="24"/>
              </w:rPr>
              <w:t>递延所得税资产的确认以很可能取得用来抵扣可抵扣暂时性差异、可抵扣亏</w:t>
            </w:r>
            <w:r>
              <w:rPr>
                <w:rFonts w:ascii="宋体" w:hAnsi="宋体" w:cs="宋体" w:eastAsia="宋体" w:hint="default"/>
                <w:spacing w:val="-55"/>
                <w:sz w:val="24"/>
                <w:szCs w:val="24"/>
              </w:rPr>
              <w:t> </w:t>
            </w:r>
            <w:r>
              <w:rPr>
                <w:rFonts w:ascii="宋体" w:hAnsi="宋体" w:cs="宋体" w:eastAsia="宋体" w:hint="default"/>
                <w:sz w:val="24"/>
                <w:szCs w:val="24"/>
              </w:rPr>
              <w:t>损和税款抵减的应纳税所得额为限。</w:t>
            </w:r>
          </w:p>
        </w:tc>
      </w:tr>
      <w:tr>
        <w:trPr>
          <w:trHeight w:val="2180"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7" w:lineRule="auto" w:before="120"/>
              <w:ind w:left="144" w:right="198"/>
              <w:jc w:val="both"/>
              <w:rPr>
                <w:rFonts w:ascii="宋体" w:hAnsi="宋体" w:cs="宋体" w:eastAsia="宋体" w:hint="default"/>
                <w:sz w:val="24"/>
                <w:szCs w:val="24"/>
              </w:rPr>
            </w:pPr>
            <w:r>
              <w:rPr>
                <w:rFonts w:ascii="宋体" w:hAnsi="宋体" w:cs="宋体" w:eastAsia="宋体" w:hint="default"/>
                <w:sz w:val="24"/>
                <w:szCs w:val="24"/>
              </w:rPr>
              <w:t>对与子公司、联营企业及合营企业投资相关的应纳税暂时性差异，确认递延</w:t>
            </w:r>
            <w:r>
              <w:rPr>
                <w:rFonts w:ascii="宋体" w:hAnsi="宋体" w:cs="宋体" w:eastAsia="宋体" w:hint="default"/>
                <w:spacing w:val="-55"/>
                <w:sz w:val="24"/>
                <w:szCs w:val="24"/>
              </w:rPr>
              <w:t> </w:t>
            </w:r>
            <w:r>
              <w:rPr>
                <w:rFonts w:ascii="宋体" w:hAnsi="宋体" w:cs="宋体" w:eastAsia="宋体" w:hint="default"/>
                <w:sz w:val="24"/>
                <w:szCs w:val="24"/>
              </w:rPr>
              <w:t>所得税负债，除非本集团能够控制该暂时性差异转回的时间且该暂时性差异</w:t>
            </w:r>
            <w:r>
              <w:rPr>
                <w:rFonts w:ascii="宋体" w:hAnsi="宋体" w:cs="宋体" w:eastAsia="宋体" w:hint="default"/>
                <w:spacing w:val="-55"/>
                <w:sz w:val="24"/>
                <w:szCs w:val="24"/>
              </w:rPr>
              <w:t> </w:t>
            </w:r>
            <w:r>
              <w:rPr>
                <w:rFonts w:ascii="宋体" w:hAnsi="宋体" w:cs="宋体" w:eastAsia="宋体" w:hint="default"/>
                <w:sz w:val="24"/>
                <w:szCs w:val="24"/>
              </w:rPr>
              <w:t>在可预见的未来很可能不会转回。对与子公司、联营企业及合营企业投资相</w:t>
            </w:r>
            <w:r>
              <w:rPr>
                <w:rFonts w:ascii="宋体" w:hAnsi="宋体" w:cs="宋体" w:eastAsia="宋体" w:hint="default"/>
                <w:spacing w:val="-55"/>
                <w:sz w:val="24"/>
                <w:szCs w:val="24"/>
              </w:rPr>
              <w:t> </w:t>
            </w:r>
            <w:r>
              <w:rPr>
                <w:rFonts w:ascii="宋体" w:hAnsi="宋体" w:cs="宋体" w:eastAsia="宋体" w:hint="default"/>
                <w:sz w:val="24"/>
                <w:szCs w:val="24"/>
              </w:rPr>
              <w:t>关的可抵扣暂时性差异，当该暂时性差异在可预见的未来很可能转回且未来</w:t>
            </w:r>
            <w:r>
              <w:rPr>
                <w:rFonts w:ascii="宋体" w:hAnsi="宋体" w:cs="宋体" w:eastAsia="宋体" w:hint="default"/>
                <w:spacing w:val="-55"/>
                <w:sz w:val="24"/>
                <w:szCs w:val="24"/>
              </w:rPr>
              <w:t> </w:t>
            </w:r>
            <w:r>
              <w:rPr>
                <w:rFonts w:ascii="宋体" w:hAnsi="宋体" w:cs="宋体" w:eastAsia="宋体" w:hint="default"/>
                <w:spacing w:val="2"/>
                <w:sz w:val="24"/>
                <w:szCs w:val="24"/>
              </w:rPr>
              <w:t>很可能获得用来抵扣可抵扣暂时性差异的应纳税所得额时，确认递延所得税</w:t>
            </w:r>
            <w:r>
              <w:rPr>
                <w:rFonts w:ascii="宋体" w:hAnsi="宋体" w:cs="宋体" w:eastAsia="宋体" w:hint="default"/>
                <w:spacing w:val="2"/>
                <w:sz w:val="24"/>
                <w:szCs w:val="24"/>
              </w:rPr>
              <w:t> </w:t>
            </w:r>
            <w:r>
              <w:rPr>
                <w:rFonts w:ascii="宋体" w:hAnsi="宋体" w:cs="宋体" w:eastAsia="宋体" w:hint="default"/>
                <w:sz w:val="24"/>
                <w:szCs w:val="24"/>
              </w:rPr>
              <w:t>资产。</w:t>
            </w:r>
          </w:p>
        </w:tc>
      </w:tr>
      <w:tr>
        <w:trPr>
          <w:trHeight w:val="935"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310" w:lineRule="exact" w:before="150"/>
              <w:ind w:left="144" w:right="207"/>
              <w:jc w:val="left"/>
              <w:rPr>
                <w:rFonts w:ascii="宋体" w:hAnsi="宋体" w:cs="宋体" w:eastAsia="宋体" w:hint="default"/>
                <w:sz w:val="24"/>
                <w:szCs w:val="24"/>
              </w:rPr>
            </w:pPr>
            <w:r>
              <w:rPr>
                <w:rFonts w:ascii="宋体" w:hAnsi="宋体" w:cs="宋体" w:eastAsia="宋体" w:hint="default"/>
                <w:spacing w:val="9"/>
                <w:sz w:val="24"/>
                <w:szCs w:val="24"/>
              </w:rPr>
              <w:t>同时满足下列条件的递延所得税资产和递延所得税负债以抵销后的净额列</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示：</w:t>
            </w:r>
          </w:p>
        </w:tc>
      </w:tr>
      <w:tr>
        <w:trPr>
          <w:trHeight w:val="1366"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310" w:lineRule="exact" w:before="150"/>
              <w:ind w:left="453" w:right="209" w:hanging="284"/>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递延所得税资产和递延所得税负债与同一税收征管部门对本集团内同一纳</w:t>
            </w:r>
            <w:r>
              <w:rPr>
                <w:rFonts w:ascii="宋体" w:hAnsi="宋体" w:cs="宋体" w:eastAsia="宋体" w:hint="default"/>
                <w:w w:val="100"/>
                <w:sz w:val="24"/>
                <w:szCs w:val="24"/>
              </w:rPr>
              <w:t> </w:t>
            </w:r>
            <w:r>
              <w:rPr>
                <w:rFonts w:ascii="宋体" w:hAnsi="宋体" w:cs="宋体" w:eastAsia="宋体" w:hint="default"/>
                <w:sz w:val="24"/>
                <w:szCs w:val="24"/>
              </w:rPr>
              <w:t>税主体征收的所得税相关；</w:t>
            </w:r>
          </w:p>
          <w:p>
            <w:pPr>
              <w:pStyle w:val="TableParagraph"/>
              <w:spacing w:line="225" w:lineRule="auto"/>
              <w:ind w:left="453" w:right="203" w:hanging="284"/>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本集团内该纳税主体拥有以净额结算当期所得税资产及当期所得税负债的</w:t>
            </w:r>
            <w:r>
              <w:rPr>
                <w:rFonts w:ascii="宋体" w:hAnsi="宋体" w:cs="宋体" w:eastAsia="宋体" w:hint="default"/>
                <w:w w:val="100"/>
                <w:sz w:val="24"/>
                <w:szCs w:val="24"/>
              </w:rPr>
              <w:t> </w:t>
            </w:r>
            <w:r>
              <w:rPr>
                <w:rFonts w:ascii="宋体" w:hAnsi="宋体" w:cs="宋体" w:eastAsia="宋体" w:hint="default"/>
                <w:sz w:val="24"/>
                <w:szCs w:val="24"/>
              </w:rPr>
              <w:t>法定权利。</w:t>
            </w:r>
          </w:p>
        </w:tc>
      </w:tr>
    </w:tbl>
    <w:p>
      <w:pPr>
        <w:spacing w:after="0" w:line="225"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772"/>
        <w:gridCol w:w="8468"/>
      </w:tblGrid>
      <w:tr>
        <w:trPr>
          <w:trHeight w:val="53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68" w:type="dxa"/>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0"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(27)</w:t>
            </w: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4" w:right="0"/>
              <w:jc w:val="left"/>
              <w:rPr>
                <w:rFonts w:ascii="黑体" w:hAnsi="黑体" w:cs="黑体" w:eastAsia="黑体" w:hint="default"/>
                <w:sz w:val="24"/>
                <w:szCs w:val="24"/>
              </w:rPr>
            </w:pPr>
            <w:r>
              <w:rPr>
                <w:rFonts w:ascii="黑体" w:hAnsi="黑体" w:cs="黑体" w:eastAsia="黑体" w:hint="default"/>
                <w:sz w:val="24"/>
                <w:szCs w:val="24"/>
              </w:rPr>
              <w:t>租赁</w:t>
            </w:r>
          </w:p>
        </w:tc>
      </w:tr>
      <w:tr>
        <w:trPr>
          <w:trHeight w:val="1038"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144" w:right="198"/>
              <w:jc w:val="left"/>
              <w:rPr>
                <w:rFonts w:ascii="宋体" w:hAnsi="宋体" w:cs="宋体" w:eastAsia="宋体" w:hint="default"/>
                <w:sz w:val="24"/>
                <w:szCs w:val="24"/>
              </w:rPr>
            </w:pPr>
            <w:r>
              <w:rPr>
                <w:rFonts w:ascii="宋体" w:hAnsi="宋体" w:cs="宋体" w:eastAsia="宋体" w:hint="default"/>
                <w:spacing w:val="-2"/>
                <w:sz w:val="24"/>
                <w:szCs w:val="24"/>
              </w:rPr>
              <w:t>实质上转移了与资产所有权有关的全部风险和报酬的租赁为融资租赁。符合下</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列一项或数项标准的，认定为融资租赁：</w:t>
            </w:r>
          </w:p>
        </w:tc>
      </w:tr>
      <w:tr>
        <w:trPr>
          <w:trHeight w:val="2891"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323" w:lineRule="exact" w:before="159"/>
              <w:ind w:left="17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在租赁期届满时，租赁资产的所有权转移给承租人。</w:t>
            </w:r>
          </w:p>
          <w:p>
            <w:pPr>
              <w:pStyle w:val="TableParagraph"/>
              <w:spacing w:line="230" w:lineRule="auto"/>
              <w:ind w:left="453" w:right="332" w:hanging="284"/>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承租人有购买租赁资产的选择权，所订立的购买价款预计将远低于行使选</w:t>
            </w:r>
            <w:r>
              <w:rPr>
                <w:rFonts w:ascii="宋体" w:hAnsi="宋体" w:cs="宋体" w:eastAsia="宋体" w:hint="default"/>
                <w:w w:val="100"/>
                <w:sz w:val="24"/>
                <w:szCs w:val="24"/>
              </w:rPr>
              <w:t> </w:t>
            </w:r>
            <w:r>
              <w:rPr>
                <w:rFonts w:ascii="宋体" w:hAnsi="宋体" w:cs="宋体" w:eastAsia="宋体" w:hint="default"/>
                <w:sz w:val="24"/>
                <w:szCs w:val="24"/>
              </w:rPr>
              <w:t>择权时租赁资产的公允价值，因而在租赁开始日就可以合理确定承租人将</w:t>
            </w:r>
            <w:r>
              <w:rPr>
                <w:rFonts w:ascii="宋体" w:hAnsi="宋体" w:cs="宋体" w:eastAsia="宋体" w:hint="default"/>
                <w:w w:val="100"/>
                <w:sz w:val="24"/>
                <w:szCs w:val="24"/>
              </w:rPr>
              <w:t> </w:t>
            </w:r>
            <w:r>
              <w:rPr>
                <w:rFonts w:ascii="宋体" w:hAnsi="宋体" w:cs="宋体" w:eastAsia="宋体" w:hint="default"/>
                <w:sz w:val="24"/>
                <w:szCs w:val="24"/>
              </w:rPr>
              <w:t>会行使这种选择权。</w:t>
            </w:r>
          </w:p>
          <w:p>
            <w:pPr>
              <w:pStyle w:val="TableParagraph"/>
              <w:spacing w:line="320" w:lineRule="exact"/>
              <w:ind w:left="17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即使资产的所有权不转移，但租赁期占租赁资产使用寿命的大部分。</w:t>
            </w:r>
          </w:p>
          <w:p>
            <w:pPr>
              <w:pStyle w:val="TableParagraph"/>
              <w:spacing w:line="312" w:lineRule="exact" w:before="19"/>
              <w:ind w:left="453" w:right="332" w:hanging="284"/>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承租人在租赁开始日的最低租赁付款额现值，几乎相当于租赁开始日租赁</w:t>
            </w:r>
            <w:r>
              <w:rPr>
                <w:rFonts w:ascii="宋体" w:hAnsi="宋体" w:cs="宋体" w:eastAsia="宋体" w:hint="default"/>
                <w:w w:val="100"/>
                <w:sz w:val="24"/>
                <w:szCs w:val="24"/>
              </w:rPr>
              <w:t> </w:t>
            </w:r>
            <w:r>
              <w:rPr>
                <w:rFonts w:ascii="宋体" w:hAnsi="宋体" w:cs="宋体" w:eastAsia="宋体" w:hint="default"/>
                <w:sz w:val="24"/>
                <w:szCs w:val="24"/>
              </w:rPr>
              <w:t>资产公允价值。</w:t>
            </w:r>
          </w:p>
          <w:p>
            <w:pPr>
              <w:pStyle w:val="TableParagraph"/>
              <w:spacing w:line="301" w:lineRule="exact"/>
              <w:ind w:left="17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租赁资产性质特殊，如果不作较大改造，只有承租人才能使用。</w:t>
            </w:r>
          </w:p>
        </w:tc>
      </w:tr>
      <w:tr>
        <w:trPr>
          <w:trHeight w:val="723"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44" w:right="0"/>
              <w:jc w:val="left"/>
              <w:rPr>
                <w:rFonts w:ascii="宋体" w:hAnsi="宋体" w:cs="宋体" w:eastAsia="宋体" w:hint="default"/>
                <w:sz w:val="24"/>
                <w:szCs w:val="24"/>
              </w:rPr>
            </w:pPr>
            <w:r>
              <w:rPr>
                <w:rFonts w:ascii="宋体" w:hAnsi="宋体" w:cs="宋体" w:eastAsia="宋体" w:hint="default"/>
                <w:sz w:val="24"/>
                <w:szCs w:val="24"/>
              </w:rPr>
              <w:t>经营租赁是指除融资租赁以外的其他租赁。</w:t>
            </w:r>
          </w:p>
        </w:tc>
      </w:tr>
      <w:tr>
        <w:trPr>
          <w:trHeight w:val="747"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44" w:right="0"/>
              <w:jc w:val="left"/>
              <w:rPr>
                <w:rFonts w:ascii="宋体" w:hAnsi="宋体" w:cs="宋体" w:eastAsia="宋体" w:hint="default"/>
                <w:sz w:val="24"/>
                <w:szCs w:val="24"/>
              </w:rPr>
            </w:pPr>
            <w:r>
              <w:rPr>
                <w:rFonts w:ascii="宋体" w:hAnsi="宋体" w:cs="宋体" w:eastAsia="宋体" w:hint="default"/>
                <w:sz w:val="24"/>
                <w:szCs w:val="24"/>
              </w:rPr>
              <w:t>不可撤销经营租赁的租金支出在租赁期内按照直线法计入当期损益。</w:t>
            </w:r>
          </w:p>
        </w:tc>
      </w:tr>
      <w:tr>
        <w:trPr>
          <w:trHeight w:val="746"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44" w:right="0"/>
              <w:jc w:val="left"/>
              <w:rPr>
                <w:rFonts w:ascii="宋体" w:hAnsi="宋体" w:cs="宋体" w:eastAsia="宋体" w:hint="default"/>
                <w:sz w:val="24"/>
                <w:szCs w:val="24"/>
              </w:rPr>
            </w:pPr>
            <w:r>
              <w:rPr>
                <w:rFonts w:ascii="宋体" w:hAnsi="宋体" w:cs="宋体" w:eastAsia="宋体" w:hint="default"/>
                <w:sz w:val="24"/>
                <w:szCs w:val="24"/>
              </w:rPr>
              <w:t>经营租赁的租金收入在租赁期内按照直线法确认。</w:t>
            </w:r>
          </w:p>
        </w:tc>
      </w:tr>
      <w:tr>
        <w:trPr>
          <w:trHeight w:val="2050"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5" w:right="330"/>
              <w:jc w:val="both"/>
              <w:rPr>
                <w:rFonts w:ascii="宋体" w:hAnsi="宋体" w:cs="宋体" w:eastAsia="宋体" w:hint="default"/>
                <w:sz w:val="24"/>
                <w:szCs w:val="24"/>
              </w:rPr>
            </w:pPr>
            <w:r>
              <w:rPr>
                <w:rFonts w:ascii="宋体" w:hAnsi="宋体" w:cs="宋体" w:eastAsia="宋体" w:hint="default"/>
                <w:sz w:val="24"/>
                <w:szCs w:val="24"/>
              </w:rPr>
              <w:t>售后租回交易认定为经营租赁的，在确凿证据表明售后租回交易是按照公允</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价值达成的，售价与资产账面价值的差额计入当期损益。如果售后租回交易</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不是按照公允价值达成的，有关损益应于当期确认；但若该损失将由低于市</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价的未来租赁付款额补偿的，应将其递延，并按与确认租金费用一致的方法</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分摊于预计的资产使用期限内；售价高于公允价值的，其高于公允价值的部</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分应予以递延，并在预计的资产使用期限内分摊。</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777"/>
        <w:gridCol w:w="8337"/>
      </w:tblGrid>
      <w:tr>
        <w:trPr>
          <w:trHeight w:val="530"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37"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0"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(28)</w:t>
            </w:r>
          </w:p>
        </w:tc>
        <w:tc>
          <w:tcPr>
            <w:tcW w:w="833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黑体" w:hAnsi="黑体" w:cs="黑体" w:eastAsia="黑体" w:hint="default"/>
                <w:sz w:val="24"/>
                <w:szCs w:val="24"/>
              </w:rPr>
            </w:pPr>
            <w:r>
              <w:rPr>
                <w:rFonts w:ascii="黑体" w:hAnsi="黑体" w:cs="黑体" w:eastAsia="黑体" w:hint="default"/>
                <w:sz w:val="24"/>
                <w:szCs w:val="24"/>
              </w:rPr>
              <w:t>股份支付</w:t>
            </w:r>
          </w:p>
        </w:tc>
      </w:tr>
      <w:tr>
        <w:trPr>
          <w:trHeight w:val="5207" w:hRule="exact"/>
        </w:trPr>
        <w:tc>
          <w:tcPr>
            <w:tcW w:w="777"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235" w:lineRule="auto" w:before="184"/>
              <w:ind w:left="150" w:right="198"/>
              <w:jc w:val="both"/>
              <w:rPr>
                <w:rFonts w:ascii="宋体" w:hAnsi="宋体" w:cs="宋体" w:eastAsia="宋体" w:hint="default"/>
                <w:sz w:val="24"/>
                <w:szCs w:val="24"/>
              </w:rPr>
            </w:pPr>
            <w:r>
              <w:rPr>
                <w:rFonts w:ascii="宋体" w:hAnsi="宋体" w:cs="宋体" w:eastAsia="宋体" w:hint="default"/>
                <w:sz w:val="24"/>
                <w:szCs w:val="24"/>
              </w:rPr>
              <w:t>股份支付是为了获取职工提供服务而授予权益工具或者承担以权益工具为基</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础确定的负债的交易。股份支付分为以权益结算的股份支付和以现金结算的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股份支付。本集团的股票期权计划是为了换取职工提供服务而授予的以权益</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结算、以股份支付为基础的报酬计划，以授予职工的股票期权在授予日的公</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1"/>
                <w:sz w:val="24"/>
                <w:szCs w:val="24"/>
              </w:rPr>
              <w:t>允价值计量，在达到规定业绩条件才可行权。本集团采用布莱特</w:t>
            </w:r>
            <w:r>
              <w:rPr>
                <w:rFonts w:ascii="Arial" w:hAnsi="Arial" w:cs="Arial" w:eastAsia="Arial" w:hint="default"/>
                <w:spacing w:val="-1"/>
                <w:sz w:val="24"/>
                <w:szCs w:val="24"/>
              </w:rPr>
              <w:t>-</w:t>
            </w:r>
            <w:r>
              <w:rPr>
                <w:rFonts w:ascii="宋体" w:hAnsi="宋体" w:cs="宋体" w:eastAsia="宋体" w:hint="default"/>
                <w:spacing w:val="-1"/>
                <w:sz w:val="24"/>
                <w:szCs w:val="24"/>
              </w:rPr>
              <w:t>斯科尔斯期</w:t>
            </w:r>
            <w:r>
              <w:rPr>
                <w:rFonts w:ascii="宋体" w:hAnsi="宋体" w:cs="宋体" w:eastAsia="宋体" w:hint="default"/>
                <w:spacing w:val="-102"/>
                <w:sz w:val="24"/>
                <w:szCs w:val="24"/>
              </w:rPr>
              <w:t> </w:t>
            </w:r>
            <w:r>
              <w:rPr>
                <w:rFonts w:ascii="宋体" w:hAnsi="宋体" w:cs="宋体" w:eastAsia="宋体" w:hint="default"/>
                <w:sz w:val="24"/>
                <w:szCs w:val="24"/>
              </w:rPr>
              <w:t>权定价模型确定股票期权的公允价值。</w:t>
            </w:r>
          </w:p>
          <w:p>
            <w:pPr>
              <w:pStyle w:val="TableParagraph"/>
              <w:spacing w:line="240" w:lineRule="auto"/>
              <w:ind w:right="0"/>
              <w:jc w:val="left"/>
              <w:rPr>
                <w:rFonts w:ascii="Times New Roman" w:hAnsi="Times New Roman" w:cs="Times New Roman" w:eastAsia="Times New Roman" w:hint="default"/>
                <w:sz w:val="31"/>
                <w:szCs w:val="31"/>
              </w:rPr>
            </w:pPr>
          </w:p>
          <w:p>
            <w:pPr>
              <w:pStyle w:val="TableParagraph"/>
              <w:spacing w:line="237" w:lineRule="auto"/>
              <w:ind w:left="150" w:right="202"/>
              <w:jc w:val="both"/>
              <w:rPr>
                <w:rFonts w:ascii="宋体" w:hAnsi="宋体" w:cs="宋体" w:eastAsia="宋体" w:hint="default"/>
                <w:sz w:val="24"/>
                <w:szCs w:val="24"/>
              </w:rPr>
            </w:pPr>
            <w:r>
              <w:rPr>
                <w:rFonts w:ascii="宋体" w:hAnsi="宋体" w:cs="宋体" w:eastAsia="宋体" w:hint="default"/>
                <w:sz w:val="24"/>
                <w:szCs w:val="24"/>
              </w:rPr>
              <w:t>在股票期权授予日，即股份支付协议获得批准的日期，不进行会计处理。在</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等待期内，即从授予日至可行权日的时段，在每个资产负债表日，以对可行</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权股票期权数量的最佳估计为基础，按照股票期权在授予日的公允价值，将</w:t>
            </w:r>
            <w:r>
              <w:rPr>
                <w:rFonts w:ascii="宋体" w:hAnsi="宋体" w:cs="宋体" w:eastAsia="宋体" w:hint="default"/>
                <w:spacing w:val="-70"/>
                <w:sz w:val="24"/>
                <w:szCs w:val="24"/>
              </w:rPr>
              <w:t> </w:t>
            </w:r>
            <w:r>
              <w:rPr>
                <w:rFonts w:ascii="宋体" w:hAnsi="宋体" w:cs="宋体" w:eastAsia="宋体" w:hint="default"/>
                <w:spacing w:val="-70"/>
                <w:sz w:val="24"/>
                <w:szCs w:val="24"/>
              </w:rPr>
            </w:r>
            <w:r>
              <w:rPr>
                <w:rFonts w:ascii="宋体" w:hAnsi="宋体" w:cs="宋体" w:eastAsia="宋体" w:hint="default"/>
                <w:sz w:val="24"/>
                <w:szCs w:val="24"/>
              </w:rPr>
              <w:t>取得的职工提供的服务计入当期费用，同时计入资本公积。后续信息表明可</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行权股票期权的数量与以前估计不同的，将进行调整，并在可行权日调整至</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实际可行权的股票期权数量。可行权日之后不再对已确认的费用和所有者权</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益总额进行调整。在行权日，本公司发行新股，收取的所得款扣除任何直接</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归属的交易成本，在期权行使时转入股本和股本溢价，同时结转等待期内确</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认的资本公积。</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75"/>
        <w:gridCol w:w="8337"/>
      </w:tblGrid>
      <w:tr>
        <w:trPr>
          <w:trHeight w:val="50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(29)</w:t>
            </w:r>
          </w:p>
        </w:tc>
        <w:tc>
          <w:tcPr>
            <w:tcW w:w="8337" w:type="dxa"/>
            <w:tcBorders>
              <w:top w:val="nil" w:sz="6" w:space="0" w:color="auto"/>
              <w:left w:val="nil" w:sz="6" w:space="0" w:color="auto"/>
              <w:bottom w:val="nil" w:sz="6" w:space="0" w:color="auto"/>
              <w:right w:val="nil" w:sz="6" w:space="0" w:color="auto"/>
            </w:tcBorders>
          </w:tcPr>
          <w:p>
            <w:pPr>
              <w:pStyle w:val="TableParagraph"/>
              <w:spacing w:line="247" w:lineRule="exact"/>
              <w:ind w:left="148" w:right="0"/>
              <w:jc w:val="left"/>
              <w:rPr>
                <w:rFonts w:ascii="黑体" w:hAnsi="黑体" w:cs="黑体" w:eastAsia="黑体" w:hint="default"/>
                <w:sz w:val="24"/>
                <w:szCs w:val="24"/>
              </w:rPr>
            </w:pPr>
            <w:r>
              <w:rPr>
                <w:rFonts w:ascii="黑体" w:hAnsi="黑体" w:cs="黑体" w:eastAsia="黑体" w:hint="default"/>
                <w:sz w:val="24"/>
                <w:szCs w:val="24"/>
              </w:rPr>
              <w:t>分部信息</w:t>
            </w:r>
          </w:p>
        </w:tc>
      </w:tr>
      <w:tr>
        <w:trPr>
          <w:trHeight w:val="1037" w:hRule="exact"/>
        </w:trPr>
        <w:tc>
          <w:tcPr>
            <w:tcW w:w="775"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8" w:right="204"/>
              <w:jc w:val="left"/>
              <w:rPr>
                <w:rFonts w:ascii="宋体" w:hAnsi="宋体" w:cs="宋体" w:eastAsia="宋体" w:hint="default"/>
                <w:sz w:val="24"/>
                <w:szCs w:val="24"/>
              </w:rPr>
            </w:pPr>
            <w:r>
              <w:rPr>
                <w:rFonts w:ascii="宋体" w:hAnsi="宋体" w:cs="宋体" w:eastAsia="宋体" w:hint="default"/>
                <w:sz w:val="24"/>
                <w:szCs w:val="24"/>
              </w:rPr>
              <w:t>本集团以内部组织结构、管理要求、内部报告制度为依据确定经营分部，以</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经营分部为基础确定报告分部并披露分部信息。</w:t>
            </w:r>
          </w:p>
        </w:tc>
      </w:tr>
      <w:tr>
        <w:trPr>
          <w:trHeight w:val="1717" w:hRule="exact"/>
        </w:trPr>
        <w:tc>
          <w:tcPr>
            <w:tcW w:w="775"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228" w:lineRule="auto" w:before="172"/>
              <w:ind w:left="148" w:right="198"/>
              <w:jc w:val="both"/>
              <w:rPr>
                <w:rFonts w:ascii="宋体" w:hAnsi="宋体" w:cs="宋体" w:eastAsia="宋体" w:hint="default"/>
                <w:sz w:val="24"/>
                <w:szCs w:val="24"/>
              </w:rPr>
            </w:pPr>
            <w:r>
              <w:rPr>
                <w:rFonts w:ascii="宋体" w:hAnsi="宋体" w:cs="宋体" w:eastAsia="宋体" w:hint="default"/>
                <w:sz w:val="24"/>
                <w:szCs w:val="24"/>
              </w:rPr>
              <w:t>经营分部是指本集团内同时满足下列条件的组成部分：</w:t>
            </w:r>
            <w:r>
              <w:rPr>
                <w:rFonts w:ascii="Arial" w:hAnsi="Arial" w:cs="Arial" w:eastAsia="Arial" w:hint="default"/>
                <w:sz w:val="24"/>
                <w:szCs w:val="24"/>
              </w:rPr>
              <w:t>(1)</w:t>
            </w:r>
            <w:r>
              <w:rPr>
                <w:rFonts w:ascii="宋体" w:hAnsi="宋体" w:cs="宋体" w:eastAsia="宋体" w:hint="default"/>
                <w:sz w:val="24"/>
                <w:szCs w:val="24"/>
              </w:rPr>
              <w:t>该组成部分能够在</w:t>
            </w:r>
            <w:r>
              <w:rPr>
                <w:rFonts w:ascii="宋体" w:hAnsi="宋体" w:cs="宋体" w:eastAsia="宋体" w:hint="default"/>
                <w:spacing w:val="-117"/>
                <w:sz w:val="24"/>
                <w:szCs w:val="24"/>
              </w:rPr>
              <w:t> </w:t>
            </w:r>
            <w:r>
              <w:rPr>
                <w:rFonts w:ascii="宋体" w:hAnsi="宋体" w:cs="宋体" w:eastAsia="宋体" w:hint="default"/>
                <w:sz w:val="24"/>
                <w:szCs w:val="24"/>
              </w:rPr>
              <w:t>日常活动中产生收入、发生费用；</w:t>
            </w:r>
            <w:r>
              <w:rPr>
                <w:rFonts w:ascii="Arial" w:hAnsi="Arial" w:cs="Arial" w:eastAsia="Arial" w:hint="default"/>
                <w:sz w:val="24"/>
                <w:szCs w:val="24"/>
              </w:rPr>
              <w:t>(2)</w:t>
            </w:r>
            <w:r>
              <w:rPr>
                <w:rFonts w:ascii="宋体" w:hAnsi="宋体" w:cs="宋体" w:eastAsia="宋体" w:hint="default"/>
                <w:sz w:val="24"/>
                <w:szCs w:val="24"/>
              </w:rPr>
              <w:t>本集团管理层能够定期评价该组成部分 的经营成果，以决定向其配置资源、评价其业绩；</w:t>
            </w:r>
            <w:r>
              <w:rPr>
                <w:rFonts w:ascii="Arial" w:hAnsi="Arial" w:cs="Arial" w:eastAsia="Arial" w:hint="default"/>
                <w:sz w:val="24"/>
                <w:szCs w:val="24"/>
              </w:rPr>
              <w:t>(3)</w:t>
            </w:r>
            <w:r>
              <w:rPr>
                <w:rFonts w:ascii="宋体" w:hAnsi="宋体" w:cs="宋体" w:eastAsia="宋体" w:hint="default"/>
                <w:sz w:val="24"/>
                <w:szCs w:val="24"/>
              </w:rPr>
              <w:t>本集团能够取得该组成 部分的财务状况、经营成果和现金流量等有关会计信息。两个或多个经营分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部具有相似的经济特征，并且满足一定条件的，则可合并为一个经营分部。</w:t>
            </w:r>
          </w:p>
        </w:tc>
      </w:tr>
    </w:tbl>
    <w:p>
      <w:pPr>
        <w:spacing w:after="0" w:line="228"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5"/>
        <w:gridCol w:w="8377"/>
      </w:tblGrid>
      <w:tr>
        <w:trPr>
          <w:trHeight w:val="49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77"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(30)</w:t>
            </w: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黑体" w:hAnsi="黑体" w:cs="黑体" w:eastAsia="黑体" w:hint="default"/>
                <w:sz w:val="24"/>
                <w:szCs w:val="24"/>
              </w:rPr>
            </w:pPr>
            <w:r>
              <w:rPr>
                <w:rFonts w:ascii="黑体" w:hAnsi="黑体" w:cs="黑体" w:eastAsia="黑体" w:hint="default"/>
                <w:sz w:val="24"/>
                <w:szCs w:val="24"/>
              </w:rPr>
              <w:t>重要会计估计和判断</w:t>
            </w:r>
          </w:p>
        </w:tc>
      </w:tr>
      <w:tr>
        <w:trPr>
          <w:trHeight w:val="1073"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2" w:lineRule="exact"/>
              <w:ind w:left="147" w:right="244"/>
              <w:jc w:val="left"/>
              <w:rPr>
                <w:rFonts w:ascii="宋体" w:hAnsi="宋体" w:cs="宋体" w:eastAsia="宋体" w:hint="default"/>
                <w:sz w:val="24"/>
                <w:szCs w:val="24"/>
              </w:rPr>
            </w:pPr>
            <w:r>
              <w:rPr>
                <w:rFonts w:ascii="宋体" w:hAnsi="宋体" w:cs="宋体" w:eastAsia="宋体" w:hint="default"/>
                <w:sz w:val="24"/>
                <w:szCs w:val="24"/>
              </w:rPr>
              <w:t>本集团根据历史经验和其它因素，包括对未来事项的合理预期，对所采用的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重要会计估计和关键判断进行持续的评价。</w:t>
            </w:r>
          </w:p>
        </w:tc>
      </w:tr>
      <w:tr>
        <w:trPr>
          <w:trHeight w:val="75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7" w:right="0"/>
              <w:jc w:val="left"/>
              <w:rPr>
                <w:rFonts w:ascii="宋体" w:hAnsi="宋体" w:cs="宋体" w:eastAsia="宋体" w:hint="default"/>
                <w:sz w:val="24"/>
                <w:szCs w:val="24"/>
              </w:rPr>
            </w:pPr>
            <w:r>
              <w:rPr>
                <w:rFonts w:ascii="宋体" w:hAnsi="宋体" w:cs="宋体" w:eastAsia="宋体" w:hint="default"/>
                <w:sz w:val="24"/>
                <w:szCs w:val="24"/>
              </w:rPr>
              <w:t>重要会计估计及其关键假设</w:t>
            </w:r>
          </w:p>
        </w:tc>
      </w:tr>
      <w:tr>
        <w:trPr>
          <w:trHeight w:val="1055"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47" w:right="244"/>
              <w:jc w:val="left"/>
              <w:rPr>
                <w:rFonts w:ascii="宋体" w:hAnsi="宋体" w:cs="宋体" w:eastAsia="宋体" w:hint="default"/>
                <w:sz w:val="24"/>
                <w:szCs w:val="24"/>
              </w:rPr>
            </w:pPr>
            <w:r>
              <w:rPr>
                <w:rFonts w:ascii="宋体" w:hAnsi="宋体" w:cs="宋体" w:eastAsia="宋体" w:hint="default"/>
                <w:sz w:val="24"/>
                <w:szCs w:val="24"/>
              </w:rPr>
              <w:t>下列重要会计估计及关键假设如果发生重大变动，则可能会导致以后会计年</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度的资产和负债账面的重大影响：</w:t>
            </w:r>
          </w:p>
        </w:tc>
      </w:tr>
      <w:tr>
        <w:trPr>
          <w:trHeight w:val="769"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(i)</w:t>
            </w: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7" w:right="0"/>
              <w:jc w:val="left"/>
              <w:rPr>
                <w:rFonts w:ascii="宋体" w:hAnsi="宋体" w:cs="宋体" w:eastAsia="宋体" w:hint="default"/>
                <w:sz w:val="24"/>
                <w:szCs w:val="24"/>
              </w:rPr>
            </w:pPr>
            <w:r>
              <w:rPr>
                <w:rFonts w:ascii="宋体" w:hAnsi="宋体" w:cs="宋体" w:eastAsia="宋体" w:hint="default"/>
                <w:sz w:val="24"/>
                <w:szCs w:val="24"/>
              </w:rPr>
              <w:t>商誉减值准备的会计估计</w:t>
            </w:r>
          </w:p>
        </w:tc>
      </w:tr>
      <w:tr>
        <w:trPr>
          <w:trHeight w:val="1099"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96"/>
              <w:ind w:left="147" w:right="198"/>
              <w:jc w:val="left"/>
              <w:rPr>
                <w:rFonts w:ascii="宋体" w:hAnsi="宋体" w:cs="宋体" w:eastAsia="宋体" w:hint="default"/>
                <w:sz w:val="24"/>
                <w:szCs w:val="24"/>
              </w:rPr>
            </w:pPr>
            <w:r>
              <w:rPr>
                <w:rFonts w:ascii="宋体" w:hAnsi="宋体" w:cs="宋体" w:eastAsia="宋体" w:hint="default"/>
                <w:sz w:val="24"/>
                <w:szCs w:val="24"/>
              </w:rPr>
              <w:t>本集团每年对商誉进行减值测试。包含商誉的资产组和资产组组合的可收回</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金额为其预计未来现金流量的现值，其计算需要采用会计估计</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(17))</w:t>
            </w:r>
            <w:r>
              <w:rPr>
                <w:rFonts w:ascii="宋体" w:hAnsi="宋体" w:cs="宋体" w:eastAsia="宋体" w:hint="default"/>
                <w:sz w:val="24"/>
                <w:szCs w:val="24"/>
              </w:rPr>
              <w:t>。</w:t>
            </w:r>
          </w:p>
        </w:tc>
      </w:tr>
      <w:tr>
        <w:trPr>
          <w:trHeight w:val="1399"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37" w:lineRule="auto" w:before="193"/>
              <w:ind w:left="147" w:right="244"/>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如果管理层对资产组和资产组组合未来现金流量计算中采用的毛利率进行修</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订，修订后的毛利率低于目前采用的毛利率，本集团需对商誉增加计提减值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准备。</w:t>
            </w:r>
          </w:p>
        </w:tc>
      </w:tr>
      <w:tr>
        <w:trPr>
          <w:trHeight w:val="1405"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147" w:right="244"/>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如果管理层对资产组和资产组组合未来现金流量计算中采用的收入增长率进</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行修订，修订后的收入增长率低于目前采用的收入增长率，本集团需对商誉</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增加计提减值准备。</w:t>
            </w:r>
          </w:p>
        </w:tc>
      </w:tr>
      <w:tr>
        <w:trPr>
          <w:trHeight w:val="1134"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147" w:right="244"/>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如果管理层对资产组和资产组组合未来现金流量计算中采用的净营运资本投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入金额进行修订，修订后的净营运资本投入金额高于目前采用的净营运资本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投入金额，本集团需对商誉增加计提减值准备。</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831" w:type="dxa"/>
        <w:tblLayout w:type="fixed"/>
        <w:tblCellMar>
          <w:top w:w="0" w:type="dxa"/>
          <w:left w:w="0" w:type="dxa"/>
          <w:bottom w:w="0" w:type="dxa"/>
          <w:right w:w="0" w:type="dxa"/>
        </w:tblCellMar>
        <w:tblLook w:val="01E0"/>
      </w:tblPr>
      <w:tblGrid>
        <w:gridCol w:w="8382"/>
      </w:tblGrid>
      <w:tr>
        <w:trPr>
          <w:trHeight w:val="823" w:hRule="exact"/>
        </w:trPr>
        <w:tc>
          <w:tcPr>
            <w:tcW w:w="838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如果管理层对应用于现金流量折现的税后折现率进行重新修订，修订后的税</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后折现率高于目前采用的折现率，本集团需对商誉增加计提减值准备。</w:t>
            </w:r>
          </w:p>
        </w:tc>
      </w:tr>
      <w:tr>
        <w:trPr>
          <w:trHeight w:val="823" w:hRule="exact"/>
        </w:trPr>
        <w:tc>
          <w:tcPr>
            <w:tcW w:w="83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2" w:lineRule="exact"/>
              <w:ind w:left="200" w:right="198"/>
              <w:jc w:val="left"/>
              <w:rPr>
                <w:rFonts w:ascii="宋体" w:hAnsi="宋体" w:cs="宋体" w:eastAsia="宋体" w:hint="default"/>
                <w:sz w:val="24"/>
                <w:szCs w:val="24"/>
              </w:rPr>
            </w:pPr>
            <w:r>
              <w:rPr>
                <w:rFonts w:ascii="宋体" w:hAnsi="宋体" w:cs="宋体" w:eastAsia="宋体" w:hint="default"/>
                <w:sz w:val="24"/>
                <w:szCs w:val="24"/>
              </w:rPr>
              <w:t>如果实际毛利率、收入增长率、净营运资本投入金额或税后折现率高于或低</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于管理层的估计，本集团不能转回原已计提的商誉减值损失。</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75"/>
        <w:gridCol w:w="8457"/>
      </w:tblGrid>
      <w:tr>
        <w:trPr>
          <w:trHeight w:val="49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7"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(30)</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黑体" w:hAnsi="黑体" w:cs="黑体" w:eastAsia="黑体" w:hint="default"/>
                <w:sz w:val="24"/>
                <w:szCs w:val="24"/>
              </w:rPr>
              <w:t>重要会计估计和判断</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8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7" w:right="0"/>
              <w:jc w:val="left"/>
              <w:rPr>
                <w:rFonts w:ascii="Arial" w:hAnsi="Arial" w:cs="Arial" w:eastAsia="Arial" w:hint="default"/>
                <w:sz w:val="24"/>
                <w:szCs w:val="24"/>
              </w:rPr>
            </w:pPr>
            <w:r>
              <w:rPr>
                <w:rFonts w:ascii="宋体" w:hAnsi="宋体" w:cs="宋体" w:eastAsia="宋体" w:hint="default"/>
                <w:sz w:val="24"/>
                <w:szCs w:val="24"/>
              </w:rPr>
              <w:t>重要会计估计及其关键假设</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8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(ii)</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7" w:right="0"/>
              <w:jc w:val="left"/>
              <w:rPr>
                <w:rFonts w:ascii="宋体" w:hAnsi="宋体" w:cs="宋体" w:eastAsia="宋体" w:hint="default"/>
                <w:sz w:val="24"/>
                <w:szCs w:val="24"/>
              </w:rPr>
            </w:pPr>
            <w:r>
              <w:rPr>
                <w:rFonts w:ascii="宋体" w:hAnsi="宋体" w:cs="宋体" w:eastAsia="宋体" w:hint="default"/>
                <w:sz w:val="24"/>
                <w:szCs w:val="24"/>
              </w:rPr>
              <w:t>房地产开发成本</w:t>
            </w:r>
          </w:p>
        </w:tc>
      </w:tr>
      <w:tr>
        <w:trPr>
          <w:trHeight w:val="1481" w:hRule="exact"/>
        </w:trPr>
        <w:tc>
          <w:tcPr>
            <w:tcW w:w="775"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68" w:lineRule="auto" w:before="197"/>
              <w:ind w:left="147" w:right="387"/>
              <w:jc w:val="both"/>
              <w:rPr>
                <w:rFonts w:ascii="宋体" w:hAnsi="宋体" w:cs="宋体" w:eastAsia="宋体" w:hint="default"/>
                <w:sz w:val="24"/>
                <w:szCs w:val="24"/>
              </w:rPr>
            </w:pPr>
            <w:r>
              <w:rPr>
                <w:rFonts w:ascii="宋体" w:hAnsi="宋体" w:cs="宋体" w:eastAsia="宋体" w:hint="default"/>
                <w:sz w:val="24"/>
                <w:szCs w:val="24"/>
              </w:rPr>
              <w:t>本集团确认开发成本时需要按照开发项目的预算成本和开发进度作出重大估 计和判断。当房地产开发项目的最终决算成本和预算成本不一致时，其差额 将影响相应的开发产品、开发成本和主营业务成本。</w:t>
            </w:r>
          </w:p>
        </w:tc>
      </w:tr>
      <w:tr>
        <w:trPr>
          <w:trHeight w:val="78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(iii)</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201"/>
              <w:ind w:left="147" w:right="0"/>
              <w:jc w:val="left"/>
              <w:rPr>
                <w:rFonts w:ascii="宋体" w:hAnsi="宋体" w:cs="宋体" w:eastAsia="宋体" w:hint="default"/>
                <w:sz w:val="24"/>
                <w:szCs w:val="24"/>
              </w:rPr>
            </w:pPr>
            <w:r>
              <w:rPr>
                <w:rFonts w:ascii="宋体" w:hAnsi="宋体" w:cs="宋体" w:eastAsia="宋体" w:hint="default"/>
                <w:sz w:val="24"/>
                <w:szCs w:val="24"/>
              </w:rPr>
              <w:t>当期及递延所得税</w:t>
            </w:r>
          </w:p>
        </w:tc>
      </w:tr>
      <w:tr>
        <w:trPr>
          <w:trHeight w:val="2028" w:hRule="exact"/>
        </w:trPr>
        <w:tc>
          <w:tcPr>
            <w:tcW w:w="775"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99"/>
              <w:ind w:left="147" w:right="314"/>
              <w:jc w:val="both"/>
              <w:rPr>
                <w:rFonts w:ascii="宋体" w:hAnsi="宋体" w:cs="宋体" w:eastAsia="宋体" w:hint="default"/>
                <w:sz w:val="24"/>
                <w:szCs w:val="24"/>
              </w:rPr>
            </w:pPr>
            <w:r>
              <w:rPr>
                <w:rFonts w:ascii="宋体" w:hAnsi="宋体" w:cs="宋体" w:eastAsia="宋体" w:hint="default"/>
                <w:sz w:val="24"/>
                <w:szCs w:val="24"/>
              </w:rPr>
              <w:t>本集团在多个地区缴纳企业所得税。在正常的经营活动中，部分交易和事项</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的最终税务处理存在不确定性。在计提各个地区的所得税费用时，本集团需</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要作出重大判断。如果这些税务事项的最终认定结果与最初入账的金额存在</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差异，该差异将对作出上述最终认定期间的所得税费用和递延所得税的金额</w:t>
            </w:r>
            <w:r>
              <w:rPr>
                <w:rFonts w:ascii="宋体" w:hAnsi="宋体" w:cs="宋体" w:eastAsia="宋体" w:hint="default"/>
                <w:spacing w:val="-59"/>
                <w:sz w:val="24"/>
                <w:szCs w:val="24"/>
              </w:rPr>
              <w:t> </w:t>
            </w:r>
            <w:r>
              <w:rPr>
                <w:rFonts w:ascii="宋体" w:hAnsi="宋体" w:cs="宋体" w:eastAsia="宋体" w:hint="default"/>
                <w:spacing w:val="-59"/>
                <w:sz w:val="24"/>
                <w:szCs w:val="24"/>
              </w:rPr>
            </w:r>
            <w:r>
              <w:rPr>
                <w:rFonts w:ascii="宋体" w:hAnsi="宋体" w:cs="宋体" w:eastAsia="宋体" w:hint="default"/>
                <w:sz w:val="24"/>
                <w:szCs w:val="24"/>
              </w:rPr>
              <w:t>产生影响。</w:t>
            </w:r>
          </w:p>
        </w:tc>
      </w:tr>
      <w:tr>
        <w:trPr>
          <w:trHeight w:val="2330" w:hRule="exact"/>
        </w:trPr>
        <w:tc>
          <w:tcPr>
            <w:tcW w:w="775"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147" w:right="198"/>
              <w:jc w:val="left"/>
              <w:rPr>
                <w:rFonts w:ascii="宋体" w:hAnsi="宋体" w:cs="宋体" w:eastAsia="宋体" w:hint="default"/>
                <w:sz w:val="24"/>
                <w:szCs w:val="24"/>
              </w:rPr>
            </w:pPr>
            <w:r>
              <w:rPr>
                <w:rFonts w:ascii="宋体" w:hAnsi="宋体" w:cs="宋体" w:eastAsia="宋体" w:hint="default"/>
                <w:sz w:val="24"/>
                <w:szCs w:val="24"/>
              </w:rPr>
              <w:t>本集团递延所得税资产的确认以很可能取得用来抵扣可抵扣暂时性差异、可</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抵扣亏损和税款抵减的应纳税所得额为限。本集团内各公司取得用来抵扣可</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抵扣暂时性差异、可抵扣亏损和税款抵减的应纳税所得额存在不确定性，本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2"/>
                <w:sz w:val="24"/>
                <w:szCs w:val="24"/>
              </w:rPr>
              <w:t>集团需要作出重大判断。如果已经计提递延所得税资产的可抵扣暂时性差异、</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可抵扣亏损最终认定结果与最初入账的金额存在差异，该差异将对作出最终</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认定期间的递延所得税金额产生影响。</w:t>
            </w:r>
          </w:p>
        </w:tc>
      </w:tr>
      <w:tr>
        <w:trPr>
          <w:trHeight w:val="77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(iv)</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96"/>
              <w:ind w:left="147" w:right="0"/>
              <w:jc w:val="left"/>
              <w:rPr>
                <w:rFonts w:ascii="宋体" w:hAnsi="宋体" w:cs="宋体" w:eastAsia="宋体" w:hint="default"/>
                <w:sz w:val="24"/>
                <w:szCs w:val="24"/>
              </w:rPr>
            </w:pPr>
            <w:r>
              <w:rPr>
                <w:rFonts w:ascii="宋体" w:hAnsi="宋体" w:cs="宋体" w:eastAsia="宋体" w:hint="default"/>
                <w:sz w:val="24"/>
                <w:szCs w:val="24"/>
              </w:rPr>
              <w:t>衍生工具及其他金融工具的公允价值</w:t>
            </w:r>
          </w:p>
        </w:tc>
      </w:tr>
      <w:tr>
        <w:trPr>
          <w:trHeight w:val="1452" w:hRule="exact"/>
        </w:trPr>
        <w:tc>
          <w:tcPr>
            <w:tcW w:w="775"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5" w:lineRule="auto" w:before="196"/>
              <w:ind w:left="147" w:right="316"/>
              <w:jc w:val="both"/>
              <w:rPr>
                <w:rFonts w:ascii="宋体" w:hAnsi="宋体" w:cs="宋体" w:eastAsia="宋体" w:hint="default"/>
                <w:sz w:val="24"/>
                <w:szCs w:val="24"/>
              </w:rPr>
            </w:pPr>
            <w:r>
              <w:rPr>
                <w:rFonts w:ascii="宋体" w:hAnsi="宋体" w:cs="宋体" w:eastAsia="宋体" w:hint="default"/>
                <w:sz w:val="24"/>
                <w:szCs w:val="24"/>
              </w:rPr>
              <w:t>不在活跃市场交易的金融工具的公允价值利用估值技术确定。本集团采用判</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断选取多种方法，并主要根据每个报告期末当时的市场情况作出假设。本集</w:t>
            </w:r>
            <w:r>
              <w:rPr>
                <w:rFonts w:ascii="宋体" w:hAnsi="宋体" w:cs="宋体" w:eastAsia="宋体" w:hint="default"/>
                <w:spacing w:val="-66"/>
                <w:sz w:val="24"/>
                <w:szCs w:val="24"/>
              </w:rPr>
              <w:t> </w:t>
            </w:r>
            <w:r>
              <w:rPr>
                <w:rFonts w:ascii="宋体" w:hAnsi="宋体" w:cs="宋体" w:eastAsia="宋体" w:hint="default"/>
                <w:spacing w:val="-66"/>
                <w:sz w:val="24"/>
                <w:szCs w:val="24"/>
              </w:rPr>
            </w:r>
            <w:r>
              <w:rPr>
                <w:rFonts w:ascii="宋体" w:hAnsi="宋体" w:cs="宋体" w:eastAsia="宋体" w:hint="default"/>
                <w:spacing w:val="-3"/>
                <w:sz w:val="24"/>
                <w:szCs w:val="24"/>
              </w:rPr>
              <w:t>团采用不同的期权定价模型</w:t>
            </w:r>
            <w:r>
              <w:rPr>
                <w:rFonts w:ascii="Arial" w:hAnsi="Arial" w:cs="Arial" w:eastAsia="Arial" w:hint="default"/>
                <w:spacing w:val="-3"/>
                <w:sz w:val="24"/>
                <w:szCs w:val="24"/>
              </w:rPr>
              <w:t>(</w:t>
            </w:r>
            <w:r>
              <w:rPr>
                <w:rFonts w:ascii="宋体" w:hAnsi="宋体" w:cs="宋体" w:eastAsia="宋体" w:hint="default"/>
                <w:spacing w:val="-3"/>
                <w:sz w:val="24"/>
                <w:szCs w:val="24"/>
              </w:rPr>
              <w:t>包括布莱克</w:t>
            </w:r>
            <w:r>
              <w:rPr>
                <w:rFonts w:ascii="Arial" w:hAnsi="Arial" w:cs="Arial" w:eastAsia="Arial" w:hint="default"/>
                <w:spacing w:val="-3"/>
                <w:sz w:val="24"/>
                <w:szCs w:val="24"/>
              </w:rPr>
              <w:t>-</w:t>
            </w:r>
            <w:r>
              <w:rPr>
                <w:rFonts w:ascii="宋体" w:hAnsi="宋体" w:cs="宋体" w:eastAsia="宋体" w:hint="default"/>
                <w:spacing w:val="-3"/>
                <w:sz w:val="24"/>
                <w:szCs w:val="24"/>
              </w:rPr>
              <w:t>斯克尔斯定价模型、百慕大利率掉期</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期权模型、蒙特卡罗模拟模型等</w:t>
            </w:r>
            <w:r>
              <w:rPr>
                <w:rFonts w:ascii="Arial" w:hAnsi="Arial" w:cs="Arial" w:eastAsia="Arial" w:hint="default"/>
                <w:sz w:val="24"/>
                <w:szCs w:val="24"/>
              </w:rPr>
              <w:t>)</w:t>
            </w:r>
            <w:r>
              <w:rPr>
                <w:rFonts w:ascii="宋体" w:hAnsi="宋体" w:cs="宋体" w:eastAsia="宋体" w:hint="default"/>
                <w:sz w:val="24"/>
                <w:szCs w:val="24"/>
              </w:rPr>
              <w:t>不同性质的金融工具进行估值。</w:t>
            </w:r>
          </w:p>
        </w:tc>
      </w:tr>
    </w:tbl>
    <w:p>
      <w:pPr>
        <w:spacing w:after="0" w:line="235"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5"/>
        <w:gridCol w:w="3389"/>
      </w:tblGrid>
      <w:tr>
        <w:trPr>
          <w:trHeight w:val="41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389"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(30)</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8" w:right="0"/>
              <w:jc w:val="left"/>
              <w:rPr>
                <w:rFonts w:ascii="Arial" w:hAnsi="Arial" w:cs="Arial" w:eastAsia="Arial" w:hint="default"/>
                <w:sz w:val="24"/>
                <w:szCs w:val="24"/>
              </w:rPr>
            </w:pPr>
            <w:r>
              <w:rPr>
                <w:rFonts w:ascii="黑体" w:hAnsi="黑体" w:cs="黑体" w:eastAsia="黑体" w:hint="default"/>
                <w:sz w:val="24"/>
                <w:szCs w:val="24"/>
              </w:rPr>
              <w:t>重要会计估计和判断</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1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8" w:right="0"/>
              <w:jc w:val="left"/>
              <w:rPr>
                <w:rFonts w:ascii="宋体" w:hAnsi="宋体" w:cs="宋体" w:eastAsia="宋体" w:hint="default"/>
                <w:sz w:val="24"/>
                <w:szCs w:val="24"/>
              </w:rPr>
            </w:pPr>
            <w:r>
              <w:rPr>
                <w:rFonts w:ascii="宋体" w:hAnsi="宋体" w:cs="宋体" w:eastAsia="宋体" w:hint="default"/>
                <w:sz w:val="24"/>
                <w:szCs w:val="24"/>
              </w:rPr>
              <w:t>采用会计政策的关键判断</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671"/>
        <w:gridCol w:w="8440"/>
      </w:tblGrid>
      <w:tr>
        <w:trPr>
          <w:trHeight w:val="439" w:hRule="exact"/>
        </w:trPr>
        <w:tc>
          <w:tcPr>
            <w:tcW w:w="67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w:t>
            </w:r>
          </w:p>
        </w:tc>
        <w:tc>
          <w:tcPr>
            <w:tcW w:w="8440" w:type="dxa"/>
            <w:tcBorders>
              <w:top w:val="nil" w:sz="6" w:space="0" w:color="auto"/>
              <w:left w:val="nil" w:sz="6" w:space="0" w:color="auto"/>
              <w:bottom w:val="nil" w:sz="6" w:space="0" w:color="auto"/>
              <w:right w:val="nil" w:sz="6" w:space="0" w:color="auto"/>
            </w:tcBorders>
          </w:tcPr>
          <w:p>
            <w:pPr>
              <w:pStyle w:val="TableParagraph"/>
              <w:spacing w:line="247" w:lineRule="exact"/>
              <w:ind w:left="257" w:right="0"/>
              <w:jc w:val="left"/>
              <w:rPr>
                <w:rFonts w:ascii="宋体" w:hAnsi="宋体" w:cs="宋体" w:eastAsia="宋体" w:hint="default"/>
                <w:sz w:val="24"/>
                <w:szCs w:val="24"/>
              </w:rPr>
            </w:pPr>
            <w:r>
              <w:rPr>
                <w:rFonts w:ascii="宋体" w:hAnsi="宋体" w:cs="宋体" w:eastAsia="宋体" w:hint="default"/>
                <w:sz w:val="24"/>
                <w:szCs w:val="24"/>
              </w:rPr>
              <w:t>存货跌价准备</w:t>
            </w:r>
          </w:p>
        </w:tc>
      </w:tr>
      <w:tr>
        <w:trPr>
          <w:trHeight w:val="1988" w:hRule="exact"/>
        </w:trPr>
        <w:tc>
          <w:tcPr>
            <w:tcW w:w="671" w:type="dxa"/>
            <w:tcBorders>
              <w:top w:val="nil" w:sz="6" w:space="0" w:color="auto"/>
              <w:left w:val="nil" w:sz="6" w:space="0" w:color="auto"/>
              <w:bottom w:val="nil" w:sz="6" w:space="0" w:color="auto"/>
              <w:right w:val="nil" w:sz="6" w:space="0" w:color="auto"/>
            </w:tcBorders>
          </w:tcPr>
          <w:p>
            <w:pPr/>
          </w:p>
        </w:tc>
        <w:tc>
          <w:tcPr>
            <w:tcW w:w="8440" w:type="dxa"/>
            <w:tcBorders>
              <w:top w:val="nil" w:sz="6" w:space="0" w:color="auto"/>
              <w:left w:val="nil" w:sz="6" w:space="0" w:color="auto"/>
              <w:bottom w:val="nil" w:sz="6" w:space="0" w:color="auto"/>
              <w:right w:val="nil" w:sz="6" w:space="0" w:color="auto"/>
            </w:tcBorders>
          </w:tcPr>
          <w:p>
            <w:pPr>
              <w:pStyle w:val="TableParagraph"/>
              <w:spacing w:line="237" w:lineRule="auto" w:before="120"/>
              <w:ind w:left="257" w:right="198"/>
              <w:jc w:val="both"/>
              <w:rPr>
                <w:rFonts w:ascii="宋体" w:hAnsi="宋体" w:cs="宋体" w:eastAsia="宋体" w:hint="default"/>
                <w:sz w:val="24"/>
                <w:szCs w:val="24"/>
              </w:rPr>
            </w:pPr>
            <w:r>
              <w:rPr>
                <w:rFonts w:ascii="宋体" w:hAnsi="宋体" w:cs="宋体" w:eastAsia="宋体" w:hint="default"/>
                <w:sz w:val="24"/>
                <w:szCs w:val="24"/>
              </w:rPr>
              <w:t>本集团将大量的流动资金投入存货，对于存货跌价准备的风险，本集团已经</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执行了严格的措施加以监控。对于存货账龄清单上滞销的存货，本集团会了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解滞销原因并积极与供应商进行沟通，尝试对滞销存货执行退货处理；对于</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无法向供应商退货的存货，或者已经不再与本集团进行交易的供应商，本集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8"/>
                <w:sz w:val="24"/>
                <w:szCs w:val="24"/>
              </w:rPr>
              <w:t>团根据滞销存货的账面价值高于各自的可变现净值的差额计提存货跌价准</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备。</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27" w:type="dxa"/>
        <w:tblLayout w:type="fixed"/>
        <w:tblCellMar>
          <w:top w:w="0" w:type="dxa"/>
          <w:left w:w="0" w:type="dxa"/>
          <w:bottom w:w="0" w:type="dxa"/>
          <w:right w:w="0" w:type="dxa"/>
        </w:tblCellMar>
        <w:tblLook w:val="01E0"/>
      </w:tblPr>
      <w:tblGrid>
        <w:gridCol w:w="665"/>
        <w:gridCol w:w="8547"/>
      </w:tblGrid>
      <w:tr>
        <w:trPr>
          <w:trHeight w:val="421"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w:t>
            </w:r>
          </w:p>
        </w:tc>
        <w:tc>
          <w:tcPr>
            <w:tcW w:w="8547" w:type="dxa"/>
            <w:tcBorders>
              <w:top w:val="nil" w:sz="6" w:space="0" w:color="auto"/>
              <w:left w:val="nil" w:sz="6" w:space="0" w:color="auto"/>
              <w:bottom w:val="nil" w:sz="6" w:space="0" w:color="auto"/>
              <w:right w:val="nil" w:sz="6" w:space="0" w:color="auto"/>
            </w:tcBorders>
          </w:tcPr>
          <w:p>
            <w:pPr>
              <w:pStyle w:val="TableParagraph"/>
              <w:spacing w:line="247" w:lineRule="exact"/>
              <w:ind w:left="199" w:right="0"/>
              <w:jc w:val="left"/>
              <w:rPr>
                <w:rFonts w:ascii="宋体" w:hAnsi="宋体" w:cs="宋体" w:eastAsia="宋体" w:hint="default"/>
                <w:sz w:val="24"/>
                <w:szCs w:val="24"/>
              </w:rPr>
            </w:pPr>
            <w:r>
              <w:rPr>
                <w:rFonts w:ascii="宋体" w:hAnsi="宋体" w:cs="宋体" w:eastAsia="宋体" w:hint="default"/>
                <w:sz w:val="24"/>
                <w:szCs w:val="24"/>
              </w:rPr>
              <w:t>积分计划</w:t>
            </w:r>
          </w:p>
        </w:tc>
      </w:tr>
      <w:tr>
        <w:trPr>
          <w:trHeight w:val="2593" w:hRule="exact"/>
        </w:trPr>
        <w:tc>
          <w:tcPr>
            <w:tcW w:w="665" w:type="dxa"/>
            <w:tcBorders>
              <w:top w:val="nil" w:sz="6" w:space="0" w:color="auto"/>
              <w:left w:val="nil" w:sz="6" w:space="0" w:color="auto"/>
              <w:bottom w:val="nil" w:sz="6" w:space="0" w:color="auto"/>
              <w:right w:val="nil" w:sz="6" w:space="0" w:color="auto"/>
            </w:tcBorders>
          </w:tcPr>
          <w:p>
            <w:pPr/>
          </w:p>
        </w:tc>
        <w:tc>
          <w:tcPr>
            <w:tcW w:w="8547"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99" w:right="198"/>
              <w:jc w:val="left"/>
              <w:rPr>
                <w:rFonts w:ascii="宋体" w:hAnsi="宋体" w:cs="宋体" w:eastAsia="宋体" w:hint="default"/>
                <w:sz w:val="24"/>
                <w:szCs w:val="24"/>
              </w:rPr>
            </w:pPr>
            <w:r>
              <w:rPr>
                <w:rFonts w:ascii="宋体" w:hAnsi="宋体" w:cs="宋体" w:eastAsia="宋体" w:hint="default"/>
                <w:spacing w:val="-1"/>
                <w:sz w:val="24"/>
                <w:szCs w:val="24"/>
              </w:rPr>
              <w:t>本集团实施积分计划，顾客前次消费额产生的积分，可以在下次消费时抵用。</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2"/>
                <w:sz w:val="24"/>
                <w:szCs w:val="24"/>
              </w:rPr>
              <w:t>授予顾客的积分奖励作为销售交易的一部分。销售取得的货款在商品销售产</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生的收入与奖励积分之间进行分配，与奖励积分相关的部分首先作为递延收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益，待顾客兑换奖励积分或失效时，结转计入当期损益。予以递延确认的收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益以授予顾客的积分为基准，并根据本集团已公布的积分使用方法和积分的</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预期兑付率，按公允价值确认。预期兑付率的可靠估计有赖于历史数据及数</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理统计。于每个资产负债表日，本集团将根据积分的实际兑付情况，对预期</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兑付率进行重新估算，并调整递延收益余额。</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682"/>
        <w:gridCol w:w="2162"/>
        <w:gridCol w:w="1875"/>
        <w:gridCol w:w="1901"/>
        <w:gridCol w:w="2460"/>
      </w:tblGrid>
      <w:tr>
        <w:trPr>
          <w:trHeight w:val="421" w:hRule="exact"/>
        </w:trPr>
        <w:tc>
          <w:tcPr>
            <w:tcW w:w="68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(iii)</w:t>
            </w:r>
          </w:p>
        </w:tc>
        <w:tc>
          <w:tcPr>
            <w:tcW w:w="4036"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162"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c>
          <w:tcPr>
            <w:tcW w:w="1901"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587" w:hRule="exact"/>
        </w:trPr>
        <w:tc>
          <w:tcPr>
            <w:tcW w:w="682" w:type="dxa"/>
            <w:tcBorders>
              <w:top w:val="nil" w:sz="6" w:space="0" w:color="auto"/>
              <w:left w:val="nil" w:sz="6" w:space="0" w:color="auto"/>
              <w:bottom w:val="nil" w:sz="6" w:space="0" w:color="auto"/>
              <w:right w:val="nil" w:sz="6" w:space="0" w:color="auto"/>
            </w:tcBorders>
          </w:tcPr>
          <w:p>
            <w:pPr/>
          </w:p>
        </w:tc>
        <w:tc>
          <w:tcPr>
            <w:tcW w:w="839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9"/>
              <w:ind w:left="162" w:right="0"/>
              <w:jc w:val="left"/>
              <w:rPr>
                <w:rFonts w:ascii="宋体" w:hAnsi="宋体" w:cs="宋体" w:eastAsia="宋体" w:hint="default"/>
                <w:sz w:val="24"/>
                <w:szCs w:val="24"/>
              </w:rPr>
            </w:pPr>
            <w:r>
              <w:rPr>
                <w:rFonts w:ascii="宋体" w:hAnsi="宋体" w:cs="宋体" w:eastAsia="宋体" w:hint="default"/>
                <w:sz w:val="24"/>
                <w:szCs w:val="24"/>
              </w:rPr>
              <w:t>固定资产的预计使用寿命、净残值率及年折旧率列示如下：</w:t>
            </w:r>
          </w:p>
        </w:tc>
      </w:tr>
      <w:tr>
        <w:trPr>
          <w:trHeight w:val="584"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4"/>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6"/>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宋体" w:hAnsi="宋体" w:cs="宋体" w:eastAsia="宋体" w:hint="default"/>
                <w:sz w:val="24"/>
                <w:szCs w:val="24"/>
              </w:rPr>
              <w:t>年折旧率</w:t>
            </w:r>
          </w:p>
        </w:tc>
      </w:tr>
      <w:tr>
        <w:trPr>
          <w:trHeight w:val="455"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62"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2"/>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0"/>
              <w:jc w:val="right"/>
              <w:rPr>
                <w:rFonts w:ascii="Arial" w:hAnsi="Arial" w:cs="Arial" w:eastAsia="Arial" w:hint="default"/>
                <w:sz w:val="24"/>
                <w:szCs w:val="24"/>
              </w:rPr>
            </w:pPr>
            <w:r>
              <w:rPr>
                <w:rFonts w:ascii="Arial"/>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8"/>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2"/>
                <w:sz w:val="24"/>
                <w:szCs w:val="24"/>
              </w:rPr>
              <w:t> </w:t>
            </w:r>
            <w:r>
              <w:rPr>
                <w:rFonts w:ascii="Arial" w:hAnsi="Arial" w:cs="Arial" w:eastAsia="Arial" w:hint="default"/>
                <w:sz w:val="24"/>
                <w:szCs w:val="24"/>
              </w:rPr>
              <w:t>4.85%</w:t>
            </w:r>
          </w:p>
        </w:tc>
      </w:tr>
      <w:tr>
        <w:trPr>
          <w:trHeight w:val="311"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73" w:lineRule="exact"/>
              <w:ind w:left="162"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875" w:type="dxa"/>
            <w:tcBorders>
              <w:top w:val="nil" w:sz="6" w:space="0" w:color="auto"/>
              <w:left w:val="nil" w:sz="6" w:space="0" w:color="auto"/>
              <w:bottom w:val="nil" w:sz="6" w:space="0" w:color="auto"/>
              <w:right w:val="nil" w:sz="6" w:space="0" w:color="auto"/>
            </w:tcBorders>
          </w:tcPr>
          <w:p>
            <w:pPr>
              <w:pStyle w:val="TableParagraph"/>
              <w:spacing w:line="290" w:lineRule="exact"/>
              <w:ind w:right="119"/>
              <w:jc w:val="righ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9"/>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71" w:lineRule="exact"/>
              <w:ind w:right="330"/>
              <w:jc w:val="right"/>
              <w:rPr>
                <w:rFonts w:ascii="Arial" w:hAnsi="Arial" w:cs="Arial" w:eastAsia="Arial" w:hint="default"/>
                <w:sz w:val="24"/>
                <w:szCs w:val="24"/>
              </w:rPr>
            </w:pPr>
            <w:r>
              <w:rPr>
                <w:rFonts w:ascii="Arial"/>
                <w:spacing w:val="-1"/>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71" w:lineRule="exact"/>
              <w:ind w:right="198"/>
              <w:jc w:val="right"/>
              <w:rPr>
                <w:rFonts w:ascii="Arial" w:hAnsi="Arial" w:cs="Arial" w:eastAsia="Arial" w:hint="default"/>
                <w:sz w:val="24"/>
                <w:szCs w:val="24"/>
              </w:rPr>
            </w:pPr>
            <w:r>
              <w:rPr>
                <w:rFonts w:ascii="Arial"/>
                <w:w w:val="95"/>
                <w:sz w:val="24"/>
              </w:rPr>
              <w:t>9.70%</w:t>
            </w:r>
            <w:r>
              <w:rPr>
                <w:rFonts w:ascii="Arial"/>
                <w:sz w:val="24"/>
              </w:rPr>
            </w:r>
          </w:p>
        </w:tc>
      </w:tr>
      <w:tr>
        <w:trPr>
          <w:trHeight w:val="311"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74" w:lineRule="exact"/>
              <w:ind w:left="162"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875" w:type="dxa"/>
            <w:tcBorders>
              <w:top w:val="nil" w:sz="6" w:space="0" w:color="auto"/>
              <w:left w:val="nil" w:sz="6" w:space="0" w:color="auto"/>
              <w:bottom w:val="nil" w:sz="6" w:space="0" w:color="auto"/>
              <w:right w:val="nil" w:sz="6" w:space="0" w:color="auto"/>
            </w:tcBorders>
          </w:tcPr>
          <w:p>
            <w:pPr>
              <w:pStyle w:val="TableParagraph"/>
              <w:spacing w:line="291" w:lineRule="exact"/>
              <w:ind w:right="119"/>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72" w:lineRule="exact"/>
              <w:ind w:right="330"/>
              <w:jc w:val="right"/>
              <w:rPr>
                <w:rFonts w:ascii="Arial" w:hAnsi="Arial" w:cs="Arial" w:eastAsia="Arial" w:hint="default"/>
                <w:sz w:val="24"/>
                <w:szCs w:val="24"/>
              </w:rPr>
            </w:pPr>
            <w:r>
              <w:rPr>
                <w:rFonts w:ascii="Arial"/>
                <w:spacing w:val="-1"/>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72" w:lineRule="exact"/>
              <w:ind w:right="198"/>
              <w:jc w:val="right"/>
              <w:rPr>
                <w:rFonts w:ascii="Arial" w:hAnsi="Arial" w:cs="Arial" w:eastAsia="Arial" w:hint="default"/>
                <w:sz w:val="24"/>
                <w:szCs w:val="24"/>
              </w:rPr>
            </w:pPr>
            <w:r>
              <w:rPr>
                <w:rFonts w:ascii="Arial"/>
                <w:w w:val="95"/>
                <w:sz w:val="24"/>
              </w:rPr>
              <w:t>19.40%</w:t>
            </w:r>
            <w:r>
              <w:rPr>
                <w:rFonts w:ascii="Arial"/>
                <w:sz w:val="24"/>
              </w:rPr>
            </w:r>
          </w:p>
        </w:tc>
      </w:tr>
      <w:tr>
        <w:trPr>
          <w:trHeight w:val="312"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73" w:lineRule="exact"/>
              <w:ind w:left="162"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1875" w:type="dxa"/>
            <w:tcBorders>
              <w:top w:val="nil" w:sz="6" w:space="0" w:color="auto"/>
              <w:left w:val="nil" w:sz="6" w:space="0" w:color="auto"/>
              <w:bottom w:val="nil" w:sz="6" w:space="0" w:color="auto"/>
              <w:right w:val="nil" w:sz="6" w:space="0" w:color="auto"/>
            </w:tcBorders>
          </w:tcPr>
          <w:p>
            <w:pPr>
              <w:pStyle w:val="TableParagraph"/>
              <w:spacing w:line="290" w:lineRule="exact"/>
              <w:ind w:right="119"/>
              <w:jc w:val="righ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71" w:lineRule="exact"/>
              <w:ind w:right="330"/>
              <w:jc w:val="right"/>
              <w:rPr>
                <w:rFonts w:ascii="Arial" w:hAnsi="Arial" w:cs="Arial" w:eastAsia="Arial" w:hint="default"/>
                <w:sz w:val="24"/>
                <w:szCs w:val="24"/>
              </w:rPr>
            </w:pPr>
            <w:r>
              <w:rPr>
                <w:rFonts w:ascii="Arial"/>
                <w:spacing w:val="-1"/>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90" w:lineRule="exact"/>
              <w:ind w:right="198"/>
              <w:jc w:val="righ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62"/>
                <w:sz w:val="24"/>
                <w:szCs w:val="24"/>
              </w:rPr>
              <w:t> </w:t>
            </w:r>
            <w:r>
              <w:rPr>
                <w:rFonts w:ascii="Arial" w:hAnsi="Arial" w:cs="Arial" w:eastAsia="Arial" w:hint="default"/>
                <w:sz w:val="24"/>
                <w:szCs w:val="24"/>
              </w:rPr>
              <w:t>32.33%</w:t>
            </w:r>
          </w:p>
        </w:tc>
      </w:tr>
      <w:tr>
        <w:trPr>
          <w:trHeight w:val="453"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74" w:lineRule="exact"/>
              <w:ind w:left="162"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875" w:type="dxa"/>
            <w:tcBorders>
              <w:top w:val="nil" w:sz="6" w:space="0" w:color="auto"/>
              <w:left w:val="nil" w:sz="6" w:space="0" w:color="auto"/>
              <w:bottom w:val="nil" w:sz="6" w:space="0" w:color="auto"/>
              <w:right w:val="nil" w:sz="6" w:space="0" w:color="auto"/>
            </w:tcBorders>
          </w:tcPr>
          <w:p>
            <w:pPr>
              <w:pStyle w:val="TableParagraph"/>
              <w:spacing w:line="291" w:lineRule="exact"/>
              <w:ind w:right="119"/>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72" w:lineRule="exact"/>
              <w:ind w:right="330"/>
              <w:jc w:val="right"/>
              <w:rPr>
                <w:rFonts w:ascii="Arial" w:hAnsi="Arial" w:cs="Arial" w:eastAsia="Arial" w:hint="default"/>
                <w:sz w:val="24"/>
                <w:szCs w:val="24"/>
              </w:rPr>
            </w:pPr>
            <w:r>
              <w:rPr>
                <w:rFonts w:ascii="Arial"/>
                <w:spacing w:val="-1"/>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72" w:lineRule="exact"/>
              <w:ind w:right="198"/>
              <w:jc w:val="right"/>
              <w:rPr>
                <w:rFonts w:ascii="Arial" w:hAnsi="Arial" w:cs="Arial" w:eastAsia="Arial" w:hint="default"/>
                <w:sz w:val="24"/>
                <w:szCs w:val="24"/>
              </w:rPr>
            </w:pPr>
            <w:r>
              <w:rPr>
                <w:rFonts w:ascii="Arial"/>
                <w:w w:val="95"/>
                <w:sz w:val="24"/>
              </w:rPr>
              <w:t>19.40%</w:t>
            </w:r>
            <w:r>
              <w:rPr>
                <w:rFonts w:ascii="Arial"/>
                <w:sz w:val="24"/>
              </w:rPr>
            </w:r>
          </w:p>
        </w:tc>
      </w:tr>
      <w:tr>
        <w:trPr>
          <w:trHeight w:val="718" w:hRule="exact"/>
        </w:trPr>
        <w:tc>
          <w:tcPr>
            <w:tcW w:w="682" w:type="dxa"/>
            <w:tcBorders>
              <w:top w:val="nil" w:sz="6" w:space="0" w:color="auto"/>
              <w:left w:val="nil" w:sz="6" w:space="0" w:color="auto"/>
              <w:bottom w:val="nil" w:sz="6" w:space="0" w:color="auto"/>
              <w:right w:val="nil" w:sz="6" w:space="0" w:color="auto"/>
            </w:tcBorders>
          </w:tcPr>
          <w:p>
            <w:pPr/>
          </w:p>
        </w:tc>
        <w:tc>
          <w:tcPr>
            <w:tcW w:w="8397"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125"/>
              <w:ind w:left="162" w:right="198"/>
              <w:jc w:val="left"/>
              <w:rPr>
                <w:rFonts w:ascii="宋体" w:hAnsi="宋体" w:cs="宋体" w:eastAsia="宋体" w:hint="default"/>
                <w:sz w:val="24"/>
                <w:szCs w:val="24"/>
              </w:rPr>
            </w:pPr>
            <w:r>
              <w:rPr>
                <w:rFonts w:ascii="宋体" w:hAnsi="宋体" w:cs="宋体" w:eastAsia="宋体" w:hint="default"/>
                <w:spacing w:val="2"/>
                <w:sz w:val="24"/>
                <w:szCs w:val="24"/>
              </w:rPr>
              <w:t>对固定资产的预计使用寿命、预计净残值和折旧方法于每年年度终了进行复</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核并作适当调整。</w:t>
            </w:r>
          </w:p>
        </w:tc>
      </w:tr>
    </w:tbl>
    <w:p>
      <w:pPr>
        <w:spacing w:after="0" w:line="310"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1812"/>
        <w:gridCol w:w="2517"/>
        <w:gridCol w:w="4868"/>
      </w:tblGrid>
      <w:tr>
        <w:trPr>
          <w:trHeight w:val="410"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exact"/>
              <w:ind w:left="217" w:right="0"/>
              <w:jc w:val="left"/>
              <w:rPr>
                <w:rFonts w:ascii="黑体" w:hAnsi="黑体" w:cs="黑体" w:eastAsia="黑体" w:hint="default"/>
                <w:sz w:val="24"/>
                <w:szCs w:val="24"/>
              </w:rPr>
            </w:pPr>
            <w:r>
              <w:rPr>
                <w:rFonts w:ascii="黑体" w:hAnsi="黑体" w:cs="黑体" w:eastAsia="黑体" w:hint="default"/>
                <w:sz w:val="24"/>
                <w:szCs w:val="24"/>
              </w:rPr>
              <w:t>税项</w:t>
            </w:r>
          </w:p>
        </w:tc>
        <w:tc>
          <w:tcPr>
            <w:tcW w:w="251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5"/>
              <w:jc w:val="center"/>
              <w:rPr>
                <w:rFonts w:ascii="Arial" w:hAnsi="Arial" w:cs="Arial" w:eastAsia="Arial" w:hint="default"/>
                <w:sz w:val="24"/>
                <w:szCs w:val="24"/>
              </w:rPr>
            </w:pPr>
            <w:r>
              <w:rPr>
                <w:rFonts w:ascii="Arial"/>
                <w:sz w:val="24"/>
              </w:rPr>
              <w:t>(1)</w:t>
            </w:r>
          </w:p>
        </w:tc>
        <w:tc>
          <w:tcPr>
            <w:tcW w:w="91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217"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p>
        </w:tc>
      </w:tr>
      <w:tr>
        <w:trPr>
          <w:trHeight w:val="598" w:hRule="exact"/>
        </w:trPr>
        <w:tc>
          <w:tcPr>
            <w:tcW w:w="71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7"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94"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35"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607" w:hRule="exact"/>
        </w:trPr>
        <w:tc>
          <w:tcPr>
            <w:tcW w:w="711" w:type="dxa"/>
            <w:tcBorders>
              <w:top w:val="nil" w:sz="6" w:space="0" w:color="auto"/>
              <w:left w:val="nil" w:sz="6" w:space="0" w:color="auto"/>
              <w:bottom w:val="nil" w:sz="6" w:space="0" w:color="auto"/>
              <w:right w:val="nil" w:sz="6" w:space="0" w:color="auto"/>
            </w:tcBorders>
          </w:tcPr>
          <w:p>
            <w:pPr/>
          </w:p>
        </w:tc>
        <w:tc>
          <w:tcPr>
            <w:tcW w:w="43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217" w:right="0"/>
              <w:jc w:val="left"/>
              <w:rPr>
                <w:rFonts w:ascii="宋体" w:hAnsi="宋体" w:cs="宋体" w:eastAsia="宋体" w:hint="default"/>
                <w:sz w:val="24"/>
                <w:szCs w:val="24"/>
              </w:rPr>
            </w:pPr>
            <w:r>
              <w:rPr>
                <w:rFonts w:ascii="宋体" w:hAnsi="宋体" w:cs="宋体" w:eastAsia="宋体" w:hint="default"/>
                <w:sz w:val="24"/>
                <w:szCs w:val="24"/>
              </w:rPr>
              <w:t>本公司及境内子公司：</w:t>
            </w:r>
          </w:p>
        </w:tc>
        <w:tc>
          <w:tcPr>
            <w:tcW w:w="4868" w:type="dxa"/>
            <w:tcBorders>
              <w:top w:val="nil" w:sz="6" w:space="0" w:color="auto"/>
              <w:left w:val="nil" w:sz="6" w:space="0" w:color="auto"/>
              <w:bottom w:val="nil" w:sz="6" w:space="0" w:color="auto"/>
              <w:right w:val="nil" w:sz="6" w:space="0" w:color="auto"/>
            </w:tcBorders>
          </w:tcPr>
          <w:p>
            <w:pPr/>
          </w:p>
        </w:tc>
      </w:tr>
      <w:tr>
        <w:trPr>
          <w:trHeight w:val="6697" w:hRule="exact"/>
        </w:trPr>
        <w:tc>
          <w:tcPr>
            <w:tcW w:w="71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17"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94"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4868" w:type="dxa"/>
            <w:tcBorders>
              <w:top w:val="nil" w:sz="6" w:space="0" w:color="auto"/>
              <w:left w:val="nil" w:sz="6" w:space="0" w:color="auto"/>
              <w:bottom w:val="nil" w:sz="6" w:space="0" w:color="auto"/>
              <w:right w:val="nil" w:sz="6" w:space="0" w:color="auto"/>
            </w:tcBorders>
          </w:tcPr>
          <w:p>
            <w:pPr>
              <w:pStyle w:val="TableParagraph"/>
              <w:spacing w:line="310" w:lineRule="exact" w:before="142"/>
              <w:ind w:left="235" w:right="319"/>
              <w:jc w:val="both"/>
              <w:rPr>
                <w:rFonts w:ascii="宋体" w:hAnsi="宋体" w:cs="宋体" w:eastAsia="宋体" w:hint="default"/>
                <w:sz w:val="24"/>
                <w:szCs w:val="24"/>
              </w:rPr>
            </w:pPr>
            <w:r>
              <w:rPr>
                <w:rFonts w:ascii="宋体" w:hAnsi="宋体" w:cs="宋体" w:eastAsia="宋体" w:hint="default"/>
                <w:sz w:val="24"/>
                <w:szCs w:val="24"/>
              </w:rPr>
              <w:t>企业所得税税率一般为</w:t>
            </w:r>
            <w:r>
              <w:rPr>
                <w:rFonts w:ascii="宋体" w:hAnsi="宋体" w:cs="宋体" w:eastAsia="宋体" w:hint="default"/>
                <w:spacing w:val="-59"/>
                <w:sz w:val="24"/>
                <w:szCs w:val="24"/>
              </w:rPr>
              <w:t> </w:t>
            </w:r>
            <w:r>
              <w:rPr>
                <w:rFonts w:ascii="Arial" w:hAnsi="Arial" w:cs="Arial" w:eastAsia="Arial" w:hint="default"/>
                <w:spacing w:val="-8"/>
                <w:sz w:val="24"/>
                <w:szCs w:val="24"/>
              </w:rPr>
              <w:t>25%</w:t>
            </w:r>
            <w:r>
              <w:rPr>
                <w:rFonts w:ascii="宋体" w:hAnsi="宋体" w:cs="宋体" w:eastAsia="宋体" w:hint="default"/>
                <w:spacing w:val="-8"/>
                <w:sz w:val="24"/>
                <w:szCs w:val="24"/>
              </w:rPr>
              <w:t>，部分子公司</w:t>
            </w:r>
            <w:r>
              <w:rPr>
                <w:rFonts w:ascii="宋体" w:hAnsi="宋体" w:cs="宋体" w:eastAsia="宋体" w:hint="default"/>
                <w:sz w:val="24"/>
                <w:szCs w:val="24"/>
              </w:rPr>
              <w:t> 可以享受企业所得税优惠税率：</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21" w:lineRule="exact"/>
              <w:ind w:left="235" w:right="0"/>
              <w:jc w:val="both"/>
              <w:rPr>
                <w:rFonts w:ascii="Arial" w:hAnsi="Arial" w:cs="Arial" w:eastAsia="Arial" w:hint="default"/>
                <w:sz w:val="24"/>
                <w:szCs w:val="24"/>
              </w:rPr>
            </w:pPr>
            <w:r>
              <w:rPr>
                <w:rFonts w:ascii="宋体" w:hAnsi="宋体" w:cs="宋体" w:eastAsia="宋体" w:hint="default"/>
                <w:spacing w:val="6"/>
                <w:sz w:val="24"/>
                <w:szCs w:val="24"/>
              </w:rPr>
              <w:t>对设在西部地区的鼓励类企业减按</w:t>
            </w:r>
            <w:r>
              <w:rPr>
                <w:rFonts w:ascii="宋体" w:hAnsi="宋体" w:cs="宋体" w:eastAsia="宋体" w:hint="default"/>
                <w:spacing w:val="9"/>
                <w:sz w:val="24"/>
                <w:szCs w:val="24"/>
              </w:rPr>
              <w:t> </w:t>
            </w:r>
            <w:r>
              <w:rPr>
                <w:rFonts w:ascii="Arial" w:hAnsi="Arial" w:cs="Arial" w:eastAsia="Arial" w:hint="default"/>
                <w:sz w:val="24"/>
                <w:szCs w:val="24"/>
              </w:rPr>
              <w:t>15%</w:t>
            </w:r>
          </w:p>
          <w:p>
            <w:pPr>
              <w:pStyle w:val="TableParagraph"/>
              <w:spacing w:line="304" w:lineRule="exact"/>
              <w:ind w:left="235" w:right="0"/>
              <w:jc w:val="both"/>
              <w:rPr>
                <w:rFonts w:ascii="宋体" w:hAnsi="宋体" w:cs="宋体" w:eastAsia="宋体" w:hint="default"/>
                <w:sz w:val="24"/>
                <w:szCs w:val="24"/>
              </w:rPr>
            </w:pPr>
            <w:r>
              <w:rPr>
                <w:rFonts w:ascii="宋体" w:hAnsi="宋体" w:cs="宋体" w:eastAsia="宋体" w:hint="default"/>
                <w:sz w:val="24"/>
                <w:szCs w:val="24"/>
              </w:rPr>
              <w:t>征收企业所得税；</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22" w:lineRule="exact"/>
              <w:ind w:left="235" w:right="0"/>
              <w:jc w:val="both"/>
              <w:rPr>
                <w:rFonts w:ascii="宋体" w:hAnsi="宋体" w:cs="宋体" w:eastAsia="宋体" w:hint="default"/>
                <w:sz w:val="24"/>
                <w:szCs w:val="24"/>
              </w:rPr>
            </w:pPr>
            <w:r>
              <w:rPr>
                <w:rFonts w:ascii="宋体" w:hAnsi="宋体" w:cs="宋体" w:eastAsia="宋体" w:hint="default"/>
                <w:sz w:val="24"/>
                <w:szCs w:val="24"/>
              </w:rPr>
              <w:t>年度应纳税所得额不超过人民币</w:t>
            </w:r>
            <w:r>
              <w:rPr>
                <w:rFonts w:ascii="宋体" w:hAnsi="宋体" w:cs="宋体" w:eastAsia="宋体" w:hint="default"/>
                <w:spacing w:val="-78"/>
                <w:sz w:val="24"/>
                <w:szCs w:val="24"/>
              </w:rPr>
              <w:t> </w:t>
            </w:r>
            <w:r>
              <w:rPr>
                <w:rFonts w:ascii="Arial" w:hAnsi="Arial" w:cs="Arial" w:eastAsia="Arial" w:hint="default"/>
                <w:sz w:val="24"/>
                <w:szCs w:val="24"/>
              </w:rPr>
              <w:t>30</w:t>
            </w:r>
            <w:r>
              <w:rPr>
                <w:rFonts w:ascii="Arial" w:hAnsi="Arial" w:cs="Arial" w:eastAsia="Arial" w:hint="default"/>
                <w:spacing w:val="-25"/>
                <w:sz w:val="24"/>
                <w:szCs w:val="24"/>
              </w:rPr>
              <w:t> </w:t>
            </w:r>
            <w:r>
              <w:rPr>
                <w:rFonts w:ascii="宋体" w:hAnsi="宋体" w:cs="宋体" w:eastAsia="宋体" w:hint="default"/>
                <w:sz w:val="24"/>
                <w:szCs w:val="24"/>
              </w:rPr>
              <w:t>万元，</w:t>
            </w:r>
          </w:p>
          <w:p>
            <w:pPr>
              <w:pStyle w:val="TableParagraph"/>
              <w:spacing w:line="311" w:lineRule="exact"/>
              <w:ind w:left="235" w:right="0"/>
              <w:jc w:val="both"/>
              <w:rPr>
                <w:rFonts w:ascii="宋体" w:hAnsi="宋体" w:cs="宋体" w:eastAsia="宋体" w:hint="default"/>
                <w:sz w:val="24"/>
                <w:szCs w:val="24"/>
              </w:rPr>
            </w:pPr>
            <w:r>
              <w:rPr>
                <w:rFonts w:ascii="宋体" w:hAnsi="宋体" w:cs="宋体" w:eastAsia="宋体" w:hint="default"/>
                <w:sz w:val="24"/>
                <w:szCs w:val="24"/>
              </w:rPr>
              <w:t>从业人数不超过 </w:t>
            </w:r>
            <w:r>
              <w:rPr>
                <w:rFonts w:ascii="Arial" w:hAnsi="Arial" w:cs="Arial" w:eastAsia="Arial" w:hint="default"/>
                <w:sz w:val="24"/>
                <w:szCs w:val="24"/>
              </w:rPr>
              <w:t>80</w:t>
            </w:r>
            <w:r>
              <w:rPr>
                <w:rFonts w:ascii="Arial" w:hAnsi="Arial" w:cs="Arial" w:eastAsia="Arial" w:hint="default"/>
                <w:spacing w:val="17"/>
                <w:sz w:val="24"/>
                <w:szCs w:val="24"/>
              </w:rPr>
              <w:t> </w:t>
            </w:r>
            <w:r>
              <w:rPr>
                <w:rFonts w:ascii="宋体" w:hAnsi="宋体" w:cs="宋体" w:eastAsia="宋体" w:hint="default"/>
                <w:sz w:val="24"/>
                <w:szCs w:val="24"/>
              </w:rPr>
              <w:t>人，资产总额不超过</w:t>
            </w:r>
          </w:p>
          <w:p>
            <w:pPr>
              <w:pStyle w:val="TableParagraph"/>
              <w:spacing w:line="311" w:lineRule="exact"/>
              <w:ind w:left="235" w:right="0"/>
              <w:jc w:val="both"/>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5"/>
                <w:sz w:val="24"/>
                <w:szCs w:val="24"/>
              </w:rPr>
              <w:t> </w:t>
            </w:r>
            <w:r>
              <w:rPr>
                <w:rFonts w:ascii="Arial" w:hAnsi="Arial" w:cs="Arial" w:eastAsia="Arial" w:hint="default"/>
                <w:sz w:val="24"/>
                <w:szCs w:val="24"/>
              </w:rPr>
              <w:t>1,000</w:t>
            </w:r>
            <w:r>
              <w:rPr>
                <w:rFonts w:ascii="Arial" w:hAnsi="Arial" w:cs="Arial" w:eastAsia="Arial" w:hint="default"/>
                <w:spacing w:val="-12"/>
                <w:sz w:val="24"/>
                <w:szCs w:val="24"/>
              </w:rPr>
              <w:t> </w:t>
            </w:r>
            <w:r>
              <w:rPr>
                <w:rFonts w:ascii="宋体" w:hAnsi="宋体" w:cs="宋体" w:eastAsia="宋体" w:hint="default"/>
                <w:sz w:val="24"/>
                <w:szCs w:val="24"/>
              </w:rPr>
              <w:t>万元的小型微利企业，按照</w:t>
            </w:r>
          </w:p>
          <w:p>
            <w:pPr>
              <w:pStyle w:val="TableParagraph"/>
              <w:spacing w:line="321" w:lineRule="exact"/>
              <w:ind w:left="235" w:right="0"/>
              <w:jc w:val="both"/>
              <w:rPr>
                <w:rFonts w:ascii="宋体" w:hAnsi="宋体" w:cs="宋体" w:eastAsia="宋体" w:hint="default"/>
                <w:sz w:val="24"/>
                <w:szCs w:val="24"/>
              </w:rPr>
            </w:pPr>
            <w:r>
              <w:rPr>
                <w:rFonts w:ascii="Arial" w:hAnsi="Arial" w:cs="Arial" w:eastAsia="Arial" w:hint="default"/>
                <w:sz w:val="24"/>
                <w:szCs w:val="24"/>
              </w:rPr>
              <w:t>20%</w:t>
            </w:r>
            <w:r>
              <w:rPr>
                <w:rFonts w:ascii="宋体" w:hAnsi="宋体" w:cs="宋体" w:eastAsia="宋体" w:hint="default"/>
                <w:sz w:val="24"/>
                <w:szCs w:val="24"/>
              </w:rPr>
              <w:t>征收企业所得税；</w:t>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0" w:lineRule="exact"/>
              <w:ind w:left="235" w:right="318"/>
              <w:jc w:val="both"/>
              <w:rPr>
                <w:rFonts w:ascii="宋体" w:hAnsi="宋体" w:cs="宋体" w:eastAsia="宋体" w:hint="default"/>
                <w:sz w:val="24"/>
                <w:szCs w:val="24"/>
              </w:rPr>
            </w:pPr>
            <w:r>
              <w:rPr>
                <w:rFonts w:ascii="宋体" w:hAnsi="宋体" w:cs="宋体" w:eastAsia="宋体" w:hint="default"/>
                <w:spacing w:val="-1"/>
                <w:sz w:val="24"/>
                <w:szCs w:val="24"/>
              </w:rPr>
              <w:t>对国家需要重点扶持的高新技术企业，减</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按</w:t>
            </w:r>
            <w:r>
              <w:rPr>
                <w:rFonts w:ascii="宋体" w:hAnsi="宋体" w:cs="宋体" w:eastAsia="宋体" w:hint="default"/>
                <w:spacing w:val="-63"/>
                <w:sz w:val="24"/>
                <w:szCs w:val="24"/>
              </w:rPr>
              <w:t> </w:t>
            </w:r>
            <w:r>
              <w:rPr>
                <w:rFonts w:ascii="Arial" w:hAnsi="Arial" w:cs="Arial" w:eastAsia="Arial" w:hint="default"/>
                <w:sz w:val="24"/>
                <w:szCs w:val="24"/>
              </w:rPr>
              <w:t>15%</w:t>
            </w:r>
            <w:r>
              <w:rPr>
                <w:rFonts w:ascii="宋体" w:hAnsi="宋体" w:cs="宋体" w:eastAsia="宋体" w:hint="default"/>
                <w:sz w:val="24"/>
                <w:szCs w:val="24"/>
              </w:rPr>
              <w:t>的税率征收企业所得税；</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35" w:right="318"/>
              <w:jc w:val="both"/>
              <w:rPr>
                <w:rFonts w:ascii="Arial" w:hAnsi="Arial" w:cs="Arial" w:eastAsia="Arial" w:hint="default"/>
                <w:sz w:val="24"/>
                <w:szCs w:val="24"/>
              </w:rPr>
            </w:pPr>
            <w:r>
              <w:rPr>
                <w:rFonts w:ascii="宋体" w:hAnsi="宋体" w:cs="宋体" w:eastAsia="宋体" w:hint="default"/>
                <w:spacing w:val="13"/>
                <w:sz w:val="24"/>
                <w:szCs w:val="24"/>
              </w:rPr>
              <w:t>对我国境内新办的集成电路设计企业和</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8"/>
                <w:sz w:val="24"/>
                <w:szCs w:val="24"/>
              </w:rPr>
              <w:t>符合条件的软件企业，经认定后，在</w:t>
            </w:r>
            <w:r>
              <w:rPr>
                <w:rFonts w:ascii="宋体" w:hAnsi="宋体" w:cs="宋体" w:eastAsia="宋体" w:hint="default"/>
                <w:spacing w:val="-57"/>
                <w:sz w:val="24"/>
                <w:szCs w:val="24"/>
              </w:rPr>
              <w:t> </w:t>
            </w:r>
            <w:r>
              <w:rPr>
                <w:rFonts w:ascii="Arial" w:hAnsi="Arial" w:cs="Arial" w:eastAsia="Arial" w:hint="default"/>
                <w:sz w:val="24"/>
                <w:szCs w:val="24"/>
              </w:rPr>
              <w:t>2017</w:t>
            </w:r>
          </w:p>
          <w:p>
            <w:pPr>
              <w:pStyle w:val="TableParagraph"/>
              <w:spacing w:line="290" w:lineRule="exact"/>
              <w:ind w:left="235" w:right="0"/>
              <w:jc w:val="both"/>
              <w:rPr>
                <w:rFonts w:ascii="宋体" w:hAnsi="宋体" w:cs="宋体" w:eastAsia="宋体" w:hint="default"/>
                <w:sz w:val="24"/>
                <w:szCs w:val="24"/>
              </w:rPr>
            </w:pP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25"/>
                <w:sz w:val="24"/>
                <w:szCs w:val="24"/>
              </w:rPr>
              <w:t> </w:t>
            </w:r>
            <w:r>
              <w:rPr>
                <w:rFonts w:ascii="宋体" w:hAnsi="宋体" w:cs="宋体" w:eastAsia="宋体" w:hint="default"/>
                <w:sz w:val="24"/>
                <w:szCs w:val="24"/>
              </w:rPr>
              <w:t>日前自获利年度起计算优惠</w:t>
            </w:r>
          </w:p>
          <w:p>
            <w:pPr>
              <w:pStyle w:val="TableParagraph"/>
              <w:spacing w:line="230" w:lineRule="auto" w:before="1"/>
              <w:ind w:left="235" w:right="316"/>
              <w:jc w:val="both"/>
              <w:rPr>
                <w:rFonts w:ascii="宋体" w:hAnsi="宋体" w:cs="宋体" w:eastAsia="宋体" w:hint="default"/>
                <w:sz w:val="24"/>
                <w:szCs w:val="24"/>
              </w:rPr>
            </w:pPr>
            <w:r>
              <w:rPr>
                <w:rFonts w:ascii="宋体" w:hAnsi="宋体" w:cs="宋体" w:eastAsia="宋体" w:hint="default"/>
                <w:spacing w:val="-1"/>
                <w:sz w:val="24"/>
                <w:szCs w:val="24"/>
              </w:rPr>
              <w:t>期，第一年至第二年免征企业所得税，第</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5"/>
                <w:sz w:val="24"/>
                <w:szCs w:val="24"/>
              </w:rPr>
              <w:t>三年至第五年按照</w:t>
            </w:r>
            <w:r>
              <w:rPr>
                <w:rFonts w:ascii="宋体" w:hAnsi="宋体" w:cs="宋体" w:eastAsia="宋体" w:hint="default"/>
                <w:spacing w:val="17"/>
                <w:sz w:val="24"/>
                <w:szCs w:val="24"/>
              </w:rPr>
              <w:t> </w:t>
            </w:r>
            <w:r>
              <w:rPr>
                <w:rFonts w:ascii="Arial" w:hAnsi="Arial" w:cs="Arial" w:eastAsia="Arial" w:hint="default"/>
                <w:spacing w:val="4"/>
                <w:sz w:val="24"/>
                <w:szCs w:val="24"/>
              </w:rPr>
              <w:t>25%</w:t>
            </w:r>
            <w:r>
              <w:rPr>
                <w:rFonts w:ascii="宋体" w:hAnsi="宋体" w:cs="宋体" w:eastAsia="宋体" w:hint="default"/>
                <w:spacing w:val="4"/>
                <w:sz w:val="24"/>
                <w:szCs w:val="24"/>
              </w:rPr>
              <w:t>的法定税率减半</w:t>
            </w:r>
            <w:r>
              <w:rPr>
                <w:rFonts w:ascii="宋体" w:hAnsi="宋体" w:cs="宋体" w:eastAsia="宋体" w:hint="default"/>
                <w:sz w:val="24"/>
                <w:szCs w:val="24"/>
              </w:rPr>
              <w:t> </w:t>
            </w:r>
            <w:r>
              <w:rPr>
                <w:rFonts w:ascii="宋体" w:hAnsi="宋体" w:cs="宋体" w:eastAsia="宋体" w:hint="default"/>
                <w:spacing w:val="3"/>
                <w:sz w:val="24"/>
                <w:szCs w:val="24"/>
              </w:rPr>
              <w:t>征收企业所得税，并享受至期满为止</w:t>
            </w:r>
            <w:r>
              <w:rPr>
                <w:rFonts w:ascii="Arial" w:hAnsi="Arial" w:cs="Arial" w:eastAsia="Arial" w:hint="default"/>
                <w:spacing w:val="3"/>
                <w:sz w:val="24"/>
                <w:szCs w:val="24"/>
              </w:rPr>
              <w:t>(</w:t>
            </w:r>
            <w:r>
              <w:rPr>
                <w:rFonts w:ascii="Arial" w:hAnsi="Arial" w:cs="Arial" w:eastAsia="Arial" w:hint="default"/>
                <w:spacing w:val="3"/>
                <w:sz w:val="24"/>
                <w:szCs w:val="24"/>
              </w:rPr>
              <w:t>“</w:t>
            </w:r>
            <w:r>
              <w:rPr>
                <w:rFonts w:ascii="宋体" w:hAnsi="宋体" w:cs="宋体" w:eastAsia="宋体" w:hint="default"/>
                <w:spacing w:val="3"/>
                <w:sz w:val="24"/>
                <w:szCs w:val="24"/>
              </w:rPr>
              <w:t>两</w:t>
            </w:r>
            <w:r>
              <w:rPr>
                <w:rFonts w:ascii="宋体" w:hAnsi="宋体" w:cs="宋体" w:eastAsia="宋体" w:hint="default"/>
                <w:spacing w:val="-112"/>
                <w:sz w:val="24"/>
                <w:szCs w:val="24"/>
              </w:rPr>
              <w:t> </w:t>
            </w:r>
            <w:r>
              <w:rPr>
                <w:rFonts w:ascii="宋体" w:hAnsi="宋体" w:cs="宋体" w:eastAsia="宋体" w:hint="default"/>
                <w:sz w:val="24"/>
                <w:szCs w:val="24"/>
              </w:rPr>
              <w:t>免三减半</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w:t>
            </w:r>
          </w:p>
        </w:tc>
      </w:tr>
      <w:tr>
        <w:trPr>
          <w:trHeight w:val="2849" w:hRule="exact"/>
        </w:trPr>
        <w:tc>
          <w:tcPr>
            <w:tcW w:w="71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7"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517" w:type="dxa"/>
            <w:tcBorders>
              <w:top w:val="nil" w:sz="6" w:space="0" w:color="auto"/>
              <w:left w:val="nil" w:sz="6" w:space="0" w:color="auto"/>
              <w:bottom w:val="nil" w:sz="6" w:space="0" w:color="auto"/>
              <w:right w:val="nil" w:sz="6" w:space="0" w:color="auto"/>
            </w:tcBorders>
          </w:tcPr>
          <w:p>
            <w:pPr>
              <w:pStyle w:val="TableParagraph"/>
              <w:spacing w:line="235" w:lineRule="auto" w:before="109"/>
              <w:ind w:left="400" w:right="233" w:hanging="6"/>
              <w:jc w:val="both"/>
              <w:rPr>
                <w:rFonts w:ascii="Arial" w:hAnsi="Arial" w:cs="Arial" w:eastAsia="Arial" w:hint="default"/>
                <w:sz w:val="24"/>
                <w:szCs w:val="24"/>
              </w:rPr>
            </w:pPr>
            <w:r>
              <w:rPr>
                <w:rFonts w:ascii="宋体" w:hAnsi="宋体" w:cs="宋体" w:eastAsia="宋体" w:hint="default"/>
                <w:spacing w:val="12"/>
                <w:sz w:val="24"/>
                <w:szCs w:val="24"/>
              </w:rPr>
              <w:t>应纳税营业额</w:t>
            </w:r>
            <w:r>
              <w:rPr>
                <w:rFonts w:ascii="Arial" w:hAnsi="Arial" w:cs="Arial" w:eastAsia="Arial" w:hint="default"/>
                <w:spacing w:val="12"/>
                <w:sz w:val="24"/>
                <w:szCs w:val="24"/>
              </w:rPr>
              <w:t>(</w:t>
            </w:r>
            <w:r>
              <w:rPr>
                <w:rFonts w:ascii="宋体" w:hAnsi="宋体" w:cs="宋体" w:eastAsia="宋体" w:hint="default"/>
                <w:spacing w:val="12"/>
                <w:sz w:val="24"/>
                <w:szCs w:val="24"/>
              </w:rPr>
              <w:t>应</w:t>
            </w:r>
            <w:r>
              <w:rPr>
                <w:rFonts w:ascii="宋体" w:hAnsi="宋体" w:cs="宋体" w:eastAsia="宋体" w:hint="default"/>
                <w:sz w:val="24"/>
                <w:szCs w:val="24"/>
              </w:rPr>
              <w:t> </w:t>
            </w:r>
            <w:r>
              <w:rPr>
                <w:rFonts w:ascii="宋体" w:hAnsi="宋体" w:cs="宋体" w:eastAsia="宋体" w:hint="default"/>
                <w:spacing w:val="24"/>
                <w:sz w:val="24"/>
                <w:szCs w:val="24"/>
              </w:rPr>
              <w:t>纳税额按应纳税</w:t>
            </w:r>
            <w:r>
              <w:rPr>
                <w:rFonts w:ascii="宋体" w:hAnsi="宋体" w:cs="宋体" w:eastAsia="宋体" w:hint="default"/>
                <w:spacing w:val="-92"/>
                <w:sz w:val="24"/>
                <w:szCs w:val="24"/>
              </w:rPr>
              <w:t> </w:t>
            </w:r>
            <w:r>
              <w:rPr>
                <w:rFonts w:ascii="宋体" w:hAnsi="宋体" w:cs="宋体" w:eastAsia="宋体" w:hint="default"/>
                <w:spacing w:val="24"/>
                <w:sz w:val="24"/>
                <w:szCs w:val="24"/>
              </w:rPr>
              <w:t>销售额或应税服</w:t>
            </w:r>
            <w:r>
              <w:rPr>
                <w:rFonts w:ascii="宋体" w:hAnsi="宋体" w:cs="宋体" w:eastAsia="宋体" w:hint="default"/>
                <w:spacing w:val="-92"/>
                <w:sz w:val="24"/>
                <w:szCs w:val="24"/>
              </w:rPr>
              <w:t> </w:t>
            </w:r>
            <w:r>
              <w:rPr>
                <w:rFonts w:ascii="宋体" w:hAnsi="宋体" w:cs="宋体" w:eastAsia="宋体" w:hint="default"/>
                <w:spacing w:val="24"/>
                <w:sz w:val="24"/>
                <w:szCs w:val="24"/>
              </w:rPr>
              <w:t>务额乘以适用税</w:t>
            </w:r>
            <w:r>
              <w:rPr>
                <w:rFonts w:ascii="宋体" w:hAnsi="宋体" w:cs="宋体" w:eastAsia="宋体" w:hint="default"/>
                <w:spacing w:val="-92"/>
                <w:sz w:val="24"/>
                <w:szCs w:val="24"/>
              </w:rPr>
              <w:t> </w:t>
            </w:r>
            <w:r>
              <w:rPr>
                <w:rFonts w:ascii="宋体" w:hAnsi="宋体" w:cs="宋体" w:eastAsia="宋体" w:hint="default"/>
                <w:spacing w:val="24"/>
                <w:sz w:val="24"/>
                <w:szCs w:val="24"/>
              </w:rPr>
              <w:t>率扣除当期允许</w:t>
            </w:r>
            <w:r>
              <w:rPr>
                <w:rFonts w:ascii="宋体" w:hAnsi="宋体" w:cs="宋体" w:eastAsia="宋体" w:hint="default"/>
                <w:spacing w:val="-92"/>
                <w:sz w:val="24"/>
                <w:szCs w:val="24"/>
              </w:rPr>
              <w:t> </w:t>
            </w:r>
            <w:r>
              <w:rPr>
                <w:rFonts w:ascii="宋体" w:hAnsi="宋体" w:cs="宋体" w:eastAsia="宋体" w:hint="default"/>
                <w:spacing w:val="24"/>
                <w:sz w:val="24"/>
                <w:szCs w:val="24"/>
              </w:rPr>
              <w:t>抵扣的进项税后</w:t>
            </w:r>
            <w:r>
              <w:rPr>
                <w:rFonts w:ascii="宋体" w:hAnsi="宋体" w:cs="宋体" w:eastAsia="宋体" w:hint="default"/>
                <w:spacing w:val="-92"/>
                <w:sz w:val="24"/>
                <w:szCs w:val="24"/>
              </w:rPr>
              <w:t> </w:t>
            </w:r>
            <w:r>
              <w:rPr>
                <w:rFonts w:ascii="宋体" w:hAnsi="宋体" w:cs="宋体" w:eastAsia="宋体" w:hint="default"/>
                <w:sz w:val="24"/>
                <w:szCs w:val="24"/>
              </w:rPr>
              <w:t>的余额计算</w:t>
            </w:r>
            <w:r>
              <w:rPr>
                <w:rFonts w:ascii="Arial" w:hAnsi="Arial" w:cs="Arial" w:eastAsia="Arial" w:hint="default"/>
                <w:sz w:val="24"/>
                <w:szCs w:val="24"/>
              </w:rPr>
              <w:t>)</w:t>
            </w:r>
          </w:p>
        </w:tc>
        <w:tc>
          <w:tcPr>
            <w:tcW w:w="4868" w:type="dxa"/>
            <w:tcBorders>
              <w:top w:val="nil" w:sz="6" w:space="0" w:color="auto"/>
              <w:left w:val="nil" w:sz="6" w:space="0" w:color="auto"/>
              <w:bottom w:val="nil" w:sz="6" w:space="0" w:color="auto"/>
              <w:right w:val="nil" w:sz="6" w:space="0" w:color="auto"/>
            </w:tcBorders>
          </w:tcPr>
          <w:p>
            <w:pPr>
              <w:pStyle w:val="TableParagraph"/>
              <w:spacing w:line="310" w:lineRule="exact" w:before="136"/>
              <w:ind w:left="235" w:right="319"/>
              <w:jc w:val="left"/>
              <w:rPr>
                <w:rFonts w:ascii="宋体" w:hAnsi="宋体" w:cs="宋体" w:eastAsia="宋体" w:hint="default"/>
                <w:sz w:val="24"/>
                <w:szCs w:val="24"/>
              </w:rPr>
            </w:pPr>
            <w:r>
              <w:rPr>
                <w:rFonts w:ascii="宋体" w:hAnsi="宋体" w:cs="宋体" w:eastAsia="宋体" w:hint="default"/>
                <w:spacing w:val="-1"/>
                <w:sz w:val="24"/>
                <w:szCs w:val="24"/>
              </w:rPr>
              <w:t>家用电器销售：小规模纳税人增值税征收</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率</w:t>
            </w:r>
            <w:r>
              <w:rPr>
                <w:rFonts w:ascii="宋体" w:hAnsi="宋体" w:cs="宋体" w:eastAsia="宋体" w:hint="default"/>
                <w:spacing w:val="-62"/>
                <w:sz w:val="24"/>
                <w:szCs w:val="24"/>
              </w:rPr>
              <w:t> </w:t>
            </w:r>
            <w:r>
              <w:rPr>
                <w:rFonts w:ascii="Arial" w:hAnsi="Arial" w:cs="Arial" w:eastAsia="Arial" w:hint="default"/>
                <w:sz w:val="24"/>
                <w:szCs w:val="24"/>
              </w:rPr>
              <w:t>3%</w:t>
            </w:r>
            <w:r>
              <w:rPr>
                <w:rFonts w:ascii="宋体" w:hAnsi="宋体" w:cs="宋体" w:eastAsia="宋体" w:hint="default"/>
                <w:sz w:val="24"/>
                <w:szCs w:val="24"/>
              </w:rPr>
              <w:t>，一般纳税人增值税税率为</w:t>
            </w:r>
            <w:r>
              <w:rPr>
                <w:rFonts w:ascii="宋体" w:hAnsi="宋体" w:cs="宋体" w:eastAsia="宋体" w:hint="default"/>
                <w:spacing w:val="-62"/>
                <w:sz w:val="24"/>
                <w:szCs w:val="24"/>
              </w:rPr>
              <w:t> </w:t>
            </w:r>
            <w:r>
              <w:rPr>
                <w:rFonts w:ascii="Arial" w:hAnsi="Arial" w:cs="Arial" w:eastAsia="Arial" w:hint="default"/>
                <w:sz w:val="24"/>
                <w:szCs w:val="24"/>
              </w:rPr>
              <w:t>17%</w:t>
            </w:r>
            <w:r>
              <w:rPr>
                <w:rFonts w:ascii="宋体" w:hAnsi="宋体" w:cs="宋体" w:eastAsia="宋体" w:hint="default"/>
                <w:sz w:val="24"/>
                <w:szCs w:val="24"/>
              </w:rPr>
              <w:t>；</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2" w:lineRule="exact"/>
              <w:ind w:left="235" w:right="0"/>
              <w:jc w:val="both"/>
              <w:rPr>
                <w:rFonts w:ascii="宋体" w:hAnsi="宋体" w:cs="宋体" w:eastAsia="宋体" w:hint="default"/>
                <w:sz w:val="24"/>
                <w:szCs w:val="24"/>
              </w:rPr>
            </w:pPr>
            <w:r>
              <w:rPr>
                <w:rFonts w:ascii="宋体" w:hAnsi="宋体" w:cs="宋体" w:eastAsia="宋体" w:hint="default"/>
                <w:sz w:val="24"/>
                <w:szCs w:val="24"/>
              </w:rPr>
              <w:t>交通运输业服务：一般纳税人增值税税率</w:t>
            </w:r>
          </w:p>
          <w:p>
            <w:pPr>
              <w:pStyle w:val="TableParagraph"/>
              <w:spacing w:line="330" w:lineRule="exact"/>
              <w:ind w:left="235" w:right="0"/>
              <w:jc w:val="both"/>
              <w:rPr>
                <w:rFonts w:ascii="宋体" w:hAnsi="宋体" w:cs="宋体" w:eastAsia="宋体" w:hint="default"/>
                <w:sz w:val="24"/>
                <w:szCs w:val="24"/>
              </w:rPr>
            </w:pPr>
            <w:r>
              <w:rPr>
                <w:rFonts w:ascii="Arial" w:hAnsi="Arial" w:cs="Arial" w:eastAsia="Arial" w:hint="default"/>
                <w:spacing w:val="-5"/>
                <w:sz w:val="24"/>
                <w:szCs w:val="24"/>
              </w:rPr>
              <w:t>11%</w:t>
            </w:r>
            <w:r>
              <w:rPr>
                <w:rFonts w:ascii="宋体" w:hAnsi="宋体" w:cs="宋体" w:eastAsia="宋体" w:hint="default"/>
                <w:spacing w:val="-5"/>
                <w:sz w:val="24"/>
                <w:szCs w:val="24"/>
              </w:rPr>
              <w:t>；</w:t>
            </w: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2" w:lineRule="auto"/>
              <w:ind w:left="235" w:right="198"/>
              <w:jc w:val="both"/>
              <w:rPr>
                <w:rFonts w:ascii="宋体" w:hAnsi="宋体" w:cs="宋体" w:eastAsia="宋体" w:hint="default"/>
                <w:sz w:val="24"/>
                <w:szCs w:val="24"/>
              </w:rPr>
            </w:pPr>
            <w:r>
              <w:rPr>
                <w:rFonts w:ascii="宋体" w:hAnsi="宋体" w:cs="宋体" w:eastAsia="宋体" w:hint="default"/>
                <w:sz w:val="24"/>
                <w:szCs w:val="24"/>
              </w:rPr>
              <w:t>移动通信转售业务包括：提供基础电信服 </w:t>
            </w:r>
            <w:r>
              <w:rPr>
                <w:rFonts w:ascii="宋体" w:hAnsi="宋体" w:cs="宋体" w:eastAsia="宋体" w:hint="default"/>
                <w:spacing w:val="-3"/>
                <w:sz w:val="24"/>
                <w:szCs w:val="24"/>
              </w:rPr>
              <w:t>务，一般纳税人增值税税率</w:t>
            </w:r>
            <w:r>
              <w:rPr>
                <w:rFonts w:ascii="宋体" w:hAnsi="宋体" w:cs="宋体" w:eastAsia="宋体" w:hint="default"/>
                <w:spacing w:val="-55"/>
                <w:sz w:val="24"/>
                <w:szCs w:val="24"/>
              </w:rPr>
              <w:t> </w:t>
            </w:r>
            <w:r>
              <w:rPr>
                <w:rFonts w:ascii="Arial" w:hAnsi="Arial" w:cs="Arial" w:eastAsia="Arial" w:hint="default"/>
                <w:spacing w:val="-7"/>
                <w:sz w:val="24"/>
                <w:szCs w:val="24"/>
              </w:rPr>
              <w:t>11%</w:t>
            </w:r>
            <w:r>
              <w:rPr>
                <w:rFonts w:ascii="宋体" w:hAnsi="宋体" w:cs="宋体" w:eastAsia="宋体" w:hint="default"/>
                <w:spacing w:val="-7"/>
                <w:sz w:val="24"/>
                <w:szCs w:val="24"/>
              </w:rPr>
              <w:t>；提供增</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4"/>
                <w:sz w:val="24"/>
                <w:szCs w:val="24"/>
              </w:rPr>
              <w:t>值电信服务，一般纳税人增值税税率</w:t>
            </w:r>
            <w:r>
              <w:rPr>
                <w:rFonts w:ascii="宋体" w:hAnsi="宋体" w:cs="宋体" w:eastAsia="宋体" w:hint="default"/>
                <w:spacing w:val="-52"/>
                <w:sz w:val="24"/>
                <w:szCs w:val="24"/>
              </w:rPr>
              <w:t> </w:t>
            </w:r>
            <w:r>
              <w:rPr>
                <w:rFonts w:ascii="Arial" w:hAnsi="Arial" w:cs="Arial" w:eastAsia="Arial" w:hint="default"/>
                <w:sz w:val="24"/>
                <w:szCs w:val="24"/>
              </w:rPr>
              <w:t>6%</w:t>
            </w:r>
            <w:r>
              <w:rPr>
                <w:rFonts w:ascii="宋体" w:hAnsi="宋体" w:cs="宋体" w:eastAsia="宋体" w:hint="default"/>
                <w:sz w:val="24"/>
                <w:szCs w:val="24"/>
              </w:rPr>
              <w:t>；</w:t>
            </w:r>
          </w:p>
        </w:tc>
      </w:tr>
    </w:tbl>
    <w:p>
      <w:pPr>
        <w:spacing w:after="0" w:line="232"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2052"/>
        <w:gridCol w:w="2779"/>
        <w:gridCol w:w="4254"/>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2052"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79" w:type="dxa"/>
            <w:tcBorders>
              <w:top w:val="nil" w:sz="6" w:space="0" w:color="auto"/>
              <w:left w:val="nil" w:sz="6" w:space="0" w:color="auto"/>
              <w:bottom w:val="nil" w:sz="6" w:space="0" w:color="auto"/>
              <w:right w:val="nil" w:sz="6" w:space="0" w:color="auto"/>
            </w:tcBorders>
          </w:tcPr>
          <w:p>
            <w:pPr/>
          </w:p>
        </w:tc>
        <w:tc>
          <w:tcPr>
            <w:tcW w:w="4254" w:type="dxa"/>
            <w:tcBorders>
              <w:top w:val="nil" w:sz="6" w:space="0" w:color="auto"/>
              <w:left w:val="nil" w:sz="6" w:space="0" w:color="auto"/>
              <w:bottom w:val="nil" w:sz="6" w:space="0" w:color="auto"/>
              <w:right w:val="nil" w:sz="6" w:space="0" w:color="auto"/>
            </w:tcBorders>
          </w:tcPr>
          <w:p>
            <w:pP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(1)</w:t>
            </w:r>
          </w:p>
        </w:tc>
        <w:tc>
          <w:tcPr>
            <w:tcW w:w="90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r>
              <w:rPr>
                <w:rFonts w:ascii="黑体" w:hAnsi="黑体" w:cs="黑体" w:eastAsia="黑体" w:hint="default"/>
                <w:sz w:val="24"/>
                <w:szCs w:val="24"/>
              </w:rPr>
              <w:t>：</w:t>
            </w:r>
          </w:p>
        </w:tc>
      </w:tr>
      <w:tr>
        <w:trPr>
          <w:trHeight w:val="582"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7"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4"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43"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593" w:hRule="exact"/>
        </w:trPr>
        <w:tc>
          <w:tcPr>
            <w:tcW w:w="711" w:type="dxa"/>
            <w:tcBorders>
              <w:top w:val="nil" w:sz="6" w:space="0" w:color="auto"/>
              <w:left w:val="nil" w:sz="6" w:space="0" w:color="auto"/>
              <w:bottom w:val="nil" w:sz="6" w:space="0" w:color="auto"/>
              <w:right w:val="nil" w:sz="6" w:space="0" w:color="auto"/>
            </w:tcBorders>
          </w:tcPr>
          <w:p>
            <w:pPr/>
          </w:p>
        </w:tc>
        <w:tc>
          <w:tcPr>
            <w:tcW w:w="4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217" w:right="0"/>
              <w:jc w:val="left"/>
              <w:rPr>
                <w:rFonts w:ascii="宋体" w:hAnsi="宋体" w:cs="宋体" w:eastAsia="宋体" w:hint="default"/>
                <w:sz w:val="24"/>
                <w:szCs w:val="24"/>
              </w:rPr>
            </w:pPr>
            <w:r>
              <w:rPr>
                <w:rFonts w:ascii="宋体" w:hAnsi="宋体" w:cs="宋体" w:eastAsia="宋体" w:hint="default"/>
                <w:sz w:val="24"/>
                <w:szCs w:val="24"/>
              </w:rPr>
              <w:t>本公司及境内子公司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4254" w:type="dxa"/>
            <w:tcBorders>
              <w:top w:val="nil" w:sz="6" w:space="0" w:color="auto"/>
              <w:left w:val="nil" w:sz="6" w:space="0" w:color="auto"/>
              <w:bottom w:val="nil" w:sz="6" w:space="0" w:color="auto"/>
              <w:right w:val="nil" w:sz="6" w:space="0" w:color="auto"/>
            </w:tcBorders>
          </w:tcPr>
          <w:p>
            <w:pPr/>
          </w:p>
        </w:tc>
      </w:tr>
      <w:tr>
        <w:trPr>
          <w:trHeight w:val="3318"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7"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779" w:type="dxa"/>
            <w:tcBorders>
              <w:top w:val="nil" w:sz="6" w:space="0" w:color="auto"/>
              <w:left w:val="nil" w:sz="6" w:space="0" w:color="auto"/>
              <w:bottom w:val="nil" w:sz="6" w:space="0" w:color="auto"/>
              <w:right w:val="nil" w:sz="6" w:space="0" w:color="auto"/>
            </w:tcBorders>
          </w:tcPr>
          <w:p>
            <w:pPr>
              <w:pStyle w:val="TableParagraph"/>
              <w:spacing w:line="235" w:lineRule="auto" w:before="99"/>
              <w:ind w:left="154" w:right="215"/>
              <w:jc w:val="both"/>
              <w:rPr>
                <w:rFonts w:ascii="Arial" w:hAnsi="Arial" w:cs="Arial" w:eastAsia="Arial" w:hint="default"/>
                <w:sz w:val="24"/>
                <w:szCs w:val="24"/>
              </w:rPr>
            </w:pPr>
            <w:r>
              <w:rPr>
                <w:rFonts w:ascii="宋体" w:hAnsi="宋体" w:cs="宋体" w:eastAsia="宋体" w:hint="default"/>
                <w:spacing w:val="15"/>
                <w:sz w:val="24"/>
                <w:szCs w:val="24"/>
              </w:rPr>
              <w:t>应纳税营业额</w:t>
            </w:r>
            <w:r>
              <w:rPr>
                <w:rFonts w:ascii="Arial" w:hAnsi="Arial" w:cs="Arial" w:eastAsia="Arial" w:hint="default"/>
                <w:spacing w:val="15"/>
                <w:sz w:val="24"/>
                <w:szCs w:val="24"/>
              </w:rPr>
              <w:t>(</w:t>
            </w:r>
            <w:r>
              <w:rPr>
                <w:rFonts w:ascii="宋体" w:hAnsi="宋体" w:cs="宋体" w:eastAsia="宋体" w:hint="default"/>
                <w:spacing w:val="15"/>
                <w:sz w:val="24"/>
                <w:szCs w:val="24"/>
              </w:rPr>
              <w:t>应纳税</w:t>
            </w:r>
            <w:r>
              <w:rPr>
                <w:rFonts w:ascii="宋体" w:hAnsi="宋体" w:cs="宋体" w:eastAsia="宋体" w:hint="default"/>
                <w:spacing w:val="-117"/>
                <w:sz w:val="24"/>
                <w:szCs w:val="24"/>
              </w:rPr>
              <w:t> </w:t>
            </w:r>
            <w:r>
              <w:rPr>
                <w:rFonts w:ascii="宋体" w:hAnsi="宋体" w:cs="宋体" w:eastAsia="宋体" w:hint="default"/>
                <w:spacing w:val="24"/>
                <w:sz w:val="24"/>
                <w:szCs w:val="24"/>
              </w:rPr>
              <w:t>额按应纳税销售额或</w:t>
            </w:r>
            <w:r>
              <w:rPr>
                <w:rFonts w:ascii="宋体" w:hAnsi="宋体" w:cs="宋体" w:eastAsia="宋体" w:hint="default"/>
                <w:spacing w:val="-93"/>
                <w:sz w:val="24"/>
                <w:szCs w:val="24"/>
              </w:rPr>
              <w:t> </w:t>
            </w:r>
            <w:r>
              <w:rPr>
                <w:rFonts w:ascii="宋体" w:hAnsi="宋体" w:cs="宋体" w:eastAsia="宋体" w:hint="default"/>
                <w:spacing w:val="24"/>
                <w:sz w:val="24"/>
                <w:szCs w:val="24"/>
              </w:rPr>
              <w:t>应税服务额乘以适用</w:t>
            </w:r>
            <w:r>
              <w:rPr>
                <w:rFonts w:ascii="宋体" w:hAnsi="宋体" w:cs="宋体" w:eastAsia="宋体" w:hint="default"/>
                <w:spacing w:val="-93"/>
                <w:sz w:val="24"/>
                <w:szCs w:val="24"/>
              </w:rPr>
              <w:t> </w:t>
            </w:r>
            <w:r>
              <w:rPr>
                <w:rFonts w:ascii="宋体" w:hAnsi="宋体" w:cs="宋体" w:eastAsia="宋体" w:hint="default"/>
                <w:spacing w:val="24"/>
                <w:sz w:val="24"/>
                <w:szCs w:val="24"/>
              </w:rPr>
              <w:t>税率扣除当期允许抵</w:t>
            </w:r>
            <w:r>
              <w:rPr>
                <w:rFonts w:ascii="宋体" w:hAnsi="宋体" w:cs="宋体" w:eastAsia="宋体" w:hint="default"/>
                <w:spacing w:val="-93"/>
                <w:sz w:val="24"/>
                <w:szCs w:val="24"/>
              </w:rPr>
              <w:t> </w:t>
            </w:r>
            <w:r>
              <w:rPr>
                <w:rFonts w:ascii="宋体" w:hAnsi="宋体" w:cs="宋体" w:eastAsia="宋体" w:hint="default"/>
                <w:spacing w:val="24"/>
                <w:sz w:val="24"/>
                <w:szCs w:val="24"/>
              </w:rPr>
              <w:t>扣的进项税后的余额</w:t>
            </w:r>
            <w:r>
              <w:rPr>
                <w:rFonts w:ascii="宋体" w:hAnsi="宋体" w:cs="宋体" w:eastAsia="宋体" w:hint="default"/>
                <w:spacing w:val="-93"/>
                <w:sz w:val="24"/>
                <w:szCs w:val="24"/>
              </w:rPr>
              <w:t> </w:t>
            </w:r>
            <w:r>
              <w:rPr>
                <w:rFonts w:ascii="宋体" w:hAnsi="宋体" w:cs="宋体" w:eastAsia="宋体" w:hint="default"/>
                <w:sz w:val="24"/>
                <w:szCs w:val="24"/>
              </w:rPr>
              <w:t>计算</w:t>
            </w:r>
            <w:r>
              <w:rPr>
                <w:rFonts w:ascii="Arial" w:hAnsi="Arial" w:cs="Arial" w:eastAsia="Arial" w:hint="default"/>
                <w:sz w:val="24"/>
                <w:szCs w:val="24"/>
              </w:rPr>
              <w:t>)</w:t>
            </w:r>
          </w:p>
        </w:tc>
        <w:tc>
          <w:tcPr>
            <w:tcW w:w="4254" w:type="dxa"/>
            <w:tcBorders>
              <w:top w:val="nil" w:sz="6" w:space="0" w:color="auto"/>
              <w:left w:val="nil" w:sz="6" w:space="0" w:color="auto"/>
              <w:bottom w:val="nil" w:sz="6" w:space="0" w:color="auto"/>
              <w:right w:val="nil" w:sz="6" w:space="0" w:color="auto"/>
            </w:tcBorders>
          </w:tcPr>
          <w:p>
            <w:pPr>
              <w:pStyle w:val="TableParagraph"/>
              <w:spacing w:line="310" w:lineRule="exact" w:before="126"/>
              <w:ind w:left="215" w:right="198"/>
              <w:jc w:val="both"/>
              <w:rPr>
                <w:rFonts w:ascii="宋体" w:hAnsi="宋体" w:cs="宋体" w:eastAsia="宋体" w:hint="default"/>
                <w:sz w:val="24"/>
                <w:szCs w:val="24"/>
              </w:rPr>
            </w:pPr>
            <w:r>
              <w:rPr>
                <w:rFonts w:ascii="宋体" w:hAnsi="宋体" w:cs="宋体" w:eastAsia="宋体" w:hint="default"/>
                <w:spacing w:val="-1"/>
                <w:sz w:val="24"/>
                <w:szCs w:val="24"/>
              </w:rPr>
              <w:t>有形动产租赁服务：一般纳税人增值</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税税率</w:t>
            </w:r>
            <w:r>
              <w:rPr>
                <w:rFonts w:ascii="宋体" w:hAnsi="宋体" w:cs="宋体" w:eastAsia="宋体" w:hint="default"/>
                <w:spacing w:val="-63"/>
                <w:sz w:val="24"/>
                <w:szCs w:val="24"/>
              </w:rPr>
              <w:t> </w:t>
            </w:r>
            <w:r>
              <w:rPr>
                <w:rFonts w:ascii="Arial" w:hAnsi="Arial" w:cs="Arial" w:eastAsia="Arial" w:hint="default"/>
                <w:sz w:val="24"/>
                <w:szCs w:val="24"/>
              </w:rPr>
              <w:t>17%</w:t>
            </w:r>
            <w:r>
              <w:rPr>
                <w:rFonts w:ascii="宋体" w:hAnsi="宋体" w:cs="宋体" w:eastAsia="宋体" w:hint="default"/>
                <w:sz w:val="24"/>
                <w:szCs w:val="24"/>
              </w:rPr>
              <w:t>；</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0" w:lineRule="auto"/>
              <w:ind w:left="215" w:right="198"/>
              <w:jc w:val="both"/>
              <w:rPr>
                <w:rFonts w:ascii="宋体" w:hAnsi="宋体" w:cs="宋体" w:eastAsia="宋体" w:hint="default"/>
                <w:sz w:val="24"/>
                <w:szCs w:val="24"/>
              </w:rPr>
            </w:pPr>
            <w:r>
              <w:rPr>
                <w:rFonts w:ascii="宋体" w:hAnsi="宋体" w:cs="宋体" w:eastAsia="宋体" w:hint="default"/>
                <w:spacing w:val="-5"/>
                <w:sz w:val="24"/>
                <w:szCs w:val="24"/>
              </w:rPr>
              <w:t>其他现代服务业</w:t>
            </w:r>
            <w:r>
              <w:rPr>
                <w:rFonts w:ascii="Arial" w:hAnsi="Arial" w:cs="Arial" w:eastAsia="Arial" w:hint="default"/>
                <w:spacing w:val="-5"/>
                <w:sz w:val="24"/>
                <w:szCs w:val="24"/>
              </w:rPr>
              <w:t>(</w:t>
            </w:r>
            <w:r>
              <w:rPr>
                <w:rFonts w:ascii="宋体" w:hAnsi="宋体" w:cs="宋体" w:eastAsia="宋体" w:hint="default"/>
                <w:spacing w:val="-5"/>
                <w:sz w:val="24"/>
                <w:szCs w:val="24"/>
              </w:rPr>
              <w:t>研发和技术服务、信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息技术服务、广告服务、物流辅助服</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5"/>
                <w:sz w:val="24"/>
                <w:szCs w:val="24"/>
              </w:rPr>
              <w:t>务以及咨询服务等</w:t>
            </w:r>
            <w:r>
              <w:rPr>
                <w:rFonts w:ascii="Arial" w:hAnsi="Arial" w:cs="Arial" w:eastAsia="Arial" w:hint="default"/>
                <w:spacing w:val="-5"/>
                <w:sz w:val="24"/>
                <w:szCs w:val="24"/>
              </w:rPr>
              <w:t>)</w:t>
            </w:r>
            <w:r>
              <w:rPr>
                <w:rFonts w:ascii="宋体" w:hAnsi="宋体" w:cs="宋体" w:eastAsia="宋体" w:hint="default"/>
                <w:spacing w:val="-5"/>
                <w:sz w:val="24"/>
                <w:szCs w:val="24"/>
              </w:rPr>
              <w:t>：一般纳税人增值</w:t>
            </w:r>
            <w:r>
              <w:rPr>
                <w:rFonts w:ascii="宋体" w:hAnsi="宋体" w:cs="宋体" w:eastAsia="宋体" w:hint="default"/>
                <w:sz w:val="24"/>
                <w:szCs w:val="24"/>
              </w:rPr>
              <w:t> 税税率</w:t>
            </w:r>
            <w:r>
              <w:rPr>
                <w:rFonts w:ascii="宋体" w:hAnsi="宋体" w:cs="宋体" w:eastAsia="宋体" w:hint="default"/>
                <w:spacing w:val="-62"/>
                <w:sz w:val="24"/>
                <w:szCs w:val="24"/>
              </w:rPr>
              <w:t> </w:t>
            </w:r>
            <w:r>
              <w:rPr>
                <w:rFonts w:ascii="Arial" w:hAnsi="Arial" w:cs="Arial" w:eastAsia="Arial" w:hint="default"/>
                <w:sz w:val="24"/>
                <w:szCs w:val="24"/>
              </w:rPr>
              <w:t>6%</w:t>
            </w:r>
            <w:r>
              <w:rPr>
                <w:rFonts w:ascii="宋体" w:hAnsi="宋体" w:cs="宋体" w:eastAsia="宋体" w:hint="default"/>
                <w:sz w:val="24"/>
                <w:szCs w:val="24"/>
              </w:rPr>
              <w:t>；</w:t>
            </w: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0" w:lineRule="exact"/>
              <w:ind w:left="215" w:right="199"/>
              <w:jc w:val="both"/>
              <w:rPr>
                <w:rFonts w:ascii="宋体" w:hAnsi="宋体" w:cs="宋体" w:eastAsia="宋体" w:hint="default"/>
                <w:sz w:val="24"/>
                <w:szCs w:val="24"/>
              </w:rPr>
            </w:pPr>
            <w:r>
              <w:rPr>
                <w:rFonts w:ascii="宋体" w:hAnsi="宋体" w:cs="宋体" w:eastAsia="宋体" w:hint="default"/>
                <w:spacing w:val="15"/>
                <w:sz w:val="24"/>
                <w:szCs w:val="24"/>
              </w:rPr>
              <w:t>上述应税服务小规模纳税人的增值</w:t>
            </w:r>
            <w:r>
              <w:rPr>
                <w:rFonts w:ascii="宋体" w:hAnsi="宋体" w:cs="宋体" w:eastAsia="宋体" w:hint="default"/>
                <w:sz w:val="24"/>
                <w:szCs w:val="24"/>
              </w:rPr>
              <w:t> 税征收率为</w:t>
            </w:r>
            <w:r>
              <w:rPr>
                <w:rFonts w:ascii="宋体" w:hAnsi="宋体" w:cs="宋体" w:eastAsia="宋体" w:hint="default"/>
                <w:spacing w:val="-62"/>
                <w:sz w:val="24"/>
                <w:szCs w:val="24"/>
              </w:rPr>
              <w:t> </w:t>
            </w:r>
            <w:r>
              <w:rPr>
                <w:rFonts w:ascii="Arial" w:hAnsi="Arial" w:cs="Arial" w:eastAsia="Arial" w:hint="default"/>
                <w:sz w:val="24"/>
                <w:szCs w:val="24"/>
              </w:rPr>
              <w:t>3%</w:t>
            </w:r>
            <w:r>
              <w:rPr>
                <w:rFonts w:ascii="宋体" w:hAnsi="宋体" w:cs="宋体" w:eastAsia="宋体" w:hint="default"/>
                <w:sz w:val="24"/>
                <w:szCs w:val="24"/>
              </w:rPr>
              <w:t>。</w:t>
            </w:r>
          </w:p>
        </w:tc>
      </w:tr>
      <w:tr>
        <w:trPr>
          <w:trHeight w:val="2419"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7"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4" w:right="0"/>
              <w:jc w:val="left"/>
              <w:rPr>
                <w:rFonts w:ascii="宋体" w:hAnsi="宋体" w:cs="宋体" w:eastAsia="宋体" w:hint="default"/>
                <w:sz w:val="24"/>
                <w:szCs w:val="24"/>
              </w:rPr>
            </w:pPr>
            <w:r>
              <w:rPr>
                <w:rFonts w:ascii="宋体" w:hAnsi="宋体" w:cs="宋体" w:eastAsia="宋体" w:hint="default"/>
                <w:sz w:val="24"/>
                <w:szCs w:val="24"/>
              </w:rPr>
              <w:t>应纳税营业额</w:t>
            </w:r>
          </w:p>
        </w:tc>
        <w:tc>
          <w:tcPr>
            <w:tcW w:w="4254" w:type="dxa"/>
            <w:tcBorders>
              <w:top w:val="nil" w:sz="6" w:space="0" w:color="auto"/>
              <w:left w:val="nil" w:sz="6" w:space="0" w:color="auto"/>
              <w:bottom w:val="nil" w:sz="6" w:space="0" w:color="auto"/>
              <w:right w:val="nil" w:sz="6" w:space="0" w:color="auto"/>
            </w:tcBorders>
          </w:tcPr>
          <w:p>
            <w:pPr>
              <w:pStyle w:val="TableParagraph"/>
              <w:spacing w:line="310" w:lineRule="exact" w:before="126"/>
              <w:ind w:left="215" w:right="199"/>
              <w:jc w:val="both"/>
              <w:rPr>
                <w:rFonts w:ascii="宋体" w:hAnsi="宋体" w:cs="宋体" w:eastAsia="宋体" w:hint="default"/>
                <w:sz w:val="24"/>
                <w:szCs w:val="24"/>
              </w:rPr>
            </w:pPr>
            <w:r>
              <w:rPr>
                <w:rFonts w:ascii="宋体" w:hAnsi="宋体" w:cs="宋体" w:eastAsia="宋体" w:hint="default"/>
                <w:spacing w:val="-1"/>
                <w:sz w:val="24"/>
                <w:szCs w:val="24"/>
              </w:rPr>
              <w:t>培训业务收入、安装业务收入营业税</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税率为</w:t>
            </w:r>
            <w:r>
              <w:rPr>
                <w:rFonts w:ascii="宋体" w:hAnsi="宋体" w:cs="宋体" w:eastAsia="宋体" w:hint="default"/>
                <w:spacing w:val="-62"/>
                <w:sz w:val="24"/>
                <w:szCs w:val="24"/>
              </w:rPr>
              <w:t> </w:t>
            </w:r>
            <w:r>
              <w:rPr>
                <w:rFonts w:ascii="Arial" w:hAnsi="Arial" w:cs="Arial" w:eastAsia="Arial" w:hint="default"/>
                <w:sz w:val="24"/>
                <w:szCs w:val="24"/>
              </w:rPr>
              <w:t>3%</w:t>
            </w:r>
            <w:r>
              <w:rPr>
                <w:rFonts w:ascii="宋体" w:hAnsi="宋体" w:cs="宋体" w:eastAsia="宋体" w:hint="default"/>
                <w:sz w:val="24"/>
                <w:szCs w:val="24"/>
              </w:rPr>
              <w:t>；</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25" w:lineRule="auto"/>
              <w:ind w:left="215" w:right="198"/>
              <w:jc w:val="both"/>
              <w:rPr>
                <w:rFonts w:ascii="宋体" w:hAnsi="宋体" w:cs="宋体" w:eastAsia="宋体" w:hint="default"/>
                <w:sz w:val="24"/>
                <w:szCs w:val="24"/>
              </w:rPr>
            </w:pPr>
            <w:r>
              <w:rPr>
                <w:rFonts w:ascii="宋体" w:hAnsi="宋体" w:cs="宋体" w:eastAsia="宋体" w:hint="default"/>
                <w:spacing w:val="9"/>
                <w:sz w:val="24"/>
                <w:szCs w:val="24"/>
              </w:rPr>
              <w:t>代理收入、租赁收入</w:t>
            </w:r>
            <w:r>
              <w:rPr>
                <w:rFonts w:ascii="Arial" w:hAnsi="Arial" w:cs="Arial" w:eastAsia="Arial" w:hint="default"/>
                <w:spacing w:val="9"/>
                <w:sz w:val="24"/>
                <w:szCs w:val="24"/>
              </w:rPr>
              <w:t>(</w:t>
            </w:r>
            <w:r>
              <w:rPr>
                <w:rFonts w:ascii="宋体" w:hAnsi="宋体" w:cs="宋体" w:eastAsia="宋体" w:hint="default"/>
                <w:spacing w:val="9"/>
                <w:sz w:val="24"/>
                <w:szCs w:val="24"/>
              </w:rPr>
              <w:t>除有形动产租</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5"/>
                <w:sz w:val="24"/>
                <w:szCs w:val="24"/>
              </w:rPr>
              <w:t>赁</w:t>
            </w:r>
            <w:r>
              <w:rPr>
                <w:rFonts w:ascii="Arial" w:hAnsi="Arial" w:cs="Arial" w:eastAsia="Arial" w:hint="default"/>
                <w:spacing w:val="-5"/>
                <w:sz w:val="24"/>
                <w:szCs w:val="24"/>
              </w:rPr>
              <w:t>)</w:t>
            </w:r>
            <w:r>
              <w:rPr>
                <w:rFonts w:ascii="宋体" w:hAnsi="宋体" w:cs="宋体" w:eastAsia="宋体" w:hint="default"/>
                <w:spacing w:val="-5"/>
                <w:sz w:val="24"/>
                <w:szCs w:val="24"/>
              </w:rPr>
              <w:t>、连锁店服务收入、广告位使用费</w:t>
            </w:r>
            <w:r>
              <w:rPr>
                <w:rFonts w:ascii="宋体" w:hAnsi="宋体" w:cs="宋体" w:eastAsia="宋体" w:hint="default"/>
                <w:sz w:val="24"/>
                <w:szCs w:val="24"/>
              </w:rPr>
              <w:t> </w:t>
            </w:r>
            <w:r>
              <w:rPr>
                <w:rFonts w:ascii="宋体" w:hAnsi="宋体" w:cs="宋体" w:eastAsia="宋体" w:hint="default"/>
                <w:spacing w:val="-5"/>
                <w:sz w:val="24"/>
                <w:szCs w:val="24"/>
              </w:rPr>
              <w:t>收入、房地产销售</w:t>
            </w:r>
            <w:r>
              <w:rPr>
                <w:rFonts w:ascii="Arial" w:hAnsi="Arial" w:cs="Arial" w:eastAsia="Arial" w:hint="default"/>
                <w:spacing w:val="-5"/>
                <w:sz w:val="24"/>
                <w:szCs w:val="24"/>
              </w:rPr>
              <w:t>/</w:t>
            </w:r>
            <w:r>
              <w:rPr>
                <w:rFonts w:ascii="宋体" w:hAnsi="宋体" w:cs="宋体" w:eastAsia="宋体" w:hint="default"/>
                <w:spacing w:val="-5"/>
                <w:sz w:val="24"/>
                <w:szCs w:val="24"/>
              </w:rPr>
              <w:t>预售收入及贷款业</w:t>
            </w:r>
            <w:r>
              <w:rPr>
                <w:rFonts w:ascii="宋体" w:hAnsi="宋体" w:cs="宋体" w:eastAsia="宋体" w:hint="default"/>
                <w:spacing w:val="-105"/>
                <w:sz w:val="24"/>
                <w:szCs w:val="24"/>
              </w:rPr>
              <w:t> </w:t>
            </w:r>
            <w:r>
              <w:rPr>
                <w:rFonts w:ascii="宋体" w:hAnsi="宋体" w:cs="宋体" w:eastAsia="宋体" w:hint="default"/>
                <w:sz w:val="24"/>
                <w:szCs w:val="24"/>
              </w:rPr>
              <w:t>务收入等营业税税率为</w:t>
            </w:r>
            <w:r>
              <w:rPr>
                <w:rFonts w:ascii="宋体" w:hAnsi="宋体" w:cs="宋体" w:eastAsia="宋体" w:hint="default"/>
                <w:spacing w:val="-62"/>
                <w:sz w:val="24"/>
                <w:szCs w:val="24"/>
              </w:rPr>
              <w:t> </w:t>
            </w:r>
            <w:r>
              <w:rPr>
                <w:rFonts w:ascii="Arial" w:hAnsi="Arial" w:cs="Arial" w:eastAsia="Arial" w:hint="default"/>
                <w:sz w:val="24"/>
                <w:szCs w:val="24"/>
              </w:rPr>
              <w:t>5%</w:t>
            </w:r>
            <w:r>
              <w:rPr>
                <w:rFonts w:ascii="宋体" w:hAnsi="宋体" w:cs="宋体" w:eastAsia="宋体" w:hint="default"/>
                <w:sz w:val="24"/>
                <w:szCs w:val="24"/>
              </w:rPr>
              <w:t>。</w:t>
            </w:r>
          </w:p>
        </w:tc>
      </w:tr>
      <w:tr>
        <w:trPr>
          <w:trHeight w:val="892"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7"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4" w:right="0"/>
              <w:jc w:val="left"/>
              <w:rPr>
                <w:rFonts w:ascii="宋体" w:hAnsi="宋体" w:cs="宋体" w:eastAsia="宋体" w:hint="default"/>
                <w:sz w:val="24"/>
                <w:szCs w:val="24"/>
              </w:rPr>
            </w:pPr>
            <w:r>
              <w:rPr>
                <w:rFonts w:ascii="宋体" w:hAnsi="宋体" w:cs="宋体" w:eastAsia="宋体" w:hint="default"/>
                <w:sz w:val="24"/>
                <w:szCs w:val="24"/>
              </w:rPr>
              <w:t>房地产增值部分</w:t>
            </w:r>
          </w:p>
        </w:tc>
        <w:tc>
          <w:tcPr>
            <w:tcW w:w="4254" w:type="dxa"/>
            <w:tcBorders>
              <w:top w:val="nil" w:sz="6" w:space="0" w:color="auto"/>
              <w:left w:val="nil" w:sz="6" w:space="0" w:color="auto"/>
              <w:bottom w:val="nil" w:sz="6" w:space="0" w:color="auto"/>
              <w:right w:val="nil" w:sz="6" w:space="0" w:color="auto"/>
            </w:tcBorders>
          </w:tcPr>
          <w:p>
            <w:pPr>
              <w:pStyle w:val="TableParagraph"/>
              <w:spacing w:line="310" w:lineRule="exact" w:before="126"/>
              <w:ind w:left="215" w:right="198"/>
              <w:jc w:val="left"/>
              <w:rPr>
                <w:rFonts w:ascii="宋体" w:hAnsi="宋体" w:cs="宋体" w:eastAsia="宋体" w:hint="default"/>
                <w:sz w:val="24"/>
                <w:szCs w:val="24"/>
              </w:rPr>
            </w:pPr>
            <w:r>
              <w:rPr>
                <w:rFonts w:ascii="宋体" w:hAnsi="宋体" w:cs="宋体" w:eastAsia="宋体" w:hint="default"/>
                <w:spacing w:val="2"/>
                <w:sz w:val="24"/>
                <w:szCs w:val="24"/>
              </w:rPr>
              <w:t>根据房地产增值率征收</w:t>
            </w:r>
            <w:r>
              <w:rPr>
                <w:rFonts w:ascii="宋体" w:hAnsi="宋体" w:cs="宋体" w:eastAsia="宋体" w:hint="default"/>
                <w:spacing w:val="9"/>
                <w:sz w:val="24"/>
                <w:szCs w:val="24"/>
              </w:rPr>
              <w:t> </w:t>
            </w:r>
            <w:r>
              <w:rPr>
                <w:rFonts w:ascii="Arial" w:hAnsi="Arial" w:cs="Arial" w:eastAsia="Arial" w:hint="default"/>
                <w:sz w:val="24"/>
                <w:szCs w:val="24"/>
              </w:rPr>
              <w:t>30%-60%</w:t>
            </w:r>
            <w:r>
              <w:rPr>
                <w:rFonts w:ascii="宋体" w:hAnsi="宋体" w:cs="宋体" w:eastAsia="宋体" w:hint="default"/>
                <w:sz w:val="24"/>
                <w:szCs w:val="24"/>
              </w:rPr>
              <w:t>四 级超额累进税率。</w:t>
            </w:r>
          </w:p>
        </w:tc>
      </w:tr>
      <w:tr>
        <w:trPr>
          <w:trHeight w:val="1524"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7"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779"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54" w:right="240"/>
              <w:jc w:val="left"/>
              <w:rPr>
                <w:rFonts w:ascii="宋体" w:hAnsi="宋体" w:cs="宋体" w:eastAsia="宋体" w:hint="default"/>
                <w:sz w:val="24"/>
                <w:szCs w:val="24"/>
              </w:rPr>
            </w:pPr>
            <w:r>
              <w:rPr>
                <w:rFonts w:ascii="宋体" w:hAnsi="宋体" w:cs="宋体" w:eastAsia="宋体" w:hint="default"/>
                <w:spacing w:val="-2"/>
                <w:sz w:val="24"/>
                <w:szCs w:val="24"/>
              </w:rPr>
              <w:t>应缴纳的增值税、营业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税及消费税税额</w:t>
            </w:r>
          </w:p>
        </w:tc>
        <w:tc>
          <w:tcPr>
            <w:tcW w:w="4254" w:type="dxa"/>
            <w:tcBorders>
              <w:top w:val="nil" w:sz="6" w:space="0" w:color="auto"/>
              <w:left w:val="nil" w:sz="6" w:space="0" w:color="auto"/>
              <w:bottom w:val="nil" w:sz="6" w:space="0" w:color="auto"/>
              <w:right w:val="nil" w:sz="6" w:space="0" w:color="auto"/>
            </w:tcBorders>
          </w:tcPr>
          <w:p>
            <w:pPr>
              <w:pStyle w:val="TableParagraph"/>
              <w:spacing w:line="230" w:lineRule="auto" w:before="110"/>
              <w:ind w:left="215" w:right="198"/>
              <w:jc w:val="left"/>
              <w:rPr>
                <w:rFonts w:ascii="宋体" w:hAnsi="宋体" w:cs="宋体" w:eastAsia="宋体" w:hint="default"/>
                <w:sz w:val="24"/>
                <w:szCs w:val="24"/>
              </w:rPr>
            </w:pPr>
            <w:r>
              <w:rPr>
                <w:rFonts w:ascii="宋体" w:hAnsi="宋体" w:cs="宋体" w:eastAsia="宋体" w:hint="default"/>
                <w:sz w:val="24"/>
                <w:szCs w:val="24"/>
              </w:rPr>
              <w:t>所在地为市区的，税率为</w:t>
            </w:r>
            <w:r>
              <w:rPr>
                <w:rFonts w:ascii="宋体" w:hAnsi="宋体" w:cs="宋体" w:eastAsia="宋体" w:hint="default"/>
                <w:spacing w:val="-61"/>
                <w:sz w:val="24"/>
                <w:szCs w:val="24"/>
              </w:rPr>
              <w:t> </w:t>
            </w:r>
            <w:r>
              <w:rPr>
                <w:rFonts w:ascii="Arial" w:hAnsi="Arial" w:cs="Arial" w:eastAsia="Arial" w:hint="default"/>
                <w:sz w:val="24"/>
                <w:szCs w:val="24"/>
              </w:rPr>
              <w:t>7%</w:t>
            </w:r>
            <w:r>
              <w:rPr>
                <w:rFonts w:ascii="宋体" w:hAnsi="宋体" w:cs="宋体" w:eastAsia="宋体" w:hint="default"/>
                <w:sz w:val="24"/>
                <w:szCs w:val="24"/>
              </w:rPr>
              <w:t>； 所在地为县城、镇的，税率为</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 </w:t>
            </w:r>
            <w:r>
              <w:rPr>
                <w:rFonts w:ascii="宋体" w:hAnsi="宋体" w:cs="宋体" w:eastAsia="宋体" w:hint="default"/>
                <w:spacing w:val="-1"/>
                <w:sz w:val="24"/>
                <w:szCs w:val="24"/>
              </w:rPr>
              <w:t>所在地不在市区、县城或者镇的，税</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率为</w:t>
            </w:r>
            <w:r>
              <w:rPr>
                <w:rFonts w:ascii="宋体" w:hAnsi="宋体" w:cs="宋体" w:eastAsia="宋体" w:hint="default"/>
                <w:spacing w:val="-62"/>
                <w:sz w:val="24"/>
                <w:szCs w:val="24"/>
              </w:rPr>
              <w:t> </w:t>
            </w:r>
            <w:r>
              <w:rPr>
                <w:rFonts w:ascii="Arial" w:hAnsi="Arial" w:cs="Arial" w:eastAsia="Arial" w:hint="default"/>
                <w:sz w:val="24"/>
                <w:szCs w:val="24"/>
              </w:rPr>
              <w:t>1%</w:t>
            </w:r>
            <w:r>
              <w:rPr>
                <w:rFonts w:ascii="宋体" w:hAnsi="宋体" w:cs="宋体" w:eastAsia="宋体" w:hint="default"/>
                <w:sz w:val="24"/>
                <w:szCs w:val="24"/>
              </w:rPr>
              <w:t>。</w:t>
            </w:r>
          </w:p>
        </w:tc>
      </w:tr>
      <w:tr>
        <w:trPr>
          <w:trHeight w:val="893"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779" w:type="dxa"/>
            <w:tcBorders>
              <w:top w:val="nil" w:sz="6" w:space="0" w:color="auto"/>
              <w:left w:val="nil" w:sz="6" w:space="0" w:color="auto"/>
              <w:bottom w:val="nil" w:sz="6" w:space="0" w:color="auto"/>
              <w:right w:val="nil" w:sz="6" w:space="0" w:color="auto"/>
            </w:tcBorders>
          </w:tcPr>
          <w:p>
            <w:pPr>
              <w:pStyle w:val="TableParagraph"/>
              <w:spacing w:line="310" w:lineRule="exact" w:before="129"/>
              <w:ind w:left="154" w:right="433"/>
              <w:jc w:val="left"/>
              <w:rPr>
                <w:rFonts w:ascii="宋体" w:hAnsi="宋体" w:cs="宋体" w:eastAsia="宋体" w:hint="default"/>
                <w:sz w:val="24"/>
                <w:szCs w:val="24"/>
              </w:rPr>
            </w:pPr>
            <w:r>
              <w:rPr>
                <w:rFonts w:ascii="宋体" w:hAnsi="宋体" w:cs="宋体" w:eastAsia="宋体" w:hint="default"/>
                <w:spacing w:val="2"/>
                <w:sz w:val="24"/>
                <w:szCs w:val="24"/>
              </w:rPr>
              <w:t>应缴纳的增值税、营</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业税及消费税税额</w:t>
            </w:r>
          </w:p>
        </w:tc>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15" w:right="0"/>
              <w:jc w:val="left"/>
              <w:rPr>
                <w:rFonts w:ascii="Arial" w:hAnsi="Arial" w:cs="Arial" w:eastAsia="Arial" w:hint="default"/>
                <w:sz w:val="24"/>
                <w:szCs w:val="24"/>
              </w:rPr>
            </w:pPr>
            <w:r>
              <w:rPr>
                <w:rFonts w:ascii="Arial"/>
                <w:sz w:val="24"/>
              </w:rPr>
              <w:t>3%</w:t>
            </w:r>
          </w:p>
        </w:tc>
      </w:tr>
      <w:tr>
        <w:trPr>
          <w:trHeight w:val="729"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7"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2779" w:type="dxa"/>
            <w:tcBorders>
              <w:top w:val="nil" w:sz="6" w:space="0" w:color="auto"/>
              <w:left w:val="nil" w:sz="6" w:space="0" w:color="auto"/>
              <w:bottom w:val="nil" w:sz="6" w:space="0" w:color="auto"/>
              <w:right w:val="nil" w:sz="6" w:space="0" w:color="auto"/>
            </w:tcBorders>
          </w:tcPr>
          <w:p>
            <w:pPr>
              <w:pStyle w:val="TableParagraph"/>
              <w:spacing w:line="310" w:lineRule="exact" w:before="136"/>
              <w:ind w:left="154" w:right="433"/>
              <w:jc w:val="left"/>
              <w:rPr>
                <w:rFonts w:ascii="宋体" w:hAnsi="宋体" w:cs="宋体" w:eastAsia="宋体" w:hint="default"/>
                <w:sz w:val="24"/>
                <w:szCs w:val="24"/>
              </w:rPr>
            </w:pPr>
            <w:r>
              <w:rPr>
                <w:rFonts w:ascii="宋体" w:hAnsi="宋体" w:cs="宋体" w:eastAsia="宋体" w:hint="default"/>
                <w:spacing w:val="2"/>
                <w:sz w:val="24"/>
                <w:szCs w:val="24"/>
              </w:rPr>
              <w:t>应缴纳的增值税、营</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业税及消费税税额</w:t>
            </w:r>
          </w:p>
        </w:tc>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15" w:right="0"/>
              <w:jc w:val="left"/>
              <w:rPr>
                <w:rFonts w:ascii="Arial" w:hAnsi="Arial" w:cs="Arial" w:eastAsia="Arial" w:hint="default"/>
                <w:sz w:val="24"/>
                <w:szCs w:val="24"/>
              </w:rPr>
            </w:pPr>
            <w:r>
              <w:rPr>
                <w:rFonts w:ascii="Arial"/>
                <w:sz w:val="24"/>
              </w:rPr>
              <w:t>2%</w:t>
            </w:r>
          </w:p>
        </w:tc>
      </w:tr>
    </w:tbl>
    <w:p>
      <w:pPr>
        <w:spacing w:after="0" w:line="240" w:lineRule="auto"/>
        <w:jc w:val="left"/>
        <w:rPr>
          <w:rFonts w:ascii="Arial" w:hAnsi="Arial" w:cs="Arial" w:eastAsia="Arial"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71"/>
        <w:gridCol w:w="1992"/>
        <w:gridCol w:w="2788"/>
        <w:gridCol w:w="3688"/>
      </w:tblGrid>
      <w:tr>
        <w:trPr>
          <w:trHeight w:val="496"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三</w:t>
            </w:r>
          </w:p>
        </w:tc>
        <w:tc>
          <w:tcPr>
            <w:tcW w:w="1992" w:type="dxa"/>
            <w:tcBorders>
              <w:top w:val="nil" w:sz="6" w:space="0" w:color="auto"/>
              <w:left w:val="nil" w:sz="6" w:space="0" w:color="auto"/>
              <w:bottom w:val="nil" w:sz="6" w:space="0" w:color="auto"/>
              <w:right w:val="nil" w:sz="6" w:space="0" w:color="auto"/>
            </w:tcBorders>
          </w:tcPr>
          <w:p>
            <w:pPr>
              <w:pStyle w:val="TableParagraph"/>
              <w:spacing w:line="257" w:lineRule="exact"/>
              <w:ind w:left="15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88"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
        </w:tc>
      </w:tr>
      <w:tr>
        <w:trPr>
          <w:trHeight w:val="752"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320" w:right="0"/>
              <w:jc w:val="left"/>
              <w:rPr>
                <w:rFonts w:ascii="Arial" w:hAnsi="Arial" w:cs="Arial" w:eastAsia="Arial" w:hint="default"/>
                <w:sz w:val="24"/>
                <w:szCs w:val="24"/>
              </w:rPr>
            </w:pPr>
            <w:r>
              <w:rPr>
                <w:rFonts w:ascii="Arial"/>
                <w:sz w:val="24"/>
              </w:rPr>
              <w:t>(1)</w:t>
            </w:r>
          </w:p>
        </w:tc>
        <w:tc>
          <w:tcPr>
            <w:tcW w:w="84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57"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r>
              <w:rPr>
                <w:rFonts w:ascii="黑体" w:hAnsi="黑体" w:cs="黑体" w:eastAsia="黑体" w:hint="default"/>
                <w:sz w:val="24"/>
                <w:szCs w:val="24"/>
              </w:rPr>
              <w:t>：</w:t>
            </w:r>
          </w:p>
        </w:tc>
      </w:tr>
      <w:tr>
        <w:trPr>
          <w:trHeight w:val="741"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7"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4"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33"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743"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7" w:right="0"/>
              <w:jc w:val="left"/>
              <w:rPr>
                <w:rFonts w:ascii="宋体" w:hAnsi="宋体" w:cs="宋体" w:eastAsia="宋体" w:hint="default"/>
                <w:sz w:val="24"/>
                <w:szCs w:val="24"/>
              </w:rPr>
            </w:pPr>
            <w:r>
              <w:rPr>
                <w:rFonts w:ascii="宋体" w:hAnsi="宋体" w:cs="宋体" w:eastAsia="宋体" w:hint="default"/>
                <w:sz w:val="24"/>
                <w:szCs w:val="24"/>
              </w:rPr>
              <w:t>境外子公司：</w:t>
            </w:r>
          </w:p>
        </w:tc>
        <w:tc>
          <w:tcPr>
            <w:tcW w:w="2788"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
        </w:tc>
      </w:tr>
      <w:tr>
        <w:trPr>
          <w:trHeight w:val="751"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7" w:right="0"/>
              <w:jc w:val="left"/>
              <w:rPr>
                <w:rFonts w:ascii="宋体" w:hAnsi="宋体" w:cs="宋体" w:eastAsia="宋体" w:hint="default"/>
                <w:sz w:val="24"/>
                <w:szCs w:val="24"/>
              </w:rPr>
            </w:pPr>
            <w:r>
              <w:rPr>
                <w:rFonts w:ascii="宋体" w:hAnsi="宋体" w:cs="宋体" w:eastAsia="宋体" w:hint="default"/>
                <w:sz w:val="24"/>
                <w:szCs w:val="24"/>
              </w:rPr>
              <w:t>香港利得税</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4" w:right="0"/>
              <w:jc w:val="left"/>
              <w:rPr>
                <w:rFonts w:ascii="宋体" w:hAnsi="宋体" w:cs="宋体" w:eastAsia="宋体" w:hint="default"/>
                <w:sz w:val="24"/>
                <w:szCs w:val="24"/>
              </w:rPr>
            </w:pPr>
            <w:r>
              <w:rPr>
                <w:rFonts w:ascii="宋体" w:hAnsi="宋体" w:cs="宋体" w:eastAsia="宋体" w:hint="default"/>
                <w:sz w:val="24"/>
                <w:szCs w:val="24"/>
              </w:rPr>
              <w:t>在香港地区产生的利得</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3" w:right="0"/>
              <w:jc w:val="left"/>
              <w:rPr>
                <w:rFonts w:ascii="Arial" w:hAnsi="Arial" w:cs="Arial" w:eastAsia="Arial" w:hint="default"/>
                <w:sz w:val="24"/>
                <w:szCs w:val="24"/>
              </w:rPr>
            </w:pPr>
            <w:r>
              <w:rPr>
                <w:rFonts w:ascii="Arial"/>
                <w:sz w:val="24"/>
              </w:rPr>
              <w:t>16.5%</w:t>
            </w:r>
          </w:p>
        </w:tc>
      </w:tr>
      <w:tr>
        <w:trPr>
          <w:trHeight w:val="1366"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7" w:right="0"/>
              <w:jc w:val="left"/>
              <w:rPr>
                <w:rFonts w:ascii="宋体" w:hAnsi="宋体" w:cs="宋体" w:eastAsia="宋体" w:hint="default"/>
                <w:sz w:val="24"/>
                <w:szCs w:val="24"/>
              </w:rPr>
            </w:pPr>
            <w:r>
              <w:rPr>
                <w:rFonts w:ascii="宋体" w:hAnsi="宋体" w:cs="宋体" w:eastAsia="宋体" w:hint="default"/>
                <w:sz w:val="24"/>
                <w:szCs w:val="24"/>
              </w:rPr>
              <w:t>开曼</w:t>
            </w:r>
          </w:p>
        </w:tc>
        <w:tc>
          <w:tcPr>
            <w:tcW w:w="2788"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33" w:right="282"/>
              <w:jc w:val="both"/>
              <w:rPr>
                <w:rFonts w:ascii="宋体" w:hAnsi="宋体" w:cs="宋体" w:eastAsia="宋体" w:hint="default"/>
                <w:sz w:val="24"/>
                <w:szCs w:val="24"/>
              </w:rPr>
            </w:pPr>
            <w:r>
              <w:rPr>
                <w:rFonts w:ascii="宋体" w:hAnsi="宋体" w:cs="宋体" w:eastAsia="宋体" w:hint="default"/>
                <w:spacing w:val="3"/>
                <w:sz w:val="24"/>
                <w:szCs w:val="24"/>
              </w:rPr>
              <w:t>目前未对设立于开曼的公司之</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企业利润、资本利得、工资等</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征税。</w:t>
            </w:r>
          </w:p>
        </w:tc>
      </w:tr>
      <w:tr>
        <w:trPr>
          <w:trHeight w:val="751"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7" w:right="0"/>
              <w:jc w:val="left"/>
              <w:rPr>
                <w:rFonts w:ascii="宋体" w:hAnsi="宋体" w:cs="宋体" w:eastAsia="宋体" w:hint="default"/>
                <w:sz w:val="24"/>
                <w:szCs w:val="24"/>
              </w:rPr>
            </w:pPr>
            <w:r>
              <w:rPr>
                <w:rFonts w:ascii="宋体" w:hAnsi="宋体" w:cs="宋体" w:eastAsia="宋体" w:hint="default"/>
                <w:sz w:val="24"/>
                <w:szCs w:val="24"/>
              </w:rPr>
              <w:t>日本企业所得税</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4" w:right="0"/>
              <w:jc w:val="left"/>
              <w:rPr>
                <w:rFonts w:ascii="宋体" w:hAnsi="宋体" w:cs="宋体" w:eastAsia="宋体" w:hint="default"/>
                <w:sz w:val="24"/>
                <w:szCs w:val="24"/>
              </w:rPr>
            </w:pPr>
            <w:r>
              <w:rPr>
                <w:rFonts w:ascii="宋体" w:hAnsi="宋体" w:cs="宋体" w:eastAsia="宋体" w:hint="default"/>
                <w:sz w:val="24"/>
                <w:szCs w:val="24"/>
              </w:rPr>
              <w:t>在日本地区产生的利得</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3" w:right="0"/>
              <w:jc w:val="left"/>
              <w:rPr>
                <w:rFonts w:ascii="Arial" w:hAnsi="Arial" w:cs="Arial" w:eastAsia="Arial" w:hint="default"/>
                <w:sz w:val="24"/>
                <w:szCs w:val="24"/>
              </w:rPr>
            </w:pPr>
            <w:r>
              <w:rPr>
                <w:rFonts w:ascii="Arial"/>
                <w:sz w:val="24"/>
              </w:rPr>
              <w:t>35.64%</w:t>
            </w:r>
          </w:p>
        </w:tc>
      </w:tr>
      <w:tr>
        <w:trPr>
          <w:trHeight w:val="1728"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7" w:right="0"/>
              <w:jc w:val="left"/>
              <w:rPr>
                <w:rFonts w:ascii="宋体" w:hAnsi="宋体" w:cs="宋体" w:eastAsia="宋体" w:hint="default"/>
                <w:sz w:val="24"/>
                <w:szCs w:val="24"/>
              </w:rPr>
            </w:pPr>
            <w:r>
              <w:rPr>
                <w:rFonts w:ascii="宋体" w:hAnsi="宋体" w:cs="宋体" w:eastAsia="宋体" w:hint="default"/>
                <w:sz w:val="24"/>
                <w:szCs w:val="24"/>
              </w:rPr>
              <w:t>美国企业所得税</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4" w:right="0"/>
              <w:jc w:val="left"/>
              <w:rPr>
                <w:rFonts w:ascii="宋体" w:hAnsi="宋体" w:cs="宋体" w:eastAsia="宋体" w:hint="default"/>
                <w:sz w:val="24"/>
                <w:szCs w:val="24"/>
              </w:rPr>
            </w:pPr>
            <w:r>
              <w:rPr>
                <w:rFonts w:ascii="宋体" w:hAnsi="宋体" w:cs="宋体" w:eastAsia="宋体" w:hint="default"/>
                <w:sz w:val="24"/>
                <w:szCs w:val="24"/>
              </w:rPr>
              <w:t>在美国地区产生的利得</w:t>
            </w:r>
          </w:p>
        </w:tc>
        <w:tc>
          <w:tcPr>
            <w:tcW w:w="3688"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33" w:right="279"/>
              <w:jc w:val="left"/>
              <w:rPr>
                <w:rFonts w:ascii="宋体" w:hAnsi="宋体" w:cs="宋体" w:eastAsia="宋体" w:hint="default"/>
                <w:sz w:val="24"/>
                <w:szCs w:val="24"/>
              </w:rPr>
            </w:pPr>
            <w:r>
              <w:rPr>
                <w:rFonts w:ascii="宋体" w:hAnsi="宋体" w:cs="宋体" w:eastAsia="宋体" w:hint="default"/>
                <w:spacing w:val="3"/>
                <w:sz w:val="24"/>
                <w:szCs w:val="24"/>
              </w:rPr>
              <w:t>联邦税：根据计算出的应纳税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所得额对应的税率缴纳。</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33" w:right="0"/>
              <w:jc w:val="left"/>
              <w:rPr>
                <w:rFonts w:ascii="Arial" w:hAnsi="Arial" w:cs="Arial" w:eastAsia="Arial" w:hint="default"/>
                <w:sz w:val="24"/>
                <w:szCs w:val="24"/>
              </w:rPr>
            </w:pPr>
            <w:r>
              <w:rPr>
                <w:rFonts w:ascii="宋体" w:hAnsi="宋体" w:cs="宋体" w:eastAsia="宋体" w:hint="default"/>
                <w:sz w:val="24"/>
                <w:szCs w:val="24"/>
              </w:rPr>
              <w:t>加州税：</w:t>
            </w:r>
            <w:r>
              <w:rPr>
                <w:rFonts w:ascii="Arial" w:hAnsi="Arial" w:cs="Arial" w:eastAsia="Arial" w:hint="default"/>
                <w:sz w:val="24"/>
                <w:szCs w:val="24"/>
              </w:rPr>
              <w:t>8.84%</w:t>
            </w:r>
          </w:p>
        </w:tc>
      </w:tr>
      <w:tr>
        <w:trPr>
          <w:trHeight w:val="453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(a)</w:t>
            </w:r>
          </w:p>
        </w:tc>
        <w:tc>
          <w:tcPr>
            <w:tcW w:w="8468" w:type="dxa"/>
            <w:gridSpan w:val="3"/>
            <w:tcBorders>
              <w:top w:val="nil" w:sz="6" w:space="0" w:color="auto"/>
              <w:left w:val="nil" w:sz="6" w:space="0" w:color="auto"/>
              <w:bottom w:val="nil" w:sz="6" w:space="0" w:color="auto"/>
              <w:right w:val="nil" w:sz="6" w:space="0" w:color="auto"/>
            </w:tcBorders>
          </w:tcPr>
          <w:p>
            <w:pPr>
              <w:pStyle w:val="TableParagraph"/>
              <w:spacing w:line="232" w:lineRule="auto" w:before="185"/>
              <w:ind w:left="157" w:right="198"/>
              <w:jc w:val="left"/>
              <w:rPr>
                <w:rFonts w:ascii="宋体" w:hAnsi="宋体" w:cs="宋体" w:eastAsia="宋体" w:hint="default"/>
                <w:sz w:val="24"/>
                <w:szCs w:val="24"/>
              </w:rPr>
            </w:pPr>
            <w:r>
              <w:rPr>
                <w:rFonts w:ascii="宋体" w:hAnsi="宋体" w:cs="宋体" w:eastAsia="宋体" w:hint="default"/>
                <w:sz w:val="24"/>
                <w:szCs w:val="24"/>
              </w:rPr>
              <w:t>根据《财政部、国家税务总局关于将铁路运输和邮政业纳入营业税改征增值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税试点的通知》</w:t>
            </w:r>
            <w:r>
              <w:rPr>
                <w:rFonts w:ascii="Arial" w:hAnsi="Arial" w:cs="Arial" w:eastAsia="Arial" w:hint="default"/>
                <w:sz w:val="24"/>
                <w:szCs w:val="24"/>
              </w:rPr>
              <w:t>(</w:t>
            </w:r>
            <w:r>
              <w:rPr>
                <w:rFonts w:ascii="宋体" w:hAnsi="宋体" w:cs="宋体" w:eastAsia="宋体" w:hint="default"/>
                <w:sz w:val="24"/>
                <w:szCs w:val="24"/>
              </w:rPr>
              <w:t>财税</w:t>
            </w:r>
            <w:r>
              <w:rPr>
                <w:rFonts w:ascii="Arial" w:hAnsi="Arial" w:cs="Arial" w:eastAsia="Arial" w:hint="default"/>
                <w:sz w:val="24"/>
                <w:szCs w:val="24"/>
              </w:rPr>
              <w:t>[2013]106</w:t>
            </w:r>
            <w:r>
              <w:rPr>
                <w:rFonts w:ascii="Arial" w:hAnsi="Arial" w:cs="Arial" w:eastAsia="Arial" w:hint="default"/>
                <w:spacing w:val="-13"/>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附件一《营业税改征增值税试点实施办 </w:t>
            </w:r>
            <w:r>
              <w:rPr>
                <w:rFonts w:ascii="宋体" w:hAnsi="宋体" w:cs="宋体" w:eastAsia="宋体" w:hint="default"/>
                <w:spacing w:val="-2"/>
                <w:sz w:val="24"/>
                <w:szCs w:val="24"/>
              </w:rPr>
              <w:t>法》的规定，陆路运输服务、水路运输服务、航空运输服务、管道运输服务、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邮政普遍服务、邮政特殊服务、其他邮政服务、研发和技术服务、信息技术</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服务、文化创意服务、物流辅助服务、有形动产租赁服务、鉴证咨询服务、</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广播影视服务已纳入营改增试点服务范围，并自</w:t>
            </w:r>
            <w:r>
              <w:rPr>
                <w:rFonts w:ascii="宋体" w:hAnsi="宋体" w:cs="宋体" w:eastAsia="宋体" w:hint="default"/>
                <w:spacing w:val="-43"/>
                <w:sz w:val="24"/>
                <w:szCs w:val="24"/>
              </w:rPr>
              <w:t> </w:t>
            </w: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1</w:t>
            </w:r>
            <w:r>
              <w:rPr>
                <w:rFonts w:ascii="Arial" w:hAnsi="Arial" w:cs="Arial" w:eastAsia="Arial" w:hint="default"/>
                <w:spacing w:val="11"/>
                <w:sz w:val="24"/>
                <w:szCs w:val="24"/>
              </w:rPr>
              <w:t> </w:t>
            </w:r>
            <w:r>
              <w:rPr>
                <w:rFonts w:ascii="宋体" w:hAnsi="宋体" w:cs="宋体" w:eastAsia="宋体" w:hint="default"/>
                <w:sz w:val="24"/>
                <w:szCs w:val="24"/>
              </w:rPr>
              <w:t>日起在全国 范围内执行。又根据《财政部、国家税务总局关于将电信业纳入营业税改征</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增值税试点的通知》</w:t>
            </w:r>
            <w:r>
              <w:rPr>
                <w:rFonts w:ascii="Arial" w:hAnsi="Arial" w:cs="Arial" w:eastAsia="Arial" w:hint="default"/>
                <w:sz w:val="24"/>
                <w:szCs w:val="24"/>
              </w:rPr>
              <w:t>(</w:t>
            </w:r>
            <w:r>
              <w:rPr>
                <w:rFonts w:ascii="宋体" w:hAnsi="宋体" w:cs="宋体" w:eastAsia="宋体" w:hint="default"/>
                <w:sz w:val="24"/>
                <w:szCs w:val="24"/>
              </w:rPr>
              <w:t>财税</w:t>
            </w:r>
            <w:r>
              <w:rPr>
                <w:rFonts w:ascii="Arial" w:hAnsi="Arial" w:cs="Arial" w:eastAsia="Arial" w:hint="default"/>
                <w:sz w:val="24"/>
                <w:szCs w:val="24"/>
              </w:rPr>
              <w:t>[2014]43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的规定，在中华人民共和国境内提</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供电信业服务的单位和个人，为增值税纳税人，应当按照本通知和《财政部、</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国家税务总局关于将铁路运输和邮政业纳入营业税改征增值税试点的通知》</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Arial" w:hAnsi="Arial" w:cs="Arial" w:eastAsia="Arial" w:hint="default"/>
                <w:sz w:val="24"/>
                <w:szCs w:val="24"/>
              </w:rPr>
              <w:t>(</w:t>
            </w:r>
            <w:r>
              <w:rPr>
                <w:rFonts w:ascii="宋体" w:hAnsi="宋体" w:cs="宋体" w:eastAsia="宋体" w:hint="default"/>
                <w:sz w:val="24"/>
                <w:szCs w:val="24"/>
              </w:rPr>
              <w:t>财税</w:t>
            </w:r>
            <w:r>
              <w:rPr>
                <w:rFonts w:ascii="Arial" w:hAnsi="Arial" w:cs="Arial" w:eastAsia="Arial" w:hint="default"/>
                <w:sz w:val="24"/>
                <w:szCs w:val="24"/>
              </w:rPr>
              <w:t>[2013]106</w:t>
            </w:r>
            <w:r>
              <w:rPr>
                <w:rFonts w:ascii="Arial" w:hAnsi="Arial" w:cs="Arial" w:eastAsia="Arial" w:hint="default"/>
                <w:spacing w:val="-14"/>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的规定缴纳增值税，不再缴纳营业税。因此，本集团内 </w:t>
            </w:r>
            <w:r>
              <w:rPr>
                <w:rFonts w:ascii="宋体" w:hAnsi="宋体" w:cs="宋体" w:eastAsia="宋体" w:hint="default"/>
                <w:spacing w:val="-3"/>
                <w:sz w:val="24"/>
                <w:szCs w:val="24"/>
              </w:rPr>
              <w:t>提供应税服务的物流体系</w:t>
            </w:r>
            <w:r>
              <w:rPr>
                <w:rFonts w:ascii="Arial" w:hAnsi="Arial" w:cs="Arial" w:eastAsia="Arial" w:hint="default"/>
                <w:spacing w:val="-3"/>
                <w:sz w:val="24"/>
                <w:szCs w:val="24"/>
              </w:rPr>
              <w:t>(</w:t>
            </w:r>
            <w:r>
              <w:rPr>
                <w:rFonts w:ascii="宋体" w:hAnsi="宋体" w:cs="宋体" w:eastAsia="宋体" w:hint="default"/>
                <w:spacing w:val="-3"/>
                <w:sz w:val="24"/>
                <w:szCs w:val="24"/>
              </w:rPr>
              <w:t>交通运输业、有形动产租赁和物流辅助服务</w:t>
            </w:r>
            <w:r>
              <w:rPr>
                <w:rFonts w:ascii="Arial" w:hAnsi="Arial" w:cs="Arial" w:eastAsia="Arial" w:hint="default"/>
                <w:spacing w:val="-3"/>
                <w:sz w:val="24"/>
                <w:szCs w:val="24"/>
              </w:rPr>
              <w:t>)</w:t>
            </w:r>
            <w:r>
              <w:rPr>
                <w:rFonts w:ascii="宋体" w:hAnsi="宋体" w:cs="宋体" w:eastAsia="宋体" w:hint="default"/>
                <w:spacing w:val="-3"/>
                <w:sz w:val="24"/>
                <w:szCs w:val="24"/>
              </w:rPr>
              <w:t>、信息</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体系</w:t>
            </w:r>
            <w:r>
              <w:rPr>
                <w:rFonts w:ascii="Arial" w:hAnsi="Arial" w:cs="Arial" w:eastAsia="Arial" w:hint="default"/>
                <w:spacing w:val="3"/>
                <w:sz w:val="24"/>
                <w:szCs w:val="24"/>
              </w:rPr>
              <w:t>(</w:t>
            </w:r>
            <w:r>
              <w:rPr>
                <w:rFonts w:ascii="宋体" w:hAnsi="宋体" w:cs="宋体" w:eastAsia="宋体" w:hint="default"/>
                <w:spacing w:val="3"/>
                <w:sz w:val="24"/>
                <w:szCs w:val="24"/>
              </w:rPr>
              <w:t>信息技术服务和文化创意服务</w:t>
            </w:r>
            <w:r>
              <w:rPr>
                <w:rFonts w:ascii="Arial" w:hAnsi="Arial" w:cs="Arial" w:eastAsia="Arial" w:hint="default"/>
                <w:spacing w:val="3"/>
                <w:sz w:val="24"/>
                <w:szCs w:val="24"/>
              </w:rPr>
              <w:t>)</w:t>
            </w:r>
            <w:r>
              <w:rPr>
                <w:rFonts w:ascii="宋体" w:hAnsi="宋体" w:cs="宋体" w:eastAsia="宋体" w:hint="default"/>
                <w:spacing w:val="3"/>
                <w:sz w:val="24"/>
                <w:szCs w:val="24"/>
              </w:rPr>
              <w:t>以及电信转售业务已按相应增值税税率</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缴纳增值税。</w:t>
            </w:r>
          </w:p>
        </w:tc>
      </w:tr>
    </w:tbl>
    <w:p>
      <w:pPr>
        <w:spacing w:after="0" w:line="232"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11"/>
        <w:gridCol w:w="8409"/>
      </w:tblGrid>
      <w:tr>
        <w:trPr>
          <w:trHeight w:val="49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09"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2"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5"/>
              <w:jc w:val="center"/>
              <w:rPr>
                <w:rFonts w:ascii="Arial" w:hAnsi="Arial" w:cs="Arial" w:eastAsia="Arial" w:hint="default"/>
                <w:sz w:val="24"/>
                <w:szCs w:val="24"/>
              </w:rPr>
            </w:pPr>
            <w:r>
              <w:rPr>
                <w:rFonts w:ascii="Arial"/>
                <w:sz w:val="24"/>
              </w:rPr>
              <w:t>(2)</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7" w:right="0"/>
              <w:jc w:val="left"/>
              <w:rPr>
                <w:rFonts w:ascii="黑体" w:hAnsi="黑体" w:cs="黑体" w:eastAsia="黑体" w:hint="default"/>
                <w:sz w:val="24"/>
                <w:szCs w:val="24"/>
              </w:rPr>
            </w:pPr>
            <w:r>
              <w:rPr>
                <w:rFonts w:ascii="黑体" w:hAnsi="黑体" w:cs="黑体" w:eastAsia="黑体" w:hint="default"/>
                <w:sz w:val="24"/>
                <w:szCs w:val="24"/>
              </w:rPr>
              <w:t>税收优惠及批文</w:t>
            </w:r>
          </w:p>
        </w:tc>
      </w:tr>
      <w:tr>
        <w:trPr>
          <w:trHeight w:val="750"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5"/>
              <w:jc w:val="center"/>
              <w:rPr>
                <w:rFonts w:ascii="Arial" w:hAnsi="Arial" w:cs="Arial" w:eastAsia="Arial" w:hint="default"/>
                <w:sz w:val="24"/>
                <w:szCs w:val="24"/>
              </w:rPr>
            </w:pPr>
            <w:r>
              <w:rPr>
                <w:rFonts w:ascii="Arial"/>
                <w:sz w:val="24"/>
              </w:rPr>
              <w:t>(a)</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7" w:right="0"/>
              <w:jc w:val="left"/>
              <w:rPr>
                <w:rFonts w:ascii="宋体" w:hAnsi="宋体" w:cs="宋体" w:eastAsia="宋体" w:hint="default"/>
                <w:sz w:val="24"/>
                <w:szCs w:val="24"/>
              </w:rPr>
            </w:pPr>
            <w:r>
              <w:rPr>
                <w:rFonts w:ascii="宋体" w:hAnsi="宋体" w:cs="宋体" w:eastAsia="宋体" w:hint="default"/>
                <w:sz w:val="24"/>
                <w:szCs w:val="24"/>
              </w:rPr>
              <w:t>西部大开发税收优惠政策</w:t>
            </w:r>
          </w:p>
        </w:tc>
      </w:tr>
      <w:tr>
        <w:trPr>
          <w:trHeight w:val="3859" w:hRule="exact"/>
        </w:trPr>
        <w:tc>
          <w:tcPr>
            <w:tcW w:w="71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17" w:right="198"/>
              <w:jc w:val="both"/>
              <w:rPr>
                <w:rFonts w:ascii="宋体" w:hAnsi="宋体" w:cs="宋体" w:eastAsia="宋体" w:hint="default"/>
                <w:sz w:val="24"/>
                <w:szCs w:val="24"/>
              </w:rPr>
            </w:pPr>
            <w:r>
              <w:rPr>
                <w:rFonts w:ascii="宋体" w:hAnsi="宋体" w:cs="宋体" w:eastAsia="宋体" w:hint="default"/>
                <w:sz w:val="24"/>
                <w:szCs w:val="24"/>
              </w:rPr>
              <w:t>根据《财政部、海关总署、国家税务总局关于深入实施西部大开发战略有关</w:t>
            </w:r>
            <w:r>
              <w:rPr>
                <w:rFonts w:ascii="宋体" w:hAnsi="宋体" w:cs="宋体" w:eastAsia="宋体" w:hint="default"/>
                <w:spacing w:val="-66"/>
                <w:sz w:val="24"/>
                <w:szCs w:val="24"/>
              </w:rPr>
              <w:t> </w:t>
            </w:r>
            <w:r>
              <w:rPr>
                <w:rFonts w:ascii="宋体" w:hAnsi="宋体" w:cs="宋体" w:eastAsia="宋体" w:hint="default"/>
                <w:spacing w:val="-66"/>
                <w:sz w:val="24"/>
                <w:szCs w:val="24"/>
              </w:rPr>
            </w:r>
            <w:r>
              <w:rPr>
                <w:rFonts w:ascii="宋体" w:hAnsi="宋体" w:cs="宋体" w:eastAsia="宋体" w:hint="default"/>
                <w:spacing w:val="-2"/>
                <w:sz w:val="24"/>
                <w:szCs w:val="24"/>
              </w:rPr>
              <w:t>税收政策问题的通知》</w:t>
            </w:r>
            <w:r>
              <w:rPr>
                <w:rFonts w:ascii="Arial" w:hAnsi="Arial" w:cs="Arial" w:eastAsia="Arial" w:hint="default"/>
                <w:spacing w:val="-2"/>
                <w:sz w:val="24"/>
                <w:szCs w:val="24"/>
              </w:rPr>
              <w:t>(</w:t>
            </w:r>
            <w:r>
              <w:rPr>
                <w:rFonts w:ascii="宋体" w:hAnsi="宋体" w:cs="宋体" w:eastAsia="宋体" w:hint="default"/>
                <w:spacing w:val="-2"/>
                <w:sz w:val="24"/>
                <w:szCs w:val="24"/>
              </w:rPr>
              <w:t>财税</w:t>
            </w:r>
            <w:r>
              <w:rPr>
                <w:rFonts w:ascii="Arial" w:hAnsi="Arial" w:cs="Arial" w:eastAsia="Arial" w:hint="default"/>
                <w:spacing w:val="-2"/>
                <w:sz w:val="24"/>
                <w:szCs w:val="24"/>
              </w:rPr>
              <w:t>[2011]58</w:t>
            </w:r>
            <w:r>
              <w:rPr>
                <w:rFonts w:ascii="宋体" w:hAnsi="宋体" w:cs="宋体" w:eastAsia="宋体" w:hint="default"/>
                <w:spacing w:val="-2"/>
                <w:sz w:val="24"/>
                <w:szCs w:val="24"/>
              </w:rPr>
              <w:t>号</w:t>
            </w:r>
            <w:r>
              <w:rPr>
                <w:rFonts w:ascii="Arial" w:hAnsi="Arial" w:cs="Arial" w:eastAsia="Arial" w:hint="default"/>
                <w:spacing w:val="-2"/>
                <w:sz w:val="24"/>
                <w:szCs w:val="24"/>
              </w:rPr>
              <w:t>)(</w:t>
            </w:r>
            <w:r>
              <w:rPr>
                <w:rFonts w:ascii="Arial" w:hAnsi="Arial" w:cs="Arial" w:eastAsia="Arial" w:hint="default"/>
                <w:spacing w:val="-2"/>
                <w:sz w:val="24"/>
                <w:szCs w:val="24"/>
              </w:rPr>
              <w:t>“</w:t>
            </w:r>
            <w:r>
              <w:rPr>
                <w:rFonts w:ascii="Arial" w:hAnsi="Arial" w:cs="Arial" w:eastAsia="Arial" w:hint="default"/>
                <w:spacing w:val="-2"/>
                <w:sz w:val="24"/>
                <w:szCs w:val="24"/>
              </w:rPr>
              <w:t>58</w:t>
            </w:r>
            <w:r>
              <w:rPr>
                <w:rFonts w:ascii="宋体" w:hAnsi="宋体" w:cs="宋体" w:eastAsia="宋体" w:hint="default"/>
                <w:spacing w:val="-2"/>
                <w:sz w:val="24"/>
                <w:szCs w:val="24"/>
              </w:rPr>
              <w:t>号文</w:t>
            </w:r>
            <w:r>
              <w:rPr>
                <w:rFonts w:ascii="Arial" w:hAnsi="Arial" w:cs="Arial" w:eastAsia="Arial" w:hint="default"/>
                <w:spacing w:val="-2"/>
                <w:sz w:val="24"/>
                <w:szCs w:val="24"/>
              </w:rPr>
              <w:t>”</w:t>
            </w:r>
            <w:r>
              <w:rPr>
                <w:rFonts w:ascii="Arial" w:hAnsi="Arial" w:cs="Arial" w:eastAsia="Arial" w:hint="default"/>
                <w:spacing w:val="-2"/>
                <w:sz w:val="24"/>
                <w:szCs w:val="24"/>
              </w:rPr>
              <w:t>)</w:t>
            </w:r>
            <w:r>
              <w:rPr>
                <w:rFonts w:ascii="宋体" w:hAnsi="宋体" w:cs="宋体" w:eastAsia="宋体" w:hint="default"/>
                <w:spacing w:val="-2"/>
                <w:sz w:val="24"/>
                <w:szCs w:val="24"/>
              </w:rPr>
              <w:t>，自</w:t>
            </w:r>
            <w:r>
              <w:rPr>
                <w:rFonts w:ascii="Arial" w:hAnsi="Arial" w:cs="Arial" w:eastAsia="Arial" w:hint="default"/>
                <w:spacing w:val="-2"/>
                <w:sz w:val="24"/>
                <w:szCs w:val="24"/>
              </w:rPr>
              <w:t>2011</w:t>
            </w:r>
            <w:r>
              <w:rPr>
                <w:rFonts w:ascii="宋体" w:hAnsi="宋体" w:cs="宋体" w:eastAsia="宋体" w:hint="default"/>
                <w:spacing w:val="-2"/>
                <w:sz w:val="24"/>
                <w:szCs w:val="24"/>
              </w:rPr>
              <w:t>年</w:t>
            </w:r>
            <w:r>
              <w:rPr>
                <w:rFonts w:ascii="Arial" w:hAnsi="Arial" w:cs="Arial" w:eastAsia="Arial" w:hint="default"/>
                <w:spacing w:val="-2"/>
                <w:sz w:val="24"/>
                <w:szCs w:val="24"/>
              </w:rPr>
              <w:t>1</w:t>
            </w:r>
            <w:r>
              <w:rPr>
                <w:rFonts w:ascii="宋体" w:hAnsi="宋体" w:cs="宋体" w:eastAsia="宋体" w:hint="default"/>
                <w:spacing w:val="-2"/>
                <w:sz w:val="24"/>
                <w:szCs w:val="24"/>
              </w:rPr>
              <w:t>月</w:t>
            </w:r>
            <w:r>
              <w:rPr>
                <w:rFonts w:ascii="Arial" w:hAnsi="Arial" w:cs="Arial" w:eastAsia="Arial" w:hint="default"/>
                <w:spacing w:val="-2"/>
                <w:sz w:val="24"/>
                <w:szCs w:val="24"/>
              </w:rPr>
              <w:t>1</w:t>
            </w:r>
            <w:r>
              <w:rPr>
                <w:rFonts w:ascii="宋体" w:hAnsi="宋体" w:cs="宋体" w:eastAsia="宋体" w:hint="default"/>
                <w:spacing w:val="-2"/>
                <w:sz w:val="24"/>
                <w:szCs w:val="24"/>
              </w:rPr>
              <w:t>日至</w:t>
            </w:r>
            <w:r>
              <w:rPr>
                <w:rFonts w:ascii="Arial" w:hAnsi="Arial" w:cs="Arial" w:eastAsia="Arial" w:hint="default"/>
                <w:spacing w:val="-2"/>
                <w:sz w:val="24"/>
                <w:szCs w:val="24"/>
              </w:rPr>
              <w:t>2020</w:t>
            </w:r>
            <w:r>
              <w:rPr>
                <w:rFonts w:ascii="Arial" w:hAnsi="Arial" w:cs="Arial" w:eastAsia="Arial" w:hint="default"/>
                <w:spacing w:val="-52"/>
                <w:sz w:val="24"/>
                <w:szCs w:val="24"/>
              </w:rPr>
              <w:t> </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日，对设在西部地区的鼓励类产业企业减按</w:t>
            </w:r>
            <w:r>
              <w:rPr>
                <w:rFonts w:ascii="Arial" w:hAnsi="Arial" w:cs="Arial" w:eastAsia="Arial" w:hint="default"/>
                <w:sz w:val="24"/>
                <w:szCs w:val="24"/>
              </w:rPr>
              <w:t>15%</w:t>
            </w:r>
            <w:r>
              <w:rPr>
                <w:rFonts w:ascii="宋体" w:hAnsi="宋体" w:cs="宋体" w:eastAsia="宋体" w:hint="default"/>
                <w:sz w:val="24"/>
                <w:szCs w:val="24"/>
              </w:rPr>
              <w:t>的税率征收企业所 得税。上述鼓励类产业企业是指以《西部地区鼓励类产业目录》中规定的产</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5"/>
                <w:w w:val="99"/>
                <w:sz w:val="24"/>
                <w:szCs w:val="24"/>
              </w:rPr>
              <w:t>业项目为主营业务，且其主营业务收入占企业收入总额</w:t>
            </w:r>
            <w:r>
              <w:rPr>
                <w:rFonts w:ascii="Arial" w:hAnsi="Arial" w:cs="Arial" w:eastAsia="Arial" w:hint="default"/>
                <w:spacing w:val="-5"/>
                <w:w w:val="99"/>
                <w:sz w:val="24"/>
                <w:szCs w:val="24"/>
              </w:rPr>
              <w:t>70%</w:t>
            </w:r>
            <w:r>
              <w:rPr>
                <w:rFonts w:ascii="宋体" w:hAnsi="宋体" w:cs="宋体" w:eastAsia="宋体" w:hint="default"/>
                <w:spacing w:val="-5"/>
                <w:w w:val="99"/>
                <w:sz w:val="24"/>
                <w:szCs w:val="24"/>
              </w:rPr>
              <w:t>以上的企业。《西</w:t>
            </w:r>
            <w:r>
              <w:rPr>
                <w:rFonts w:ascii="宋体" w:hAnsi="宋体" w:cs="宋体" w:eastAsia="宋体" w:hint="default"/>
                <w:sz w:val="24"/>
                <w:szCs w:val="24"/>
              </w:rPr>
              <w:t> </w:t>
            </w:r>
            <w:r>
              <w:rPr>
                <w:rFonts w:ascii="宋体" w:hAnsi="宋体" w:cs="宋体" w:eastAsia="宋体" w:hint="default"/>
                <w:spacing w:val="2"/>
                <w:sz w:val="24"/>
                <w:szCs w:val="24"/>
              </w:rPr>
              <w:t>部地区鼓励类产业目录》</w:t>
            </w:r>
            <w:r>
              <w:rPr>
                <w:rFonts w:ascii="Arial" w:hAnsi="Arial" w:cs="Arial" w:eastAsia="Arial" w:hint="default"/>
                <w:spacing w:val="2"/>
                <w:sz w:val="24"/>
                <w:szCs w:val="24"/>
              </w:rPr>
              <w:t>(</w:t>
            </w:r>
            <w:r>
              <w:rPr>
                <w:rFonts w:ascii="宋体" w:hAnsi="宋体" w:cs="宋体" w:eastAsia="宋体" w:hint="default"/>
                <w:spacing w:val="2"/>
                <w:sz w:val="24"/>
                <w:szCs w:val="24"/>
              </w:rPr>
              <w:t>国家发展和改革委员会令</w:t>
            </w:r>
            <w:r>
              <w:rPr>
                <w:rFonts w:ascii="Arial" w:hAnsi="Arial" w:cs="Arial" w:eastAsia="Arial" w:hint="default"/>
                <w:spacing w:val="2"/>
                <w:sz w:val="24"/>
                <w:szCs w:val="24"/>
              </w:rPr>
              <w:t>[2014]15</w:t>
            </w:r>
            <w:r>
              <w:rPr>
                <w:rFonts w:ascii="宋体" w:hAnsi="宋体" w:cs="宋体" w:eastAsia="宋体" w:hint="default"/>
                <w:spacing w:val="2"/>
                <w:sz w:val="24"/>
                <w:szCs w:val="24"/>
              </w:rPr>
              <w:t>号</w:t>
            </w:r>
            <w:r>
              <w:rPr>
                <w:rFonts w:ascii="Arial" w:hAnsi="Arial" w:cs="Arial" w:eastAsia="Arial" w:hint="default"/>
                <w:spacing w:val="2"/>
                <w:sz w:val="24"/>
                <w:szCs w:val="24"/>
              </w:rPr>
              <w:t>)</w:t>
            </w:r>
            <w:r>
              <w:rPr>
                <w:rFonts w:ascii="宋体" w:hAnsi="宋体" w:cs="宋体" w:eastAsia="宋体" w:hint="default"/>
                <w:spacing w:val="2"/>
                <w:sz w:val="24"/>
                <w:szCs w:val="24"/>
              </w:rPr>
              <w:t>已经于</w:t>
            </w:r>
            <w:r>
              <w:rPr>
                <w:rFonts w:ascii="Arial" w:hAnsi="Arial" w:cs="Arial" w:eastAsia="Arial" w:hint="default"/>
                <w:spacing w:val="2"/>
                <w:sz w:val="24"/>
                <w:szCs w:val="24"/>
              </w:rPr>
              <w:t>2014</w:t>
            </w:r>
            <w:r>
              <w:rPr>
                <w:rFonts w:ascii="Arial" w:hAnsi="Arial" w:cs="Arial" w:eastAsia="Arial" w:hint="default"/>
                <w:spacing w:val="-42"/>
                <w:sz w:val="24"/>
                <w:szCs w:val="24"/>
              </w:rPr>
              <w:t> </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10</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1</w:t>
            </w:r>
            <w:r>
              <w:rPr>
                <w:rFonts w:ascii="宋体" w:hAnsi="宋体" w:cs="宋体" w:eastAsia="宋体" w:hint="default"/>
                <w:spacing w:val="-4"/>
                <w:w w:val="99"/>
                <w:sz w:val="24"/>
                <w:szCs w:val="24"/>
              </w:rPr>
              <w:t>日起正式施行：《西部地区鼓励类产业目录》包括了国家现有产业目</w:t>
            </w:r>
            <w:r>
              <w:rPr>
                <w:rFonts w:ascii="宋体" w:hAnsi="宋体" w:cs="宋体" w:eastAsia="宋体" w:hint="default"/>
                <w:spacing w:val="-97"/>
                <w:w w:val="99"/>
                <w:sz w:val="24"/>
                <w:szCs w:val="24"/>
              </w:rPr>
              <w:t> </w:t>
            </w:r>
            <w:r>
              <w:rPr>
                <w:rFonts w:ascii="宋体" w:hAnsi="宋体" w:cs="宋体" w:eastAsia="宋体" w:hint="default"/>
                <w:spacing w:val="-97"/>
                <w:w w:val="99"/>
                <w:sz w:val="24"/>
                <w:szCs w:val="24"/>
              </w:rPr>
            </w:r>
            <w:r>
              <w:rPr>
                <w:rFonts w:ascii="宋体" w:hAnsi="宋体" w:cs="宋体" w:eastAsia="宋体" w:hint="default"/>
                <w:spacing w:val="-6"/>
                <w:sz w:val="24"/>
                <w:szCs w:val="24"/>
              </w:rPr>
              <w:t>录中的鼓励类产业，以及西部地区新增鼓励类产业。《西部地区鼓励类产业目</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录》公布之后，原优惠企业可继续享受西部大开发优惠政策。同时优惠企业</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需每年向当地主管税务局进行备案，本集团子公司已向主管税务局进行相应</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备案。</w:t>
            </w:r>
          </w:p>
        </w:tc>
      </w:tr>
      <w:tr>
        <w:trPr>
          <w:trHeight w:val="1059" w:hRule="exact"/>
        </w:trPr>
        <w:tc>
          <w:tcPr>
            <w:tcW w:w="71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217" w:right="201"/>
              <w:jc w:val="left"/>
              <w:rPr>
                <w:rFonts w:ascii="宋体" w:hAnsi="宋体" w:cs="宋体" w:eastAsia="宋体" w:hint="default"/>
                <w:sz w:val="24"/>
                <w:szCs w:val="24"/>
              </w:rPr>
            </w:pPr>
            <w:r>
              <w:rPr>
                <w:rFonts w:ascii="宋体" w:hAnsi="宋体" w:cs="宋体" w:eastAsia="宋体" w:hint="default"/>
                <w:sz w:val="24"/>
                <w:szCs w:val="24"/>
              </w:rPr>
              <w:t>本集团子公司原已取得的批复仍然有效，已获取主管税务机关确认税收政策</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如下：</w:t>
            </w:r>
          </w:p>
        </w:tc>
      </w:tr>
      <w:tr>
        <w:trPr>
          <w:trHeight w:val="1064" w:hRule="exact"/>
        </w:trPr>
        <w:tc>
          <w:tcPr>
            <w:tcW w:w="71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217" w:right="202"/>
              <w:jc w:val="left"/>
              <w:rPr>
                <w:rFonts w:ascii="宋体" w:hAnsi="宋体" w:cs="宋体" w:eastAsia="宋体" w:hint="default"/>
                <w:sz w:val="24"/>
                <w:szCs w:val="24"/>
              </w:rPr>
            </w:pPr>
            <w:r>
              <w:rPr>
                <w:rFonts w:ascii="Arial" w:hAnsi="Arial" w:cs="Arial" w:eastAsia="Arial" w:hint="default"/>
                <w:spacing w:val="2"/>
                <w:sz w:val="24"/>
                <w:szCs w:val="24"/>
              </w:rPr>
              <w:t>2014</w:t>
            </w:r>
            <w:r>
              <w:rPr>
                <w:rFonts w:ascii="宋体" w:hAnsi="宋体" w:cs="宋体" w:eastAsia="宋体" w:hint="default"/>
                <w:spacing w:val="2"/>
                <w:sz w:val="24"/>
                <w:szCs w:val="24"/>
              </w:rPr>
              <w:t>年</w:t>
            </w:r>
            <w:r>
              <w:rPr>
                <w:rFonts w:ascii="Arial" w:hAnsi="Arial" w:cs="Arial" w:eastAsia="Arial" w:hint="default"/>
                <w:spacing w:val="2"/>
                <w:sz w:val="24"/>
                <w:szCs w:val="24"/>
              </w:rPr>
              <w:t>3</w:t>
            </w:r>
            <w:r>
              <w:rPr>
                <w:rFonts w:ascii="宋体" w:hAnsi="宋体" w:cs="宋体" w:eastAsia="宋体" w:hint="default"/>
                <w:spacing w:val="2"/>
                <w:sz w:val="24"/>
                <w:szCs w:val="24"/>
              </w:rPr>
              <w:t>月</w:t>
            </w:r>
            <w:r>
              <w:rPr>
                <w:rFonts w:ascii="Arial" w:hAnsi="Arial" w:cs="Arial" w:eastAsia="Arial" w:hint="default"/>
                <w:spacing w:val="2"/>
                <w:sz w:val="24"/>
                <w:szCs w:val="24"/>
              </w:rPr>
              <w:t>14</w:t>
            </w:r>
            <w:r>
              <w:rPr>
                <w:rFonts w:ascii="宋体" w:hAnsi="宋体" w:cs="宋体" w:eastAsia="宋体" w:hint="default"/>
                <w:spacing w:val="2"/>
                <w:sz w:val="24"/>
                <w:szCs w:val="24"/>
              </w:rPr>
              <w:t>日，咸阳苏宁云商销售有限公司经咸阳市秦都区国家税务局批</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准，同意其公司</w:t>
            </w:r>
            <w:r>
              <w:rPr>
                <w:rFonts w:ascii="Arial" w:hAnsi="Arial" w:cs="Arial" w:eastAsia="Arial" w:hint="default"/>
                <w:sz w:val="24"/>
                <w:szCs w:val="24"/>
              </w:rPr>
              <w:t>2013</w:t>
            </w:r>
            <w:r>
              <w:rPr>
                <w:rFonts w:ascii="宋体" w:hAnsi="宋体" w:cs="宋体" w:eastAsia="宋体" w:hint="default"/>
                <w:sz w:val="24"/>
                <w:szCs w:val="24"/>
              </w:rPr>
              <w:t>年度享受西部大开发税收优惠政策。</w:t>
            </w:r>
          </w:p>
        </w:tc>
      </w:tr>
      <w:tr>
        <w:trPr>
          <w:trHeight w:val="1122" w:hRule="exact"/>
        </w:trPr>
        <w:tc>
          <w:tcPr>
            <w:tcW w:w="71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25" w:lineRule="auto" w:before="190"/>
              <w:ind w:left="217" w:right="198"/>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6</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5</w:t>
            </w:r>
            <w:r>
              <w:rPr>
                <w:rFonts w:ascii="Arial" w:hAnsi="Arial" w:cs="Arial" w:eastAsia="Arial" w:hint="default"/>
                <w:spacing w:val="-6"/>
                <w:sz w:val="24"/>
                <w:szCs w:val="24"/>
              </w:rPr>
              <w:t> </w:t>
            </w:r>
            <w:r>
              <w:rPr>
                <w:rFonts w:ascii="宋体" w:hAnsi="宋体" w:cs="宋体" w:eastAsia="宋体" w:hint="default"/>
                <w:spacing w:val="-3"/>
                <w:sz w:val="24"/>
                <w:szCs w:val="24"/>
              </w:rPr>
              <w:t>日，重庆苏宁云商销售有限公司经重庆市渝中区国家税务局渝</w:t>
            </w:r>
            <w:r>
              <w:rPr>
                <w:rFonts w:ascii="宋体" w:hAnsi="宋体" w:cs="宋体" w:eastAsia="宋体" w:hint="default"/>
                <w:sz w:val="24"/>
                <w:szCs w:val="24"/>
              </w:rPr>
              <w:t> 中国税减</w:t>
            </w:r>
            <w:r>
              <w:rPr>
                <w:rFonts w:ascii="Arial" w:hAnsi="Arial" w:cs="Arial" w:eastAsia="Arial" w:hint="default"/>
                <w:sz w:val="24"/>
                <w:szCs w:val="24"/>
              </w:rPr>
              <w:t>[2012]147 </w:t>
            </w:r>
            <w:r>
              <w:rPr>
                <w:rFonts w:ascii="宋体" w:hAnsi="宋体" w:cs="宋体" w:eastAsia="宋体" w:hint="default"/>
                <w:spacing w:val="-3"/>
                <w:sz w:val="24"/>
                <w:szCs w:val="24"/>
              </w:rPr>
              <w:t>号批准，</w:t>
            </w:r>
            <w:r>
              <w:rPr>
                <w:rFonts w:ascii="Arial" w:hAnsi="Arial" w:cs="Arial" w:eastAsia="Arial" w:hint="default"/>
                <w:spacing w:val="-3"/>
                <w:sz w:val="24"/>
                <w:szCs w:val="24"/>
              </w:rPr>
              <w:t>2011 </w:t>
            </w:r>
            <w:r>
              <w:rPr>
                <w:rFonts w:ascii="宋体" w:hAnsi="宋体" w:cs="宋体" w:eastAsia="宋体" w:hint="default"/>
                <w:sz w:val="24"/>
                <w:szCs w:val="24"/>
              </w:rPr>
              <w:t>年至 </w:t>
            </w:r>
            <w:r>
              <w:rPr>
                <w:rFonts w:ascii="Arial" w:hAnsi="Arial" w:cs="Arial" w:eastAsia="Arial" w:hint="default"/>
                <w:sz w:val="24"/>
                <w:szCs w:val="24"/>
              </w:rPr>
              <w:t>2020</w:t>
            </w:r>
            <w:r>
              <w:rPr>
                <w:rFonts w:ascii="Arial" w:hAnsi="Arial" w:cs="Arial" w:eastAsia="Arial" w:hint="default"/>
                <w:spacing w:val="36"/>
                <w:sz w:val="24"/>
                <w:szCs w:val="24"/>
              </w:rPr>
              <w:t> </w:t>
            </w:r>
            <w:r>
              <w:rPr>
                <w:rFonts w:ascii="宋体" w:hAnsi="宋体" w:cs="宋体" w:eastAsia="宋体" w:hint="default"/>
                <w:sz w:val="24"/>
                <w:szCs w:val="24"/>
              </w:rPr>
              <w:t>年享受西部大开发税收优惠政 策减按</w:t>
            </w:r>
            <w:r>
              <w:rPr>
                <w:rFonts w:ascii="宋体" w:hAnsi="宋体" w:cs="宋体" w:eastAsia="宋体" w:hint="default"/>
                <w:spacing w:val="-63"/>
                <w:sz w:val="24"/>
                <w:szCs w:val="24"/>
              </w:rPr>
              <w:t> </w:t>
            </w:r>
            <w:r>
              <w:rPr>
                <w:rFonts w:ascii="Arial" w:hAnsi="Arial" w:cs="Arial" w:eastAsia="Arial" w:hint="default"/>
                <w:sz w:val="24"/>
                <w:szCs w:val="24"/>
              </w:rPr>
              <w:t>15%</w:t>
            </w:r>
            <w:r>
              <w:rPr>
                <w:rFonts w:ascii="宋体" w:hAnsi="宋体" w:cs="宋体" w:eastAsia="宋体" w:hint="default"/>
                <w:sz w:val="24"/>
                <w:szCs w:val="24"/>
              </w:rPr>
              <w:t>缴纳企业所得税。</w:t>
            </w:r>
          </w:p>
        </w:tc>
      </w:tr>
    </w:tbl>
    <w:p>
      <w:pPr>
        <w:spacing w:after="0" w:line="225"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528"/>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528"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(2)</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(a)</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0362" w:hRule="exact"/>
        </w:trPr>
        <w:tc>
          <w:tcPr>
            <w:tcW w:w="711" w:type="dxa"/>
            <w:tcBorders>
              <w:top w:val="nil" w:sz="6" w:space="0" w:color="auto"/>
              <w:left w:val="nil" w:sz="6" w:space="0" w:color="auto"/>
              <w:bottom w:val="nil" w:sz="6" w:space="0" w:color="auto"/>
              <w:right w:val="nil" w:sz="6" w:space="0" w:color="auto"/>
            </w:tcBorders>
          </w:tcPr>
          <w:p>
            <w:pPr/>
          </w:p>
        </w:tc>
        <w:tc>
          <w:tcPr>
            <w:tcW w:w="8528" w:type="dxa"/>
            <w:tcBorders>
              <w:top w:val="nil" w:sz="6" w:space="0" w:color="auto"/>
              <w:left w:val="nil" w:sz="6" w:space="0" w:color="auto"/>
              <w:bottom w:val="nil" w:sz="6" w:space="0" w:color="auto"/>
              <w:right w:val="nil" w:sz="6" w:space="0" w:color="auto"/>
            </w:tcBorders>
          </w:tcPr>
          <w:p>
            <w:pPr>
              <w:pStyle w:val="TableParagraph"/>
              <w:spacing w:line="225" w:lineRule="auto" w:before="110"/>
              <w:ind w:left="217" w:right="318"/>
              <w:jc w:val="both"/>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15</w:t>
            </w:r>
            <w:r>
              <w:rPr>
                <w:rFonts w:ascii="Arial" w:hAnsi="Arial" w:cs="Arial" w:eastAsia="Arial" w:hint="default"/>
                <w:spacing w:val="-1"/>
                <w:sz w:val="24"/>
                <w:szCs w:val="24"/>
              </w:rPr>
              <w:t> </w:t>
            </w:r>
            <w:r>
              <w:rPr>
                <w:rFonts w:ascii="宋体" w:hAnsi="宋体" w:cs="宋体" w:eastAsia="宋体" w:hint="default"/>
                <w:sz w:val="24"/>
                <w:szCs w:val="24"/>
              </w:rPr>
              <w:t>日，湘西自治州苏宁云商销售有限公司经吉首市国家税务局 吉国税减免字</w:t>
            </w:r>
            <w:r>
              <w:rPr>
                <w:rFonts w:ascii="Arial" w:hAnsi="Arial" w:cs="Arial" w:eastAsia="Arial" w:hint="default"/>
                <w:sz w:val="24"/>
                <w:szCs w:val="24"/>
              </w:rPr>
              <w:t>[2013]43</w:t>
            </w:r>
            <w:r>
              <w:rPr>
                <w:rFonts w:ascii="Arial" w:hAnsi="Arial" w:cs="Arial" w:eastAsia="Arial" w:hint="default"/>
                <w:spacing w:val="-6"/>
                <w:sz w:val="24"/>
                <w:szCs w:val="24"/>
              </w:rPr>
              <w:t> </w:t>
            </w:r>
            <w:r>
              <w:rPr>
                <w:rFonts w:ascii="宋体" w:hAnsi="宋体" w:cs="宋体" w:eastAsia="宋体" w:hint="default"/>
                <w:spacing w:val="-3"/>
                <w:sz w:val="24"/>
                <w:szCs w:val="24"/>
              </w:rPr>
              <w:t>号批准，</w:t>
            </w:r>
            <w:r>
              <w:rPr>
                <w:rFonts w:ascii="Arial" w:hAnsi="Arial" w:cs="Arial" w:eastAsia="Arial" w:hint="default"/>
                <w:spacing w:val="-3"/>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年至</w:t>
            </w:r>
            <w:r>
              <w:rPr>
                <w:rFonts w:ascii="宋体" w:hAnsi="宋体" w:cs="宋体" w:eastAsia="宋体" w:hint="default"/>
                <w:spacing w:val="-58"/>
                <w:sz w:val="24"/>
                <w:szCs w:val="24"/>
              </w:rPr>
              <w:t> </w:t>
            </w:r>
            <w:r>
              <w:rPr>
                <w:rFonts w:ascii="Arial" w:hAnsi="Arial" w:cs="Arial" w:eastAsia="Arial" w:hint="default"/>
                <w:sz w:val="24"/>
                <w:szCs w:val="24"/>
              </w:rPr>
              <w:t>2020</w:t>
            </w:r>
            <w:r>
              <w:rPr>
                <w:rFonts w:ascii="Arial" w:hAnsi="Arial" w:cs="Arial" w:eastAsia="Arial" w:hint="default"/>
                <w:spacing w:val="-6"/>
                <w:sz w:val="24"/>
                <w:szCs w:val="24"/>
              </w:rPr>
              <w:t> </w:t>
            </w:r>
            <w:r>
              <w:rPr>
                <w:rFonts w:ascii="宋体" w:hAnsi="宋体" w:cs="宋体" w:eastAsia="宋体" w:hint="default"/>
                <w:sz w:val="24"/>
                <w:szCs w:val="24"/>
              </w:rPr>
              <w:t>年享受西部大开发税收优惠 政策减按</w:t>
            </w:r>
            <w:r>
              <w:rPr>
                <w:rFonts w:ascii="宋体" w:hAnsi="宋体" w:cs="宋体" w:eastAsia="宋体" w:hint="default"/>
                <w:spacing w:val="-63"/>
                <w:sz w:val="24"/>
                <w:szCs w:val="24"/>
              </w:rPr>
              <w:t> </w:t>
            </w:r>
            <w:r>
              <w:rPr>
                <w:rFonts w:ascii="Arial" w:hAnsi="Arial" w:cs="Arial" w:eastAsia="Arial" w:hint="default"/>
                <w:sz w:val="24"/>
                <w:szCs w:val="24"/>
              </w:rPr>
              <w:t>15%</w:t>
            </w:r>
            <w:r>
              <w:rPr>
                <w:rFonts w:ascii="宋体" w:hAnsi="宋体" w:cs="宋体" w:eastAsia="宋体" w:hint="default"/>
                <w:sz w:val="24"/>
                <w:szCs w:val="24"/>
              </w:rPr>
              <w:t>缴纳企业所得税。</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5" w:lineRule="auto"/>
              <w:ind w:left="217" w:right="318"/>
              <w:jc w:val="both"/>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24</w:t>
            </w:r>
            <w:r>
              <w:rPr>
                <w:rFonts w:ascii="Arial" w:hAnsi="Arial" w:cs="Arial" w:eastAsia="Arial" w:hint="default"/>
                <w:spacing w:val="-1"/>
                <w:sz w:val="24"/>
                <w:szCs w:val="24"/>
              </w:rPr>
              <w:t> </w:t>
            </w:r>
            <w:r>
              <w:rPr>
                <w:rFonts w:ascii="宋体" w:hAnsi="宋体" w:cs="宋体" w:eastAsia="宋体" w:hint="default"/>
                <w:sz w:val="24"/>
                <w:szCs w:val="24"/>
              </w:rPr>
              <w:t>日，重庆苏宁云商采购有限公司经重庆市北部新区国家税务 </w:t>
            </w:r>
            <w:r>
              <w:rPr>
                <w:rFonts w:ascii="宋体" w:hAnsi="宋体" w:cs="宋体" w:eastAsia="宋体" w:hint="default"/>
                <w:spacing w:val="-5"/>
                <w:sz w:val="24"/>
                <w:szCs w:val="24"/>
              </w:rPr>
              <w:t>局审批，</w:t>
            </w: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年至</w:t>
            </w:r>
            <w:r>
              <w:rPr>
                <w:rFonts w:ascii="宋体" w:hAnsi="宋体" w:cs="宋体" w:eastAsia="宋体" w:hint="default"/>
                <w:spacing w:val="-61"/>
                <w:sz w:val="24"/>
                <w:szCs w:val="24"/>
              </w:rPr>
              <w:t> </w:t>
            </w:r>
            <w:r>
              <w:rPr>
                <w:rFonts w:ascii="Arial" w:hAnsi="Arial" w:cs="Arial" w:eastAsia="Arial" w:hint="default"/>
                <w:sz w:val="24"/>
                <w:szCs w:val="24"/>
              </w:rPr>
              <w:t>2020</w:t>
            </w:r>
            <w:r>
              <w:rPr>
                <w:rFonts w:ascii="Arial" w:hAnsi="Arial" w:cs="Arial" w:eastAsia="Arial" w:hint="default"/>
                <w:spacing w:val="-8"/>
                <w:sz w:val="24"/>
                <w:szCs w:val="24"/>
              </w:rPr>
              <w:t> </w:t>
            </w:r>
            <w:r>
              <w:rPr>
                <w:rFonts w:ascii="宋体" w:hAnsi="宋体" w:cs="宋体" w:eastAsia="宋体" w:hint="default"/>
                <w:sz w:val="24"/>
                <w:szCs w:val="24"/>
              </w:rPr>
              <w:t>年享受西部大开发税收优惠政策减按</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缴纳企业 所得税。</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22" w:lineRule="exact"/>
              <w:ind w:left="217" w:right="0"/>
              <w:jc w:val="both"/>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5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19</w:t>
            </w:r>
            <w:r>
              <w:rPr>
                <w:rFonts w:ascii="Arial" w:hAnsi="Arial" w:cs="Arial" w:eastAsia="Arial" w:hint="default"/>
                <w:spacing w:val="-1"/>
                <w:sz w:val="24"/>
                <w:szCs w:val="24"/>
              </w:rPr>
              <w:t> </w:t>
            </w:r>
            <w:r>
              <w:rPr>
                <w:rFonts w:ascii="宋体" w:hAnsi="宋体" w:cs="宋体" w:eastAsia="宋体" w:hint="default"/>
                <w:sz w:val="24"/>
                <w:szCs w:val="24"/>
              </w:rPr>
              <w:t>日，玉林苏宁云商销售有限公司经玉林市玉州区国家税务局</w:t>
            </w:r>
          </w:p>
          <w:p>
            <w:pPr>
              <w:pStyle w:val="TableParagraph"/>
              <w:spacing w:line="322" w:lineRule="exact"/>
              <w:ind w:left="217" w:right="0"/>
              <w:jc w:val="both"/>
              <w:rPr>
                <w:rFonts w:ascii="宋体" w:hAnsi="宋体" w:cs="宋体" w:eastAsia="宋体" w:hint="default"/>
                <w:sz w:val="24"/>
                <w:szCs w:val="24"/>
              </w:rPr>
            </w:pPr>
            <w:r>
              <w:rPr>
                <w:rFonts w:ascii="宋体" w:hAnsi="宋体" w:cs="宋体" w:eastAsia="宋体" w:hint="default"/>
                <w:sz w:val="24"/>
                <w:szCs w:val="24"/>
              </w:rPr>
              <w:t>玉区国税确字</w:t>
            </w:r>
            <w:r>
              <w:rPr>
                <w:rFonts w:ascii="Arial" w:hAnsi="Arial" w:cs="Arial" w:eastAsia="Arial" w:hint="default"/>
                <w:sz w:val="24"/>
                <w:szCs w:val="24"/>
              </w:rPr>
              <w:t>[2014]21</w:t>
            </w:r>
            <w:r>
              <w:rPr>
                <w:rFonts w:ascii="Arial" w:hAnsi="Arial" w:cs="Arial" w:eastAsia="Arial" w:hint="default"/>
                <w:spacing w:val="-9"/>
                <w:sz w:val="24"/>
                <w:szCs w:val="24"/>
              </w:rPr>
              <w:t> </w:t>
            </w:r>
            <w:r>
              <w:rPr>
                <w:rFonts w:ascii="宋体" w:hAnsi="宋体" w:cs="宋体" w:eastAsia="宋体" w:hint="default"/>
                <w:sz w:val="24"/>
                <w:szCs w:val="24"/>
              </w:rPr>
              <w:t>号批准，自</w:t>
            </w:r>
            <w:r>
              <w:rPr>
                <w:rFonts w:ascii="宋体" w:hAnsi="宋体" w:cs="宋体" w:eastAsia="宋体" w:hint="default"/>
                <w:spacing w:val="-61"/>
                <w:sz w:val="24"/>
                <w:szCs w:val="24"/>
              </w:rPr>
              <w:t> </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月起执行所得税优惠政策。</w:t>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2" w:lineRule="exact"/>
              <w:ind w:left="217" w:right="198"/>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6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10</w:t>
            </w:r>
            <w:r>
              <w:rPr>
                <w:rFonts w:ascii="Arial" w:hAnsi="Arial" w:cs="Arial" w:eastAsia="Arial" w:hint="default"/>
                <w:spacing w:val="-1"/>
                <w:sz w:val="24"/>
                <w:szCs w:val="24"/>
              </w:rPr>
              <w:t> </w:t>
            </w:r>
            <w:r>
              <w:rPr>
                <w:rFonts w:ascii="宋体" w:hAnsi="宋体" w:cs="宋体" w:eastAsia="宋体" w:hint="default"/>
                <w:sz w:val="24"/>
                <w:szCs w:val="24"/>
              </w:rPr>
              <w:t>日，梧州苏宁云商销售有限公司经梧州市长洲区国家税务局 </w:t>
            </w:r>
            <w:r>
              <w:rPr>
                <w:rFonts w:ascii="宋体" w:hAnsi="宋体" w:cs="宋体" w:eastAsia="宋体" w:hint="default"/>
                <w:w w:val="99"/>
                <w:sz w:val="24"/>
                <w:szCs w:val="24"/>
              </w:rPr>
              <w:t>长国税确认</w:t>
            </w:r>
            <w:r>
              <w:rPr>
                <w:rFonts w:ascii="Arial" w:hAnsi="Arial" w:cs="Arial" w:eastAsia="Arial" w:hint="default"/>
                <w:w w:val="99"/>
                <w:sz w:val="24"/>
                <w:szCs w:val="24"/>
              </w:rPr>
              <w:t>[2014]9</w:t>
            </w:r>
            <w:r>
              <w:rPr>
                <w:rFonts w:ascii="Arial" w:hAnsi="Arial" w:cs="Arial" w:eastAsia="Arial" w:hint="default"/>
                <w:spacing w:val="-7"/>
                <w:w w:val="99"/>
                <w:sz w:val="24"/>
                <w:szCs w:val="24"/>
              </w:rPr>
              <w:t> </w:t>
            </w:r>
            <w:r>
              <w:rPr>
                <w:rFonts w:ascii="宋体" w:hAnsi="宋体" w:cs="宋体" w:eastAsia="宋体" w:hint="default"/>
                <w:spacing w:val="-14"/>
                <w:sz w:val="24"/>
                <w:szCs w:val="24"/>
              </w:rPr>
              <w:t>号批准，同意其公司</w:t>
            </w:r>
            <w:r>
              <w:rPr>
                <w:rFonts w:ascii="宋体" w:hAnsi="宋体" w:cs="宋体" w:eastAsia="宋体" w:hint="default"/>
                <w:spacing w:val="-60"/>
                <w:sz w:val="24"/>
                <w:szCs w:val="24"/>
              </w:rPr>
              <w:t> </w:t>
            </w:r>
            <w:r>
              <w:rPr>
                <w:rFonts w:ascii="Arial" w:hAnsi="Arial" w:cs="Arial" w:eastAsia="Arial" w:hint="default"/>
                <w:spacing w:val="-1"/>
                <w:w w:val="99"/>
                <w:sz w:val="24"/>
                <w:szCs w:val="24"/>
              </w:rPr>
              <w:t>2013</w:t>
            </w:r>
            <w:r>
              <w:rPr>
                <w:rFonts w:ascii="Arial" w:hAnsi="Arial" w:cs="Arial" w:eastAsia="Arial" w:hint="default"/>
                <w:spacing w:val="-7"/>
                <w:w w:val="99"/>
                <w:sz w:val="24"/>
                <w:szCs w:val="24"/>
              </w:rPr>
              <w:t> </w:t>
            </w:r>
            <w:r>
              <w:rPr>
                <w:rFonts w:ascii="宋体" w:hAnsi="宋体" w:cs="宋体" w:eastAsia="宋体" w:hint="default"/>
                <w:sz w:val="24"/>
                <w:szCs w:val="24"/>
              </w:rPr>
              <w:t>年度享受西部大开发税收优惠。</w:t>
            </w: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0" w:lineRule="exact"/>
              <w:ind w:left="217" w:right="318"/>
              <w:jc w:val="both"/>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4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30</w:t>
            </w:r>
            <w:r>
              <w:rPr>
                <w:rFonts w:ascii="Arial" w:hAnsi="Arial" w:cs="Arial" w:eastAsia="Arial" w:hint="default"/>
                <w:spacing w:val="-1"/>
                <w:sz w:val="24"/>
                <w:szCs w:val="24"/>
              </w:rPr>
              <w:t> </w:t>
            </w:r>
            <w:r>
              <w:rPr>
                <w:rFonts w:ascii="宋体" w:hAnsi="宋体" w:cs="宋体" w:eastAsia="宋体" w:hint="default"/>
                <w:sz w:val="24"/>
                <w:szCs w:val="24"/>
              </w:rPr>
              <w:t>日，宝鸡苏宁云商商贸有限公司经渭滨区国家税务局渭国税 字</w:t>
            </w:r>
            <w:r>
              <w:rPr>
                <w:rFonts w:ascii="Arial" w:hAnsi="Arial" w:cs="Arial" w:eastAsia="Arial" w:hint="default"/>
                <w:sz w:val="24"/>
                <w:szCs w:val="24"/>
              </w:rPr>
              <w:t>[2014]1410</w:t>
            </w:r>
            <w:r>
              <w:rPr>
                <w:rFonts w:ascii="Arial" w:hAnsi="Arial" w:cs="Arial" w:eastAsia="Arial" w:hint="default"/>
                <w:spacing w:val="-10"/>
                <w:sz w:val="24"/>
                <w:szCs w:val="24"/>
              </w:rPr>
              <w:t> </w:t>
            </w:r>
            <w:r>
              <w:rPr>
                <w:rFonts w:ascii="宋体" w:hAnsi="宋体" w:cs="宋体" w:eastAsia="宋体" w:hint="default"/>
                <w:sz w:val="24"/>
                <w:szCs w:val="24"/>
              </w:rPr>
              <w:t>号批准，同意其公司</w:t>
            </w:r>
            <w:r>
              <w:rPr>
                <w:rFonts w:ascii="宋体" w:hAnsi="宋体" w:cs="宋体" w:eastAsia="宋体" w:hint="default"/>
                <w:spacing w:val="-62"/>
                <w:sz w:val="24"/>
                <w:szCs w:val="24"/>
              </w:rPr>
              <w:t> </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年度享受西部大开发税收优惠。</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317"/>
              <w:jc w:val="both"/>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4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21</w:t>
            </w:r>
            <w:r>
              <w:rPr>
                <w:rFonts w:ascii="Arial" w:hAnsi="Arial" w:cs="Arial" w:eastAsia="Arial" w:hint="default"/>
                <w:spacing w:val="-1"/>
                <w:sz w:val="24"/>
                <w:szCs w:val="24"/>
              </w:rPr>
              <w:t> </w:t>
            </w:r>
            <w:r>
              <w:rPr>
                <w:rFonts w:ascii="宋体" w:hAnsi="宋体" w:cs="宋体" w:eastAsia="宋体" w:hint="default"/>
                <w:sz w:val="24"/>
                <w:szCs w:val="24"/>
              </w:rPr>
              <w:t>日，渭南苏宁云商销售有限公司经渭南市临渭区国家税务局 渭临国税优备通字</w:t>
            </w:r>
            <w:r>
              <w:rPr>
                <w:rFonts w:ascii="Arial" w:hAnsi="Arial" w:cs="Arial" w:eastAsia="Arial" w:hint="default"/>
                <w:sz w:val="24"/>
                <w:szCs w:val="24"/>
              </w:rPr>
              <w:t>[2014]3</w:t>
            </w:r>
            <w:r>
              <w:rPr>
                <w:rFonts w:ascii="Arial" w:hAnsi="Arial" w:cs="Arial" w:eastAsia="Arial" w:hint="default"/>
                <w:spacing w:val="-9"/>
                <w:sz w:val="24"/>
                <w:szCs w:val="24"/>
              </w:rPr>
              <w:t> </w:t>
            </w:r>
            <w:r>
              <w:rPr>
                <w:rFonts w:ascii="宋体" w:hAnsi="宋体" w:cs="宋体" w:eastAsia="宋体" w:hint="default"/>
                <w:sz w:val="24"/>
                <w:szCs w:val="24"/>
              </w:rPr>
              <w:t>号确认，自</w:t>
            </w:r>
            <w:r>
              <w:rPr>
                <w:rFonts w:ascii="宋体" w:hAnsi="宋体" w:cs="宋体" w:eastAsia="宋体" w:hint="default"/>
                <w:spacing w:val="-62"/>
                <w:sz w:val="24"/>
                <w:szCs w:val="24"/>
              </w:rPr>
              <w:t> </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年度起享受所得税优惠政策。</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2" w:lineRule="exact"/>
              <w:ind w:left="217" w:right="317"/>
              <w:jc w:val="both"/>
              <w:rPr>
                <w:rFonts w:ascii="宋体" w:hAnsi="宋体" w:cs="宋体" w:eastAsia="宋体" w:hint="default"/>
                <w:sz w:val="24"/>
                <w:szCs w:val="24"/>
              </w:rPr>
            </w:pPr>
            <w:r>
              <w:rPr>
                <w:rFonts w:ascii="Arial" w:hAnsi="Arial" w:cs="Arial" w:eastAsia="Arial" w:hint="default"/>
                <w:spacing w:val="12"/>
                <w:sz w:val="24"/>
                <w:szCs w:val="24"/>
              </w:rPr>
              <w:t>2013</w:t>
            </w:r>
            <w:r>
              <w:rPr>
                <w:rFonts w:ascii="宋体" w:hAnsi="宋体" w:cs="宋体" w:eastAsia="宋体" w:hint="default"/>
                <w:spacing w:val="12"/>
                <w:sz w:val="24"/>
                <w:szCs w:val="24"/>
              </w:rPr>
              <w:t>年</w:t>
            </w:r>
            <w:r>
              <w:rPr>
                <w:rFonts w:ascii="宋体" w:hAnsi="宋体" w:cs="宋体" w:eastAsia="宋体" w:hint="default"/>
                <w:spacing w:val="-83"/>
                <w:sz w:val="24"/>
                <w:szCs w:val="24"/>
              </w:rPr>
              <w:t> </w:t>
            </w:r>
            <w:r>
              <w:rPr>
                <w:rFonts w:ascii="Arial" w:hAnsi="Arial" w:cs="Arial" w:eastAsia="Arial" w:hint="default"/>
                <w:spacing w:val="8"/>
                <w:sz w:val="24"/>
                <w:szCs w:val="24"/>
              </w:rPr>
              <w:t>4</w:t>
            </w:r>
            <w:r>
              <w:rPr>
                <w:rFonts w:ascii="宋体" w:hAnsi="宋体" w:cs="宋体" w:eastAsia="宋体" w:hint="default"/>
                <w:spacing w:val="8"/>
                <w:sz w:val="24"/>
                <w:szCs w:val="24"/>
              </w:rPr>
              <w:t>月</w:t>
            </w:r>
            <w:r>
              <w:rPr>
                <w:rFonts w:ascii="宋体" w:hAnsi="宋体" w:cs="宋体" w:eastAsia="宋体" w:hint="default"/>
                <w:spacing w:val="-83"/>
                <w:sz w:val="24"/>
                <w:szCs w:val="24"/>
              </w:rPr>
              <w:t> </w:t>
            </w:r>
            <w:r>
              <w:rPr>
                <w:rFonts w:ascii="Arial" w:hAnsi="Arial" w:cs="Arial" w:eastAsia="Arial" w:hint="default"/>
                <w:spacing w:val="2"/>
                <w:sz w:val="24"/>
                <w:szCs w:val="24"/>
              </w:rPr>
              <w:t>8</w:t>
            </w:r>
            <w:r>
              <w:rPr>
                <w:rFonts w:ascii="宋体" w:hAnsi="宋体" w:cs="宋体" w:eastAsia="宋体" w:hint="default"/>
                <w:spacing w:val="2"/>
                <w:sz w:val="24"/>
                <w:szCs w:val="24"/>
              </w:rPr>
              <w:t>日，德阳苏宁云商销售有限公司经四川省德阳经济技术开发区</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国家税务局审批同意，公司在</w:t>
            </w:r>
            <w:r>
              <w:rPr>
                <w:rFonts w:ascii="Arial" w:hAnsi="Arial" w:cs="Arial" w:eastAsia="Arial" w:hint="default"/>
                <w:sz w:val="24"/>
                <w:szCs w:val="24"/>
              </w:rPr>
              <w:t>2012</w:t>
            </w:r>
            <w:r>
              <w:rPr>
                <w:rFonts w:ascii="宋体" w:hAnsi="宋体" w:cs="宋体" w:eastAsia="宋体" w:hint="default"/>
                <w:sz w:val="24"/>
                <w:szCs w:val="24"/>
              </w:rPr>
              <w:t>年度享受西部大开发税收优惠。</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217" w:right="322"/>
              <w:jc w:val="both"/>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14</w:t>
            </w:r>
            <w:r>
              <w:rPr>
                <w:rFonts w:ascii="宋体" w:hAnsi="宋体" w:cs="宋体" w:eastAsia="宋体" w:hint="default"/>
                <w:spacing w:val="2"/>
                <w:sz w:val="24"/>
                <w:szCs w:val="24"/>
              </w:rPr>
              <w:t>日，眉山苏宁云商销售有限公司经四川省眉山市东坡区国家税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务局审批同意，公司在</w:t>
            </w:r>
            <w:r>
              <w:rPr>
                <w:rFonts w:ascii="Arial" w:hAnsi="Arial" w:cs="Arial" w:eastAsia="Arial" w:hint="default"/>
                <w:sz w:val="24"/>
                <w:szCs w:val="24"/>
              </w:rPr>
              <w:t>2012</w:t>
            </w:r>
            <w:r>
              <w:rPr>
                <w:rFonts w:ascii="宋体" w:hAnsi="宋体" w:cs="宋体" w:eastAsia="宋体" w:hint="default"/>
                <w:sz w:val="24"/>
                <w:szCs w:val="24"/>
              </w:rPr>
              <w:t>年度享受西部大开发税收优惠。</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25" w:lineRule="auto"/>
              <w:ind w:left="217" w:right="198"/>
              <w:jc w:val="both"/>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14</w:t>
            </w:r>
            <w:r>
              <w:rPr>
                <w:rFonts w:ascii="宋体" w:hAnsi="宋体" w:cs="宋体" w:eastAsia="宋体" w:hint="default"/>
                <w:spacing w:val="2"/>
                <w:sz w:val="24"/>
                <w:szCs w:val="24"/>
              </w:rPr>
              <w:t>日，桂林苏宁云商销售有限公司经桂林市象山区国家税务局象</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w w:val="99"/>
                <w:sz w:val="24"/>
                <w:szCs w:val="24"/>
              </w:rPr>
              <w:t>国税审字</w:t>
            </w:r>
            <w:r>
              <w:rPr>
                <w:rFonts w:ascii="Arial" w:hAnsi="Arial" w:cs="Arial" w:eastAsia="Arial" w:hint="default"/>
                <w:spacing w:val="-3"/>
                <w:w w:val="99"/>
                <w:sz w:val="24"/>
                <w:szCs w:val="24"/>
              </w:rPr>
              <w:t>[2013]1</w:t>
            </w:r>
            <w:r>
              <w:rPr>
                <w:rFonts w:ascii="宋体" w:hAnsi="宋体" w:cs="宋体" w:eastAsia="宋体" w:hint="default"/>
                <w:spacing w:val="-3"/>
                <w:w w:val="99"/>
                <w:sz w:val="24"/>
                <w:szCs w:val="24"/>
              </w:rPr>
              <w:t>号批准，</w:t>
            </w:r>
            <w:r>
              <w:rPr>
                <w:rFonts w:ascii="Arial" w:hAnsi="Arial" w:cs="Arial" w:eastAsia="Arial" w:hint="default"/>
                <w:spacing w:val="-3"/>
                <w:w w:val="99"/>
                <w:sz w:val="24"/>
                <w:szCs w:val="24"/>
              </w:rPr>
              <w:t>2012</w:t>
            </w:r>
            <w:r>
              <w:rPr>
                <w:rFonts w:ascii="宋体" w:hAnsi="宋体" w:cs="宋体" w:eastAsia="宋体" w:hint="default"/>
                <w:spacing w:val="-3"/>
                <w:w w:val="99"/>
                <w:sz w:val="24"/>
                <w:szCs w:val="24"/>
              </w:rPr>
              <w:t>年公司暂按照</w:t>
            </w:r>
            <w:r>
              <w:rPr>
                <w:rFonts w:ascii="Arial" w:hAnsi="Arial" w:cs="Arial" w:eastAsia="Arial" w:hint="default"/>
                <w:spacing w:val="-3"/>
                <w:w w:val="99"/>
                <w:sz w:val="24"/>
                <w:szCs w:val="24"/>
              </w:rPr>
              <w:t>15%</w:t>
            </w:r>
            <w:r>
              <w:rPr>
                <w:rFonts w:ascii="宋体" w:hAnsi="宋体" w:cs="宋体" w:eastAsia="宋体" w:hint="default"/>
                <w:spacing w:val="-3"/>
                <w:w w:val="99"/>
                <w:sz w:val="24"/>
                <w:szCs w:val="24"/>
              </w:rPr>
              <w:t>缴纳企业所得税，《西部地</w:t>
            </w:r>
            <w:r>
              <w:rPr>
                <w:rFonts w:ascii="宋体" w:hAnsi="宋体" w:cs="宋体" w:eastAsia="宋体" w:hint="default"/>
                <w:spacing w:val="-81"/>
                <w:w w:val="99"/>
                <w:sz w:val="24"/>
                <w:szCs w:val="24"/>
              </w:rPr>
              <w:t> </w:t>
            </w:r>
            <w:r>
              <w:rPr>
                <w:rFonts w:ascii="宋体" w:hAnsi="宋体" w:cs="宋体" w:eastAsia="宋体" w:hint="default"/>
                <w:spacing w:val="-81"/>
                <w:w w:val="99"/>
                <w:sz w:val="24"/>
                <w:szCs w:val="24"/>
              </w:rPr>
            </w:r>
            <w:r>
              <w:rPr>
                <w:rFonts w:ascii="宋体" w:hAnsi="宋体" w:cs="宋体" w:eastAsia="宋体" w:hint="default"/>
                <w:spacing w:val="-2"/>
                <w:sz w:val="24"/>
                <w:szCs w:val="24"/>
              </w:rPr>
              <w:t>区鼓励类产业目录》公布后，若不符合条件则按规定使用税率重新计算申报。</w:t>
            </w: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2" w:lineRule="exact"/>
              <w:ind w:left="217" w:right="198"/>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5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日，柳州苏宁云商商贸有限公司经北海市海城区国家税务局 </w:t>
            </w:r>
            <w:r>
              <w:rPr>
                <w:rFonts w:ascii="宋体" w:hAnsi="宋体" w:cs="宋体" w:eastAsia="宋体" w:hint="default"/>
                <w:w w:val="99"/>
                <w:sz w:val="24"/>
                <w:szCs w:val="24"/>
              </w:rPr>
              <w:t>柳市城中国税审字</w:t>
            </w:r>
            <w:r>
              <w:rPr>
                <w:rFonts w:ascii="Arial" w:hAnsi="Arial" w:cs="Arial" w:eastAsia="Arial" w:hint="default"/>
                <w:w w:val="99"/>
                <w:sz w:val="24"/>
                <w:szCs w:val="24"/>
              </w:rPr>
              <w:t>[2012]2 </w:t>
            </w:r>
            <w:r>
              <w:rPr>
                <w:rFonts w:ascii="宋体" w:hAnsi="宋体" w:cs="宋体" w:eastAsia="宋体" w:hint="default"/>
                <w:spacing w:val="-16"/>
                <w:w w:val="99"/>
                <w:sz w:val="24"/>
                <w:szCs w:val="24"/>
              </w:rPr>
              <w:t>号批准，</w:t>
            </w:r>
            <w:r>
              <w:rPr>
                <w:rFonts w:ascii="Arial" w:hAnsi="Arial" w:cs="Arial" w:eastAsia="Arial" w:hint="default"/>
                <w:spacing w:val="-16"/>
                <w:w w:val="99"/>
                <w:sz w:val="24"/>
                <w:szCs w:val="24"/>
              </w:rPr>
              <w:t>2011</w:t>
            </w:r>
            <w:r>
              <w:rPr>
                <w:rFonts w:ascii="Arial" w:hAnsi="Arial" w:cs="Arial" w:eastAsia="Arial" w:hint="default"/>
                <w:w w:val="99"/>
                <w:sz w:val="24"/>
                <w:szCs w:val="24"/>
              </w:rPr>
              <w:t> </w:t>
            </w:r>
            <w:r>
              <w:rPr>
                <w:rFonts w:ascii="宋体" w:hAnsi="宋体" w:cs="宋体" w:eastAsia="宋体" w:hint="default"/>
                <w:sz w:val="24"/>
                <w:szCs w:val="24"/>
              </w:rPr>
              <w:t>年公司暂按照</w:t>
            </w:r>
            <w:r>
              <w:rPr>
                <w:rFonts w:ascii="宋体" w:hAnsi="宋体" w:cs="宋体" w:eastAsia="宋体" w:hint="default"/>
                <w:spacing w:val="-63"/>
                <w:sz w:val="24"/>
                <w:szCs w:val="24"/>
              </w:rPr>
              <w:t> </w:t>
            </w:r>
            <w:r>
              <w:rPr>
                <w:rFonts w:ascii="Arial" w:hAnsi="Arial" w:cs="Arial" w:eastAsia="Arial" w:hint="default"/>
                <w:spacing w:val="-1"/>
                <w:w w:val="99"/>
                <w:sz w:val="24"/>
                <w:szCs w:val="24"/>
              </w:rPr>
              <w:t>15%</w:t>
            </w:r>
            <w:r>
              <w:rPr>
                <w:rFonts w:ascii="宋体" w:hAnsi="宋体" w:cs="宋体" w:eastAsia="宋体" w:hint="default"/>
                <w:spacing w:val="-1"/>
                <w:w w:val="99"/>
                <w:sz w:val="24"/>
                <w:szCs w:val="24"/>
              </w:rPr>
              <w:t>缴纳企业所得税，</w:t>
            </w:r>
          </w:p>
          <w:p>
            <w:pPr>
              <w:pStyle w:val="TableParagraph"/>
              <w:spacing w:line="310" w:lineRule="exact" w:before="1"/>
              <w:ind w:left="217" w:right="326"/>
              <w:jc w:val="both"/>
              <w:rPr>
                <w:rFonts w:ascii="宋体" w:hAnsi="宋体" w:cs="宋体" w:eastAsia="宋体" w:hint="default"/>
                <w:sz w:val="24"/>
                <w:szCs w:val="24"/>
              </w:rPr>
            </w:pPr>
            <w:r>
              <w:rPr>
                <w:rFonts w:ascii="宋体" w:hAnsi="宋体" w:cs="宋体" w:eastAsia="宋体" w:hint="default"/>
                <w:sz w:val="24"/>
                <w:szCs w:val="24"/>
              </w:rPr>
              <w:t>《西部地区鼓励类产业目录》公布后，若不符合条件则按规定使用税率重新</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计算申报。</w:t>
            </w:r>
          </w:p>
        </w:tc>
      </w:tr>
    </w:tbl>
    <w:p>
      <w:pPr>
        <w:spacing w:after="0" w:line="310"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528"/>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528"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(2)</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(a)</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0709" w:hRule="exact"/>
        </w:trPr>
        <w:tc>
          <w:tcPr>
            <w:tcW w:w="711" w:type="dxa"/>
            <w:tcBorders>
              <w:top w:val="nil" w:sz="6" w:space="0" w:color="auto"/>
              <w:left w:val="nil" w:sz="6" w:space="0" w:color="auto"/>
              <w:bottom w:val="nil" w:sz="6" w:space="0" w:color="auto"/>
              <w:right w:val="nil" w:sz="6" w:space="0" w:color="auto"/>
            </w:tcBorders>
          </w:tcPr>
          <w:p>
            <w:pPr/>
          </w:p>
        </w:tc>
        <w:tc>
          <w:tcPr>
            <w:tcW w:w="8528" w:type="dxa"/>
            <w:tcBorders>
              <w:top w:val="nil" w:sz="6" w:space="0" w:color="auto"/>
              <w:left w:val="nil" w:sz="6" w:space="0" w:color="auto"/>
              <w:bottom w:val="nil" w:sz="6" w:space="0" w:color="auto"/>
              <w:right w:val="nil" w:sz="6" w:space="0" w:color="auto"/>
            </w:tcBorders>
          </w:tcPr>
          <w:p>
            <w:pPr>
              <w:pStyle w:val="TableParagraph"/>
              <w:spacing w:line="225" w:lineRule="auto" w:before="110"/>
              <w:ind w:left="217" w:right="198"/>
              <w:jc w:val="left"/>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29</w:t>
            </w:r>
            <w:r>
              <w:rPr>
                <w:rFonts w:ascii="宋体" w:hAnsi="宋体" w:cs="宋体" w:eastAsia="宋体" w:hint="default"/>
                <w:spacing w:val="2"/>
                <w:sz w:val="24"/>
                <w:szCs w:val="24"/>
              </w:rPr>
              <w:t>日，贵港苏宁云商销售有限公司经贵港市港北区国家税务局港</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5"/>
                <w:sz w:val="24"/>
                <w:szCs w:val="24"/>
              </w:rPr>
              <w:t>北国税审字</w:t>
            </w:r>
            <w:r>
              <w:rPr>
                <w:rFonts w:ascii="Arial" w:hAnsi="Arial" w:cs="Arial" w:eastAsia="Arial" w:hint="default"/>
                <w:spacing w:val="-5"/>
                <w:sz w:val="24"/>
                <w:szCs w:val="24"/>
              </w:rPr>
              <w:t>[2013]3</w:t>
            </w:r>
            <w:r>
              <w:rPr>
                <w:rFonts w:ascii="宋体" w:hAnsi="宋体" w:cs="宋体" w:eastAsia="宋体" w:hint="default"/>
                <w:spacing w:val="-5"/>
                <w:sz w:val="24"/>
                <w:szCs w:val="24"/>
              </w:rPr>
              <w:t>号批准，</w:t>
            </w:r>
            <w:r>
              <w:rPr>
                <w:rFonts w:ascii="Arial" w:hAnsi="Arial" w:cs="Arial" w:eastAsia="Arial" w:hint="default"/>
                <w:spacing w:val="-5"/>
                <w:sz w:val="24"/>
                <w:szCs w:val="24"/>
              </w:rPr>
              <w:t>2012</w:t>
            </w:r>
            <w:r>
              <w:rPr>
                <w:rFonts w:ascii="宋体" w:hAnsi="宋体" w:cs="宋体" w:eastAsia="宋体" w:hint="default"/>
                <w:spacing w:val="-5"/>
                <w:sz w:val="24"/>
                <w:szCs w:val="24"/>
              </w:rPr>
              <w:t>年该公司暂按照</w:t>
            </w:r>
            <w:r>
              <w:rPr>
                <w:rFonts w:ascii="Arial" w:hAnsi="Arial" w:cs="Arial" w:eastAsia="Arial" w:hint="default"/>
                <w:spacing w:val="-5"/>
                <w:sz w:val="24"/>
                <w:szCs w:val="24"/>
              </w:rPr>
              <w:t>15%</w:t>
            </w:r>
            <w:r>
              <w:rPr>
                <w:rFonts w:ascii="宋体" w:hAnsi="宋体" w:cs="宋体" w:eastAsia="宋体" w:hint="default"/>
                <w:spacing w:val="-5"/>
                <w:sz w:val="24"/>
                <w:szCs w:val="24"/>
              </w:rPr>
              <w:t>缴纳企业所得税。同时，</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Arial" w:hAnsi="Arial" w:cs="Arial" w:eastAsia="Arial" w:hint="default"/>
                <w:sz w:val="24"/>
                <w:szCs w:val="24"/>
              </w:rPr>
              <w:t>2015</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30</w:t>
            </w:r>
            <w:r>
              <w:rPr>
                <w:rFonts w:ascii="宋体" w:hAnsi="宋体" w:cs="宋体" w:eastAsia="宋体" w:hint="default"/>
                <w:sz w:val="24"/>
                <w:szCs w:val="24"/>
              </w:rPr>
              <w:t>日，经贵港市改革和发展委员会贵发改经贸函</w:t>
            </w:r>
            <w:r>
              <w:rPr>
                <w:rFonts w:ascii="Arial" w:hAnsi="Arial" w:cs="Arial" w:eastAsia="Arial" w:hint="default"/>
                <w:sz w:val="24"/>
                <w:szCs w:val="24"/>
              </w:rPr>
              <w:t>[2015]61</w:t>
            </w:r>
            <w:r>
              <w:rPr>
                <w:rFonts w:ascii="宋体" w:hAnsi="宋体" w:cs="宋体" w:eastAsia="宋体" w:hint="default"/>
                <w:sz w:val="24"/>
                <w:szCs w:val="24"/>
              </w:rPr>
              <w:t>号文确 认贵港苏宁云商销售有限公司属于国家鼓励类产业项目。</w:t>
            </w: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auto"/>
              <w:ind w:left="217" w:right="318"/>
              <w:jc w:val="both"/>
              <w:rPr>
                <w:rFonts w:ascii="宋体" w:hAnsi="宋体" w:cs="宋体" w:eastAsia="宋体" w:hint="default"/>
                <w:sz w:val="24"/>
                <w:szCs w:val="24"/>
              </w:rPr>
            </w:pPr>
            <w:r>
              <w:rPr>
                <w:rFonts w:ascii="宋体" w:hAnsi="宋体" w:cs="宋体" w:eastAsia="宋体" w:hint="default"/>
                <w:sz w:val="24"/>
                <w:szCs w:val="24"/>
              </w:rPr>
              <w:t>延安苏宁云商销售有限公司获得了由山西省发展和改革委员会出具的陕发改</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3"/>
                <w:sz w:val="24"/>
                <w:szCs w:val="24"/>
              </w:rPr>
              <w:t>产业确认函</w:t>
            </w:r>
            <w:r>
              <w:rPr>
                <w:rFonts w:ascii="Arial" w:hAnsi="Arial" w:cs="Arial" w:eastAsia="Arial" w:hint="default"/>
                <w:spacing w:val="3"/>
                <w:sz w:val="24"/>
                <w:szCs w:val="24"/>
              </w:rPr>
              <w:t>[2012]004</w:t>
            </w:r>
            <w:r>
              <w:rPr>
                <w:rFonts w:ascii="宋体" w:hAnsi="宋体" w:cs="宋体" w:eastAsia="宋体" w:hint="default"/>
                <w:spacing w:val="3"/>
                <w:sz w:val="24"/>
                <w:szCs w:val="24"/>
              </w:rPr>
              <w:t>号文，确认其符合国家鼓励类产业政策。同时，</w:t>
            </w:r>
            <w:r>
              <w:rPr>
                <w:rFonts w:ascii="Arial" w:hAnsi="Arial" w:cs="Arial" w:eastAsia="Arial" w:hint="default"/>
                <w:spacing w:val="3"/>
                <w:sz w:val="24"/>
                <w:szCs w:val="24"/>
              </w:rPr>
              <w:t>2013</w:t>
            </w:r>
            <w:r>
              <w:rPr>
                <w:rFonts w:ascii="Arial" w:hAnsi="Arial" w:cs="Arial" w:eastAsia="Arial" w:hint="default"/>
                <w:spacing w:val="-56"/>
                <w:sz w:val="24"/>
                <w:szCs w:val="24"/>
              </w:rPr>
              <w:t> </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13</w:t>
            </w:r>
            <w:r>
              <w:rPr>
                <w:rFonts w:ascii="宋体" w:hAnsi="宋体" w:cs="宋体" w:eastAsia="宋体" w:hint="default"/>
                <w:spacing w:val="2"/>
                <w:sz w:val="24"/>
                <w:szCs w:val="24"/>
              </w:rPr>
              <w:t>日，该公司经主管税务当局确认，批准自</w:t>
            </w:r>
            <w:r>
              <w:rPr>
                <w:rFonts w:ascii="Arial" w:hAnsi="Arial" w:cs="Arial" w:eastAsia="Arial" w:hint="default"/>
                <w:spacing w:val="2"/>
                <w:sz w:val="24"/>
                <w:szCs w:val="24"/>
              </w:rPr>
              <w:t>2012</w:t>
            </w:r>
            <w:r>
              <w:rPr>
                <w:rFonts w:ascii="宋体" w:hAnsi="宋体" w:cs="宋体" w:eastAsia="宋体" w:hint="default"/>
                <w:spacing w:val="2"/>
                <w:sz w:val="24"/>
                <w:szCs w:val="24"/>
              </w:rPr>
              <w:t>年起公司按照</w:t>
            </w:r>
            <w:r>
              <w:rPr>
                <w:rFonts w:ascii="Arial" w:hAnsi="Arial" w:cs="Arial" w:eastAsia="Arial" w:hint="default"/>
                <w:spacing w:val="2"/>
                <w:sz w:val="24"/>
                <w:szCs w:val="24"/>
              </w:rPr>
              <w:t>15%</w:t>
            </w:r>
            <w:r>
              <w:rPr>
                <w:rFonts w:ascii="宋体" w:hAnsi="宋体" w:cs="宋体" w:eastAsia="宋体" w:hint="default"/>
                <w:spacing w:val="2"/>
                <w:sz w:val="24"/>
                <w:szCs w:val="24"/>
              </w:rPr>
              <w:t>的</w:t>
            </w:r>
            <w:r>
              <w:rPr>
                <w:rFonts w:ascii="宋体" w:hAnsi="宋体" w:cs="宋体" w:eastAsia="宋体" w:hint="default"/>
                <w:spacing w:val="-113"/>
                <w:sz w:val="24"/>
                <w:szCs w:val="24"/>
              </w:rPr>
              <w:t> </w:t>
            </w:r>
            <w:r>
              <w:rPr>
                <w:rFonts w:ascii="宋体" w:hAnsi="宋体" w:cs="宋体" w:eastAsia="宋体" w:hint="default"/>
                <w:sz w:val="24"/>
                <w:szCs w:val="24"/>
              </w:rPr>
              <w:t>优惠税率缴纳企业所得税。</w:t>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25" w:lineRule="auto"/>
              <w:ind w:left="217" w:right="318"/>
              <w:jc w:val="both"/>
              <w:rPr>
                <w:rFonts w:ascii="宋体" w:hAnsi="宋体" w:cs="宋体" w:eastAsia="宋体" w:hint="default"/>
                <w:sz w:val="24"/>
                <w:szCs w:val="24"/>
              </w:rPr>
            </w:pPr>
            <w:r>
              <w:rPr>
                <w:rFonts w:ascii="Arial" w:hAnsi="Arial" w:cs="Arial" w:eastAsia="Arial" w:hint="default"/>
                <w:spacing w:val="-1"/>
                <w:sz w:val="24"/>
                <w:szCs w:val="24"/>
              </w:rPr>
              <w:t>2013</w:t>
            </w:r>
            <w:r>
              <w:rPr>
                <w:rFonts w:ascii="宋体" w:hAnsi="宋体" w:cs="宋体" w:eastAsia="宋体" w:hint="default"/>
                <w:spacing w:val="-1"/>
                <w:sz w:val="24"/>
                <w:szCs w:val="24"/>
              </w:rPr>
              <w:t>年</w:t>
            </w:r>
            <w:r>
              <w:rPr>
                <w:rFonts w:ascii="Arial" w:hAnsi="Arial" w:cs="Arial" w:eastAsia="Arial" w:hint="default"/>
                <w:spacing w:val="-1"/>
                <w:sz w:val="24"/>
                <w:szCs w:val="24"/>
              </w:rPr>
              <w:t>5</w:t>
            </w:r>
            <w:r>
              <w:rPr>
                <w:rFonts w:ascii="宋体" w:hAnsi="宋体" w:cs="宋体" w:eastAsia="宋体" w:hint="default"/>
                <w:spacing w:val="-1"/>
                <w:sz w:val="24"/>
                <w:szCs w:val="24"/>
              </w:rPr>
              <w:t>月</w:t>
            </w:r>
            <w:r>
              <w:rPr>
                <w:rFonts w:ascii="Arial" w:hAnsi="Arial" w:cs="Arial" w:eastAsia="Arial" w:hint="default"/>
                <w:spacing w:val="-1"/>
                <w:sz w:val="24"/>
                <w:szCs w:val="24"/>
              </w:rPr>
              <w:t>6</w:t>
            </w:r>
            <w:r>
              <w:rPr>
                <w:rFonts w:ascii="宋体" w:hAnsi="宋体" w:cs="宋体" w:eastAsia="宋体" w:hint="default"/>
                <w:spacing w:val="-1"/>
                <w:sz w:val="24"/>
                <w:szCs w:val="24"/>
              </w:rPr>
              <w:t>日，攀枝花苏宁云商销售有限公司取得攀枝花市东区国家税务局</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2"/>
                <w:sz w:val="24"/>
                <w:szCs w:val="24"/>
              </w:rPr>
              <w:t>税务事项受理通知书攀东国税通</w:t>
            </w:r>
            <w:r>
              <w:rPr>
                <w:rFonts w:ascii="Arial" w:hAnsi="Arial" w:cs="Arial" w:eastAsia="Arial" w:hint="default"/>
                <w:spacing w:val="2"/>
                <w:sz w:val="24"/>
                <w:szCs w:val="24"/>
              </w:rPr>
              <w:t>[2013]04</w:t>
            </w:r>
            <w:r>
              <w:rPr>
                <w:rFonts w:ascii="宋体" w:hAnsi="宋体" w:cs="宋体" w:eastAsia="宋体" w:hint="default"/>
                <w:spacing w:val="2"/>
                <w:sz w:val="24"/>
                <w:szCs w:val="24"/>
              </w:rPr>
              <w:t>号，准予受理申请西部大开发税收</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优惠事项。</w:t>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0" w:lineRule="auto"/>
              <w:ind w:left="217" w:right="319"/>
              <w:jc w:val="both"/>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6</w:t>
            </w:r>
            <w:r>
              <w:rPr>
                <w:rFonts w:ascii="宋体" w:hAnsi="宋体" w:cs="宋体" w:eastAsia="宋体" w:hint="default"/>
                <w:spacing w:val="2"/>
                <w:sz w:val="24"/>
                <w:szCs w:val="24"/>
              </w:rPr>
              <w:t>月</w:t>
            </w:r>
            <w:r>
              <w:rPr>
                <w:rFonts w:ascii="Arial" w:hAnsi="Arial" w:cs="Arial" w:eastAsia="Arial" w:hint="default"/>
                <w:spacing w:val="2"/>
                <w:sz w:val="24"/>
                <w:szCs w:val="24"/>
              </w:rPr>
              <w:t>16</w:t>
            </w:r>
            <w:r>
              <w:rPr>
                <w:rFonts w:ascii="宋体" w:hAnsi="宋体" w:cs="宋体" w:eastAsia="宋体" w:hint="default"/>
                <w:spacing w:val="2"/>
                <w:sz w:val="24"/>
                <w:szCs w:val="24"/>
              </w:rPr>
              <w:t>日，广西苏宁云商销售有限公司经南宁市西乡塘区国家税务局</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5"/>
                <w:w w:val="99"/>
                <w:sz w:val="24"/>
                <w:szCs w:val="24"/>
              </w:rPr>
              <w:t>南西国税审字</w:t>
            </w:r>
            <w:r>
              <w:rPr>
                <w:rFonts w:ascii="Arial" w:hAnsi="Arial" w:cs="Arial" w:eastAsia="Arial" w:hint="default"/>
                <w:spacing w:val="-5"/>
                <w:w w:val="99"/>
                <w:sz w:val="24"/>
                <w:szCs w:val="24"/>
              </w:rPr>
              <w:t>[2013]62</w:t>
            </w:r>
            <w:r>
              <w:rPr>
                <w:rFonts w:ascii="宋体" w:hAnsi="宋体" w:cs="宋体" w:eastAsia="宋体" w:hint="default"/>
                <w:spacing w:val="-5"/>
                <w:w w:val="99"/>
                <w:sz w:val="24"/>
                <w:szCs w:val="24"/>
              </w:rPr>
              <w:t>号批准，</w:t>
            </w:r>
            <w:r>
              <w:rPr>
                <w:rFonts w:ascii="Arial" w:hAnsi="Arial" w:cs="Arial" w:eastAsia="Arial" w:hint="default"/>
                <w:spacing w:val="-5"/>
                <w:w w:val="99"/>
                <w:sz w:val="24"/>
                <w:szCs w:val="24"/>
              </w:rPr>
              <w:t>2012</w:t>
            </w:r>
            <w:r>
              <w:rPr>
                <w:rFonts w:ascii="宋体" w:hAnsi="宋体" w:cs="宋体" w:eastAsia="宋体" w:hint="default"/>
                <w:spacing w:val="-5"/>
                <w:w w:val="99"/>
                <w:sz w:val="24"/>
                <w:szCs w:val="24"/>
              </w:rPr>
              <w:t>年公司暂按照</w:t>
            </w:r>
            <w:r>
              <w:rPr>
                <w:rFonts w:ascii="Arial" w:hAnsi="Arial" w:cs="Arial" w:eastAsia="Arial" w:hint="default"/>
                <w:spacing w:val="-5"/>
                <w:w w:val="99"/>
                <w:sz w:val="24"/>
                <w:szCs w:val="24"/>
              </w:rPr>
              <w:t>15%</w:t>
            </w:r>
            <w:r>
              <w:rPr>
                <w:rFonts w:ascii="宋体" w:hAnsi="宋体" w:cs="宋体" w:eastAsia="宋体" w:hint="default"/>
                <w:spacing w:val="-5"/>
                <w:w w:val="99"/>
                <w:sz w:val="24"/>
                <w:szCs w:val="24"/>
              </w:rPr>
              <w:t>缴纳企业所得税，《西</w:t>
            </w:r>
            <w:r>
              <w:rPr>
                <w:rFonts w:ascii="宋体" w:hAnsi="宋体" w:cs="宋体" w:eastAsia="宋体" w:hint="default"/>
                <w:sz w:val="24"/>
                <w:szCs w:val="24"/>
              </w:rPr>
              <w:t> 部地区鼓励类产业目录》公布后，若不符合条件则按规定使用税率重新计算</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申报。</w:t>
            </w: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0" w:lineRule="exact"/>
              <w:ind w:left="217" w:right="319"/>
              <w:jc w:val="both"/>
              <w:rPr>
                <w:rFonts w:ascii="宋体" w:hAnsi="宋体" w:cs="宋体" w:eastAsia="宋体" w:hint="default"/>
                <w:sz w:val="24"/>
                <w:szCs w:val="24"/>
              </w:rPr>
            </w:pPr>
            <w:r>
              <w:rPr>
                <w:rFonts w:ascii="Arial" w:hAnsi="Arial" w:cs="Arial" w:eastAsia="Arial" w:hint="default"/>
                <w:spacing w:val="-1"/>
                <w:sz w:val="24"/>
                <w:szCs w:val="24"/>
              </w:rPr>
              <w:t>2012</w:t>
            </w:r>
            <w:r>
              <w:rPr>
                <w:rFonts w:ascii="宋体" w:hAnsi="宋体" w:cs="宋体" w:eastAsia="宋体" w:hint="default"/>
                <w:spacing w:val="-1"/>
                <w:sz w:val="24"/>
                <w:szCs w:val="24"/>
              </w:rPr>
              <w:t>年</w:t>
            </w:r>
            <w:r>
              <w:rPr>
                <w:rFonts w:ascii="Arial" w:hAnsi="Arial" w:cs="Arial" w:eastAsia="Arial" w:hint="default"/>
                <w:spacing w:val="-1"/>
                <w:sz w:val="24"/>
                <w:szCs w:val="24"/>
              </w:rPr>
              <w:t>7</w:t>
            </w:r>
            <w:r>
              <w:rPr>
                <w:rFonts w:ascii="宋体" w:hAnsi="宋体" w:cs="宋体" w:eastAsia="宋体" w:hint="default"/>
                <w:spacing w:val="-1"/>
                <w:sz w:val="24"/>
                <w:szCs w:val="24"/>
              </w:rPr>
              <w:t>月</w:t>
            </w:r>
            <w:r>
              <w:rPr>
                <w:rFonts w:ascii="Arial" w:hAnsi="Arial" w:cs="Arial" w:eastAsia="Arial" w:hint="default"/>
                <w:spacing w:val="-1"/>
                <w:sz w:val="24"/>
                <w:szCs w:val="24"/>
              </w:rPr>
              <w:t>11</w:t>
            </w:r>
            <w:r>
              <w:rPr>
                <w:rFonts w:ascii="宋体" w:hAnsi="宋体" w:cs="宋体" w:eastAsia="宋体" w:hint="default"/>
                <w:spacing w:val="-1"/>
                <w:sz w:val="24"/>
                <w:szCs w:val="24"/>
              </w:rPr>
              <w:t>日，经四川省经济和信息化委员会川经信产业函</w:t>
            </w:r>
            <w:r>
              <w:rPr>
                <w:rFonts w:ascii="Arial" w:hAnsi="Arial" w:cs="Arial" w:eastAsia="Arial" w:hint="default"/>
                <w:spacing w:val="-1"/>
                <w:sz w:val="24"/>
                <w:szCs w:val="24"/>
              </w:rPr>
              <w:t>[2012]881</w:t>
            </w:r>
            <w:r>
              <w:rPr>
                <w:rFonts w:ascii="宋体" w:hAnsi="宋体" w:cs="宋体" w:eastAsia="宋体" w:hint="default"/>
                <w:spacing w:val="-1"/>
                <w:sz w:val="24"/>
                <w:szCs w:val="24"/>
              </w:rPr>
              <w:t>号文</w:t>
            </w:r>
            <w:r>
              <w:rPr>
                <w:rFonts w:ascii="宋体" w:hAnsi="宋体" w:cs="宋体" w:eastAsia="宋体" w:hint="default"/>
                <w:spacing w:val="-102"/>
                <w:sz w:val="24"/>
                <w:szCs w:val="24"/>
              </w:rPr>
              <w:t> </w:t>
            </w:r>
            <w:r>
              <w:rPr>
                <w:rFonts w:ascii="宋体" w:hAnsi="宋体" w:cs="宋体" w:eastAsia="宋体" w:hint="default"/>
                <w:sz w:val="24"/>
                <w:szCs w:val="24"/>
              </w:rPr>
              <w:t>确认四川苏宁云商销售有限公司属于国家鼓励类产业项目。</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2" w:lineRule="exact"/>
              <w:ind w:left="217" w:right="318"/>
              <w:jc w:val="both"/>
              <w:rPr>
                <w:rFonts w:ascii="宋体" w:hAnsi="宋体" w:cs="宋体" w:eastAsia="宋体" w:hint="default"/>
                <w:sz w:val="24"/>
                <w:szCs w:val="24"/>
              </w:rPr>
            </w:pPr>
            <w:r>
              <w:rPr>
                <w:rFonts w:ascii="Arial" w:hAnsi="Arial" w:cs="Arial" w:eastAsia="Arial" w:hint="default"/>
                <w:spacing w:val="-4"/>
                <w:w w:val="99"/>
                <w:sz w:val="24"/>
                <w:szCs w:val="24"/>
              </w:rPr>
              <w:t>2012</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7</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5</w:t>
            </w:r>
            <w:r>
              <w:rPr>
                <w:rFonts w:ascii="宋体" w:hAnsi="宋体" w:cs="宋体" w:eastAsia="宋体" w:hint="default"/>
                <w:spacing w:val="-4"/>
                <w:w w:val="99"/>
                <w:sz w:val="24"/>
                <w:szCs w:val="24"/>
              </w:rPr>
              <w:t>日，经四川省经济和信息化委员会川经信产业函</w:t>
            </w:r>
            <w:r>
              <w:rPr>
                <w:rFonts w:ascii="Arial" w:hAnsi="Arial" w:cs="Arial" w:eastAsia="Arial" w:hint="default"/>
                <w:spacing w:val="-4"/>
                <w:w w:val="99"/>
                <w:sz w:val="24"/>
                <w:szCs w:val="24"/>
              </w:rPr>
              <w:t>[2012]843</w:t>
            </w:r>
            <w:r>
              <w:rPr>
                <w:rFonts w:ascii="宋体" w:hAnsi="宋体" w:cs="宋体" w:eastAsia="宋体" w:hint="default"/>
                <w:spacing w:val="-4"/>
                <w:w w:val="99"/>
                <w:sz w:val="24"/>
                <w:szCs w:val="24"/>
              </w:rPr>
              <w:t>号确认</w:t>
            </w:r>
            <w:r>
              <w:rPr>
                <w:rFonts w:ascii="宋体" w:hAnsi="宋体" w:cs="宋体" w:eastAsia="宋体" w:hint="default"/>
                <w:spacing w:val="-80"/>
                <w:w w:val="99"/>
                <w:sz w:val="24"/>
                <w:szCs w:val="24"/>
              </w:rPr>
              <w:t> </w:t>
            </w:r>
            <w:r>
              <w:rPr>
                <w:rFonts w:ascii="宋体" w:hAnsi="宋体" w:cs="宋体" w:eastAsia="宋体" w:hint="default"/>
                <w:sz w:val="24"/>
                <w:szCs w:val="24"/>
              </w:rPr>
              <w:t>绵阳苏宁云商销售有限公司属于国家鼓励类产业项目。</w:t>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32" w:lineRule="auto"/>
              <w:ind w:left="217" w:right="318"/>
              <w:jc w:val="both"/>
              <w:rPr>
                <w:rFonts w:ascii="宋体" w:hAnsi="宋体" w:cs="宋体" w:eastAsia="宋体" w:hint="default"/>
                <w:sz w:val="24"/>
                <w:szCs w:val="24"/>
              </w:rPr>
            </w:pPr>
            <w:r>
              <w:rPr>
                <w:rFonts w:ascii="Arial" w:hAnsi="Arial" w:cs="Arial" w:eastAsia="Arial" w:hint="default"/>
                <w:sz w:val="24"/>
                <w:szCs w:val="24"/>
              </w:rPr>
              <w:t>2012</w:t>
            </w:r>
            <w:r>
              <w:rPr>
                <w:rFonts w:ascii="宋体" w:hAnsi="宋体" w:cs="宋体" w:eastAsia="宋体" w:hint="default"/>
                <w:sz w:val="24"/>
                <w:szCs w:val="24"/>
              </w:rPr>
              <w:t>年</w:t>
            </w:r>
            <w:r>
              <w:rPr>
                <w:rFonts w:ascii="Arial" w:hAnsi="Arial" w:cs="Arial" w:eastAsia="Arial" w:hint="default"/>
                <w:sz w:val="24"/>
                <w:szCs w:val="24"/>
              </w:rPr>
              <w:t>8</w:t>
            </w:r>
            <w:r>
              <w:rPr>
                <w:rFonts w:ascii="宋体" w:hAnsi="宋体" w:cs="宋体" w:eastAsia="宋体" w:hint="default"/>
                <w:sz w:val="24"/>
                <w:szCs w:val="24"/>
              </w:rPr>
              <w:t>月</w:t>
            </w:r>
            <w:r>
              <w:rPr>
                <w:rFonts w:ascii="Arial" w:hAnsi="Arial" w:cs="Arial" w:eastAsia="Arial" w:hint="default"/>
                <w:sz w:val="24"/>
                <w:szCs w:val="24"/>
              </w:rPr>
              <w:t>16</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[2012]1027</w:t>
            </w:r>
            <w:r>
              <w:rPr>
                <w:rFonts w:ascii="宋体" w:hAnsi="宋体" w:cs="宋体" w:eastAsia="宋体" w:hint="default"/>
                <w:sz w:val="24"/>
                <w:szCs w:val="24"/>
              </w:rPr>
              <w:t>号</w:t>
            </w:r>
            <w:r>
              <w:rPr>
                <w:rFonts w:ascii="宋体" w:hAnsi="宋体" w:cs="宋体" w:eastAsia="宋体" w:hint="default"/>
                <w:spacing w:val="-44"/>
                <w:sz w:val="24"/>
                <w:szCs w:val="24"/>
              </w:rPr>
              <w:t> </w:t>
            </w:r>
            <w:r>
              <w:rPr>
                <w:rFonts w:ascii="宋体" w:hAnsi="宋体" w:cs="宋体" w:eastAsia="宋体" w:hint="default"/>
                <w:sz w:val="24"/>
                <w:szCs w:val="24"/>
              </w:rPr>
              <w:t>文确认南充苏宁云商销售有限公司、遂宁苏宁云商销售有限公司属于国家鼓</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励类产业项目。</w:t>
            </w: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2" w:lineRule="auto"/>
              <w:ind w:left="217" w:right="318"/>
              <w:jc w:val="both"/>
              <w:rPr>
                <w:rFonts w:ascii="宋体" w:hAnsi="宋体" w:cs="宋体" w:eastAsia="宋体" w:hint="default"/>
                <w:sz w:val="24"/>
                <w:szCs w:val="24"/>
              </w:rPr>
            </w:pPr>
            <w:r>
              <w:rPr>
                <w:rFonts w:ascii="Arial" w:hAnsi="Arial" w:cs="Arial" w:eastAsia="Arial" w:hint="default"/>
                <w:sz w:val="24"/>
                <w:szCs w:val="24"/>
              </w:rPr>
              <w:t>2012</w:t>
            </w:r>
            <w:r>
              <w:rPr>
                <w:rFonts w:ascii="宋体" w:hAnsi="宋体" w:cs="宋体" w:eastAsia="宋体" w:hint="default"/>
                <w:sz w:val="24"/>
                <w:szCs w:val="24"/>
              </w:rPr>
              <w:t>年</w:t>
            </w:r>
            <w:r>
              <w:rPr>
                <w:rFonts w:ascii="Arial" w:hAnsi="Arial" w:cs="Arial" w:eastAsia="Arial" w:hint="default"/>
                <w:sz w:val="24"/>
                <w:szCs w:val="24"/>
              </w:rPr>
              <w:t>8</w:t>
            </w:r>
            <w:r>
              <w:rPr>
                <w:rFonts w:ascii="宋体" w:hAnsi="宋体" w:cs="宋体" w:eastAsia="宋体" w:hint="default"/>
                <w:sz w:val="24"/>
                <w:szCs w:val="24"/>
              </w:rPr>
              <w:t>月</w:t>
            </w:r>
            <w:r>
              <w:rPr>
                <w:rFonts w:ascii="Arial" w:hAnsi="Arial" w:cs="Arial" w:eastAsia="Arial" w:hint="default"/>
                <w:sz w:val="24"/>
                <w:szCs w:val="24"/>
              </w:rPr>
              <w:t>16</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[2012]1026</w:t>
            </w:r>
            <w:r>
              <w:rPr>
                <w:rFonts w:ascii="宋体" w:hAnsi="宋体" w:cs="宋体" w:eastAsia="宋体" w:hint="default"/>
                <w:sz w:val="24"/>
                <w:szCs w:val="24"/>
              </w:rPr>
              <w:t>号</w:t>
            </w:r>
            <w:r>
              <w:rPr>
                <w:rFonts w:ascii="宋体" w:hAnsi="宋体" w:cs="宋体" w:eastAsia="宋体" w:hint="default"/>
                <w:spacing w:val="-44"/>
                <w:sz w:val="24"/>
                <w:szCs w:val="24"/>
              </w:rPr>
              <w:t> </w:t>
            </w:r>
            <w:r>
              <w:rPr>
                <w:rFonts w:ascii="宋体" w:hAnsi="宋体" w:cs="宋体" w:eastAsia="宋体" w:hint="default"/>
                <w:sz w:val="24"/>
                <w:szCs w:val="24"/>
              </w:rPr>
              <w:t>确认广安苏宁云商销售有限公司、广元苏宁云商销售有限公司属于国家鼓励</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类产业项目。</w:t>
            </w: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2" w:lineRule="exact"/>
              <w:ind w:left="217" w:right="319"/>
              <w:jc w:val="both"/>
              <w:rPr>
                <w:rFonts w:ascii="宋体" w:hAnsi="宋体" w:cs="宋体" w:eastAsia="宋体" w:hint="default"/>
                <w:sz w:val="24"/>
                <w:szCs w:val="24"/>
              </w:rPr>
            </w:pPr>
            <w:r>
              <w:rPr>
                <w:rFonts w:ascii="Arial" w:hAnsi="Arial" w:cs="Arial" w:eastAsia="Arial" w:hint="default"/>
                <w:sz w:val="24"/>
                <w:szCs w:val="24"/>
              </w:rPr>
              <w:t>2013</w:t>
            </w:r>
            <w:r>
              <w:rPr>
                <w:rFonts w:ascii="宋体" w:hAnsi="宋体" w:cs="宋体" w:eastAsia="宋体" w:hint="default"/>
                <w:sz w:val="24"/>
                <w:szCs w:val="24"/>
              </w:rPr>
              <w:t>年</w:t>
            </w:r>
            <w:r>
              <w:rPr>
                <w:rFonts w:ascii="Arial" w:hAnsi="Arial" w:cs="Arial" w:eastAsia="Arial" w:hint="default"/>
                <w:sz w:val="24"/>
                <w:szCs w:val="24"/>
              </w:rPr>
              <w:t>1</w:t>
            </w:r>
            <w:r>
              <w:rPr>
                <w:rFonts w:ascii="宋体" w:hAnsi="宋体" w:cs="宋体" w:eastAsia="宋体" w:hint="default"/>
                <w:sz w:val="24"/>
                <w:szCs w:val="24"/>
              </w:rPr>
              <w:t>月</w:t>
            </w:r>
            <w:r>
              <w:rPr>
                <w:rFonts w:ascii="Arial" w:hAnsi="Arial" w:cs="Arial" w:eastAsia="Arial" w:hint="default"/>
                <w:sz w:val="24"/>
                <w:szCs w:val="24"/>
              </w:rPr>
              <w:t>16</w:t>
            </w:r>
            <w:r>
              <w:rPr>
                <w:rFonts w:ascii="宋体" w:hAnsi="宋体" w:cs="宋体" w:eastAsia="宋体" w:hint="default"/>
                <w:sz w:val="24"/>
                <w:szCs w:val="24"/>
              </w:rPr>
              <w:t>日，经广西壮族自治区商务厅桂商商贸函</w:t>
            </w:r>
            <w:r>
              <w:rPr>
                <w:rFonts w:ascii="Arial" w:hAnsi="Arial" w:cs="Arial" w:eastAsia="Arial" w:hint="default"/>
                <w:sz w:val="24"/>
                <w:szCs w:val="24"/>
              </w:rPr>
              <w:t>[2013]6</w:t>
            </w:r>
            <w:r>
              <w:rPr>
                <w:rFonts w:ascii="宋体" w:hAnsi="宋体" w:cs="宋体" w:eastAsia="宋体" w:hint="default"/>
                <w:sz w:val="24"/>
                <w:szCs w:val="24"/>
              </w:rPr>
              <w:t>号文确认北海 苏宁云商销售有限公司属于国家鼓励类产业项目。</w:t>
            </w:r>
          </w:p>
        </w:tc>
      </w:tr>
    </w:tbl>
    <w:p>
      <w:pPr>
        <w:spacing w:after="0" w:line="312"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408"/>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08"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(2)</w:t>
            </w: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(a)</w:t>
            </w: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2516" w:hRule="exact"/>
        </w:trPr>
        <w:tc>
          <w:tcPr>
            <w:tcW w:w="711" w:type="dxa"/>
            <w:tcBorders>
              <w:top w:val="nil" w:sz="6" w:space="0" w:color="auto"/>
              <w:left w:val="nil" w:sz="6" w:space="0" w:color="auto"/>
              <w:bottom w:val="nil" w:sz="6" w:space="0" w:color="auto"/>
              <w:right w:val="nil" w:sz="6" w:space="0" w:color="auto"/>
            </w:tcBorders>
          </w:tcPr>
          <w:p>
            <w:pPr/>
          </w:p>
        </w:tc>
        <w:tc>
          <w:tcPr>
            <w:tcW w:w="8408"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17" w:right="198"/>
              <w:jc w:val="left"/>
              <w:rPr>
                <w:rFonts w:ascii="宋体" w:hAnsi="宋体" w:cs="宋体" w:eastAsia="宋体" w:hint="default"/>
                <w:sz w:val="24"/>
                <w:szCs w:val="24"/>
              </w:rPr>
            </w:pPr>
            <w:r>
              <w:rPr>
                <w:rFonts w:ascii="Arial" w:hAnsi="Arial" w:cs="Arial" w:eastAsia="Arial" w:hint="default"/>
                <w:spacing w:val="-4"/>
                <w:w w:val="99"/>
                <w:sz w:val="24"/>
                <w:szCs w:val="24"/>
              </w:rPr>
              <w:t>2012</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8</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8</w:t>
            </w:r>
            <w:r>
              <w:rPr>
                <w:rFonts w:ascii="宋体" w:hAnsi="宋体" w:cs="宋体" w:eastAsia="宋体" w:hint="default"/>
                <w:spacing w:val="-4"/>
                <w:w w:val="99"/>
                <w:sz w:val="24"/>
                <w:szCs w:val="24"/>
              </w:rPr>
              <w:t>日，经广西壮族自治区商务厅桂商商贸函</w:t>
            </w:r>
            <w:r>
              <w:rPr>
                <w:rFonts w:ascii="Arial" w:hAnsi="Arial" w:cs="Arial" w:eastAsia="Arial" w:hint="default"/>
                <w:spacing w:val="-4"/>
                <w:w w:val="99"/>
                <w:sz w:val="24"/>
                <w:szCs w:val="24"/>
              </w:rPr>
              <w:t>[2012]126</w:t>
            </w:r>
            <w:r>
              <w:rPr>
                <w:rFonts w:ascii="宋体" w:hAnsi="宋体" w:cs="宋体" w:eastAsia="宋体" w:hint="default"/>
                <w:spacing w:val="-4"/>
                <w:w w:val="99"/>
                <w:sz w:val="24"/>
                <w:szCs w:val="24"/>
              </w:rPr>
              <w:t>号确认钦州苏</w:t>
            </w:r>
            <w:r>
              <w:rPr>
                <w:rFonts w:ascii="宋体" w:hAnsi="宋体" w:cs="宋体" w:eastAsia="宋体" w:hint="default"/>
                <w:spacing w:val="-80"/>
                <w:w w:val="99"/>
                <w:sz w:val="24"/>
                <w:szCs w:val="24"/>
              </w:rPr>
              <w:t> </w:t>
            </w:r>
            <w:r>
              <w:rPr>
                <w:rFonts w:ascii="宋体" w:hAnsi="宋体" w:cs="宋体" w:eastAsia="宋体" w:hint="default"/>
                <w:sz w:val="24"/>
                <w:szCs w:val="24"/>
              </w:rPr>
              <w:t>宁云商销售有限公司经营业务符合国家鼓励发展产业项目。</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217" w:right="198"/>
              <w:jc w:val="left"/>
              <w:rPr>
                <w:rFonts w:ascii="宋体" w:hAnsi="宋体" w:cs="宋体" w:eastAsia="宋体" w:hint="default"/>
                <w:sz w:val="24"/>
                <w:szCs w:val="24"/>
              </w:rPr>
            </w:pPr>
            <w:r>
              <w:rPr>
                <w:rFonts w:ascii="Arial" w:hAnsi="Arial" w:cs="Arial" w:eastAsia="Arial" w:hint="default"/>
                <w:spacing w:val="-1"/>
                <w:sz w:val="24"/>
                <w:szCs w:val="24"/>
              </w:rPr>
              <w:t>2014</w:t>
            </w:r>
            <w:r>
              <w:rPr>
                <w:rFonts w:ascii="宋体" w:hAnsi="宋体" w:cs="宋体" w:eastAsia="宋体" w:hint="default"/>
                <w:spacing w:val="-1"/>
                <w:sz w:val="24"/>
                <w:szCs w:val="24"/>
              </w:rPr>
              <w:t>年</w:t>
            </w:r>
            <w:r>
              <w:rPr>
                <w:rFonts w:ascii="Arial" w:hAnsi="Arial" w:cs="Arial" w:eastAsia="Arial" w:hint="default"/>
                <w:spacing w:val="-1"/>
                <w:sz w:val="24"/>
                <w:szCs w:val="24"/>
              </w:rPr>
              <w:t>5</w:t>
            </w:r>
            <w:r>
              <w:rPr>
                <w:rFonts w:ascii="宋体" w:hAnsi="宋体" w:cs="宋体" w:eastAsia="宋体" w:hint="default"/>
                <w:spacing w:val="-1"/>
                <w:sz w:val="24"/>
                <w:szCs w:val="24"/>
              </w:rPr>
              <w:t>月</w:t>
            </w:r>
            <w:r>
              <w:rPr>
                <w:rFonts w:ascii="Arial" w:hAnsi="Arial" w:cs="Arial" w:eastAsia="Arial" w:hint="default"/>
                <w:spacing w:val="-1"/>
                <w:sz w:val="24"/>
                <w:szCs w:val="24"/>
              </w:rPr>
              <w:t>12</w:t>
            </w:r>
            <w:r>
              <w:rPr>
                <w:rFonts w:ascii="宋体" w:hAnsi="宋体" w:cs="宋体" w:eastAsia="宋体" w:hint="default"/>
                <w:spacing w:val="-1"/>
                <w:sz w:val="24"/>
                <w:szCs w:val="24"/>
              </w:rPr>
              <w:t>日，经西安市发展和改革委员会市发改产发</w:t>
            </w:r>
            <w:r>
              <w:rPr>
                <w:rFonts w:ascii="Arial" w:hAnsi="Arial" w:cs="Arial" w:eastAsia="Arial" w:hint="default"/>
                <w:spacing w:val="-1"/>
                <w:sz w:val="24"/>
                <w:szCs w:val="24"/>
              </w:rPr>
              <w:t>[2014]248</w:t>
            </w:r>
            <w:r>
              <w:rPr>
                <w:rFonts w:ascii="宋体" w:hAnsi="宋体" w:cs="宋体" w:eastAsia="宋体" w:hint="default"/>
                <w:spacing w:val="-1"/>
                <w:sz w:val="24"/>
                <w:szCs w:val="24"/>
              </w:rPr>
              <w:t>号文确认</w:t>
            </w:r>
            <w:r>
              <w:rPr>
                <w:rFonts w:ascii="宋体" w:hAnsi="宋体" w:cs="宋体" w:eastAsia="宋体" w:hint="default"/>
                <w:spacing w:val="-97"/>
                <w:sz w:val="24"/>
                <w:szCs w:val="24"/>
              </w:rPr>
              <w:t> </w:t>
            </w:r>
            <w:r>
              <w:rPr>
                <w:rFonts w:ascii="宋体" w:hAnsi="宋体" w:cs="宋体" w:eastAsia="宋体" w:hint="default"/>
                <w:sz w:val="24"/>
                <w:szCs w:val="24"/>
              </w:rPr>
              <w:t>陕西苏宁云商销售有限公司属于国家鼓励类产业项目。</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199"/>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4</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22</w:t>
            </w:r>
            <w:r>
              <w:rPr>
                <w:rFonts w:ascii="Arial" w:hAnsi="Arial" w:cs="Arial" w:eastAsia="Arial" w:hint="default"/>
                <w:spacing w:val="10"/>
                <w:sz w:val="24"/>
                <w:szCs w:val="24"/>
              </w:rPr>
              <w:t> </w:t>
            </w:r>
            <w:r>
              <w:rPr>
                <w:rFonts w:ascii="宋体" w:hAnsi="宋体" w:cs="宋体" w:eastAsia="宋体" w:hint="default"/>
                <w:sz w:val="24"/>
                <w:szCs w:val="24"/>
              </w:rPr>
              <w:t>日，经川省经济和信息化委员会川经信产业函</w:t>
            </w:r>
            <w:r>
              <w:rPr>
                <w:rFonts w:ascii="Arial" w:hAnsi="Arial" w:cs="Arial" w:eastAsia="Arial" w:hint="default"/>
                <w:sz w:val="24"/>
                <w:szCs w:val="24"/>
              </w:rPr>
              <w:t>[2013]409</w:t>
            </w:r>
            <w:r>
              <w:rPr>
                <w:rFonts w:ascii="Arial" w:hAnsi="Arial" w:cs="Arial" w:eastAsia="Arial" w:hint="default"/>
                <w:spacing w:val="9"/>
                <w:sz w:val="24"/>
                <w:szCs w:val="24"/>
              </w:rPr>
              <w:t> </w:t>
            </w:r>
            <w:r>
              <w:rPr>
                <w:rFonts w:ascii="宋体" w:hAnsi="宋体" w:cs="宋体" w:eastAsia="宋体" w:hint="default"/>
                <w:sz w:val="24"/>
                <w:szCs w:val="24"/>
              </w:rPr>
              <w:t>号 文确认四川苏宁物流有限公司属于国家鼓励类产业项目。</w:t>
            </w:r>
          </w:p>
        </w:tc>
      </w:tr>
    </w:tbl>
    <w:p>
      <w:pPr>
        <w:spacing w:after="0" w:line="310"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692"/>
        <w:gridCol w:w="3682"/>
        <w:gridCol w:w="2336"/>
        <w:gridCol w:w="174"/>
        <w:gridCol w:w="2429"/>
      </w:tblGrid>
      <w:tr>
        <w:trPr>
          <w:trHeight w:val="490"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center"/>
              <w:rPr>
                <w:rFonts w:ascii="黑体" w:hAnsi="黑体" w:cs="黑体" w:eastAsia="黑体" w:hint="default"/>
                <w:sz w:val="24"/>
                <w:szCs w:val="24"/>
              </w:rPr>
            </w:pPr>
            <w:r>
              <w:rPr>
                <w:rFonts w:ascii="黑体" w:hAnsi="黑体" w:cs="黑体" w:eastAsia="黑体" w:hint="default"/>
                <w:sz w:val="24"/>
                <w:szCs w:val="24"/>
              </w:rPr>
              <w:t>四</w:t>
            </w: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exact"/>
              <w:ind w:left="198" w:right="0"/>
              <w:jc w:val="left"/>
              <w:rPr>
                <w:rFonts w:ascii="黑体" w:hAnsi="黑体" w:cs="黑体" w:eastAsia="黑体" w:hint="default"/>
                <w:sz w:val="24"/>
                <w:szCs w:val="24"/>
              </w:rPr>
            </w:pPr>
            <w:r>
              <w:rPr>
                <w:rFonts w:ascii="黑体" w:hAnsi="黑体" w:cs="黑体" w:eastAsia="黑体" w:hint="default"/>
                <w:sz w:val="24"/>
                <w:szCs w:val="24"/>
              </w:rPr>
              <w:t>合并财务报表项目附注</w:t>
            </w:r>
          </w:p>
        </w:tc>
        <w:tc>
          <w:tcPr>
            <w:tcW w:w="2336" w:type="dxa"/>
            <w:tcBorders>
              <w:top w:val="nil" w:sz="6" w:space="0" w:color="auto"/>
              <w:left w:val="nil" w:sz="6" w:space="0" w:color="auto"/>
              <w:bottom w:val="nil" w:sz="6" w:space="0" w:color="auto"/>
              <w:right w:val="nil" w:sz="6" w:space="0" w:color="auto"/>
            </w:tcBorders>
          </w:tcPr>
          <w:p>
            <w:pPr/>
          </w:p>
        </w:tc>
        <w:tc>
          <w:tcPr>
            <w:tcW w:w="17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
        </w:tc>
      </w:tr>
      <w:tr>
        <w:trPr>
          <w:trHeight w:val="752"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Arial" w:hAnsi="Arial" w:cs="Arial" w:eastAsia="Arial" w:hint="default"/>
                <w:sz w:val="24"/>
                <w:szCs w:val="24"/>
              </w:rPr>
            </w:pPr>
            <w:r>
              <w:rPr>
                <w:rFonts w:ascii="Arial"/>
                <w:sz w:val="24"/>
              </w:rPr>
              <w:t>(1)</w:t>
            </w: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98" w:right="0"/>
              <w:jc w:val="left"/>
              <w:rPr>
                <w:rFonts w:ascii="黑体" w:hAnsi="黑体" w:cs="黑体" w:eastAsia="黑体" w:hint="default"/>
                <w:sz w:val="24"/>
                <w:szCs w:val="24"/>
              </w:rPr>
            </w:pPr>
            <w:r>
              <w:rPr>
                <w:rFonts w:ascii="黑体" w:hAnsi="黑体" w:cs="黑体" w:eastAsia="黑体" w:hint="default"/>
                <w:sz w:val="24"/>
                <w:szCs w:val="24"/>
              </w:rPr>
              <w:t>货币资金</w:t>
            </w:r>
          </w:p>
        </w:tc>
        <w:tc>
          <w:tcPr>
            <w:tcW w:w="2336" w:type="dxa"/>
            <w:tcBorders>
              <w:top w:val="nil" w:sz="6" w:space="0" w:color="auto"/>
              <w:left w:val="nil" w:sz="6" w:space="0" w:color="auto"/>
              <w:bottom w:val="nil" w:sz="6" w:space="0" w:color="auto"/>
              <w:right w:val="nil" w:sz="6" w:space="0" w:color="auto"/>
            </w:tcBorders>
          </w:tcPr>
          <w:p>
            <w:pPr/>
          </w:p>
        </w:tc>
        <w:tc>
          <w:tcPr>
            <w:tcW w:w="17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
        </w:tc>
      </w:tr>
      <w:tr>
        <w:trPr>
          <w:trHeight w:val="753" w:hRule="exact"/>
        </w:trPr>
        <w:tc>
          <w:tcPr>
            <w:tcW w:w="692" w:type="dxa"/>
            <w:tcBorders>
              <w:top w:val="nil" w:sz="6" w:space="0" w:color="auto"/>
              <w:left w:val="nil" w:sz="6" w:space="0" w:color="auto"/>
              <w:bottom w:val="nil" w:sz="6" w:space="0" w:color="auto"/>
              <w:right w:val="nil" w:sz="6" w:space="0" w:color="auto"/>
            </w:tcBorders>
          </w:tcPr>
          <w:p>
            <w:pPr/>
          </w:p>
        </w:tc>
        <w:tc>
          <w:tcPr>
            <w:tcW w:w="61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3930"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0"/>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6"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Arial" w:hAnsi="Arial" w:cs="Arial" w:eastAsia="Arial" w:hint="default"/>
                <w:sz w:val="24"/>
                <w:szCs w:val="24"/>
              </w:rPr>
            </w:pPr>
            <w:r>
              <w:rPr>
                <w:rFonts w:ascii="Arial"/>
                <w:w w:val="95"/>
                <w:sz w:val="24"/>
              </w:rPr>
              <w:t>21,928</w:t>
            </w:r>
            <w:r>
              <w:rPr>
                <w:rFonts w:ascii="Arial"/>
                <w:sz w:val="24"/>
              </w:rPr>
            </w:r>
          </w:p>
        </w:tc>
        <w:tc>
          <w:tcPr>
            <w:tcW w:w="17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Arial" w:hAnsi="Arial" w:cs="Arial" w:eastAsia="Arial" w:hint="default"/>
                <w:sz w:val="24"/>
                <w:szCs w:val="24"/>
              </w:rPr>
            </w:pPr>
            <w:r>
              <w:rPr>
                <w:rFonts w:ascii="Arial"/>
                <w:w w:val="95"/>
                <w:sz w:val="24"/>
              </w:rPr>
              <w:t>19,930</w:t>
            </w:r>
            <w:r>
              <w:rPr>
                <w:rFonts w:ascii="Arial"/>
                <w:sz w:val="24"/>
              </w:rPr>
            </w:r>
          </w:p>
        </w:tc>
      </w:tr>
      <w:tr>
        <w:trPr>
          <w:trHeight w:val="391"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302" w:lineRule="exact"/>
              <w:ind w:left="216"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7"/>
              <w:jc w:val="right"/>
              <w:rPr>
                <w:rFonts w:ascii="Arial" w:hAnsi="Arial" w:cs="Arial" w:eastAsia="Arial" w:hint="default"/>
                <w:sz w:val="24"/>
                <w:szCs w:val="24"/>
              </w:rPr>
            </w:pPr>
            <w:r>
              <w:rPr>
                <w:rFonts w:ascii="Arial"/>
                <w:w w:val="95"/>
                <w:sz w:val="24"/>
              </w:rPr>
              <w:t>15,518,320</w:t>
            </w:r>
            <w:r>
              <w:rPr>
                <w:rFonts w:ascii="Arial"/>
                <w:sz w:val="24"/>
              </w:rPr>
            </w:r>
          </w:p>
        </w:tc>
        <w:tc>
          <w:tcPr>
            <w:tcW w:w="17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8"/>
              <w:jc w:val="right"/>
              <w:rPr>
                <w:rFonts w:ascii="Arial" w:hAnsi="Arial" w:cs="Arial" w:eastAsia="Arial" w:hint="default"/>
                <w:sz w:val="24"/>
                <w:szCs w:val="24"/>
              </w:rPr>
            </w:pPr>
            <w:r>
              <w:rPr>
                <w:rFonts w:ascii="Arial"/>
                <w:spacing w:val="-4"/>
                <w:sz w:val="24"/>
              </w:rPr>
              <w:t>12,111,056</w:t>
            </w:r>
          </w:p>
        </w:tc>
      </w:tr>
      <w:tr>
        <w:trPr>
          <w:trHeight w:val="382"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302" w:lineRule="exact"/>
              <w:ind w:left="216"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37"/>
              <w:jc w:val="right"/>
              <w:rPr>
                <w:rFonts w:ascii="Arial" w:hAnsi="Arial" w:cs="Arial" w:eastAsia="Arial" w:hint="default"/>
                <w:sz w:val="24"/>
                <w:szCs w:val="24"/>
              </w:rPr>
            </w:pPr>
            <w:r>
              <w:rPr>
                <w:rFonts w:ascii="Arial"/>
                <w:spacing w:val="-2"/>
                <w:sz w:val="24"/>
              </w:rPr>
              <w:t>11,575,309</w:t>
            </w:r>
          </w:p>
        </w:tc>
        <w:tc>
          <w:tcPr>
            <w:tcW w:w="17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8"/>
              <w:jc w:val="right"/>
              <w:rPr>
                <w:rFonts w:ascii="Arial" w:hAnsi="Arial" w:cs="Arial" w:eastAsia="Arial" w:hint="default"/>
                <w:sz w:val="24"/>
                <w:szCs w:val="24"/>
              </w:rPr>
            </w:pPr>
            <w:r>
              <w:rPr>
                <w:rFonts w:ascii="Arial"/>
                <w:w w:val="95"/>
                <w:sz w:val="24"/>
              </w:rPr>
              <w:t>10,143,482</w:t>
            </w:r>
            <w:r>
              <w:rPr>
                <w:rFonts w:ascii="Arial"/>
                <w:sz w:val="24"/>
              </w:rPr>
            </w:r>
          </w:p>
        </w:tc>
      </w:tr>
      <w:tr>
        <w:trPr>
          <w:trHeight w:val="376"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38"/>
              <w:jc w:val="right"/>
              <w:rPr>
                <w:rFonts w:ascii="Arial" w:hAnsi="Arial" w:cs="Arial" w:eastAsia="Arial" w:hint="default"/>
                <w:sz w:val="24"/>
                <w:szCs w:val="24"/>
              </w:rPr>
            </w:pPr>
            <w:r>
              <w:rPr>
                <w:rFonts w:ascii="Arial"/>
                <w:spacing w:val="-2"/>
                <w:sz w:val="24"/>
              </w:rPr>
              <w:t>27,115,557</w:t>
            </w:r>
          </w:p>
        </w:tc>
        <w:tc>
          <w:tcPr>
            <w:tcW w:w="174" w:type="dxa"/>
            <w:tcBorders>
              <w:top w:val="nil" w:sz="6" w:space="0" w:color="auto"/>
              <w:left w:val="nil" w:sz="6" w:space="0" w:color="auto"/>
              <w:bottom w:val="nil" w:sz="6" w:space="0" w:color="auto"/>
              <w:right w:val="nil" w:sz="6" w:space="0" w:color="auto"/>
            </w:tcBorders>
          </w:tcPr>
          <w:p>
            <w:pPr/>
          </w:p>
        </w:tc>
        <w:tc>
          <w:tcPr>
            <w:tcW w:w="242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8"/>
              <w:jc w:val="right"/>
              <w:rPr>
                <w:rFonts w:ascii="Arial" w:hAnsi="Arial" w:cs="Arial" w:eastAsia="Arial" w:hint="default"/>
                <w:sz w:val="24"/>
                <w:szCs w:val="24"/>
              </w:rPr>
            </w:pPr>
            <w:r>
              <w:rPr>
                <w:rFonts w:ascii="Arial"/>
                <w:w w:val="95"/>
                <w:sz w:val="24"/>
              </w:rPr>
              <w:t>22,274,468</w:t>
            </w:r>
            <w:r>
              <w:rPr>
                <w:rFonts w:ascii="Arial"/>
                <w:sz w:val="24"/>
              </w:rPr>
            </w:r>
          </w:p>
        </w:tc>
      </w:tr>
      <w:tr>
        <w:trPr>
          <w:trHeight w:val="776"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216" w:right="0"/>
              <w:jc w:val="left"/>
              <w:rPr>
                <w:rFonts w:ascii="宋体" w:hAnsi="宋体" w:cs="宋体" w:eastAsia="宋体" w:hint="default"/>
                <w:sz w:val="24"/>
                <w:szCs w:val="24"/>
              </w:rPr>
            </w:pPr>
            <w:r>
              <w:rPr>
                <w:rFonts w:ascii="宋体" w:hAnsi="宋体" w:cs="宋体" w:eastAsia="宋体" w:hint="default"/>
                <w:sz w:val="24"/>
                <w:szCs w:val="24"/>
              </w:rPr>
              <w:t>其中：存放在境外的款项总额</w:t>
            </w:r>
          </w:p>
        </w:tc>
        <w:tc>
          <w:tcPr>
            <w:tcW w:w="233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37"/>
              <w:jc w:val="right"/>
              <w:rPr>
                <w:rFonts w:ascii="Arial" w:hAnsi="Arial" w:cs="Arial" w:eastAsia="Arial" w:hint="default"/>
                <w:sz w:val="24"/>
                <w:szCs w:val="24"/>
              </w:rPr>
            </w:pPr>
            <w:r>
              <w:rPr>
                <w:rFonts w:ascii="Arial"/>
                <w:w w:val="95"/>
                <w:sz w:val="24"/>
              </w:rPr>
              <w:t>4,859,423</w:t>
            </w:r>
            <w:r>
              <w:rPr>
                <w:rFonts w:ascii="Arial"/>
                <w:sz w:val="24"/>
              </w:rPr>
            </w:r>
          </w:p>
        </w:tc>
        <w:tc>
          <w:tcPr>
            <w:tcW w:w="174" w:type="dxa"/>
            <w:tcBorders>
              <w:top w:val="nil" w:sz="6" w:space="0" w:color="auto"/>
              <w:left w:val="nil" w:sz="6" w:space="0" w:color="auto"/>
              <w:bottom w:val="nil" w:sz="6" w:space="0" w:color="auto"/>
              <w:right w:val="nil" w:sz="6" w:space="0" w:color="auto"/>
            </w:tcBorders>
          </w:tcPr>
          <w:p>
            <w:pPr/>
          </w:p>
        </w:tc>
        <w:tc>
          <w:tcPr>
            <w:tcW w:w="242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59"/>
              <w:jc w:val="right"/>
              <w:rPr>
                <w:rFonts w:ascii="Arial" w:hAnsi="Arial" w:cs="Arial" w:eastAsia="Arial" w:hint="default"/>
                <w:sz w:val="24"/>
                <w:szCs w:val="24"/>
              </w:rPr>
            </w:pPr>
            <w:r>
              <w:rPr>
                <w:rFonts w:ascii="Arial"/>
                <w:spacing w:val="-1"/>
                <w:sz w:val="24"/>
              </w:rPr>
              <w:t>675,463</w:t>
            </w:r>
            <w:r>
              <w:rPr>
                <w:rFonts w:ascii="Arial"/>
                <w:sz w:val="24"/>
              </w:rPr>
            </w:r>
          </w:p>
        </w:tc>
      </w:tr>
      <w:tr>
        <w:trPr>
          <w:trHeight w:val="1880" w:hRule="exact"/>
        </w:trPr>
        <w:tc>
          <w:tcPr>
            <w:tcW w:w="692" w:type="dxa"/>
            <w:tcBorders>
              <w:top w:val="nil" w:sz="6" w:space="0" w:color="auto"/>
              <w:left w:val="nil" w:sz="6" w:space="0" w:color="auto"/>
              <w:bottom w:val="nil" w:sz="6" w:space="0" w:color="auto"/>
              <w:right w:val="nil" w:sz="6" w:space="0" w:color="auto"/>
            </w:tcBorders>
          </w:tcPr>
          <w:p>
            <w:pPr/>
          </w:p>
        </w:tc>
        <w:tc>
          <w:tcPr>
            <w:tcW w:w="862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3"/>
                <w:szCs w:val="33"/>
              </w:rPr>
            </w:pPr>
          </w:p>
          <w:p>
            <w:pPr>
              <w:pStyle w:val="TableParagraph"/>
              <w:spacing w:line="225" w:lineRule="auto"/>
              <w:ind w:left="216" w:right="8" w:hanging="1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日，本集团约人民币</w:t>
            </w:r>
            <w:r>
              <w:rPr>
                <w:rFonts w:ascii="宋体" w:hAnsi="宋体" w:cs="宋体" w:eastAsia="宋体" w:hint="default"/>
                <w:spacing w:val="-61"/>
                <w:sz w:val="24"/>
                <w:szCs w:val="24"/>
              </w:rPr>
              <w:t> </w:t>
            </w:r>
            <w:r>
              <w:rPr>
                <w:rFonts w:ascii="Arial" w:hAnsi="Arial" w:cs="Arial" w:eastAsia="Arial" w:hint="default"/>
                <w:sz w:val="24"/>
                <w:szCs w:val="24"/>
              </w:rPr>
              <w:t>82.12</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 </w:t>
            </w:r>
            <w:r>
              <w:rPr>
                <w:rFonts w:ascii="宋体" w:hAnsi="宋体" w:cs="宋体" w:eastAsia="宋体" w:hint="default"/>
                <w:spacing w:val="6"/>
                <w:sz w:val="24"/>
                <w:szCs w:val="24"/>
              </w:rPr>
              <w:t>民币 </w:t>
            </w:r>
            <w:r>
              <w:rPr>
                <w:rFonts w:ascii="Arial" w:hAnsi="Arial" w:cs="Arial" w:eastAsia="Arial" w:hint="default"/>
                <w:sz w:val="24"/>
                <w:szCs w:val="24"/>
              </w:rPr>
              <w:t>80.44</w:t>
            </w:r>
            <w:r>
              <w:rPr>
                <w:rFonts w:ascii="Arial" w:hAnsi="Arial" w:cs="Arial" w:eastAsia="Arial" w:hint="default"/>
                <w:spacing w:val="29"/>
                <w:sz w:val="24"/>
                <w:szCs w:val="24"/>
              </w:rPr>
              <w:t> </w:t>
            </w:r>
            <w:r>
              <w:rPr>
                <w:rFonts w:ascii="宋体" w:hAnsi="宋体" w:cs="宋体" w:eastAsia="宋体" w:hint="default"/>
                <w:spacing w:val="12"/>
                <w:sz w:val="24"/>
                <w:szCs w:val="24"/>
              </w:rPr>
              <w:t>亿元</w:t>
            </w:r>
            <w:r>
              <w:rPr>
                <w:rFonts w:ascii="Arial" w:hAnsi="Arial" w:cs="Arial" w:eastAsia="Arial" w:hint="default"/>
                <w:spacing w:val="12"/>
                <w:sz w:val="24"/>
                <w:szCs w:val="24"/>
              </w:rPr>
              <w:t>)</w:t>
            </w:r>
            <w:r>
              <w:rPr>
                <w:rFonts w:ascii="宋体" w:hAnsi="宋体" w:cs="宋体" w:eastAsia="宋体" w:hint="default"/>
                <w:spacing w:val="12"/>
                <w:sz w:val="24"/>
                <w:szCs w:val="24"/>
              </w:rPr>
              <w:t>的其他货币资金质押给银行用于开立银行承兑汇票</w:t>
            </w:r>
            <w:r>
              <w:rPr>
                <w:rFonts w:ascii="Arial" w:hAnsi="Arial" w:cs="Arial" w:eastAsia="Arial" w:hint="default"/>
                <w:spacing w:val="12"/>
                <w:sz w:val="24"/>
                <w:szCs w:val="24"/>
              </w:rPr>
              <w:t>(</w:t>
            </w:r>
            <w:r>
              <w:rPr>
                <w:rFonts w:ascii="宋体" w:hAnsi="宋体" w:cs="宋体" w:eastAsia="宋体" w:hint="default"/>
                <w:spacing w:val="12"/>
                <w:sz w:val="24"/>
                <w:szCs w:val="24"/>
              </w:rPr>
              <w:t>附注四</w:t>
            </w:r>
            <w:r>
              <w:rPr>
                <w:rFonts w:ascii="宋体" w:hAnsi="宋体" w:cs="宋体" w:eastAsia="宋体" w:hint="default"/>
                <w:spacing w:val="13"/>
                <w:sz w:val="24"/>
                <w:szCs w:val="24"/>
              </w:rPr>
              <w:t> </w:t>
            </w:r>
            <w:r>
              <w:rPr>
                <w:rFonts w:ascii="Arial" w:hAnsi="Arial" w:cs="Arial" w:eastAsia="Arial" w:hint="default"/>
                <w:sz w:val="24"/>
                <w:szCs w:val="24"/>
              </w:rPr>
              <w:t>(24))</w:t>
            </w:r>
            <w:r>
              <w:rPr>
                <w:rFonts w:ascii="宋体" w:hAnsi="宋体" w:cs="宋体" w:eastAsia="宋体" w:hint="default"/>
                <w:sz w:val="24"/>
                <w:szCs w:val="24"/>
              </w:rPr>
              <w:t>，人民币</w:t>
            </w:r>
            <w:r>
              <w:rPr>
                <w:rFonts w:ascii="宋体" w:hAnsi="宋体" w:cs="宋体" w:eastAsia="宋体" w:hint="default"/>
                <w:spacing w:val="-48"/>
                <w:sz w:val="24"/>
                <w:szCs w:val="24"/>
              </w:rPr>
              <w:t> </w:t>
            </w:r>
            <w:r>
              <w:rPr>
                <w:rFonts w:ascii="Arial" w:hAnsi="Arial" w:cs="Arial" w:eastAsia="Arial" w:hint="default"/>
                <w:sz w:val="24"/>
                <w:szCs w:val="24"/>
              </w:rPr>
              <w:t>6,000</w:t>
            </w:r>
            <w:r>
              <w:rPr>
                <w:rFonts w:ascii="Arial" w:hAnsi="Arial" w:cs="Arial" w:eastAsia="Arial" w:hint="default"/>
                <w:spacing w:val="6"/>
                <w:sz w:val="24"/>
                <w:szCs w:val="24"/>
              </w:rPr>
              <w:t> </w:t>
            </w:r>
            <w:r>
              <w:rPr>
                <w:rFonts w:ascii="宋体" w:hAnsi="宋体" w:cs="宋体" w:eastAsia="宋体" w:hint="default"/>
                <w:sz w:val="24"/>
                <w:szCs w:val="24"/>
              </w:rPr>
              <w:t>万元</w:t>
            </w:r>
            <w:r>
              <w:rPr>
                <w:rFonts w:ascii="Arial" w:hAnsi="Arial" w:cs="Arial" w:eastAsia="Arial" w:hint="default"/>
                <w:sz w:val="24"/>
                <w:szCs w:val="24"/>
              </w:rPr>
              <w:t>(2014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的银行承兑保证金质押给银 行作为短期借款的质押物</w:t>
            </w:r>
            <w:r>
              <w:rPr>
                <w:rFonts w:ascii="宋体" w:hAnsi="宋体" w:cs="宋体" w:eastAsia="宋体" w:hint="default"/>
                <w:spacing w:val="-3"/>
                <w:sz w:val="24"/>
                <w:szCs w:val="24"/>
              </w:rPr>
              <w:t> </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(22))</w:t>
            </w:r>
            <w:r>
              <w:rPr>
                <w:rFonts w:ascii="宋体" w:hAnsi="宋体" w:cs="宋体" w:eastAsia="宋体" w:hint="default"/>
                <w:sz w:val="24"/>
                <w:szCs w:val="24"/>
              </w:rPr>
              <w:t>。</w:t>
            </w:r>
          </w:p>
        </w:tc>
      </w:tr>
      <w:tr>
        <w:trPr>
          <w:trHeight w:val="1681" w:hRule="exact"/>
        </w:trPr>
        <w:tc>
          <w:tcPr>
            <w:tcW w:w="692" w:type="dxa"/>
            <w:tcBorders>
              <w:top w:val="nil" w:sz="6" w:space="0" w:color="auto"/>
              <w:left w:val="nil" w:sz="6" w:space="0" w:color="auto"/>
              <w:bottom w:val="nil" w:sz="6" w:space="0" w:color="auto"/>
              <w:right w:val="nil" w:sz="6" w:space="0" w:color="auto"/>
            </w:tcBorders>
          </w:tcPr>
          <w:p>
            <w:pPr/>
          </w:p>
        </w:tc>
        <w:tc>
          <w:tcPr>
            <w:tcW w:w="8620"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174"/>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日，本集团将约人民币</w:t>
            </w:r>
            <w:r>
              <w:rPr>
                <w:rFonts w:ascii="宋体" w:hAnsi="宋体" w:cs="宋体" w:eastAsia="宋体" w:hint="default"/>
                <w:spacing w:val="-61"/>
                <w:sz w:val="24"/>
                <w:szCs w:val="24"/>
              </w:rPr>
              <w:t> </w:t>
            </w:r>
            <w:r>
              <w:rPr>
                <w:rFonts w:ascii="Arial" w:hAnsi="Arial" w:cs="Arial" w:eastAsia="Arial" w:hint="default"/>
                <w:sz w:val="24"/>
                <w:szCs w:val="24"/>
              </w:rPr>
              <w:t>10.61</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w:t>
            </w:r>
          </w:p>
          <w:p>
            <w:pPr>
              <w:pStyle w:val="TableParagraph"/>
              <w:spacing w:line="311" w:lineRule="exact"/>
              <w:ind w:left="216" w:right="0"/>
              <w:jc w:val="left"/>
              <w:rPr>
                <w:rFonts w:ascii="宋体" w:hAnsi="宋体" w:cs="宋体" w:eastAsia="宋体" w:hint="default"/>
                <w:sz w:val="24"/>
                <w:szCs w:val="24"/>
              </w:rPr>
            </w:pPr>
            <w:r>
              <w:rPr>
                <w:rFonts w:ascii="宋体" w:hAnsi="宋体" w:cs="宋体" w:eastAsia="宋体" w:hint="default"/>
                <w:sz w:val="24"/>
                <w:szCs w:val="24"/>
              </w:rPr>
              <w:t>人民币 </w:t>
            </w:r>
            <w:r>
              <w:rPr>
                <w:rFonts w:ascii="Arial" w:hAnsi="Arial" w:cs="Arial" w:eastAsia="Arial" w:hint="default"/>
                <w:sz w:val="24"/>
                <w:szCs w:val="24"/>
              </w:rPr>
              <w:t>13</w:t>
            </w:r>
            <w:r>
              <w:rPr>
                <w:rFonts w:ascii="Arial" w:hAnsi="Arial" w:cs="Arial" w:eastAsia="Arial" w:hint="default"/>
                <w:spacing w:val="64"/>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的其他货币资金质押给银行作为银行备用信用证保证金</w:t>
            </w:r>
            <w:r>
              <w:rPr>
                <w:rFonts w:ascii="Arial" w:hAnsi="Arial" w:cs="Arial" w:eastAsia="Arial" w:hint="default"/>
                <w:sz w:val="24"/>
                <w:szCs w:val="24"/>
              </w:rPr>
              <w:t>(</w:t>
            </w:r>
            <w:r>
              <w:rPr>
                <w:rFonts w:ascii="宋体" w:hAnsi="宋体" w:cs="宋体" w:eastAsia="宋体" w:hint="default"/>
                <w:sz w:val="24"/>
                <w:szCs w:val="24"/>
              </w:rPr>
              <w:t>附注四</w:t>
            </w:r>
          </w:p>
          <w:p>
            <w:pPr>
              <w:pStyle w:val="TableParagraph"/>
              <w:spacing w:line="310" w:lineRule="exact" w:before="22"/>
              <w:ind w:left="216" w:right="22"/>
              <w:jc w:val="left"/>
              <w:rPr>
                <w:rFonts w:ascii="宋体" w:hAnsi="宋体" w:cs="宋体" w:eastAsia="宋体" w:hint="default"/>
                <w:sz w:val="24"/>
                <w:szCs w:val="24"/>
              </w:rPr>
            </w:pPr>
            <w:r>
              <w:rPr>
                <w:rFonts w:ascii="Arial" w:hAnsi="Arial" w:cs="Arial" w:eastAsia="Arial" w:hint="default"/>
                <w:spacing w:val="-4"/>
                <w:sz w:val="24"/>
                <w:szCs w:val="24"/>
              </w:rPr>
              <w:t>(22)</w:t>
            </w:r>
            <w:r>
              <w:rPr>
                <w:rFonts w:ascii="宋体" w:hAnsi="宋体" w:cs="宋体" w:eastAsia="宋体" w:hint="default"/>
                <w:spacing w:val="-4"/>
                <w:sz w:val="24"/>
                <w:szCs w:val="24"/>
              </w:rPr>
              <w:t>、附注四</w:t>
            </w:r>
            <w:r>
              <w:rPr>
                <w:rFonts w:ascii="Arial" w:hAnsi="Arial" w:cs="Arial" w:eastAsia="Arial" w:hint="default"/>
                <w:spacing w:val="-4"/>
                <w:sz w:val="24"/>
                <w:szCs w:val="24"/>
              </w:rPr>
              <w:t>(33))</w:t>
            </w:r>
            <w:r>
              <w:rPr>
                <w:rFonts w:ascii="宋体" w:hAnsi="宋体" w:cs="宋体" w:eastAsia="宋体" w:hint="default"/>
                <w:spacing w:val="-4"/>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4.33</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宋体" w:hAnsi="宋体" w:cs="宋体" w:eastAsia="宋体" w:hint="default"/>
                <w:spacing w:val="-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6"/>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2.33</w:t>
            </w:r>
            <w:r>
              <w:rPr>
                <w:rFonts w:ascii="Arial" w:hAnsi="Arial" w:cs="Arial" w:eastAsia="Arial" w:hint="default"/>
                <w:spacing w:val="-8"/>
                <w:sz w:val="24"/>
                <w:szCs w:val="24"/>
              </w:rPr>
              <w:t> </w:t>
            </w:r>
            <w:r>
              <w:rPr>
                <w:rFonts w:ascii="宋体" w:hAnsi="宋体" w:cs="宋体" w:eastAsia="宋体" w:hint="default"/>
                <w:sz w:val="24"/>
                <w:szCs w:val="24"/>
              </w:rPr>
              <w:t>亿 元</w:t>
            </w: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作为保函保证金。</w:t>
            </w:r>
          </w:p>
        </w:tc>
      </w:tr>
      <w:tr>
        <w:trPr>
          <w:trHeight w:val="1370" w:hRule="exact"/>
        </w:trPr>
        <w:tc>
          <w:tcPr>
            <w:tcW w:w="692" w:type="dxa"/>
            <w:tcBorders>
              <w:top w:val="nil" w:sz="6" w:space="0" w:color="auto"/>
              <w:left w:val="nil" w:sz="6" w:space="0" w:color="auto"/>
              <w:bottom w:val="nil" w:sz="6" w:space="0" w:color="auto"/>
              <w:right w:val="nil" w:sz="6" w:space="0" w:color="auto"/>
            </w:tcBorders>
          </w:tcPr>
          <w:p>
            <w:pPr/>
          </w:p>
        </w:tc>
        <w:tc>
          <w:tcPr>
            <w:tcW w:w="8620"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174"/>
              <w:ind w:left="198"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86"/>
                <w:sz w:val="24"/>
                <w:szCs w:val="24"/>
              </w:rPr>
              <w:t> </w:t>
            </w:r>
            <w:r>
              <w:rPr>
                <w:rFonts w:ascii="Arial" w:hAnsi="Arial" w:cs="Arial" w:eastAsia="Arial" w:hint="default"/>
                <w:spacing w:val="-1"/>
                <w:w w:val="99"/>
                <w:sz w:val="24"/>
                <w:szCs w:val="24"/>
              </w:rPr>
              <w:t>20</w:t>
            </w:r>
            <w:r>
              <w:rPr>
                <w:rFonts w:ascii="Arial" w:hAnsi="Arial" w:cs="Arial" w:eastAsia="Arial" w:hint="default"/>
                <w:w w:val="99"/>
                <w:sz w:val="24"/>
                <w:szCs w:val="24"/>
              </w:rPr>
              <w:t>15</w:t>
            </w:r>
            <w:r>
              <w:rPr>
                <w:rFonts w:ascii="Arial" w:hAnsi="Arial" w:cs="Arial" w:eastAsia="Arial" w:hint="default"/>
                <w:spacing w:val="-34"/>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34"/>
                <w:sz w:val="24"/>
                <w:szCs w:val="24"/>
              </w:rPr>
              <w:t> </w:t>
            </w:r>
            <w:r>
              <w:rPr>
                <w:rFonts w:ascii="宋体" w:hAnsi="宋体" w:cs="宋体" w:eastAsia="宋体" w:hint="default"/>
                <w:sz w:val="24"/>
                <w:szCs w:val="24"/>
              </w:rPr>
              <w:t>月</w:t>
            </w:r>
            <w:r>
              <w:rPr>
                <w:rFonts w:ascii="宋体" w:hAnsi="宋体" w:cs="宋体" w:eastAsia="宋体" w:hint="default"/>
                <w:spacing w:val="-86"/>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34"/>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本集团受中国人民银行监管的备付金账户有约人民币</w:t>
            </w:r>
            <w:r>
              <w:rPr>
                <w:rFonts w:ascii="宋体" w:hAnsi="宋体" w:cs="宋体" w:eastAsia="宋体" w:hint="default"/>
                <w:spacing w:val="-86"/>
                <w:sz w:val="24"/>
                <w:szCs w:val="24"/>
              </w:rPr>
              <w:t> </w:t>
            </w:r>
            <w:r>
              <w:rPr>
                <w:rFonts w:ascii="Arial" w:hAnsi="Arial" w:cs="Arial" w:eastAsia="Arial" w:hint="default"/>
                <w:w w:val="99"/>
                <w:sz w:val="24"/>
                <w:szCs w:val="24"/>
              </w:rPr>
              <w:t>5.32</w:t>
            </w:r>
            <w:r>
              <w:rPr>
                <w:rFonts w:ascii="Arial" w:hAnsi="Arial" w:cs="Arial" w:eastAsia="Arial" w:hint="default"/>
                <w:sz w:val="24"/>
                <w:szCs w:val="24"/>
              </w:rPr>
            </w:r>
          </w:p>
          <w:p>
            <w:pPr>
              <w:pStyle w:val="TableParagraph"/>
              <w:spacing w:line="312" w:lineRule="exact" w:before="20"/>
              <w:ind w:left="216" w:right="43"/>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14"/>
                <w:sz w:val="24"/>
                <w:szCs w:val="24"/>
              </w:rPr>
              <w:t>日：约人民币</w:t>
            </w:r>
            <w:r>
              <w:rPr>
                <w:rFonts w:ascii="宋体" w:hAnsi="宋体" w:cs="宋体" w:eastAsia="宋体" w:hint="default"/>
                <w:spacing w:val="-60"/>
                <w:sz w:val="24"/>
                <w:szCs w:val="24"/>
              </w:rPr>
              <w:t> </w:t>
            </w:r>
            <w:r>
              <w:rPr>
                <w:rFonts w:ascii="Arial" w:hAnsi="Arial" w:cs="Arial" w:eastAsia="Arial" w:hint="default"/>
                <w:sz w:val="24"/>
                <w:szCs w:val="24"/>
              </w:rPr>
              <w:t>2.76</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易付宝账户充值余额</w:t>
            </w:r>
            <w:r>
              <w:rPr>
                <w:rFonts w:ascii="Arial" w:hAnsi="Arial" w:cs="Arial" w:eastAsia="Arial" w:hint="default"/>
                <w:sz w:val="24"/>
                <w:szCs w:val="24"/>
              </w:rPr>
              <w:t>(</w:t>
            </w:r>
            <w:r>
              <w:rPr>
                <w:rFonts w:ascii="宋体" w:hAnsi="宋体" w:cs="宋体" w:eastAsia="宋体" w:hint="default"/>
                <w:sz w:val="24"/>
                <w:szCs w:val="24"/>
              </w:rPr>
              <w:t>含相应的从 备付金银行账户利息中计提的</w:t>
            </w:r>
            <w:r>
              <w:rPr>
                <w:rFonts w:ascii="宋体" w:hAnsi="宋体" w:cs="宋体" w:eastAsia="宋体" w:hint="default"/>
                <w:spacing w:val="-63"/>
                <w:sz w:val="24"/>
                <w:szCs w:val="24"/>
              </w:rPr>
              <w:t> </w:t>
            </w:r>
            <w:r>
              <w:rPr>
                <w:rFonts w:ascii="Arial" w:hAnsi="Arial" w:cs="Arial" w:eastAsia="Arial" w:hint="default"/>
                <w:sz w:val="24"/>
                <w:szCs w:val="24"/>
              </w:rPr>
              <w:t>10%</w:t>
            </w:r>
            <w:r>
              <w:rPr>
                <w:rFonts w:ascii="宋体" w:hAnsi="宋体" w:cs="宋体" w:eastAsia="宋体" w:hint="default"/>
                <w:sz w:val="24"/>
                <w:szCs w:val="24"/>
              </w:rPr>
              <w:t>风险准备金</w:t>
            </w:r>
            <w:r>
              <w:rPr>
                <w:rFonts w:ascii="Arial" w:hAnsi="Arial" w:cs="Arial" w:eastAsia="Arial" w:hint="default"/>
                <w:sz w:val="24"/>
                <w:szCs w:val="24"/>
              </w:rPr>
              <w:t>)</w:t>
            </w:r>
            <w:r>
              <w:rPr>
                <w:rFonts w:ascii="宋体" w:hAnsi="宋体" w:cs="宋体" w:eastAsia="宋体" w:hint="default"/>
                <w:sz w:val="24"/>
                <w:szCs w:val="24"/>
              </w:rPr>
              <w:t>。</w:t>
            </w:r>
          </w:p>
        </w:tc>
      </w:tr>
      <w:tr>
        <w:trPr>
          <w:trHeight w:val="1434" w:hRule="exact"/>
        </w:trPr>
        <w:tc>
          <w:tcPr>
            <w:tcW w:w="692" w:type="dxa"/>
            <w:tcBorders>
              <w:top w:val="nil" w:sz="6" w:space="0" w:color="auto"/>
              <w:left w:val="nil" w:sz="6" w:space="0" w:color="auto"/>
              <w:bottom w:val="nil" w:sz="6" w:space="0" w:color="auto"/>
              <w:right w:val="nil" w:sz="6" w:space="0" w:color="auto"/>
            </w:tcBorders>
          </w:tcPr>
          <w:p>
            <w:pPr/>
          </w:p>
        </w:tc>
        <w:tc>
          <w:tcPr>
            <w:tcW w:w="8620"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173"/>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2015</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日，其他货币资金包含银行卡跨行交易的在途货款约人民币</w:t>
            </w:r>
          </w:p>
          <w:p>
            <w:pPr>
              <w:pStyle w:val="TableParagraph"/>
              <w:spacing w:line="311" w:lineRule="exact"/>
              <w:ind w:left="216" w:right="0"/>
              <w:jc w:val="left"/>
              <w:rPr>
                <w:rFonts w:ascii="宋体" w:hAnsi="宋体" w:cs="宋体" w:eastAsia="宋体" w:hint="default"/>
                <w:sz w:val="24"/>
                <w:szCs w:val="24"/>
              </w:rPr>
            </w:pPr>
            <w:r>
              <w:rPr>
                <w:rFonts w:ascii="Arial" w:hAnsi="Arial" w:cs="Arial" w:eastAsia="Arial" w:hint="default"/>
                <w:sz w:val="24"/>
                <w:szCs w:val="24"/>
              </w:rPr>
              <w:t>1.08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4"/>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1.67</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和存放于苏宁消费金融有限</w:t>
            </w:r>
          </w:p>
          <w:p>
            <w:pPr>
              <w:pStyle w:val="TableParagraph"/>
              <w:spacing w:line="312" w:lineRule="exact" w:before="20"/>
              <w:ind w:left="216" w:right="23"/>
              <w:jc w:val="left"/>
              <w:rPr>
                <w:rFonts w:ascii="宋体" w:hAnsi="宋体" w:cs="宋体" w:eastAsia="宋体" w:hint="default"/>
                <w:sz w:val="24"/>
                <w:szCs w:val="24"/>
              </w:rPr>
            </w:pPr>
            <w:r>
              <w:rPr>
                <w:rFonts w:ascii="宋体" w:hAnsi="宋体" w:cs="宋体" w:eastAsia="宋体" w:hint="default"/>
                <w:spacing w:val="-1"/>
                <w:sz w:val="24"/>
                <w:szCs w:val="24"/>
              </w:rPr>
              <w:t>公司</w:t>
            </w:r>
            <w:r>
              <w:rPr>
                <w:rFonts w:ascii="Arial" w:hAnsi="Arial" w:cs="Arial" w:eastAsia="Arial" w:hint="default"/>
                <w:spacing w:val="-1"/>
                <w:sz w:val="24"/>
                <w:szCs w:val="24"/>
              </w:rPr>
              <w:t>(</w:t>
            </w:r>
            <w:r>
              <w:rPr>
                <w:rFonts w:ascii="Arial" w:hAnsi="Arial" w:cs="Arial" w:eastAsia="Arial" w:hint="default"/>
                <w:spacing w:val="-1"/>
                <w:sz w:val="24"/>
                <w:szCs w:val="24"/>
              </w:rPr>
              <w:t>“</w:t>
            </w:r>
            <w:r>
              <w:rPr>
                <w:rFonts w:ascii="宋体" w:hAnsi="宋体" w:cs="宋体" w:eastAsia="宋体" w:hint="default"/>
                <w:spacing w:val="-1"/>
                <w:sz w:val="24"/>
                <w:szCs w:val="24"/>
              </w:rPr>
              <w:t>苏宁消费金融</w:t>
            </w:r>
            <w:r>
              <w:rPr>
                <w:rFonts w:ascii="Arial" w:hAnsi="Arial" w:cs="Arial" w:eastAsia="Arial" w:hint="default"/>
                <w:spacing w:val="-1"/>
                <w:sz w:val="24"/>
                <w:szCs w:val="24"/>
              </w:rPr>
              <w:t>”</w:t>
            </w:r>
            <w:r>
              <w:rPr>
                <w:rFonts w:ascii="Arial" w:hAnsi="Arial" w:cs="Arial" w:eastAsia="Arial" w:hint="default"/>
                <w:spacing w:val="-1"/>
                <w:sz w:val="24"/>
                <w:szCs w:val="24"/>
              </w:rPr>
              <w:t>)</w:t>
            </w:r>
            <w:r>
              <w:rPr>
                <w:rFonts w:ascii="宋体" w:hAnsi="宋体" w:cs="宋体" w:eastAsia="宋体" w:hint="default"/>
                <w:spacing w:val="-1"/>
                <w:sz w:val="24"/>
                <w:szCs w:val="24"/>
              </w:rPr>
              <w:t>的定期存款人民币</w:t>
            </w:r>
            <w:r>
              <w:rPr>
                <w:rFonts w:ascii="宋体" w:hAnsi="宋体" w:cs="宋体" w:eastAsia="宋体" w:hint="default"/>
                <w:spacing w:val="-57"/>
                <w:sz w:val="24"/>
                <w:szCs w:val="24"/>
              </w:rPr>
              <w:t> </w:t>
            </w:r>
            <w:r>
              <w:rPr>
                <w:rFonts w:ascii="Arial" w:hAnsi="Arial" w:cs="Arial" w:eastAsia="Arial" w:hint="default"/>
                <w:spacing w:val="-5"/>
                <w:w w:val="99"/>
                <w:sz w:val="24"/>
                <w:szCs w:val="24"/>
              </w:rPr>
              <w:t>11.7</w:t>
            </w:r>
            <w:r>
              <w:rPr>
                <w:rFonts w:ascii="Arial" w:hAnsi="Arial" w:cs="Arial" w:eastAsia="Arial" w:hint="default"/>
                <w:spacing w:val="-4"/>
                <w:w w:val="99"/>
                <w:sz w:val="24"/>
                <w:szCs w:val="24"/>
              </w:rPr>
              <w:t> </w:t>
            </w:r>
            <w:r>
              <w:rPr>
                <w:rFonts w:ascii="宋体" w:hAnsi="宋体" w:cs="宋体" w:eastAsia="宋体" w:hint="default"/>
                <w:spacing w:val="-1"/>
                <w:w w:val="99"/>
                <w:sz w:val="24"/>
                <w:szCs w:val="24"/>
              </w:rPr>
              <w:t>亿元</w:t>
            </w:r>
            <w:r>
              <w:rPr>
                <w:rFonts w:ascii="Arial" w:hAnsi="Arial" w:cs="Arial" w:eastAsia="Arial" w:hint="default"/>
                <w:spacing w:val="-1"/>
                <w:w w:val="99"/>
                <w:sz w:val="24"/>
                <w:szCs w:val="24"/>
              </w:rPr>
              <w:t>(2014</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pacing w:val="-1"/>
                <w:w w:val="99"/>
                <w:sz w:val="24"/>
                <w:szCs w:val="24"/>
              </w:rPr>
              <w:t>12</w:t>
            </w:r>
            <w:r>
              <w:rPr>
                <w:rFonts w:ascii="Arial" w:hAnsi="Arial" w:cs="Arial" w:eastAsia="Arial" w:hint="default"/>
                <w:spacing w:val="-4"/>
                <w:w w:val="99"/>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Arial" w:hAnsi="Arial" w:cs="Arial" w:eastAsia="Arial" w:hint="default"/>
                <w:spacing w:val="-1"/>
                <w:w w:val="99"/>
                <w:sz w:val="24"/>
                <w:szCs w:val="24"/>
              </w:rPr>
              <w:t>31</w:t>
            </w:r>
            <w:r>
              <w:rPr>
                <w:rFonts w:ascii="Arial" w:hAnsi="Arial" w:cs="Arial" w:eastAsia="Arial" w:hint="default"/>
                <w:spacing w:val="-4"/>
                <w:w w:val="99"/>
                <w:sz w:val="24"/>
                <w:szCs w:val="24"/>
              </w:rPr>
              <w:t> </w:t>
            </w:r>
            <w:r>
              <w:rPr>
                <w:rFonts w:ascii="宋体" w:hAnsi="宋体" w:cs="宋体" w:eastAsia="宋体" w:hint="default"/>
                <w:spacing w:val="-17"/>
                <w:sz w:val="24"/>
                <w:szCs w:val="24"/>
              </w:rPr>
              <w:t>日：无</w:t>
            </w:r>
            <w:r>
              <w:rPr>
                <w:rFonts w:ascii="Arial" w:hAnsi="Arial" w:cs="Arial" w:eastAsia="Arial" w:hint="default"/>
                <w:spacing w:val="-17"/>
                <w:sz w:val="24"/>
                <w:szCs w:val="24"/>
              </w:rPr>
              <w:t>)(</w:t>
            </w:r>
            <w:r>
              <w:rPr>
                <w:rFonts w:ascii="宋体" w:hAnsi="宋体" w:cs="宋体" w:eastAsia="宋体" w:hint="default"/>
                <w:spacing w:val="-17"/>
                <w:sz w:val="24"/>
                <w:szCs w:val="24"/>
              </w:rPr>
              <w:t>附注</w:t>
            </w:r>
            <w:r>
              <w:rPr>
                <w:rFonts w:ascii="宋体" w:hAnsi="宋体" w:cs="宋体" w:eastAsia="宋体" w:hint="default"/>
                <w:sz w:val="24"/>
                <w:szCs w:val="24"/>
              </w:rPr>
              <w:t> 八</w:t>
            </w:r>
            <w:r>
              <w:rPr>
                <w:rFonts w:ascii="Arial" w:hAnsi="Arial" w:cs="Arial" w:eastAsia="Arial" w:hint="default"/>
                <w:sz w:val="24"/>
                <w:szCs w:val="24"/>
              </w:rPr>
              <w:t>(8))</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685"/>
        <w:gridCol w:w="3322"/>
        <w:gridCol w:w="2537"/>
        <w:gridCol w:w="283"/>
        <w:gridCol w:w="2436"/>
      </w:tblGrid>
      <w:tr>
        <w:trPr>
          <w:trHeight w:val="416"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322" w:type="dxa"/>
            <w:tcBorders>
              <w:top w:val="nil" w:sz="6" w:space="0" w:color="auto"/>
              <w:left w:val="nil" w:sz="6" w:space="0" w:color="auto"/>
              <w:bottom w:val="nil" w:sz="6" w:space="0" w:color="auto"/>
              <w:right w:val="nil" w:sz="6" w:space="0" w:color="auto"/>
            </w:tcBorders>
          </w:tcPr>
          <w:p>
            <w:pPr>
              <w:pStyle w:val="TableParagraph"/>
              <w:spacing w:line="257" w:lineRule="exact"/>
              <w:ind w:left="19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
        </w:tc>
      </w:tr>
      <w:tr>
        <w:trPr>
          <w:trHeight w:val="585"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91" w:right="0"/>
              <w:jc w:val="left"/>
              <w:rPr>
                <w:rFonts w:ascii="黑体" w:hAnsi="黑体" w:cs="黑体" w:eastAsia="黑体" w:hint="default"/>
                <w:sz w:val="24"/>
                <w:szCs w:val="24"/>
              </w:rPr>
            </w:pPr>
            <w:r>
              <w:rPr>
                <w:rFonts w:ascii="黑体" w:hAnsi="黑体" w:cs="黑体" w:eastAsia="黑体" w:hint="default"/>
                <w:sz w:val="24"/>
                <w:szCs w:val="24"/>
              </w:rPr>
              <w:t>发放贷款及垫款</w:t>
            </w:r>
          </w:p>
        </w:tc>
        <w:tc>
          <w:tcPr>
            <w:tcW w:w="25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
        </w:tc>
      </w:tr>
      <w:tr>
        <w:trPr>
          <w:trHeight w:val="593" w:hRule="exact"/>
        </w:trPr>
        <w:tc>
          <w:tcPr>
            <w:tcW w:w="685"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7"/>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40"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84" w:hRule="exact"/>
        </w:trPr>
        <w:tc>
          <w:tcPr>
            <w:tcW w:w="685"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1" w:right="0"/>
              <w:jc w:val="left"/>
              <w:rPr>
                <w:rFonts w:ascii="宋体" w:hAnsi="宋体" w:cs="宋体" w:eastAsia="宋体" w:hint="default"/>
                <w:sz w:val="24"/>
                <w:szCs w:val="24"/>
              </w:rPr>
            </w:pPr>
            <w:r>
              <w:rPr>
                <w:rFonts w:ascii="宋体" w:hAnsi="宋体" w:cs="宋体" w:eastAsia="宋体" w:hint="default"/>
                <w:sz w:val="24"/>
                <w:szCs w:val="24"/>
              </w:rPr>
              <w:t>发放贷款及垫款总额</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78"/>
              <w:jc w:val="right"/>
              <w:rPr>
                <w:rFonts w:ascii="Arial" w:hAnsi="Arial" w:cs="Arial" w:eastAsia="Arial" w:hint="default"/>
                <w:sz w:val="24"/>
                <w:szCs w:val="24"/>
              </w:rPr>
            </w:pPr>
            <w:r>
              <w:rPr>
                <w:rFonts w:ascii="Arial"/>
                <w:w w:val="95"/>
                <w:sz w:val="24"/>
              </w:rPr>
              <w:t>1,313,178</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107"/>
              <w:jc w:val="right"/>
              <w:rPr>
                <w:rFonts w:ascii="Arial" w:hAnsi="Arial" w:cs="Arial" w:eastAsia="Arial" w:hint="default"/>
                <w:sz w:val="24"/>
                <w:szCs w:val="24"/>
              </w:rPr>
            </w:pPr>
            <w:r>
              <w:rPr>
                <w:rFonts w:ascii="Arial"/>
                <w:spacing w:val="-1"/>
                <w:sz w:val="24"/>
              </w:rPr>
              <w:t>505,931</w:t>
            </w:r>
            <w:r>
              <w:rPr>
                <w:rFonts w:ascii="Arial"/>
                <w:sz w:val="24"/>
              </w:rPr>
            </w:r>
          </w:p>
        </w:tc>
      </w:tr>
      <w:tr>
        <w:trPr>
          <w:trHeight w:val="313" w:hRule="exact"/>
        </w:trPr>
        <w:tc>
          <w:tcPr>
            <w:tcW w:w="685"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减：贷款损失准备</w:t>
            </w:r>
          </w:p>
        </w:tc>
        <w:tc>
          <w:tcPr>
            <w:tcW w:w="2537" w:type="dxa"/>
            <w:tcBorders>
              <w:top w:val="nil" w:sz="6" w:space="0" w:color="auto"/>
              <w:left w:val="nil" w:sz="6" w:space="0" w:color="auto"/>
              <w:bottom w:val="nil" w:sz="6" w:space="0" w:color="auto"/>
              <w:right w:val="nil" w:sz="6" w:space="0" w:color="auto"/>
            </w:tcBorders>
          </w:tcPr>
          <w:p>
            <w:pPr>
              <w:pStyle w:val="TableParagraph"/>
              <w:tabs>
                <w:tab w:pos="1672" w:val="left" w:leader="none"/>
              </w:tabs>
              <w:spacing w:line="240" w:lineRule="auto" w:before="19"/>
              <w:ind w:right="2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(1,510)</w:t>
            </w:r>
            <w:r>
              <w:rPr>
                <w:rFonts w:ascii="Arial"/>
                <w:w w:val="95"/>
                <w:sz w:val="24"/>
              </w:rPr>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19"/>
              <w:ind w:left="-17" w:right="2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(65)</w:t>
            </w:r>
            <w:r>
              <w:rPr>
                <w:rFonts w:ascii="Arial"/>
                <w:w w:val="95"/>
                <w:sz w:val="24"/>
              </w:rPr>
            </w:r>
            <w:r>
              <w:rPr>
                <w:rFonts w:ascii="Arial"/>
                <w:sz w:val="24"/>
              </w:rPr>
            </w:r>
          </w:p>
        </w:tc>
      </w:tr>
      <w:tr>
        <w:trPr>
          <w:trHeight w:val="438" w:hRule="exact"/>
        </w:trPr>
        <w:tc>
          <w:tcPr>
            <w:tcW w:w="685" w:type="dxa"/>
            <w:tcBorders>
              <w:top w:val="nil" w:sz="6" w:space="0" w:color="auto"/>
              <w:left w:val="nil" w:sz="6" w:space="0" w:color="auto"/>
              <w:bottom w:val="nil" w:sz="6" w:space="0" w:color="auto"/>
              <w:right w:val="nil" w:sz="6" w:space="0" w:color="auto"/>
            </w:tcBorders>
          </w:tcPr>
          <w:p>
            <w:pPr/>
          </w:p>
        </w:tc>
        <w:tc>
          <w:tcPr>
            <w:tcW w:w="5859" w:type="dxa"/>
            <w:gridSpan w:val="2"/>
            <w:tcBorders>
              <w:top w:val="nil" w:sz="6" w:space="0" w:color="auto"/>
              <w:left w:val="nil" w:sz="6" w:space="0" w:color="auto"/>
              <w:bottom w:val="nil" w:sz="6" w:space="0" w:color="auto"/>
              <w:right w:val="nil" w:sz="6" w:space="0" w:color="auto"/>
            </w:tcBorders>
          </w:tcPr>
          <w:p>
            <w:pPr>
              <w:pStyle w:val="TableParagraph"/>
              <w:tabs>
                <w:tab w:pos="4729" w:val="left" w:leader="none"/>
                <w:tab w:pos="5888" w:val="left" w:leader="none"/>
              </w:tabs>
              <w:spacing w:line="268" w:lineRule="exact"/>
              <w:ind w:left="3397" w:right="-2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1,311,668</w:t>
              <w:tab/>
            </w:r>
            <w:r>
              <w:rPr>
                <w:rFonts w:ascii="Arial"/>
                <w:spacing w:val="-3"/>
                <w:sz w:val="24"/>
              </w:rPr>
            </w: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tabs>
                <w:tab w:pos="1460" w:val="left" w:leader="none"/>
                <w:tab w:pos="2435" w:val="left" w:leader="none"/>
              </w:tabs>
              <w:spacing w:line="268" w:lineRule="exact"/>
              <w:ind w:left="-17"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505,866</w:t>
              <w:tab/>
            </w:r>
            <w:r>
              <w:rPr>
                <w:rFonts w:ascii="Arial"/>
                <w:spacing w:val="-1"/>
                <w:sz w:val="24"/>
              </w:rPr>
            </w:r>
          </w:p>
        </w:tc>
      </w:tr>
      <w:tr>
        <w:trPr>
          <w:trHeight w:val="1524" w:hRule="exact"/>
        </w:trPr>
        <w:tc>
          <w:tcPr>
            <w:tcW w:w="9263" w:type="dxa"/>
            <w:gridSpan w:val="5"/>
            <w:tcBorders>
              <w:top w:val="nil" w:sz="6" w:space="0" w:color="auto"/>
              <w:left w:val="nil" w:sz="6" w:space="0" w:color="auto"/>
              <w:bottom w:val="nil" w:sz="6" w:space="0" w:color="auto"/>
              <w:right w:val="nil" w:sz="6" w:space="0" w:color="auto"/>
            </w:tcBorders>
          </w:tcPr>
          <w:p>
            <w:pPr>
              <w:pStyle w:val="TableParagraph"/>
              <w:spacing w:line="321" w:lineRule="exact" w:before="100"/>
              <w:ind w:left="875"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w:t>
            </w:r>
            <w:r>
              <w:rPr>
                <w:rFonts w:ascii="宋体" w:hAnsi="宋体" w:cs="宋体" w:eastAsia="宋体" w:hint="default"/>
                <w:spacing w:val="-111"/>
                <w:sz w:val="24"/>
                <w:szCs w:val="24"/>
              </w:rPr>
              <w:t>，</w:t>
            </w:r>
            <w:r>
              <w:rPr>
                <w:rFonts w:ascii="宋体" w:hAnsi="宋体" w:cs="宋体" w:eastAsia="宋体" w:hint="default"/>
                <w:sz w:val="24"/>
                <w:szCs w:val="24"/>
              </w:rPr>
              <w:t>发放贷款及垫款系本集团下属子公司重庆苏宁小额贷款</w:t>
            </w:r>
          </w:p>
          <w:p>
            <w:pPr>
              <w:pStyle w:val="TableParagraph"/>
              <w:spacing w:line="232" w:lineRule="auto"/>
              <w:ind w:left="875" w:right="102"/>
              <w:jc w:val="both"/>
              <w:rPr>
                <w:rFonts w:ascii="宋体" w:hAnsi="宋体" w:cs="宋体" w:eastAsia="宋体" w:hint="default"/>
                <w:sz w:val="24"/>
                <w:szCs w:val="24"/>
              </w:rPr>
            </w:pPr>
            <w:r>
              <w:rPr>
                <w:rFonts w:ascii="宋体" w:hAnsi="宋体" w:cs="宋体" w:eastAsia="宋体" w:hint="default"/>
                <w:sz w:val="24"/>
                <w:szCs w:val="24"/>
              </w:rPr>
              <w:t>有限公司和苏宁商业保理有限公司对外发放的还款期均在 </w:t>
            </w:r>
            <w:r>
              <w:rPr>
                <w:rFonts w:ascii="Arial" w:hAnsi="Arial" w:cs="Arial" w:eastAsia="Arial" w:hint="default"/>
                <w:sz w:val="24"/>
                <w:szCs w:val="24"/>
              </w:rPr>
              <w:t>1</w:t>
            </w:r>
            <w:r>
              <w:rPr>
                <w:rFonts w:ascii="Arial" w:hAnsi="Arial" w:cs="Arial" w:eastAsia="Arial" w:hint="default"/>
                <w:spacing w:val="36"/>
                <w:sz w:val="24"/>
                <w:szCs w:val="24"/>
              </w:rPr>
              <w:t> </w:t>
            </w:r>
            <w:r>
              <w:rPr>
                <w:rFonts w:ascii="宋体" w:hAnsi="宋体" w:cs="宋体" w:eastAsia="宋体" w:hint="default"/>
                <w:sz w:val="24"/>
                <w:szCs w:val="24"/>
              </w:rPr>
              <w:t>年以内的公司类贷 </w:t>
            </w:r>
            <w:r>
              <w:rPr>
                <w:rFonts w:ascii="宋体" w:hAnsi="宋体" w:cs="宋体" w:eastAsia="宋体" w:hint="default"/>
                <w:spacing w:val="3"/>
                <w:sz w:val="24"/>
                <w:szCs w:val="24"/>
              </w:rPr>
              <w:t>款及垫款、个人消费信贷等。该类款项信用期均在一年以内，无已逾期未减值</w:t>
            </w:r>
            <w:r>
              <w:rPr>
                <w:rFonts w:ascii="宋体" w:hAnsi="宋体" w:cs="宋体" w:eastAsia="宋体" w:hint="default"/>
                <w:spacing w:val="3"/>
                <w:sz w:val="24"/>
                <w:szCs w:val="24"/>
              </w:rPr>
              <w:t> </w:t>
            </w:r>
            <w:r>
              <w:rPr>
                <w:rFonts w:ascii="宋体" w:hAnsi="宋体" w:cs="宋体" w:eastAsia="宋体" w:hint="default"/>
                <w:sz w:val="24"/>
                <w:szCs w:val="24"/>
              </w:rPr>
              <w:t>的发放贷款及垫款</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585"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w:t>
            </w:r>
          </w:p>
        </w:tc>
        <w:tc>
          <w:tcPr>
            <w:tcW w:w="58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91" w:right="0"/>
              <w:jc w:val="left"/>
              <w:rPr>
                <w:rFonts w:ascii="黑体" w:hAnsi="黑体" w:cs="黑体" w:eastAsia="黑体" w:hint="default"/>
                <w:sz w:val="24"/>
                <w:szCs w:val="24"/>
              </w:rPr>
            </w:pPr>
            <w:r>
              <w:rPr>
                <w:rFonts w:ascii="黑体" w:hAnsi="黑体" w:cs="黑体" w:eastAsia="黑体" w:hint="default"/>
                <w:sz w:val="24"/>
                <w:szCs w:val="24"/>
              </w:rPr>
              <w:t>以公允价值计量且其变动计入当期损益的金融资产</w:t>
            </w: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
        </w:tc>
      </w:tr>
      <w:tr>
        <w:trPr>
          <w:trHeight w:val="590" w:hRule="exact"/>
        </w:trPr>
        <w:tc>
          <w:tcPr>
            <w:tcW w:w="685"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97"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9" w:hRule="exact"/>
        </w:trPr>
        <w:tc>
          <w:tcPr>
            <w:tcW w:w="685"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1" w:right="0"/>
              <w:jc w:val="left"/>
              <w:rPr>
                <w:rFonts w:ascii="Arial" w:hAnsi="Arial" w:cs="Arial" w:eastAsia="Arial" w:hint="default"/>
                <w:sz w:val="24"/>
                <w:szCs w:val="24"/>
              </w:rPr>
            </w:pPr>
            <w:r>
              <w:rPr>
                <w:rFonts w:ascii="宋体" w:hAnsi="宋体" w:cs="宋体" w:eastAsia="宋体" w:hint="default"/>
                <w:sz w:val="24"/>
                <w:szCs w:val="24"/>
              </w:rPr>
              <w:t>理财产品</w:t>
            </w:r>
            <w:r>
              <w:rPr>
                <w:rFonts w:ascii="Arial" w:hAnsi="Arial" w:cs="Arial" w:eastAsia="Arial" w:hint="default"/>
                <w:sz w:val="24"/>
                <w:szCs w:val="24"/>
              </w:rPr>
              <w:t>(a)</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496" w:right="0"/>
              <w:jc w:val="left"/>
              <w:rPr>
                <w:rFonts w:ascii="Arial" w:hAnsi="Arial" w:cs="Arial" w:eastAsia="Arial" w:hint="default"/>
                <w:sz w:val="24"/>
                <w:szCs w:val="24"/>
              </w:rPr>
            </w:pPr>
            <w:r>
              <w:rPr>
                <w:rFonts w:ascii="Arial"/>
                <w:sz w:val="24"/>
              </w:rPr>
              <w:t>657,495</w:t>
            </w: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195" w:right="0"/>
              <w:jc w:val="left"/>
              <w:rPr>
                <w:rFonts w:ascii="Arial" w:hAnsi="Arial" w:cs="Arial" w:eastAsia="Arial" w:hint="default"/>
                <w:sz w:val="24"/>
                <w:szCs w:val="24"/>
              </w:rPr>
            </w:pPr>
            <w:r>
              <w:rPr>
                <w:rFonts w:ascii="Arial"/>
                <w:sz w:val="24"/>
              </w:rPr>
              <w:t>2,644,705</w:t>
            </w:r>
          </w:p>
        </w:tc>
      </w:tr>
      <w:tr>
        <w:trPr>
          <w:trHeight w:val="315" w:hRule="exact"/>
        </w:trPr>
        <w:tc>
          <w:tcPr>
            <w:tcW w:w="685"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Style w:val="TableParagraph"/>
              <w:spacing w:line="290" w:lineRule="exact"/>
              <w:ind w:left="191" w:right="0"/>
              <w:jc w:val="left"/>
              <w:rPr>
                <w:rFonts w:ascii="Arial" w:hAnsi="Arial" w:cs="Arial" w:eastAsia="Arial" w:hint="default"/>
                <w:sz w:val="24"/>
                <w:szCs w:val="24"/>
              </w:rPr>
            </w:pPr>
            <w:r>
              <w:rPr>
                <w:rFonts w:ascii="宋体" w:hAnsi="宋体" w:cs="宋体" w:eastAsia="宋体" w:hint="default"/>
                <w:sz w:val="24"/>
                <w:szCs w:val="24"/>
              </w:rPr>
              <w:t>新股预约权</w:t>
            </w:r>
            <w:r>
              <w:rPr>
                <w:rFonts w:ascii="Arial" w:hAnsi="Arial" w:cs="Arial" w:eastAsia="Arial" w:hint="default"/>
                <w:sz w:val="24"/>
                <w:szCs w:val="24"/>
              </w:rPr>
              <w:t>(b)</w:t>
            </w:r>
          </w:p>
        </w:tc>
        <w:tc>
          <w:tcPr>
            <w:tcW w:w="2537" w:type="dxa"/>
            <w:tcBorders>
              <w:top w:val="nil" w:sz="6" w:space="0" w:color="auto"/>
              <w:left w:val="nil" w:sz="6" w:space="0" w:color="auto"/>
              <w:bottom w:val="single" w:sz="4" w:space="0" w:color="000000"/>
              <w:right w:val="nil" w:sz="6" w:space="0" w:color="auto"/>
            </w:tcBorders>
          </w:tcPr>
          <w:p>
            <w:pPr>
              <w:pStyle w:val="TableParagraph"/>
              <w:spacing w:line="271" w:lineRule="exact"/>
              <w:ind w:left="1629" w:right="0"/>
              <w:jc w:val="left"/>
              <w:rPr>
                <w:rFonts w:ascii="Arial" w:hAnsi="Arial" w:cs="Arial" w:eastAsia="Arial" w:hint="default"/>
                <w:sz w:val="24"/>
                <w:szCs w:val="24"/>
              </w:rPr>
            </w:pPr>
            <w:r>
              <w:rPr>
                <w:rFonts w:ascii="Arial"/>
                <w:sz w:val="24"/>
              </w:rPr>
              <w:t>21,376</w:t>
            </w: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single" w:sz="4" w:space="0" w:color="000000"/>
              <w:right w:val="nil" w:sz="6" w:space="0" w:color="auto"/>
            </w:tcBorders>
          </w:tcPr>
          <w:p>
            <w:pPr>
              <w:pStyle w:val="TableParagraph"/>
              <w:spacing w:line="271" w:lineRule="exact"/>
              <w:ind w:right="171"/>
              <w:jc w:val="right"/>
              <w:rPr>
                <w:rFonts w:ascii="Arial" w:hAnsi="Arial" w:cs="Arial" w:eastAsia="Arial" w:hint="default"/>
                <w:sz w:val="24"/>
                <w:szCs w:val="24"/>
              </w:rPr>
            </w:pPr>
            <w:r>
              <w:rPr>
                <w:rFonts w:ascii="Arial"/>
                <w:w w:val="99"/>
                <w:sz w:val="24"/>
              </w:rPr>
              <w:t>-</w:t>
            </w:r>
            <w:r>
              <w:rPr>
                <w:rFonts w:ascii="Arial"/>
                <w:sz w:val="24"/>
              </w:rPr>
            </w:r>
          </w:p>
        </w:tc>
      </w:tr>
      <w:tr>
        <w:trPr>
          <w:trHeight w:val="332" w:hRule="exact"/>
        </w:trPr>
        <w:tc>
          <w:tcPr>
            <w:tcW w:w="685"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
        </w:tc>
        <w:tc>
          <w:tcPr>
            <w:tcW w:w="2537"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1496" w:right="0"/>
              <w:jc w:val="left"/>
              <w:rPr>
                <w:rFonts w:ascii="Arial" w:hAnsi="Arial" w:cs="Arial" w:eastAsia="Arial" w:hint="default"/>
                <w:sz w:val="24"/>
                <w:szCs w:val="24"/>
              </w:rPr>
            </w:pPr>
            <w:r>
              <w:rPr>
                <w:rFonts w:ascii="Arial"/>
                <w:sz w:val="24"/>
              </w:rPr>
              <w:t>678,871</w:t>
            </w:r>
          </w:p>
        </w:tc>
        <w:tc>
          <w:tcPr>
            <w:tcW w:w="283" w:type="dxa"/>
            <w:tcBorders>
              <w:top w:val="nil" w:sz="6" w:space="0" w:color="auto"/>
              <w:left w:val="nil" w:sz="6" w:space="0" w:color="auto"/>
              <w:bottom w:val="nil" w:sz="6" w:space="0" w:color="auto"/>
              <w:right w:val="nil" w:sz="6" w:space="0" w:color="auto"/>
            </w:tcBorders>
          </w:tcPr>
          <w:p>
            <w:pPr/>
          </w:p>
        </w:tc>
        <w:tc>
          <w:tcPr>
            <w:tcW w:w="24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1195" w:right="0"/>
              <w:jc w:val="left"/>
              <w:rPr>
                <w:rFonts w:ascii="Arial" w:hAnsi="Arial" w:cs="Arial" w:eastAsia="Arial" w:hint="default"/>
                <w:sz w:val="24"/>
                <w:szCs w:val="24"/>
              </w:rPr>
            </w:pPr>
            <w:r>
              <w:rPr>
                <w:rFonts w:ascii="Arial"/>
                <w:sz w:val="24"/>
              </w:rPr>
              <w:t>2,644,705</w:t>
            </w:r>
          </w:p>
        </w:tc>
      </w:tr>
      <w:tr>
        <w:trPr>
          <w:trHeight w:val="2603"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57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30" w:lineRule="auto"/>
              <w:ind w:left="191" w:right="5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Arial" w:hAnsi="Arial" w:cs="Arial" w:eastAsia="Arial" w:hint="default"/>
                <w:sz w:val="24"/>
                <w:szCs w:val="24"/>
              </w:rPr>
              <w:t>2015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日，本集团以公允价值计量且其变动计入当期损益的金融 资产包含购买的多笔尚未到期的浮动收益理财产品。由于该理财产品是嵌入衍</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生工具的混合工具，本集团将其直接指定为以公允价值计量且其变动计入当期</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3"/>
                <w:sz w:val="24"/>
                <w:szCs w:val="24"/>
              </w:rPr>
              <w:t>损益的金融资产。根据合同条款，该理财产品的收益挂钩工具一般为</w:t>
            </w:r>
            <w:r>
              <w:rPr>
                <w:rFonts w:ascii="宋体" w:hAnsi="宋体" w:cs="宋体" w:eastAsia="宋体" w:hint="default"/>
                <w:spacing w:val="-59"/>
                <w:sz w:val="24"/>
                <w:szCs w:val="24"/>
              </w:rPr>
              <w:t> </w:t>
            </w:r>
            <w:r>
              <w:rPr>
                <w:rFonts w:ascii="Arial" w:hAnsi="Arial" w:cs="Arial" w:eastAsia="Arial" w:hint="default"/>
                <w:sz w:val="24"/>
                <w:szCs w:val="24"/>
              </w:rPr>
              <w:t>SHIBOR</w:t>
            </w:r>
            <w:r>
              <w:rPr>
                <w:rFonts w:ascii="宋体" w:hAnsi="宋体" w:cs="宋体" w:eastAsia="宋体" w:hint="default"/>
                <w:sz w:val="24"/>
                <w:szCs w:val="24"/>
              </w:rPr>
              <w:t>、</w:t>
            </w:r>
            <w:r>
              <w:rPr>
                <w:rFonts w:ascii="宋体" w:hAnsi="宋体" w:cs="宋体" w:eastAsia="宋体" w:hint="default"/>
                <w:w w:val="100"/>
                <w:sz w:val="24"/>
                <w:szCs w:val="24"/>
              </w:rPr>
              <w:t> </w:t>
            </w:r>
            <w:r>
              <w:rPr>
                <w:rFonts w:ascii="宋体" w:hAnsi="宋体" w:cs="宋体" w:eastAsia="宋体" w:hint="default"/>
                <w:sz w:val="24"/>
                <w:szCs w:val="24"/>
              </w:rPr>
              <w:t>欧元</w:t>
            </w:r>
            <w:r>
              <w:rPr>
                <w:rFonts w:ascii="Arial" w:hAnsi="Arial" w:cs="Arial" w:eastAsia="Arial" w:hint="default"/>
                <w:sz w:val="24"/>
                <w:szCs w:val="24"/>
              </w:rPr>
              <w:t>/</w:t>
            </w:r>
            <w:r>
              <w:rPr>
                <w:rFonts w:ascii="宋体" w:hAnsi="宋体" w:cs="宋体" w:eastAsia="宋体" w:hint="default"/>
                <w:sz w:val="24"/>
                <w:szCs w:val="24"/>
              </w:rPr>
              <w:t>美元汇率等，期末需根据挂钩工具的变动来确定理财产品收益率。因此， 该理财产品期末的公允价值根据其收益挂钩工具以</w:t>
            </w:r>
            <w:r>
              <w:rPr>
                <w:rFonts w:ascii="宋体" w:hAnsi="宋体" w:cs="宋体" w:eastAsia="宋体" w:hint="default"/>
                <w:spacing w:val="-50"/>
                <w:sz w:val="24"/>
                <w:szCs w:val="24"/>
              </w:rPr>
              <w:t> </w:t>
            </w:r>
            <w:r>
              <w:rPr>
                <w:rFonts w:ascii="Arial" w:hAnsi="Arial" w:cs="Arial" w:eastAsia="Arial" w:hint="default"/>
                <w:sz w:val="24"/>
                <w:szCs w:val="24"/>
              </w:rPr>
              <w:t>2015</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日的观察 值确定。</w:t>
            </w:r>
          </w:p>
        </w:tc>
      </w:tr>
      <w:tr>
        <w:trPr>
          <w:trHeight w:val="1663"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8579"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103"/>
              <w:ind w:left="191" w:right="0"/>
              <w:jc w:val="both"/>
              <w:rPr>
                <w:rFonts w:ascii="宋体" w:hAnsi="宋体" w:cs="宋体" w:eastAsia="宋体" w:hint="default"/>
                <w:sz w:val="24"/>
                <w:szCs w:val="24"/>
              </w:rPr>
            </w:pPr>
            <w:r>
              <w:rPr>
                <w:rFonts w:ascii="宋体" w:hAnsi="宋体" w:cs="宋体" w:eastAsia="宋体" w:hint="default"/>
                <w:sz w:val="24"/>
                <w:szCs w:val="24"/>
              </w:rPr>
              <w:t>根据本集团与本集团子公司日本</w:t>
            </w:r>
            <w:r>
              <w:rPr>
                <w:rFonts w:ascii="宋体" w:hAnsi="宋体" w:cs="宋体" w:eastAsia="宋体" w:hint="default"/>
                <w:spacing w:val="-60"/>
                <w:sz w:val="24"/>
                <w:szCs w:val="24"/>
              </w:rPr>
              <w:t> </w:t>
            </w:r>
            <w:r>
              <w:rPr>
                <w:rFonts w:ascii="Arial" w:hAnsi="Arial" w:cs="Arial" w:eastAsia="Arial" w:hint="default"/>
                <w:sz w:val="24"/>
                <w:szCs w:val="24"/>
              </w:rPr>
              <w:t>LAOX</w:t>
            </w:r>
            <w:r>
              <w:rPr>
                <w:rFonts w:ascii="Arial" w:hAnsi="Arial" w:cs="Arial" w:eastAsia="Arial" w:hint="default"/>
                <w:spacing w:val="-7"/>
                <w:sz w:val="24"/>
                <w:szCs w:val="24"/>
              </w:rPr>
              <w:t> </w:t>
            </w:r>
            <w:r>
              <w:rPr>
                <w:rFonts w:ascii="宋体" w:hAnsi="宋体" w:cs="宋体" w:eastAsia="宋体" w:hint="default"/>
                <w:sz w:val="24"/>
                <w:szCs w:val="24"/>
              </w:rPr>
              <w:t>株式会社</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2015</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p>
          <w:p>
            <w:pPr>
              <w:pStyle w:val="TableParagraph"/>
              <w:spacing w:line="311" w:lineRule="exact"/>
              <w:ind w:left="191" w:right="0"/>
              <w:jc w:val="both"/>
              <w:rPr>
                <w:rFonts w:ascii="宋体" w:hAnsi="宋体" w:cs="宋体" w:eastAsia="宋体" w:hint="default"/>
                <w:sz w:val="24"/>
                <w:szCs w:val="24"/>
              </w:rPr>
            </w:pPr>
            <w:r>
              <w:rPr>
                <w:rFonts w:ascii="Arial" w:hAnsi="Arial" w:cs="Arial" w:eastAsia="Arial" w:hint="default"/>
                <w:sz w:val="24"/>
                <w:szCs w:val="24"/>
              </w:rPr>
              <w:t>16 </w:t>
            </w:r>
            <w:r>
              <w:rPr>
                <w:rFonts w:ascii="宋体" w:hAnsi="宋体" w:cs="宋体" w:eastAsia="宋体" w:hint="default"/>
                <w:sz w:val="24"/>
                <w:szCs w:val="24"/>
              </w:rPr>
              <w:t>日签订的新股预约权购买合同</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(40))</w:t>
            </w:r>
            <w:r>
              <w:rPr>
                <w:rFonts w:ascii="宋体" w:hAnsi="宋体" w:cs="宋体" w:eastAsia="宋体" w:hint="default"/>
                <w:sz w:val="24"/>
                <w:szCs w:val="24"/>
              </w:rPr>
              <w:t>，本集团认购日本 </w:t>
            </w:r>
            <w:r>
              <w:rPr>
                <w:rFonts w:ascii="Arial" w:hAnsi="Arial" w:cs="Arial" w:eastAsia="Arial" w:hint="default"/>
                <w:sz w:val="24"/>
                <w:szCs w:val="24"/>
              </w:rPr>
              <w:t>LAOX</w:t>
            </w:r>
            <w:r>
              <w:rPr>
                <w:rFonts w:ascii="Arial" w:hAnsi="Arial" w:cs="Arial" w:eastAsia="Arial" w:hint="default"/>
                <w:spacing w:val="-20"/>
                <w:sz w:val="24"/>
                <w:szCs w:val="24"/>
              </w:rPr>
              <w:t> </w:t>
            </w:r>
            <w:r>
              <w:rPr>
                <w:rFonts w:ascii="宋体" w:hAnsi="宋体" w:cs="宋体" w:eastAsia="宋体" w:hint="default"/>
                <w:sz w:val="24"/>
                <w:szCs w:val="24"/>
              </w:rPr>
              <w:t>发行的</w:t>
            </w:r>
          </w:p>
          <w:p>
            <w:pPr>
              <w:pStyle w:val="TableParagraph"/>
              <w:spacing w:line="225" w:lineRule="auto" w:before="7"/>
              <w:ind w:left="191" w:right="169"/>
              <w:jc w:val="both"/>
              <w:rPr>
                <w:rFonts w:ascii="宋体" w:hAnsi="宋体" w:cs="宋体" w:eastAsia="宋体" w:hint="default"/>
                <w:sz w:val="24"/>
                <w:szCs w:val="24"/>
              </w:rPr>
            </w:pPr>
            <w:r>
              <w:rPr>
                <w:rFonts w:ascii="Arial" w:hAnsi="Arial" w:cs="Arial" w:eastAsia="Arial" w:hint="default"/>
                <w:sz w:val="24"/>
                <w:szCs w:val="24"/>
              </w:rPr>
              <w:t>350</w:t>
            </w:r>
            <w:r>
              <w:rPr>
                <w:rFonts w:ascii="Arial" w:hAnsi="Arial" w:cs="Arial" w:eastAsia="Arial" w:hint="default"/>
                <w:spacing w:val="-10"/>
                <w:sz w:val="24"/>
                <w:szCs w:val="24"/>
              </w:rPr>
              <w:t> </w:t>
            </w:r>
            <w:r>
              <w:rPr>
                <w:rFonts w:ascii="宋体" w:hAnsi="宋体" w:cs="宋体" w:eastAsia="宋体" w:hint="default"/>
                <w:sz w:val="24"/>
                <w:szCs w:val="24"/>
              </w:rPr>
              <w:t>个新股预约权，从而有权以约定的行权价在</w:t>
            </w:r>
            <w:r>
              <w:rPr>
                <w:rFonts w:ascii="宋体" w:hAnsi="宋体" w:cs="宋体" w:eastAsia="宋体" w:hint="default"/>
                <w:spacing w:val="-63"/>
                <w:sz w:val="24"/>
                <w:szCs w:val="24"/>
              </w:rPr>
              <w:t> </w:t>
            </w: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4</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6</w:t>
            </w:r>
            <w:r>
              <w:rPr>
                <w:rFonts w:ascii="Arial" w:hAnsi="Arial" w:cs="Arial" w:eastAsia="Arial" w:hint="default"/>
                <w:spacing w:val="-10"/>
                <w:sz w:val="24"/>
                <w:szCs w:val="24"/>
              </w:rPr>
              <w:t> </w:t>
            </w:r>
            <w:r>
              <w:rPr>
                <w:rFonts w:ascii="宋体" w:hAnsi="宋体" w:cs="宋体" w:eastAsia="宋体" w:hint="default"/>
                <w:sz w:val="24"/>
                <w:szCs w:val="24"/>
              </w:rPr>
              <w:t>日至</w:t>
            </w:r>
            <w:r>
              <w:rPr>
                <w:rFonts w:ascii="宋体" w:hAnsi="宋体" w:cs="宋体" w:eastAsia="宋体" w:hint="default"/>
                <w:spacing w:val="-63"/>
                <w:sz w:val="24"/>
                <w:szCs w:val="24"/>
              </w:rPr>
              <w:t> </w:t>
            </w:r>
            <w:r>
              <w:rPr>
                <w:rFonts w:ascii="Arial" w:hAnsi="Arial" w:cs="Arial" w:eastAsia="Arial" w:hint="default"/>
                <w:sz w:val="24"/>
                <w:szCs w:val="24"/>
              </w:rPr>
              <w:t>2018</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4</w:t>
            </w:r>
            <w:r>
              <w:rPr>
                <w:rFonts w:ascii="Arial" w:hAnsi="Arial" w:cs="Arial" w:eastAsia="Arial" w:hint="default"/>
                <w:w w:val="99"/>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Arial" w:hAnsi="Arial" w:cs="Arial" w:eastAsia="Arial" w:hint="default"/>
                <w:sz w:val="24"/>
                <w:szCs w:val="24"/>
              </w:rPr>
              <w:t>3</w:t>
            </w:r>
            <w:r>
              <w:rPr>
                <w:rFonts w:ascii="Arial" w:hAnsi="Arial" w:cs="Arial" w:eastAsia="Arial" w:hint="default"/>
                <w:spacing w:val="5"/>
                <w:sz w:val="24"/>
                <w:szCs w:val="24"/>
              </w:rPr>
              <w:t> </w:t>
            </w:r>
            <w:r>
              <w:rPr>
                <w:rFonts w:ascii="宋体" w:hAnsi="宋体" w:cs="宋体" w:eastAsia="宋体" w:hint="default"/>
                <w:sz w:val="24"/>
                <w:szCs w:val="24"/>
              </w:rPr>
              <w:t>日</w:t>
            </w:r>
            <w:r>
              <w:rPr>
                <w:rFonts w:ascii="Arial" w:hAnsi="Arial" w:cs="Arial" w:eastAsia="Arial" w:hint="default"/>
                <w:sz w:val="24"/>
                <w:szCs w:val="24"/>
              </w:rPr>
              <w:t>(</w:t>
            </w:r>
            <w:r>
              <w:rPr>
                <w:rFonts w:ascii="宋体" w:hAnsi="宋体" w:cs="宋体" w:eastAsia="宋体" w:hint="default"/>
                <w:sz w:val="24"/>
                <w:szCs w:val="24"/>
              </w:rPr>
              <w:t>含当日</w:t>
            </w:r>
            <w:r>
              <w:rPr>
                <w:rFonts w:ascii="Arial" w:hAnsi="Arial" w:cs="Arial" w:eastAsia="Arial" w:hint="default"/>
                <w:sz w:val="24"/>
                <w:szCs w:val="24"/>
              </w:rPr>
              <w:t>)</w:t>
            </w:r>
            <w:r>
              <w:rPr>
                <w:rFonts w:ascii="宋体" w:hAnsi="宋体" w:cs="宋体" w:eastAsia="宋体" w:hint="default"/>
                <w:sz w:val="24"/>
                <w:szCs w:val="24"/>
              </w:rPr>
              <w:t>期间，部分或全部认购日本</w:t>
            </w:r>
            <w:r>
              <w:rPr>
                <w:rFonts w:ascii="宋体" w:hAnsi="宋体" w:cs="宋体" w:eastAsia="宋体" w:hint="default"/>
                <w:spacing w:val="-48"/>
                <w:sz w:val="24"/>
                <w:szCs w:val="24"/>
              </w:rPr>
              <w:t> </w:t>
            </w:r>
            <w:r>
              <w:rPr>
                <w:rFonts w:ascii="Arial" w:hAnsi="Arial" w:cs="Arial" w:eastAsia="Arial" w:hint="default"/>
                <w:sz w:val="24"/>
                <w:szCs w:val="24"/>
              </w:rPr>
              <w:t>LAOX</w:t>
            </w:r>
            <w:r>
              <w:rPr>
                <w:rFonts w:ascii="Arial" w:hAnsi="Arial" w:cs="Arial" w:eastAsia="Arial" w:hint="default"/>
                <w:spacing w:val="7"/>
                <w:sz w:val="24"/>
                <w:szCs w:val="24"/>
              </w:rPr>
              <w:t> </w:t>
            </w:r>
            <w:r>
              <w:rPr>
                <w:rFonts w:ascii="宋体" w:hAnsi="宋体" w:cs="宋体" w:eastAsia="宋体" w:hint="default"/>
                <w:sz w:val="24"/>
                <w:szCs w:val="24"/>
              </w:rPr>
              <w:t>发行的</w:t>
            </w:r>
            <w:r>
              <w:rPr>
                <w:rFonts w:ascii="宋体" w:hAnsi="宋体" w:cs="宋体" w:eastAsia="宋体" w:hint="default"/>
                <w:spacing w:val="-48"/>
                <w:sz w:val="24"/>
                <w:szCs w:val="24"/>
              </w:rPr>
              <w:t> </w:t>
            </w:r>
            <w:r>
              <w:rPr>
                <w:rFonts w:ascii="Arial" w:hAnsi="Arial" w:cs="Arial" w:eastAsia="Arial" w:hint="default"/>
                <w:sz w:val="24"/>
                <w:szCs w:val="24"/>
              </w:rPr>
              <w:t>3,500</w:t>
            </w:r>
            <w:r>
              <w:rPr>
                <w:rFonts w:ascii="Arial" w:hAnsi="Arial" w:cs="Arial" w:eastAsia="Arial" w:hint="default"/>
                <w:spacing w:val="5"/>
                <w:sz w:val="24"/>
                <w:szCs w:val="24"/>
              </w:rPr>
              <w:t> </w:t>
            </w:r>
            <w:r>
              <w:rPr>
                <w:rFonts w:ascii="宋体" w:hAnsi="宋体" w:cs="宋体" w:eastAsia="宋体" w:hint="default"/>
                <w:sz w:val="24"/>
                <w:szCs w:val="24"/>
              </w:rPr>
              <w:t>万股新股。该 新股预约权的公允价值由专业评估机构采用蒙特卡罗模拟模型确定。</w:t>
            </w:r>
          </w:p>
        </w:tc>
      </w:tr>
    </w:tbl>
    <w:p>
      <w:pPr>
        <w:spacing w:after="0" w:line="225" w:lineRule="auto"/>
        <w:jc w:val="both"/>
        <w:rPr>
          <w:rFonts w:ascii="宋体" w:hAnsi="宋体" w:cs="宋体" w:eastAsia="宋体" w:hint="default"/>
          <w:sz w:val="24"/>
          <w:szCs w:val="24"/>
        </w:rPr>
        <w:sectPr>
          <w:pgSz w:w="11910" w:h="16840"/>
          <w:pgMar w:header="755" w:footer="912" w:top="1860" w:bottom="110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698"/>
        <w:gridCol w:w="3990"/>
        <w:gridCol w:w="2182"/>
        <w:gridCol w:w="2614"/>
      </w:tblGrid>
      <w:tr>
        <w:trPr>
          <w:trHeight w:val="416"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exact"/>
              <w:ind w:right="55"/>
              <w:jc w:val="center"/>
              <w:rPr>
                <w:rFonts w:ascii="黑体" w:hAnsi="黑体" w:cs="黑体" w:eastAsia="黑体" w:hint="default"/>
                <w:sz w:val="24"/>
                <w:szCs w:val="24"/>
              </w:rPr>
            </w:pPr>
            <w:r>
              <w:rPr>
                <w:rFonts w:ascii="黑体" w:hAnsi="黑体" w:cs="黑体" w:eastAsia="黑体" w:hint="default"/>
                <w:sz w:val="24"/>
                <w:szCs w:val="24"/>
              </w:rPr>
              <w:t>四</w:t>
            </w:r>
          </w:p>
        </w:tc>
        <w:tc>
          <w:tcPr>
            <w:tcW w:w="3990" w:type="dxa"/>
            <w:tcBorders>
              <w:top w:val="nil" w:sz="6" w:space="0" w:color="auto"/>
              <w:left w:val="nil" w:sz="6" w:space="0" w:color="auto"/>
              <w:bottom w:val="nil" w:sz="6" w:space="0" w:color="auto"/>
              <w:right w:val="nil" w:sz="6" w:space="0" w:color="auto"/>
            </w:tcBorders>
          </w:tcPr>
          <w:p>
            <w:pPr>
              <w:pStyle w:val="TableParagraph"/>
              <w:spacing w:line="257" w:lineRule="exact"/>
              <w:ind w:left="20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82"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
        </w:tc>
      </w:tr>
      <w:tr>
        <w:trPr>
          <w:trHeight w:val="585"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
              <w:jc w:val="center"/>
              <w:rPr>
                <w:rFonts w:ascii="Arial" w:hAnsi="Arial" w:cs="Arial" w:eastAsia="Arial" w:hint="default"/>
                <w:sz w:val="24"/>
                <w:szCs w:val="24"/>
              </w:rPr>
            </w:pPr>
            <w:r>
              <w:rPr>
                <w:rFonts w:ascii="Arial"/>
                <w:sz w:val="24"/>
              </w:rPr>
              <w:t>(4)</w:t>
            </w:r>
          </w:p>
        </w:tc>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4" w:right="0"/>
              <w:jc w:val="left"/>
              <w:rPr>
                <w:rFonts w:ascii="黑体" w:hAnsi="黑体" w:cs="黑体" w:eastAsia="黑体" w:hint="default"/>
                <w:sz w:val="24"/>
                <w:szCs w:val="24"/>
              </w:rPr>
            </w:pPr>
            <w:r>
              <w:rPr>
                <w:rFonts w:ascii="黑体" w:hAnsi="黑体" w:cs="黑体" w:eastAsia="黑体" w:hint="default"/>
                <w:sz w:val="24"/>
                <w:szCs w:val="24"/>
              </w:rPr>
              <w:t>应收票据</w:t>
            </w:r>
          </w:p>
        </w:tc>
        <w:tc>
          <w:tcPr>
            <w:tcW w:w="2182"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
        </w:tc>
      </w:tr>
      <w:tr>
        <w:trPr>
          <w:trHeight w:val="593" w:hRule="exact"/>
        </w:trPr>
        <w:tc>
          <w:tcPr>
            <w:tcW w:w="698" w:type="dxa"/>
            <w:tcBorders>
              <w:top w:val="nil" w:sz="6" w:space="0" w:color="auto"/>
              <w:left w:val="nil" w:sz="6" w:space="0" w:color="auto"/>
              <w:bottom w:val="nil" w:sz="6" w:space="0" w:color="auto"/>
              <w:right w:val="nil" w:sz="6" w:space="0" w:color="auto"/>
            </w:tcBorders>
          </w:tcPr>
          <w:p>
            <w:pPr/>
          </w:p>
        </w:tc>
        <w:tc>
          <w:tcPr>
            <w:tcW w:w="6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839"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0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698" w:type="dxa"/>
            <w:tcBorders>
              <w:top w:val="nil" w:sz="6" w:space="0" w:color="auto"/>
              <w:left w:val="nil" w:sz="6" w:space="0" w:color="auto"/>
              <w:bottom w:val="nil" w:sz="6" w:space="0" w:color="auto"/>
              <w:right w:val="nil" w:sz="6" w:space="0" w:color="auto"/>
            </w:tcBorders>
          </w:tcPr>
          <w:p>
            <w:pPr/>
          </w:p>
        </w:tc>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4"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72"/>
              <w:jc w:val="right"/>
              <w:rPr>
                <w:rFonts w:ascii="Arial" w:hAnsi="Arial" w:cs="Arial" w:eastAsia="Arial" w:hint="default"/>
                <w:sz w:val="24"/>
                <w:szCs w:val="24"/>
              </w:rPr>
            </w:pPr>
            <w:r>
              <w:rPr>
                <w:rFonts w:ascii="Arial"/>
                <w:spacing w:val="-1"/>
                <w:w w:val="95"/>
                <w:sz w:val="24"/>
              </w:rPr>
              <w:t>501</w:t>
            </w:r>
            <w:r>
              <w:rPr>
                <w:rFonts w:ascii="Arial"/>
                <w:sz w:val="24"/>
              </w:rPr>
            </w: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80"/>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698" w:type="dxa"/>
            <w:tcBorders>
              <w:top w:val="nil" w:sz="6" w:space="0" w:color="auto"/>
              <w:left w:val="nil" w:sz="6" w:space="0" w:color="auto"/>
              <w:bottom w:val="nil" w:sz="6" w:space="0" w:color="auto"/>
              <w:right w:val="nil" w:sz="6" w:space="0" w:color="auto"/>
            </w:tcBorders>
          </w:tcPr>
          <w:p>
            <w:pPr/>
          </w:p>
        </w:tc>
        <w:tc>
          <w:tcPr>
            <w:tcW w:w="3990" w:type="dxa"/>
            <w:tcBorders>
              <w:top w:val="nil" w:sz="6" w:space="0" w:color="auto"/>
              <w:left w:val="nil" w:sz="6" w:space="0" w:color="auto"/>
              <w:bottom w:val="nil" w:sz="6" w:space="0" w:color="auto"/>
              <w:right w:val="nil" w:sz="6" w:space="0" w:color="auto"/>
            </w:tcBorders>
          </w:tcPr>
          <w:p>
            <w:pPr>
              <w:pStyle w:val="TableParagraph"/>
              <w:tabs>
                <w:tab w:pos="3188" w:val="left" w:leader="none"/>
                <w:tab w:pos="5300" w:val="left" w:leader="none"/>
              </w:tabs>
              <w:spacing w:line="257" w:lineRule="exact"/>
              <w:ind w:left="204" w:right="-1311"/>
              <w:jc w:val="left"/>
              <w:rPr>
                <w:rFonts w:ascii="Arial" w:hAnsi="Arial" w:cs="Arial" w:eastAsia="Arial" w:hint="default"/>
                <w:sz w:val="24"/>
                <w:szCs w:val="24"/>
              </w:rPr>
            </w:pPr>
            <w:r>
              <w:rPr>
                <w:rFonts w:ascii="宋体" w:hAnsi="宋体" w:cs="宋体" w:eastAsia="宋体" w:hint="default"/>
                <w:position w:val="2"/>
                <w:sz w:val="24"/>
                <w:szCs w:val="24"/>
              </w:rPr>
              <w:t>银行承兑汇票</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82" w:type="dxa"/>
            <w:tcBorders>
              <w:top w:val="nil" w:sz="6" w:space="0" w:color="auto"/>
              <w:left w:val="nil" w:sz="6" w:space="0" w:color="auto"/>
              <w:bottom w:val="nil" w:sz="6" w:space="0" w:color="auto"/>
              <w:right w:val="nil" w:sz="6" w:space="0" w:color="auto"/>
            </w:tcBorders>
          </w:tcPr>
          <w:p>
            <w:pPr>
              <w:pStyle w:val="TableParagraph"/>
              <w:tabs>
                <w:tab w:pos="1994" w:val="left" w:leader="none"/>
              </w:tabs>
              <w:spacing w:line="240" w:lineRule="auto" w:before="18"/>
              <w:ind w:left="1310" w:right="0"/>
              <w:jc w:val="left"/>
              <w:rPr>
                <w:rFonts w:ascii="Arial" w:hAnsi="Arial" w:cs="Arial" w:eastAsia="Arial" w:hint="default"/>
                <w:sz w:val="24"/>
                <w:szCs w:val="24"/>
              </w:rPr>
            </w:pPr>
            <w:r>
              <w:rPr>
                <w:rFonts w:ascii="Arial"/>
                <w:w w:val="99"/>
                <w:sz w:val="24"/>
              </w:rPr>
            </w:r>
            <w:r>
              <w:rPr>
                <w:rFonts w:ascii="Arial"/>
                <w:sz w:val="24"/>
                <w:u w:val="single" w:color="000000"/>
              </w:rPr>
              <w:t>4,424</w:t>
              <w:tab/>
            </w:r>
            <w:r>
              <w:rPr>
                <w:rFonts w:ascii="Arial"/>
                <w:sz w:val="24"/>
              </w:rPr>
            </w:r>
          </w:p>
        </w:tc>
        <w:tc>
          <w:tcPr>
            <w:tcW w:w="2614" w:type="dxa"/>
            <w:tcBorders>
              <w:top w:val="nil" w:sz="6" w:space="0" w:color="auto"/>
              <w:left w:val="nil" w:sz="6" w:space="0" w:color="auto"/>
              <w:bottom w:val="nil" w:sz="6" w:space="0" w:color="auto"/>
              <w:right w:val="nil" w:sz="6" w:space="0" w:color="auto"/>
            </w:tcBorders>
          </w:tcPr>
          <w:p>
            <w:pPr>
              <w:pStyle w:val="TableParagraph"/>
              <w:tabs>
                <w:tab w:pos="2251" w:val="left" w:leader="none"/>
                <w:tab w:pos="2472" w:val="left" w:leader="none"/>
              </w:tabs>
              <w:spacing w:line="240" w:lineRule="auto" w:before="18"/>
              <w:ind w:left="-35" w:right="13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38" w:hRule="exact"/>
        </w:trPr>
        <w:tc>
          <w:tcPr>
            <w:tcW w:w="698" w:type="dxa"/>
            <w:tcBorders>
              <w:top w:val="nil" w:sz="6" w:space="0" w:color="auto"/>
              <w:left w:val="nil" w:sz="6" w:space="0" w:color="auto"/>
              <w:bottom w:val="nil" w:sz="6" w:space="0" w:color="auto"/>
              <w:right w:val="nil" w:sz="6" w:space="0" w:color="auto"/>
            </w:tcBorders>
          </w:tcPr>
          <w:p>
            <w:pPr/>
          </w:p>
        </w:tc>
        <w:tc>
          <w:tcPr>
            <w:tcW w:w="6172" w:type="dxa"/>
            <w:gridSpan w:val="2"/>
            <w:tcBorders>
              <w:top w:val="nil" w:sz="6" w:space="0" w:color="auto"/>
              <w:left w:val="nil" w:sz="6" w:space="0" w:color="auto"/>
              <w:bottom w:val="nil" w:sz="6" w:space="0" w:color="auto"/>
              <w:right w:val="nil" w:sz="6" w:space="0" w:color="auto"/>
            </w:tcBorders>
          </w:tcPr>
          <w:p>
            <w:pPr>
              <w:pStyle w:val="TableParagraph"/>
              <w:tabs>
                <w:tab w:pos="5300" w:val="left" w:leader="none"/>
                <w:tab w:pos="5984" w:val="left" w:leader="none"/>
              </w:tabs>
              <w:spacing w:line="269" w:lineRule="exact"/>
              <w:ind w:left="318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4,925</w:t>
              <w:tab/>
            </w:r>
            <w:r>
              <w:rPr>
                <w:rFonts w:ascii="Arial"/>
                <w:sz w:val="24"/>
              </w:rPr>
            </w:r>
          </w:p>
        </w:tc>
        <w:tc>
          <w:tcPr>
            <w:tcW w:w="2614" w:type="dxa"/>
            <w:tcBorders>
              <w:top w:val="nil" w:sz="6" w:space="0" w:color="auto"/>
              <w:left w:val="nil" w:sz="6" w:space="0" w:color="auto"/>
              <w:bottom w:val="nil" w:sz="6" w:space="0" w:color="auto"/>
              <w:right w:val="nil" w:sz="6" w:space="0" w:color="auto"/>
            </w:tcBorders>
          </w:tcPr>
          <w:p>
            <w:pPr>
              <w:pStyle w:val="TableParagraph"/>
              <w:tabs>
                <w:tab w:pos="2251" w:val="left" w:leader="none"/>
                <w:tab w:pos="2472" w:val="left" w:leader="none"/>
              </w:tabs>
              <w:spacing w:line="269" w:lineRule="exact"/>
              <w:ind w:left="-35" w:right="13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r>
      <w:tr>
        <w:trPr>
          <w:trHeight w:val="905" w:hRule="exact"/>
        </w:trPr>
        <w:tc>
          <w:tcPr>
            <w:tcW w:w="9484"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100"/>
              <w:ind w:left="902"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8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5</w:t>
            </w:r>
            <w:r>
              <w:rPr>
                <w:rFonts w:ascii="Arial" w:hAnsi="Arial" w:cs="Arial" w:eastAsia="Arial" w:hint="default"/>
                <w:spacing w:val="-28"/>
                <w:sz w:val="24"/>
                <w:szCs w:val="24"/>
              </w:rPr>
              <w:t> </w:t>
            </w:r>
            <w:r>
              <w:rPr>
                <w:rFonts w:ascii="宋体" w:hAnsi="宋体" w:cs="宋体" w:eastAsia="宋体" w:hint="default"/>
                <w:sz w:val="24"/>
                <w:szCs w:val="24"/>
              </w:rPr>
              <w:t>年</w:t>
            </w:r>
            <w:r>
              <w:rPr>
                <w:rFonts w:ascii="宋体" w:hAnsi="宋体" w:cs="宋体" w:eastAsia="宋体" w:hint="default"/>
                <w:spacing w:val="-81"/>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28"/>
                <w:sz w:val="24"/>
                <w:szCs w:val="24"/>
              </w:rPr>
              <w:t> </w:t>
            </w:r>
            <w:r>
              <w:rPr>
                <w:rFonts w:ascii="宋体" w:hAnsi="宋体" w:cs="宋体" w:eastAsia="宋体" w:hint="default"/>
                <w:sz w:val="24"/>
                <w:szCs w:val="24"/>
              </w:rPr>
              <w:t>月</w:t>
            </w:r>
            <w:r>
              <w:rPr>
                <w:rFonts w:ascii="宋体" w:hAnsi="宋体" w:cs="宋体" w:eastAsia="宋体" w:hint="default"/>
                <w:spacing w:val="-81"/>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28"/>
                <w:sz w:val="24"/>
                <w:szCs w:val="24"/>
              </w:rPr>
              <w:t> </w:t>
            </w:r>
            <w:r>
              <w:rPr>
                <w:rFonts w:ascii="宋体" w:hAnsi="宋体" w:cs="宋体" w:eastAsia="宋体" w:hint="default"/>
                <w:sz w:val="24"/>
                <w:szCs w:val="24"/>
              </w:rPr>
              <w:t>日和</w:t>
            </w:r>
            <w:r>
              <w:rPr>
                <w:rFonts w:ascii="宋体" w:hAnsi="宋体" w:cs="宋体" w:eastAsia="宋体" w:hint="default"/>
                <w:spacing w:val="-81"/>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28"/>
                <w:sz w:val="24"/>
                <w:szCs w:val="24"/>
              </w:rPr>
              <w:t> </w:t>
            </w:r>
            <w:r>
              <w:rPr>
                <w:rFonts w:ascii="宋体" w:hAnsi="宋体" w:cs="宋体" w:eastAsia="宋体" w:hint="default"/>
                <w:sz w:val="24"/>
                <w:szCs w:val="24"/>
              </w:rPr>
              <w:t>年</w:t>
            </w:r>
            <w:r>
              <w:rPr>
                <w:rFonts w:ascii="宋体" w:hAnsi="宋体" w:cs="宋体" w:eastAsia="宋体" w:hint="default"/>
                <w:spacing w:val="-81"/>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28"/>
                <w:sz w:val="24"/>
                <w:szCs w:val="24"/>
              </w:rPr>
              <w:t> </w:t>
            </w:r>
            <w:r>
              <w:rPr>
                <w:rFonts w:ascii="宋体" w:hAnsi="宋体" w:cs="宋体" w:eastAsia="宋体" w:hint="default"/>
                <w:sz w:val="24"/>
                <w:szCs w:val="24"/>
              </w:rPr>
              <w:t>月</w:t>
            </w:r>
            <w:r>
              <w:rPr>
                <w:rFonts w:ascii="宋体" w:hAnsi="宋体" w:cs="宋体" w:eastAsia="宋体" w:hint="default"/>
                <w:spacing w:val="-81"/>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28"/>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本集团无用于质押的应收票据</w:t>
            </w:r>
            <w:r>
              <w:rPr>
                <w:rFonts w:ascii="Arial" w:hAnsi="Arial" w:cs="Arial" w:eastAsia="Arial" w:hint="default"/>
                <w:sz w:val="24"/>
                <w:szCs w:val="24"/>
              </w:rPr>
              <w:t>(</w:t>
            </w:r>
            <w:r>
              <w:rPr>
                <w:rFonts w:ascii="Arial" w:hAnsi="Arial" w:cs="Arial" w:eastAsia="Arial" w:hint="default"/>
                <w:spacing w:val="-1"/>
                <w:w w:val="99"/>
                <w:sz w:val="24"/>
                <w:szCs w:val="24"/>
              </w:rPr>
              <w:t>2014</w:t>
            </w:r>
            <w:r>
              <w:rPr>
                <w:rFonts w:ascii="Arial" w:hAnsi="Arial" w:cs="Arial" w:eastAsia="Arial" w:hint="default"/>
                <w:sz w:val="24"/>
                <w:szCs w:val="24"/>
              </w:rPr>
            </w:r>
          </w:p>
          <w:p>
            <w:pPr>
              <w:pStyle w:val="TableParagraph"/>
              <w:spacing w:line="321" w:lineRule="exact"/>
              <w:ind w:left="90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895" w:hRule="exact"/>
        </w:trPr>
        <w:tc>
          <w:tcPr>
            <w:tcW w:w="9484"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93"/>
              <w:ind w:left="902"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45"/>
                <w:sz w:val="24"/>
                <w:szCs w:val="24"/>
              </w:rPr>
              <w:t> </w:t>
            </w: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日，本集团无已背书或已贴现但尚未到期的应收票据</w:t>
            </w:r>
            <w:r>
              <w:rPr>
                <w:rFonts w:ascii="Arial" w:hAnsi="Arial" w:cs="Arial" w:eastAsia="Arial" w:hint="default"/>
                <w:sz w:val="24"/>
                <w:szCs w:val="24"/>
              </w:rPr>
              <w:t>(2014</w:t>
            </w:r>
          </w:p>
          <w:p>
            <w:pPr>
              <w:pStyle w:val="TableParagraph"/>
              <w:spacing w:line="322" w:lineRule="exact"/>
              <w:ind w:left="90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585"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
              <w:jc w:val="center"/>
              <w:rPr>
                <w:rFonts w:ascii="Arial" w:hAnsi="Arial" w:cs="Arial" w:eastAsia="Arial" w:hint="default"/>
                <w:sz w:val="24"/>
                <w:szCs w:val="24"/>
              </w:rPr>
            </w:pPr>
            <w:r>
              <w:rPr>
                <w:rFonts w:ascii="Arial"/>
                <w:sz w:val="24"/>
              </w:rPr>
              <w:t>(5)</w:t>
            </w:r>
          </w:p>
        </w:tc>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6" w:right="0"/>
              <w:jc w:val="left"/>
              <w:rPr>
                <w:rFonts w:ascii="黑体" w:hAnsi="黑体" w:cs="黑体" w:eastAsia="黑体" w:hint="default"/>
                <w:sz w:val="24"/>
                <w:szCs w:val="24"/>
              </w:rPr>
            </w:pPr>
            <w:r>
              <w:rPr>
                <w:rFonts w:ascii="黑体" w:hAnsi="黑体" w:cs="黑体" w:eastAsia="黑体" w:hint="default"/>
                <w:sz w:val="24"/>
                <w:szCs w:val="24"/>
              </w:rPr>
              <w:t>应收利息</w:t>
            </w:r>
          </w:p>
        </w:tc>
        <w:tc>
          <w:tcPr>
            <w:tcW w:w="2182"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
        </w:tc>
      </w:tr>
      <w:tr>
        <w:trPr>
          <w:trHeight w:val="593" w:hRule="exact"/>
        </w:trPr>
        <w:tc>
          <w:tcPr>
            <w:tcW w:w="698" w:type="dxa"/>
            <w:tcBorders>
              <w:top w:val="nil" w:sz="6" w:space="0" w:color="auto"/>
              <w:left w:val="nil" w:sz="6" w:space="0" w:color="auto"/>
              <w:bottom w:val="nil" w:sz="6" w:space="0" w:color="auto"/>
              <w:right w:val="nil" w:sz="6" w:space="0" w:color="auto"/>
            </w:tcBorders>
          </w:tcPr>
          <w:p>
            <w:pPr/>
          </w:p>
        </w:tc>
        <w:tc>
          <w:tcPr>
            <w:tcW w:w="6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839"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4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698" w:type="dxa"/>
            <w:tcBorders>
              <w:top w:val="nil" w:sz="6" w:space="0" w:color="auto"/>
              <w:left w:val="nil" w:sz="6" w:space="0" w:color="auto"/>
              <w:bottom w:val="nil" w:sz="6" w:space="0" w:color="auto"/>
              <w:right w:val="nil" w:sz="6" w:space="0" w:color="auto"/>
            </w:tcBorders>
          </w:tcPr>
          <w:p>
            <w:pPr/>
          </w:p>
        </w:tc>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6" w:right="0"/>
              <w:jc w:val="left"/>
              <w:rPr>
                <w:rFonts w:ascii="宋体" w:hAnsi="宋体" w:cs="宋体" w:eastAsia="宋体" w:hint="default"/>
                <w:sz w:val="24"/>
                <w:szCs w:val="24"/>
              </w:rPr>
            </w:pPr>
            <w:r>
              <w:rPr>
                <w:rFonts w:ascii="宋体" w:hAnsi="宋体" w:cs="宋体" w:eastAsia="宋体" w:hint="default"/>
                <w:sz w:val="24"/>
                <w:szCs w:val="24"/>
              </w:rPr>
              <w:t>银行保证金及存款利息</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33" w:right="0"/>
              <w:jc w:val="left"/>
              <w:rPr>
                <w:rFonts w:ascii="Arial" w:hAnsi="Arial" w:cs="Arial" w:eastAsia="Arial" w:hint="default"/>
                <w:sz w:val="24"/>
                <w:szCs w:val="24"/>
              </w:rPr>
            </w:pPr>
            <w:r>
              <w:rPr>
                <w:rFonts w:ascii="Arial"/>
                <w:sz w:val="24"/>
              </w:rPr>
              <w:t>63,262</w:t>
            </w: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07"/>
              <w:jc w:val="right"/>
              <w:rPr>
                <w:rFonts w:ascii="Arial" w:hAnsi="Arial" w:cs="Arial" w:eastAsia="Arial" w:hint="default"/>
                <w:sz w:val="24"/>
                <w:szCs w:val="24"/>
              </w:rPr>
            </w:pPr>
            <w:r>
              <w:rPr>
                <w:rFonts w:ascii="Arial"/>
                <w:w w:val="95"/>
                <w:sz w:val="24"/>
              </w:rPr>
              <w:t>59,464</w:t>
            </w:r>
            <w:r>
              <w:rPr>
                <w:rFonts w:ascii="Arial"/>
                <w:sz w:val="24"/>
              </w:rPr>
            </w:r>
          </w:p>
        </w:tc>
      </w:tr>
      <w:tr>
        <w:trPr>
          <w:trHeight w:val="311" w:hRule="exact"/>
        </w:trPr>
        <w:tc>
          <w:tcPr>
            <w:tcW w:w="698" w:type="dxa"/>
            <w:tcBorders>
              <w:top w:val="nil" w:sz="6" w:space="0" w:color="auto"/>
              <w:left w:val="nil" w:sz="6" w:space="0" w:color="auto"/>
              <w:bottom w:val="nil" w:sz="6" w:space="0" w:color="auto"/>
              <w:right w:val="nil" w:sz="6" w:space="0" w:color="auto"/>
            </w:tcBorders>
          </w:tcPr>
          <w:p>
            <w:pPr/>
          </w:p>
        </w:tc>
        <w:tc>
          <w:tcPr>
            <w:tcW w:w="3990" w:type="dxa"/>
            <w:tcBorders>
              <w:top w:val="nil" w:sz="6" w:space="0" w:color="auto"/>
              <w:left w:val="nil" w:sz="6" w:space="0" w:color="auto"/>
              <w:bottom w:val="nil" w:sz="6" w:space="0" w:color="auto"/>
              <w:right w:val="nil" w:sz="6" w:space="0" w:color="auto"/>
            </w:tcBorders>
          </w:tcPr>
          <w:p>
            <w:pPr>
              <w:pStyle w:val="TableParagraph"/>
              <w:spacing w:line="262" w:lineRule="exact"/>
              <w:ind w:left="216" w:right="0"/>
              <w:jc w:val="left"/>
              <w:rPr>
                <w:rFonts w:ascii="宋体" w:hAnsi="宋体" w:cs="宋体" w:eastAsia="宋体" w:hint="default"/>
                <w:sz w:val="24"/>
                <w:szCs w:val="24"/>
              </w:rPr>
            </w:pPr>
            <w:r>
              <w:rPr>
                <w:rFonts w:ascii="宋体" w:hAnsi="宋体" w:cs="宋体" w:eastAsia="宋体" w:hint="default"/>
                <w:sz w:val="24"/>
                <w:szCs w:val="24"/>
              </w:rPr>
              <w:t>保本保收益理财产品利息</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33" w:right="0"/>
              <w:jc w:val="left"/>
              <w:rPr>
                <w:rFonts w:ascii="Arial" w:hAnsi="Arial" w:cs="Arial" w:eastAsia="Arial" w:hint="default"/>
                <w:sz w:val="24"/>
                <w:szCs w:val="24"/>
              </w:rPr>
            </w:pPr>
            <w:r>
              <w:rPr>
                <w:rFonts w:ascii="Arial"/>
                <w:sz w:val="24"/>
              </w:rPr>
              <w:t>18,796</w:t>
            </w: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7"/>
              <w:jc w:val="right"/>
              <w:rPr>
                <w:rFonts w:ascii="Arial" w:hAnsi="Arial" w:cs="Arial" w:eastAsia="Arial" w:hint="default"/>
                <w:sz w:val="24"/>
                <w:szCs w:val="24"/>
              </w:rPr>
            </w:pPr>
            <w:r>
              <w:rPr>
                <w:rFonts w:ascii="Arial"/>
                <w:w w:val="95"/>
                <w:sz w:val="24"/>
              </w:rPr>
              <w:t>13,428</w:t>
            </w:r>
            <w:r>
              <w:rPr>
                <w:rFonts w:ascii="Arial"/>
                <w:sz w:val="24"/>
              </w:rPr>
            </w:r>
          </w:p>
        </w:tc>
      </w:tr>
      <w:tr>
        <w:trPr>
          <w:trHeight w:val="312" w:hRule="exact"/>
        </w:trPr>
        <w:tc>
          <w:tcPr>
            <w:tcW w:w="698" w:type="dxa"/>
            <w:tcBorders>
              <w:top w:val="nil" w:sz="6" w:space="0" w:color="auto"/>
              <w:left w:val="nil" w:sz="6" w:space="0" w:color="auto"/>
              <w:bottom w:val="nil" w:sz="6" w:space="0" w:color="auto"/>
              <w:right w:val="nil" w:sz="6" w:space="0" w:color="auto"/>
            </w:tcBorders>
          </w:tcPr>
          <w:p>
            <w:pPr/>
          </w:p>
        </w:tc>
        <w:tc>
          <w:tcPr>
            <w:tcW w:w="3990" w:type="dxa"/>
            <w:tcBorders>
              <w:top w:val="nil" w:sz="6" w:space="0" w:color="auto"/>
              <w:left w:val="nil" w:sz="6" w:space="0" w:color="auto"/>
              <w:bottom w:val="nil" w:sz="6" w:space="0" w:color="auto"/>
              <w:right w:val="nil" w:sz="6" w:space="0" w:color="auto"/>
            </w:tcBorders>
          </w:tcPr>
          <w:p>
            <w:pPr>
              <w:pStyle w:val="TableParagraph"/>
              <w:tabs>
                <w:tab w:pos="3182" w:val="left" w:leader="none"/>
                <w:tab w:pos="5123" w:val="left" w:leader="none"/>
              </w:tabs>
              <w:spacing w:line="258" w:lineRule="exact"/>
              <w:ind w:left="216" w:right="-1134"/>
              <w:jc w:val="left"/>
              <w:rPr>
                <w:rFonts w:ascii="Arial" w:hAnsi="Arial" w:cs="Arial" w:eastAsia="Arial" w:hint="default"/>
                <w:sz w:val="24"/>
                <w:szCs w:val="24"/>
              </w:rPr>
            </w:pPr>
            <w:r>
              <w:rPr>
                <w:rFonts w:ascii="宋体" w:hAnsi="宋体" w:cs="宋体" w:eastAsia="宋体" w:hint="default"/>
                <w:position w:val="2"/>
                <w:sz w:val="24"/>
                <w:szCs w:val="24"/>
              </w:rPr>
              <w:t>发放贷款及垫款利息</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82" w:type="dxa"/>
            <w:tcBorders>
              <w:top w:val="nil" w:sz="6" w:space="0" w:color="auto"/>
              <w:left w:val="nil" w:sz="6" w:space="0" w:color="auto"/>
              <w:bottom w:val="nil" w:sz="6" w:space="0" w:color="auto"/>
              <w:right w:val="nil" w:sz="6" w:space="0" w:color="auto"/>
            </w:tcBorders>
          </w:tcPr>
          <w:p>
            <w:pPr>
              <w:pStyle w:val="TableParagraph"/>
              <w:tabs>
                <w:tab w:pos="2753" w:val="left" w:leader="none"/>
              </w:tabs>
              <w:spacing w:line="240" w:lineRule="auto" w:before="19"/>
              <w:ind w:right="-1705"/>
              <w:jc w:val="right"/>
              <w:rPr>
                <w:rFonts w:ascii="Arial" w:hAnsi="Arial" w:cs="Arial" w:eastAsia="Arial" w:hint="default"/>
                <w:sz w:val="24"/>
                <w:szCs w:val="24"/>
              </w:rPr>
            </w:pPr>
            <w:r>
              <w:rPr>
                <w:rFonts w:ascii="Arial"/>
                <w:w w:val="99"/>
                <w:sz w:val="24"/>
              </w:rPr>
            </w:r>
            <w:r>
              <w:rPr>
                <w:rFonts w:ascii="Arial"/>
                <w:spacing w:val="-1"/>
                <w:sz w:val="24"/>
                <w:u w:val="single" w:color="000000"/>
              </w:rPr>
              <w:t>12,275 </w:t>
            </w:r>
            <w:r>
              <w:rPr>
                <w:rFonts w:ascii="Arial"/>
                <w:spacing w:val="-7"/>
                <w:sz w:val="24"/>
                <w:u w:val="single" w:color="000000"/>
              </w:rPr>
              <w:t> </w:t>
            </w:r>
            <w:r>
              <w:rPr>
                <w:rFonts w:ascii="Arial"/>
                <w:spacing w:val="-7"/>
                <w:sz w:val="24"/>
              </w:rPr>
            </w:r>
            <w:r>
              <w:rPr>
                <w:rFonts w:ascii="Arial"/>
                <w:sz w:val="24"/>
              </w:rPr>
              <w:t> </w:t>
            </w:r>
            <w:r>
              <w:rPr>
                <w:rFonts w:ascii="Arial"/>
                <w:spacing w:val="7"/>
                <w:sz w:val="24"/>
              </w:rPr>
              <w:t> </w:t>
            </w:r>
            <w:r>
              <w:rPr>
                <w:rFonts w:ascii="Arial"/>
                <w:spacing w:val="7"/>
                <w:w w:val="100"/>
                <w:sz w:val="24"/>
              </w:rPr>
            </w:r>
            <w:r>
              <w:rPr>
                <w:rFonts w:ascii="Arial"/>
                <w:w w:val="100"/>
                <w:sz w:val="24"/>
                <w:u w:val="single" w:color="000000"/>
              </w:rPr>
              <w:t> </w:t>
            </w:r>
            <w:r>
              <w:rPr>
                <w:rFonts w:ascii="Arial"/>
                <w:sz w:val="24"/>
                <w:u w:val="single" w:color="000000"/>
              </w:rPr>
              <w:tab/>
            </w:r>
            <w:r>
              <w:rPr>
                <w:rFonts w:ascii="Arial"/>
                <w:sz w:val="24"/>
              </w:rPr>
            </w:r>
          </w:p>
        </w:tc>
        <w:tc>
          <w:tcPr>
            <w:tcW w:w="2614"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240" w:lineRule="auto" w:before="19"/>
              <w:ind w:right="139"/>
              <w:jc w:val="right"/>
              <w:rPr>
                <w:rFonts w:ascii="Arial" w:hAnsi="Arial" w:cs="Arial" w:eastAsia="Arial" w:hint="default"/>
                <w:sz w:val="24"/>
                <w:szCs w:val="24"/>
              </w:rPr>
            </w:pPr>
            <w:r>
              <w:rPr>
                <w:rFonts w:ascii="Arial"/>
                <w:w w:val="99"/>
                <w:sz w:val="24"/>
              </w:rPr>
            </w:r>
            <w:r>
              <w:rPr>
                <w:rFonts w:ascii="Arial"/>
                <w:w w:val="95"/>
                <w:sz w:val="24"/>
                <w:u w:val="single" w:color="000000"/>
              </w:rPr>
              <w:t>2,308</w:t>
            </w:r>
            <w:r>
              <w:rPr>
                <w:rFonts w:ascii="Arial"/>
                <w:sz w:val="24"/>
                <w:u w:val="single" w:color="000000"/>
              </w:rPr>
              <w:tab/>
            </w:r>
            <w:r>
              <w:rPr>
                <w:rFonts w:ascii="Arial"/>
                <w:sz w:val="24"/>
              </w:rPr>
            </w:r>
          </w:p>
        </w:tc>
      </w:tr>
      <w:tr>
        <w:trPr>
          <w:trHeight w:val="263" w:hRule="exact"/>
        </w:trPr>
        <w:tc>
          <w:tcPr>
            <w:tcW w:w="698" w:type="dxa"/>
            <w:tcBorders>
              <w:top w:val="nil" w:sz="6" w:space="0" w:color="auto"/>
              <w:left w:val="nil" w:sz="6" w:space="0" w:color="auto"/>
              <w:bottom w:val="nil" w:sz="6" w:space="0" w:color="auto"/>
              <w:right w:val="nil" w:sz="6" w:space="0" w:color="auto"/>
            </w:tcBorders>
          </w:tcPr>
          <w:p>
            <w:pPr/>
          </w:p>
        </w:tc>
        <w:tc>
          <w:tcPr>
            <w:tcW w:w="3990"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Style w:val="TableParagraph"/>
              <w:tabs>
                <w:tab w:pos="1133" w:val="left" w:leader="none"/>
                <w:tab w:pos="3752" w:val="left" w:leader="none"/>
              </w:tabs>
              <w:spacing w:line="268" w:lineRule="exact"/>
              <w:ind w:left="-807" w:right="-157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94,333</w:t>
            </w:r>
            <w:r>
              <w:rPr>
                <w:rFonts w:ascii="Arial"/>
                <w:sz w:val="24"/>
                <w:u w:val="thick" w:color="000000"/>
              </w:rPr>
              <w:t> </w:t>
            </w:r>
            <w:r>
              <w:rPr>
                <w:rFonts w:ascii="Arial"/>
                <w:spacing w:val="-7"/>
                <w:sz w:val="24"/>
                <w:u w:val="thick" w:color="000000"/>
              </w:rPr>
              <w:t> </w:t>
            </w:r>
            <w:r>
              <w:rPr>
                <w:rFonts w:ascii="Arial"/>
                <w:spacing w:val="-7"/>
                <w:sz w:val="24"/>
              </w:rPr>
            </w:r>
            <w:r>
              <w:rPr>
                <w:rFonts w:ascii="Arial"/>
                <w:sz w:val="24"/>
              </w:rPr>
              <w:t> </w:t>
            </w:r>
            <w:r>
              <w:rPr>
                <w:rFonts w:ascii="Arial"/>
                <w:spacing w:val="7"/>
                <w:sz w:val="24"/>
              </w:rPr>
              <w:t> </w:t>
            </w:r>
            <w:r>
              <w:rPr>
                <w:rFonts w:ascii="Arial"/>
                <w:spacing w:val="7"/>
                <w:w w:val="100"/>
                <w:sz w:val="24"/>
              </w:rPr>
            </w:r>
            <w:r>
              <w:rPr>
                <w:rFonts w:ascii="Arial"/>
                <w:w w:val="100"/>
                <w:sz w:val="24"/>
                <w:u w:val="thick" w:color="000000"/>
              </w:rPr>
              <w:t> </w:t>
            </w:r>
            <w:r>
              <w:rPr>
                <w:rFonts w:ascii="Arial"/>
                <w:sz w:val="24"/>
                <w:u w:val="thick" w:color="000000"/>
              </w:rPr>
              <w:tab/>
            </w:r>
            <w:r>
              <w:rPr>
                <w:rFonts w:ascii="Arial"/>
                <w:sz w:val="24"/>
              </w:rPr>
            </w:r>
          </w:p>
        </w:tc>
        <w:tc>
          <w:tcPr>
            <w:tcW w:w="2614"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68" w:lineRule="exact"/>
              <w:ind w:right="139"/>
              <w:jc w:val="right"/>
              <w:rPr>
                <w:rFonts w:ascii="Arial" w:hAnsi="Arial" w:cs="Arial" w:eastAsia="Arial" w:hint="default"/>
                <w:sz w:val="24"/>
                <w:szCs w:val="24"/>
              </w:rPr>
            </w:pPr>
            <w:r>
              <w:rPr>
                <w:rFonts w:ascii="Arial"/>
                <w:w w:val="99"/>
                <w:sz w:val="24"/>
              </w:rPr>
            </w:r>
            <w:r>
              <w:rPr>
                <w:rFonts w:ascii="Arial"/>
                <w:w w:val="95"/>
                <w:sz w:val="24"/>
                <w:u w:val="thick" w:color="000000"/>
              </w:rPr>
              <w:t>75,200</w:t>
            </w:r>
            <w:r>
              <w:rPr>
                <w:rFonts w:ascii="Arial"/>
                <w:sz w:val="24"/>
                <w:u w:val="thick" w:color="000000"/>
              </w:rPr>
              <w:tab/>
            </w:r>
            <w:r>
              <w:rPr>
                <w:rFonts w:ascii="Arial"/>
                <w:sz w:val="24"/>
              </w:rPr>
            </w:r>
          </w:p>
        </w:tc>
      </w:tr>
    </w:tbl>
    <w:p>
      <w:pPr>
        <w:spacing w:after="0" w:line="268" w:lineRule="exact"/>
        <w:jc w:val="right"/>
        <w:rPr>
          <w:rFonts w:ascii="Arial" w:hAnsi="Arial" w:cs="Arial" w:eastAsia="Arial" w:hint="default"/>
          <w:sz w:val="24"/>
          <w:szCs w:val="24"/>
        </w:rPr>
        <w:sectPr>
          <w:pgSz w:w="11910" w:h="16840"/>
          <w:pgMar w:header="755" w:footer="912"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622"/>
        <w:gridCol w:w="3326"/>
        <w:gridCol w:w="2638"/>
        <w:gridCol w:w="294"/>
        <w:gridCol w:w="2411"/>
      </w:tblGrid>
      <w:tr>
        <w:trPr>
          <w:trHeight w:val="496"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exact"/>
              <w:ind w:right="110"/>
              <w:jc w:val="right"/>
              <w:rPr>
                <w:rFonts w:ascii="黑体" w:hAnsi="黑体" w:cs="黑体" w:eastAsia="黑体" w:hint="default"/>
                <w:sz w:val="24"/>
                <w:szCs w:val="24"/>
              </w:rPr>
            </w:pPr>
            <w:r>
              <w:rPr>
                <w:rFonts w:ascii="黑体" w:hAnsi="黑体" w:cs="黑体" w:eastAsia="黑体" w:hint="default"/>
                <w:sz w:val="24"/>
                <w:szCs w:val="24"/>
              </w:rPr>
              <w:t>四</w:t>
            </w:r>
          </w:p>
        </w:tc>
        <w:tc>
          <w:tcPr>
            <w:tcW w:w="3326" w:type="dxa"/>
            <w:tcBorders>
              <w:top w:val="nil" w:sz="6" w:space="0" w:color="auto"/>
              <w:left w:val="nil" w:sz="6" w:space="0" w:color="auto"/>
              <w:bottom w:val="nil" w:sz="6" w:space="0" w:color="auto"/>
              <w:right w:val="nil" w:sz="6" w:space="0" w:color="auto"/>
            </w:tcBorders>
          </w:tcPr>
          <w:p>
            <w:pPr>
              <w:pStyle w:val="TableParagraph"/>
              <w:spacing w:line="257" w:lineRule="exact"/>
              <w:ind w:left="11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38" w:type="dxa"/>
            <w:tcBorders>
              <w:top w:val="nil" w:sz="6" w:space="0" w:color="auto"/>
              <w:left w:val="nil" w:sz="6" w:space="0" w:color="auto"/>
              <w:bottom w:val="nil" w:sz="6" w:space="0" w:color="auto"/>
              <w:right w:val="nil" w:sz="6" w:space="0" w:color="auto"/>
            </w:tcBorders>
          </w:tcPr>
          <w:p>
            <w:pP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
        </w:tc>
      </w:tr>
      <w:tr>
        <w:trPr>
          <w:trHeight w:val="745"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26"/>
              <w:jc w:val="right"/>
              <w:rPr>
                <w:rFonts w:ascii="Arial" w:hAnsi="Arial" w:cs="Arial" w:eastAsia="Arial" w:hint="default"/>
                <w:sz w:val="24"/>
                <w:szCs w:val="24"/>
              </w:rPr>
            </w:pPr>
            <w:r>
              <w:rPr>
                <w:rFonts w:ascii="Arial"/>
                <w:spacing w:val="-1"/>
                <w:sz w:val="24"/>
              </w:rPr>
              <w:t>(6)</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1"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2638" w:type="dxa"/>
            <w:tcBorders>
              <w:top w:val="nil" w:sz="6" w:space="0" w:color="auto"/>
              <w:left w:val="nil" w:sz="6" w:space="0" w:color="auto"/>
              <w:bottom w:val="nil" w:sz="6" w:space="0" w:color="auto"/>
              <w:right w:val="nil" w:sz="6" w:space="0" w:color="auto"/>
            </w:tcBorders>
          </w:tcPr>
          <w:p>
            <w:pP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
        </w:tc>
      </w:tr>
      <w:tr>
        <w:trPr>
          <w:trHeight w:val="763"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92"/>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96"/>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87"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3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Arial" w:hAnsi="Arial" w:cs="Arial" w:eastAsia="Arial" w:hint="default"/>
                <w:sz w:val="24"/>
                <w:szCs w:val="24"/>
              </w:rPr>
            </w:pPr>
            <w:r>
              <w:rPr>
                <w:rFonts w:ascii="Arial"/>
                <w:spacing w:val="-1"/>
                <w:sz w:val="24"/>
              </w:rPr>
              <w:t>775,041</w:t>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4"/>
              <w:jc w:val="right"/>
              <w:rPr>
                <w:rFonts w:ascii="Arial" w:hAnsi="Arial" w:cs="Arial" w:eastAsia="Arial" w:hint="default"/>
                <w:sz w:val="24"/>
                <w:szCs w:val="24"/>
              </w:rPr>
            </w:pPr>
            <w:r>
              <w:rPr>
                <w:rFonts w:ascii="Arial"/>
                <w:spacing w:val="-1"/>
                <w:sz w:val="24"/>
              </w:rPr>
              <w:t>580,223</w:t>
            </w:r>
          </w:p>
        </w:tc>
      </w:tr>
      <w:tr>
        <w:trPr>
          <w:trHeight w:val="382"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302" w:lineRule="exact"/>
              <w:ind w:left="130"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7"/>
              <w:jc w:val="right"/>
              <w:rPr>
                <w:rFonts w:ascii="Arial" w:hAnsi="Arial" w:cs="Arial" w:eastAsia="Arial" w:hint="default"/>
                <w:sz w:val="24"/>
                <w:szCs w:val="24"/>
              </w:rPr>
            </w:pPr>
            <w:r>
              <w:rPr>
                <w:rFonts w:ascii="Arial"/>
                <w:w w:val="95"/>
                <w:sz w:val="24"/>
              </w:rPr>
              <w:t>(69,424)</w:t>
            </w:r>
            <w:r>
              <w:rPr>
                <w:rFonts w:ascii="Arial"/>
                <w:sz w:val="24"/>
              </w:rPr>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5"/>
              <w:jc w:val="right"/>
              <w:rPr>
                <w:rFonts w:ascii="Arial" w:hAnsi="Arial" w:cs="Arial" w:eastAsia="Arial" w:hint="default"/>
                <w:sz w:val="24"/>
                <w:szCs w:val="24"/>
              </w:rPr>
            </w:pPr>
            <w:r>
              <w:rPr>
                <w:rFonts w:ascii="Arial"/>
                <w:w w:val="95"/>
                <w:sz w:val="24"/>
              </w:rPr>
              <w:t>(44,644)</w:t>
            </w:r>
            <w:r>
              <w:rPr>
                <w:rFonts w:ascii="Arial"/>
                <w:sz w:val="24"/>
              </w:rPr>
            </w:r>
          </w:p>
        </w:tc>
      </w:tr>
      <w:tr>
        <w:trPr>
          <w:trHeight w:val="376"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8"/>
              <w:jc w:val="right"/>
              <w:rPr>
                <w:rFonts w:ascii="Arial" w:hAnsi="Arial" w:cs="Arial" w:eastAsia="Arial" w:hint="default"/>
                <w:sz w:val="24"/>
                <w:szCs w:val="24"/>
              </w:rPr>
            </w:pPr>
            <w:r>
              <w:rPr>
                <w:rFonts w:ascii="Arial"/>
                <w:spacing w:val="-1"/>
                <w:sz w:val="24"/>
              </w:rPr>
              <w:t>705,617</w:t>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24"/>
              <w:jc w:val="right"/>
              <w:rPr>
                <w:rFonts w:ascii="Arial" w:hAnsi="Arial" w:cs="Arial" w:eastAsia="Arial" w:hint="default"/>
                <w:sz w:val="24"/>
                <w:szCs w:val="24"/>
              </w:rPr>
            </w:pPr>
            <w:r>
              <w:rPr>
                <w:rFonts w:ascii="Arial"/>
                <w:spacing w:val="-1"/>
                <w:sz w:val="24"/>
              </w:rPr>
              <w:t>535,579</w:t>
            </w:r>
          </w:p>
        </w:tc>
      </w:tr>
      <w:tr>
        <w:trPr>
          <w:trHeight w:val="1565" w:hRule="exact"/>
        </w:trPr>
        <w:tc>
          <w:tcPr>
            <w:tcW w:w="929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321" w:lineRule="exact"/>
              <w:ind w:left="803"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2015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23"/>
                <w:sz w:val="24"/>
                <w:szCs w:val="24"/>
              </w:rPr>
              <w:t> </w:t>
            </w:r>
            <w:r>
              <w:rPr>
                <w:rFonts w:ascii="宋体" w:hAnsi="宋体" w:cs="宋体" w:eastAsia="宋体" w:hint="default"/>
                <w:sz w:val="24"/>
                <w:szCs w:val="24"/>
              </w:rPr>
              <w:t>日，本集团无应收账款质押给银行作为短期借款的抵押物</w:t>
            </w:r>
          </w:p>
          <w:p>
            <w:pPr>
              <w:pStyle w:val="TableParagraph"/>
              <w:spacing w:line="311" w:lineRule="exact"/>
              <w:ind w:left="803"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5"/>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7,613</w:t>
            </w:r>
            <w:r>
              <w:rPr>
                <w:rFonts w:ascii="Arial" w:hAnsi="Arial" w:cs="Arial" w:eastAsia="Arial" w:hint="default"/>
                <w:spacing w:val="-9"/>
                <w:sz w:val="24"/>
                <w:szCs w:val="24"/>
              </w:rPr>
              <w:t> </w:t>
            </w:r>
            <w:r>
              <w:rPr>
                <w:rFonts w:ascii="宋体" w:hAnsi="宋体" w:cs="宋体" w:eastAsia="宋体" w:hint="default"/>
                <w:sz w:val="24"/>
                <w:szCs w:val="24"/>
              </w:rPr>
              <w:t>万元的应收账款质押给银行作为约人民币</w:t>
            </w:r>
          </w:p>
          <w:p>
            <w:pPr>
              <w:pStyle w:val="TableParagraph"/>
              <w:spacing w:line="322" w:lineRule="exact"/>
              <w:ind w:left="803" w:right="0"/>
              <w:jc w:val="left"/>
              <w:rPr>
                <w:rFonts w:ascii="宋体" w:hAnsi="宋体" w:cs="宋体" w:eastAsia="宋体" w:hint="default"/>
                <w:sz w:val="24"/>
                <w:szCs w:val="24"/>
              </w:rPr>
            </w:pPr>
            <w:r>
              <w:rPr>
                <w:rFonts w:ascii="Arial" w:hAnsi="Arial" w:cs="Arial" w:eastAsia="Arial" w:hint="default"/>
                <w:sz w:val="24"/>
                <w:szCs w:val="24"/>
              </w:rPr>
              <w:t>7,300</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(22))</w:t>
            </w:r>
            <w:r>
              <w:rPr>
                <w:rFonts w:ascii="宋体" w:hAnsi="宋体" w:cs="宋体" w:eastAsia="宋体" w:hint="default"/>
                <w:sz w:val="24"/>
                <w:szCs w:val="24"/>
              </w:rPr>
              <w:t>的短期借款的质押物。</w:t>
            </w:r>
          </w:p>
        </w:tc>
      </w:tr>
      <w:tr>
        <w:trPr>
          <w:trHeight w:val="746"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26"/>
              <w:jc w:val="right"/>
              <w:rPr>
                <w:rFonts w:ascii="Arial" w:hAnsi="Arial" w:cs="Arial" w:eastAsia="Arial" w:hint="default"/>
                <w:sz w:val="24"/>
                <w:szCs w:val="24"/>
              </w:rPr>
            </w:pPr>
            <w:r>
              <w:rPr>
                <w:rFonts w:ascii="Arial"/>
                <w:spacing w:val="-1"/>
                <w:sz w:val="24"/>
              </w:rPr>
              <w:t>(a)</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1"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2638" w:type="dxa"/>
            <w:tcBorders>
              <w:top w:val="nil" w:sz="6" w:space="0" w:color="auto"/>
              <w:left w:val="nil" w:sz="6" w:space="0" w:color="auto"/>
              <w:bottom w:val="nil" w:sz="6" w:space="0" w:color="auto"/>
              <w:right w:val="nil" w:sz="6" w:space="0" w:color="auto"/>
            </w:tcBorders>
          </w:tcPr>
          <w:p>
            <w:pP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
        </w:tc>
      </w:tr>
      <w:tr>
        <w:trPr>
          <w:trHeight w:val="749"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37"/>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30"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56"/>
              <w:jc w:val="right"/>
              <w:rPr>
                <w:rFonts w:ascii="Arial" w:hAnsi="Arial" w:cs="Arial" w:eastAsia="Arial" w:hint="default"/>
                <w:sz w:val="24"/>
                <w:szCs w:val="24"/>
              </w:rPr>
            </w:pPr>
            <w:r>
              <w:rPr>
                <w:rFonts w:ascii="Arial"/>
                <w:spacing w:val="-1"/>
                <w:sz w:val="24"/>
              </w:rPr>
              <w:t>521,317</w:t>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24"/>
                <w:szCs w:val="24"/>
              </w:rPr>
            </w:pPr>
            <w:r>
              <w:rPr>
                <w:rFonts w:ascii="Arial"/>
                <w:spacing w:val="-1"/>
                <w:sz w:val="24"/>
              </w:rPr>
              <w:t>396,088</w:t>
            </w:r>
          </w:p>
        </w:tc>
      </w:tr>
      <w:tr>
        <w:trPr>
          <w:trHeight w:val="391"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305" w:lineRule="exact"/>
              <w:ind w:left="130"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Arial" w:hAnsi="Arial" w:cs="Arial" w:eastAsia="Arial" w:hint="default"/>
                <w:sz w:val="24"/>
                <w:szCs w:val="24"/>
              </w:rPr>
            </w:pPr>
            <w:r>
              <w:rPr>
                <w:rFonts w:ascii="Arial"/>
                <w:spacing w:val="-1"/>
                <w:sz w:val="24"/>
              </w:rPr>
              <w:t>127,806</w:t>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
              <w:jc w:val="right"/>
              <w:rPr>
                <w:rFonts w:ascii="Arial" w:hAnsi="Arial" w:cs="Arial" w:eastAsia="Arial" w:hint="default"/>
                <w:sz w:val="24"/>
                <w:szCs w:val="24"/>
              </w:rPr>
            </w:pPr>
            <w:r>
              <w:rPr>
                <w:rFonts w:ascii="Arial"/>
                <w:spacing w:val="-3"/>
                <w:sz w:val="24"/>
              </w:rPr>
              <w:t>112,697</w:t>
            </w:r>
          </w:p>
        </w:tc>
      </w:tr>
      <w:tr>
        <w:trPr>
          <w:trHeight w:val="392"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305" w:lineRule="exact"/>
              <w:ind w:left="130"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Arial" w:hAnsi="Arial" w:cs="Arial" w:eastAsia="Arial" w:hint="default"/>
                <w:sz w:val="24"/>
                <w:szCs w:val="24"/>
              </w:rPr>
            </w:pPr>
            <w:r>
              <w:rPr>
                <w:rFonts w:ascii="Arial"/>
                <w:w w:val="95"/>
                <w:sz w:val="24"/>
              </w:rPr>
              <w:t>82,917</w:t>
            </w:r>
            <w:r>
              <w:rPr>
                <w:rFonts w:ascii="Arial"/>
                <w:sz w:val="24"/>
              </w:rPr>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
              <w:jc w:val="right"/>
              <w:rPr>
                <w:rFonts w:ascii="Arial" w:hAnsi="Arial" w:cs="Arial" w:eastAsia="Arial" w:hint="default"/>
                <w:sz w:val="24"/>
                <w:szCs w:val="24"/>
              </w:rPr>
            </w:pPr>
            <w:r>
              <w:rPr>
                <w:rFonts w:ascii="Arial"/>
                <w:w w:val="95"/>
                <w:sz w:val="24"/>
              </w:rPr>
              <w:t>48,480</w:t>
            </w:r>
            <w:r>
              <w:rPr>
                <w:rFonts w:ascii="Arial"/>
                <w:sz w:val="24"/>
              </w:rPr>
            </w:r>
          </w:p>
        </w:tc>
      </w:tr>
      <w:tr>
        <w:trPr>
          <w:trHeight w:val="391"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306" w:lineRule="exact"/>
              <w:ind w:left="130"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Arial" w:hAnsi="Arial" w:cs="Arial" w:eastAsia="Arial" w:hint="default"/>
                <w:sz w:val="24"/>
                <w:szCs w:val="24"/>
              </w:rPr>
            </w:pPr>
            <w:r>
              <w:rPr>
                <w:rFonts w:ascii="Arial"/>
                <w:spacing w:val="-4"/>
                <w:sz w:val="24"/>
              </w:rPr>
              <w:t>31,411</w:t>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6"/>
              <w:jc w:val="right"/>
              <w:rPr>
                <w:rFonts w:ascii="Arial" w:hAnsi="Arial" w:cs="Arial" w:eastAsia="Arial" w:hint="default"/>
                <w:sz w:val="24"/>
                <w:szCs w:val="24"/>
              </w:rPr>
            </w:pPr>
            <w:r>
              <w:rPr>
                <w:rFonts w:ascii="Arial"/>
                <w:w w:val="95"/>
                <w:sz w:val="24"/>
              </w:rPr>
              <w:t>16,946</w:t>
            </w:r>
            <w:r>
              <w:rPr>
                <w:rFonts w:ascii="Arial"/>
                <w:sz w:val="24"/>
              </w:rPr>
            </w:r>
          </w:p>
        </w:tc>
      </w:tr>
      <w:tr>
        <w:trPr>
          <w:trHeight w:val="391"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306" w:lineRule="exact"/>
              <w:ind w:left="130"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Arial" w:hAnsi="Arial" w:cs="Arial" w:eastAsia="Arial" w:hint="default"/>
                <w:sz w:val="24"/>
                <w:szCs w:val="24"/>
              </w:rPr>
            </w:pPr>
            <w:r>
              <w:rPr>
                <w:rFonts w:ascii="Arial"/>
                <w:w w:val="95"/>
                <w:sz w:val="24"/>
              </w:rPr>
              <w:t>6,865</w:t>
            </w:r>
            <w:r>
              <w:rPr>
                <w:rFonts w:ascii="Arial"/>
                <w:sz w:val="24"/>
              </w:rPr>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24"/>
                <w:szCs w:val="24"/>
              </w:rPr>
            </w:pPr>
            <w:r>
              <w:rPr>
                <w:rFonts w:ascii="Arial"/>
                <w:w w:val="95"/>
                <w:sz w:val="24"/>
              </w:rPr>
              <w:t>5,472</w:t>
            </w:r>
            <w:r>
              <w:rPr>
                <w:rFonts w:ascii="Arial"/>
                <w:sz w:val="24"/>
              </w:rPr>
            </w:r>
          </w:p>
        </w:tc>
      </w:tr>
      <w:tr>
        <w:trPr>
          <w:trHeight w:val="386"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306" w:lineRule="exact"/>
              <w:ind w:left="130"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6"/>
              <w:jc w:val="right"/>
              <w:rPr>
                <w:rFonts w:ascii="Arial" w:hAnsi="Arial" w:cs="Arial" w:eastAsia="Arial" w:hint="default"/>
                <w:sz w:val="24"/>
                <w:szCs w:val="24"/>
              </w:rPr>
            </w:pPr>
            <w:r>
              <w:rPr>
                <w:rFonts w:ascii="Arial"/>
                <w:w w:val="95"/>
                <w:sz w:val="24"/>
              </w:rPr>
              <w:t>4,725</w:t>
            </w:r>
            <w:r>
              <w:rPr>
                <w:rFonts w:ascii="Arial"/>
                <w:sz w:val="24"/>
              </w:rPr>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55"/>
              <w:jc w:val="right"/>
              <w:rPr>
                <w:rFonts w:ascii="Arial" w:hAnsi="Arial" w:cs="Arial" w:eastAsia="Arial" w:hint="default"/>
                <w:sz w:val="24"/>
                <w:szCs w:val="24"/>
              </w:rPr>
            </w:pPr>
            <w:r>
              <w:rPr>
                <w:rFonts w:ascii="Arial"/>
                <w:spacing w:val="-1"/>
                <w:w w:val="95"/>
                <w:sz w:val="24"/>
              </w:rPr>
              <w:t>540</w:t>
            </w:r>
            <w:r>
              <w:rPr>
                <w:rFonts w:ascii="Arial"/>
                <w:sz w:val="24"/>
              </w:rPr>
            </w:r>
          </w:p>
        </w:tc>
      </w:tr>
      <w:tr>
        <w:trPr>
          <w:trHeight w:val="376" w:hRule="exact"/>
        </w:trPr>
        <w:tc>
          <w:tcPr>
            <w:tcW w:w="62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6"/>
              <w:jc w:val="right"/>
              <w:rPr>
                <w:rFonts w:ascii="Arial" w:hAnsi="Arial" w:cs="Arial" w:eastAsia="Arial" w:hint="default"/>
                <w:sz w:val="24"/>
                <w:szCs w:val="24"/>
              </w:rPr>
            </w:pPr>
            <w:r>
              <w:rPr>
                <w:rFonts w:ascii="Arial"/>
                <w:spacing w:val="-1"/>
                <w:sz w:val="24"/>
              </w:rPr>
              <w:t>775,041</w:t>
            </w:r>
          </w:p>
        </w:tc>
        <w:tc>
          <w:tcPr>
            <w:tcW w:w="294" w:type="dxa"/>
            <w:tcBorders>
              <w:top w:val="nil" w:sz="6" w:space="0" w:color="auto"/>
              <w:left w:val="nil" w:sz="6" w:space="0" w:color="auto"/>
              <w:bottom w:val="nil" w:sz="6" w:space="0" w:color="auto"/>
              <w:right w:val="nil" w:sz="6" w:space="0" w:color="auto"/>
            </w:tcBorders>
          </w:tcPr>
          <w:p>
            <w:pPr/>
          </w:p>
        </w:tc>
        <w:tc>
          <w:tcPr>
            <w:tcW w:w="2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6"/>
              <w:jc w:val="right"/>
              <w:rPr>
                <w:rFonts w:ascii="Arial" w:hAnsi="Arial" w:cs="Arial" w:eastAsia="Arial" w:hint="default"/>
                <w:sz w:val="24"/>
                <w:szCs w:val="24"/>
              </w:rPr>
            </w:pPr>
            <w:r>
              <w:rPr>
                <w:rFonts w:ascii="Arial"/>
                <w:spacing w:val="-1"/>
                <w:sz w:val="24"/>
              </w:rPr>
              <w:t>580,223</w:t>
            </w:r>
          </w:p>
        </w:tc>
      </w:tr>
      <w:tr>
        <w:trPr>
          <w:trHeight w:val="1009" w:hRule="exact"/>
        </w:trPr>
        <w:tc>
          <w:tcPr>
            <w:tcW w:w="622" w:type="dxa"/>
            <w:tcBorders>
              <w:top w:val="nil" w:sz="6" w:space="0" w:color="auto"/>
              <w:left w:val="nil" w:sz="6" w:space="0" w:color="auto"/>
              <w:bottom w:val="nil" w:sz="6" w:space="0" w:color="auto"/>
              <w:right w:val="nil" w:sz="6" w:space="0" w:color="auto"/>
            </w:tcBorders>
          </w:tcPr>
          <w:p>
            <w:pPr/>
          </w:p>
        </w:tc>
        <w:tc>
          <w:tcPr>
            <w:tcW w:w="866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322" w:lineRule="exact"/>
              <w:ind w:left="181"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3"/>
                <w:sz w:val="24"/>
                <w:szCs w:val="24"/>
              </w:rPr>
              <w:t> </w:t>
            </w: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日，本集团无已逾期未减值的应收账款</w:t>
            </w: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w:t>
            </w:r>
          </w:p>
          <w:p>
            <w:pPr>
              <w:pStyle w:val="TableParagraph"/>
              <w:spacing w:line="322" w:lineRule="exact"/>
              <w:ind w:left="181" w:right="0"/>
              <w:jc w:val="left"/>
              <w:rPr>
                <w:rFonts w:ascii="宋体" w:hAnsi="宋体" w:cs="宋体" w:eastAsia="宋体" w:hint="default"/>
                <w:sz w:val="24"/>
                <w:szCs w:val="24"/>
              </w:rPr>
            </w:pPr>
            <w:r>
              <w:rPr>
                <w:rFonts w:ascii="宋体" w:hAnsi="宋体" w:cs="宋体" w:eastAsia="宋体" w:hint="default"/>
                <w:sz w:val="24"/>
                <w:szCs w:val="24"/>
              </w:rPr>
              <w:t>﹕无</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22" w:lineRule="exact"/>
        <w:jc w:val="left"/>
        <w:rPr>
          <w:rFonts w:ascii="宋体" w:hAnsi="宋体" w:cs="宋体" w:eastAsia="宋体" w:hint="default"/>
          <w:sz w:val="24"/>
          <w:szCs w:val="24"/>
        </w:rPr>
        <w:sectPr>
          <w:pgSz w:w="11910" w:h="16840"/>
          <w:pgMar w:header="755" w:footer="912"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647"/>
        <w:gridCol w:w="1890"/>
        <w:gridCol w:w="1001"/>
        <w:gridCol w:w="826"/>
        <w:gridCol w:w="230"/>
        <w:gridCol w:w="998"/>
        <w:gridCol w:w="698"/>
        <w:gridCol w:w="288"/>
        <w:gridCol w:w="1051"/>
        <w:gridCol w:w="806"/>
        <w:gridCol w:w="228"/>
        <w:gridCol w:w="781"/>
        <w:gridCol w:w="662"/>
      </w:tblGrid>
      <w:tr>
        <w:trPr>
          <w:trHeight w:val="416" w:hRule="exact"/>
        </w:trPr>
        <w:tc>
          <w:tcPr>
            <w:tcW w:w="647" w:type="dxa"/>
            <w:tcBorders>
              <w:top w:val="nil" w:sz="6" w:space="0" w:color="auto"/>
              <w:left w:val="nil" w:sz="6" w:space="0" w:color="auto"/>
              <w:bottom w:val="nil" w:sz="6" w:space="0" w:color="auto"/>
              <w:right w:val="nil" w:sz="6" w:space="0" w:color="auto"/>
            </w:tcBorders>
          </w:tcPr>
          <w:p>
            <w:pPr>
              <w:pStyle w:val="TableParagraph"/>
              <w:spacing w:line="240" w:lineRule="exact"/>
              <w:ind w:right="204"/>
              <w:jc w:val="right"/>
              <w:rPr>
                <w:rFonts w:ascii="黑体" w:hAnsi="黑体" w:cs="黑体" w:eastAsia="黑体" w:hint="default"/>
                <w:sz w:val="24"/>
                <w:szCs w:val="24"/>
              </w:rPr>
            </w:pPr>
            <w:r>
              <w:rPr>
                <w:rFonts w:ascii="黑体" w:hAnsi="黑体" w:cs="黑体" w:eastAsia="黑体" w:hint="default"/>
                <w:sz w:val="24"/>
                <w:szCs w:val="24"/>
              </w:rPr>
              <w:t>四</w:t>
            </w:r>
          </w:p>
        </w:tc>
        <w:tc>
          <w:tcPr>
            <w:tcW w:w="3716"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5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588" w:hRule="exact"/>
        </w:trPr>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1"/>
              <w:jc w:val="right"/>
              <w:rPr>
                <w:rFonts w:ascii="Arial" w:hAnsi="Arial" w:cs="Arial" w:eastAsia="Arial" w:hint="default"/>
                <w:sz w:val="24"/>
                <w:szCs w:val="24"/>
              </w:rPr>
            </w:pPr>
            <w:r>
              <w:rPr>
                <w:rFonts w:ascii="Arial"/>
                <w:spacing w:val="-1"/>
                <w:sz w:val="24"/>
              </w:rPr>
              <w:t>(6)</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3"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01"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546" w:hRule="exact"/>
        </w:trPr>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1"/>
              <w:jc w:val="right"/>
              <w:rPr>
                <w:rFonts w:ascii="Arial" w:hAnsi="Arial" w:cs="Arial" w:eastAsia="Arial" w:hint="default"/>
                <w:sz w:val="24"/>
                <w:szCs w:val="24"/>
              </w:rPr>
            </w:pPr>
            <w:r>
              <w:rPr>
                <w:rFonts w:ascii="Arial"/>
                <w:w w:val="95"/>
                <w:sz w:val="24"/>
              </w:rPr>
              <w:t>(b)</w:t>
            </w:r>
            <w:r>
              <w:rPr>
                <w:rFonts w:ascii="Arial"/>
                <w:sz w:val="24"/>
              </w:rPr>
            </w:r>
          </w:p>
        </w:tc>
        <w:tc>
          <w:tcPr>
            <w:tcW w:w="37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153"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230"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348" w:hRule="exact"/>
        </w:trPr>
        <w:tc>
          <w:tcPr>
            <w:tcW w:w="64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205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9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98" w:type="dxa"/>
            <w:tcBorders>
              <w:top w:val="nil" w:sz="6" w:space="0" w:color="auto"/>
              <w:left w:val="nil" w:sz="6" w:space="0" w:color="auto"/>
              <w:bottom w:val="single" w:sz="4" w:space="0" w:color="000000"/>
              <w:right w:val="nil" w:sz="6" w:space="0" w:color="auto"/>
            </w:tcBorders>
          </w:tcPr>
          <w:p>
            <w:pPr/>
          </w:p>
        </w:tc>
        <w:tc>
          <w:tcPr>
            <w:tcW w:w="315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79"/>
              <w:ind w:left="127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62" w:type="dxa"/>
            <w:tcBorders>
              <w:top w:val="nil" w:sz="6" w:space="0" w:color="auto"/>
              <w:left w:val="nil" w:sz="6" w:space="0" w:color="auto"/>
              <w:bottom w:val="single" w:sz="4" w:space="0" w:color="000000"/>
              <w:right w:val="nil" w:sz="6" w:space="0" w:color="auto"/>
            </w:tcBorders>
          </w:tcPr>
          <w:p>
            <w:pPr/>
          </w:p>
        </w:tc>
      </w:tr>
      <w:tr>
        <w:trPr>
          <w:trHeight w:val="242" w:hRule="exact"/>
        </w:trPr>
        <w:tc>
          <w:tcPr>
            <w:tcW w:w="64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26" w:type="dxa"/>
            <w:gridSpan w:val="2"/>
            <w:tcBorders>
              <w:top w:val="single" w:sz="4" w:space="0" w:color="000000"/>
              <w:left w:val="nil" w:sz="6" w:space="0" w:color="auto"/>
              <w:bottom w:val="single" w:sz="4" w:space="0" w:color="000000"/>
              <w:right w:val="nil" w:sz="6" w:space="0" w:color="auto"/>
            </w:tcBorders>
          </w:tcPr>
          <w:p>
            <w:pPr>
              <w:pStyle w:val="TableParagraph"/>
              <w:spacing w:line="205" w:lineRule="exact"/>
              <w:ind w:left="5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6" w:type="dxa"/>
            <w:gridSpan w:val="3"/>
            <w:tcBorders>
              <w:top w:val="single" w:sz="4" w:space="0" w:color="000000"/>
              <w:left w:val="nil" w:sz="6" w:space="0" w:color="auto"/>
              <w:bottom w:val="nil" w:sz="6" w:space="0" w:color="auto"/>
              <w:right w:val="nil" w:sz="6" w:space="0" w:color="auto"/>
            </w:tcBorders>
          </w:tcPr>
          <w:p>
            <w:pPr>
              <w:pStyle w:val="TableParagraph"/>
              <w:spacing w:line="205" w:lineRule="exact"/>
              <w:ind w:left="7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4" w:type="dxa"/>
            <w:gridSpan w:val="3"/>
            <w:tcBorders>
              <w:top w:val="nil" w:sz="6" w:space="0" w:color="auto"/>
              <w:left w:val="nil" w:sz="6" w:space="0" w:color="auto"/>
              <w:bottom w:val="nil" w:sz="6" w:space="0" w:color="auto"/>
              <w:right w:val="nil" w:sz="6" w:space="0" w:color="auto"/>
            </w:tcBorders>
          </w:tcPr>
          <w:p>
            <w:pPr>
              <w:pStyle w:val="TableParagraph"/>
              <w:spacing w:line="210" w:lineRule="exact"/>
              <w:ind w:left="8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2" w:type="dxa"/>
            <w:gridSpan w:val="3"/>
            <w:tcBorders>
              <w:top w:val="single" w:sz="4" w:space="0" w:color="000000"/>
              <w:left w:val="nil" w:sz="6" w:space="0" w:color="auto"/>
              <w:bottom w:val="nil" w:sz="6" w:space="0" w:color="auto"/>
              <w:right w:val="nil" w:sz="6" w:space="0" w:color="auto"/>
            </w:tcBorders>
          </w:tcPr>
          <w:p>
            <w:pPr>
              <w:pStyle w:val="TableParagraph"/>
              <w:spacing w:line="205" w:lineRule="exact"/>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08" w:hRule="exact"/>
        </w:trPr>
        <w:tc>
          <w:tcPr>
            <w:tcW w:w="64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07" w:lineRule="exact"/>
              <w:ind w:left="48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4" w:space="0" w:color="000000"/>
              <w:left w:val="nil" w:sz="6" w:space="0" w:color="auto"/>
              <w:bottom w:val="nil" w:sz="6" w:space="0" w:color="auto"/>
              <w:right w:val="nil" w:sz="6" w:space="0" w:color="auto"/>
            </w:tcBorders>
          </w:tcPr>
          <w:p>
            <w:pPr>
              <w:pStyle w:val="TableParagraph"/>
              <w:spacing w:line="205" w:lineRule="exact"/>
              <w:ind w:left="464"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46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0"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nil" w:sz="6" w:space="0" w:color="auto"/>
              <w:right w:val="nil" w:sz="6" w:space="0" w:color="auto"/>
            </w:tcBorders>
          </w:tcPr>
          <w:p>
            <w:pPr>
              <w:pStyle w:val="TableParagraph"/>
              <w:spacing w:line="207" w:lineRule="exact"/>
              <w:ind w:right="56"/>
              <w:jc w:val="right"/>
              <w:rPr>
                <w:rFonts w:ascii="宋体" w:hAnsi="宋体" w:cs="宋体" w:eastAsia="宋体" w:hint="default"/>
                <w:sz w:val="18"/>
                <w:szCs w:val="18"/>
              </w:rPr>
            </w:pPr>
            <w:r>
              <w:rPr>
                <w:rFonts w:ascii="宋体" w:hAnsi="宋体" w:cs="宋体" w:eastAsia="宋体" w:hint="default"/>
                <w:sz w:val="18"/>
                <w:szCs w:val="18"/>
              </w:rPr>
              <w:t>金额</w:t>
            </w:r>
          </w:p>
        </w:tc>
        <w:tc>
          <w:tcPr>
            <w:tcW w:w="698" w:type="dxa"/>
            <w:tcBorders>
              <w:top w:val="single" w:sz="4" w:space="0" w:color="000000"/>
              <w:left w:val="nil" w:sz="6" w:space="0" w:color="auto"/>
              <w:bottom w:val="nil" w:sz="6" w:space="0" w:color="auto"/>
              <w:right w:val="nil" w:sz="6" w:space="0" w:color="auto"/>
            </w:tcBorders>
          </w:tcPr>
          <w:p>
            <w:pPr>
              <w:pStyle w:val="TableParagraph"/>
              <w:spacing w:line="205" w:lineRule="exact"/>
              <w:ind w:left="27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2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88" w:type="dxa"/>
            <w:tcBorders>
              <w:top w:val="nil" w:sz="6" w:space="0" w:color="auto"/>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nil" w:sz="6" w:space="0" w:color="auto"/>
              <w:right w:val="nil" w:sz="6" w:space="0" w:color="auto"/>
            </w:tcBorders>
          </w:tcPr>
          <w:p>
            <w:pPr>
              <w:pStyle w:val="TableParagraph"/>
              <w:spacing w:line="207" w:lineRule="exact"/>
              <w:ind w:left="4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6" w:type="dxa"/>
            <w:tcBorders>
              <w:top w:val="single" w:sz="4" w:space="0" w:color="000000"/>
              <w:left w:val="nil" w:sz="6" w:space="0" w:color="auto"/>
              <w:bottom w:val="nil" w:sz="6" w:space="0" w:color="auto"/>
              <w:right w:val="nil" w:sz="6" w:space="0" w:color="auto"/>
            </w:tcBorders>
          </w:tcPr>
          <w:p>
            <w:pPr>
              <w:pStyle w:val="TableParagraph"/>
              <w:spacing w:line="205" w:lineRule="exact"/>
              <w:ind w:right="56"/>
              <w:jc w:val="righ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40" w:lineRule="auto"/>
              <w:ind w:left="566" w:right="56"/>
              <w:jc w:val="right"/>
              <w:rPr>
                <w:rFonts w:ascii="宋体" w:hAnsi="宋体" w:cs="宋体" w:eastAsia="宋体" w:hint="default"/>
                <w:sz w:val="18"/>
                <w:szCs w:val="18"/>
              </w:rPr>
            </w:pPr>
            <w:r>
              <w:rPr>
                <w:rFonts w:ascii="宋体" w:hAnsi="宋体" w:cs="宋体" w:eastAsia="宋体" w:hint="default"/>
                <w:sz w:val="18"/>
                <w:szCs w:val="18"/>
              </w:rPr>
              <w:t>比 例</w:t>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single" w:sz="4" w:space="0" w:color="000000"/>
              <w:left w:val="nil" w:sz="6" w:space="0" w:color="auto"/>
              <w:bottom w:val="nil" w:sz="6" w:space="0" w:color="auto"/>
              <w:right w:val="nil" w:sz="6" w:space="0" w:color="auto"/>
            </w:tcBorders>
          </w:tcPr>
          <w:p>
            <w:pPr>
              <w:pStyle w:val="TableParagraph"/>
              <w:spacing w:line="207" w:lineRule="exact"/>
              <w:ind w:right="55"/>
              <w:jc w:val="right"/>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nil" w:sz="6" w:space="0" w:color="auto"/>
              <w:bottom w:val="nil" w:sz="6" w:space="0" w:color="auto"/>
              <w:right w:val="nil" w:sz="6" w:space="0" w:color="auto"/>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40" w:hRule="exact"/>
        </w:trPr>
        <w:tc>
          <w:tcPr>
            <w:tcW w:w="64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3"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001"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348" w:hRule="exact"/>
        </w:trPr>
        <w:tc>
          <w:tcPr>
            <w:tcW w:w="64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0" w:right="0"/>
              <w:jc w:val="left"/>
              <w:rPr>
                <w:rFonts w:ascii="宋体" w:hAnsi="宋体" w:cs="宋体" w:eastAsia="宋体" w:hint="default"/>
                <w:sz w:val="18"/>
                <w:szCs w:val="18"/>
              </w:rPr>
            </w:pPr>
            <w:r>
              <w:rPr>
                <w:rFonts w:ascii="宋体" w:hAnsi="宋体" w:cs="宋体" w:eastAsia="宋体" w:hint="default"/>
                <w:sz w:val="18"/>
                <w:szCs w:val="18"/>
              </w:rPr>
              <w:t>应收政府补贴组合</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99" w:right="0"/>
              <w:jc w:val="left"/>
              <w:rPr>
                <w:rFonts w:ascii="Arial" w:hAnsi="Arial" w:cs="Arial" w:eastAsia="Arial" w:hint="default"/>
                <w:sz w:val="18"/>
                <w:szCs w:val="18"/>
              </w:rPr>
            </w:pPr>
            <w:r>
              <w:rPr>
                <w:rFonts w:ascii="Arial"/>
                <w:sz w:val="18"/>
              </w:rPr>
              <w:t>6,224</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2"/>
              <w:jc w:val="right"/>
              <w:rPr>
                <w:rFonts w:ascii="Arial" w:hAnsi="Arial" w:cs="Arial" w:eastAsia="Arial" w:hint="default"/>
                <w:sz w:val="18"/>
                <w:szCs w:val="18"/>
              </w:rPr>
            </w:pPr>
            <w:r>
              <w:rPr>
                <w:rFonts w:ascii="Arial"/>
                <w:spacing w:val="-1"/>
                <w:sz w:val="18"/>
              </w:rPr>
              <w:t>0.8%</w:t>
            </w:r>
          </w:p>
        </w:tc>
        <w:tc>
          <w:tcPr>
            <w:tcW w:w="230"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w w:val="99"/>
                <w:sz w:val="18"/>
              </w:rPr>
              <w:t>-</w:t>
            </w:r>
            <w:r>
              <w:rPr>
                <w:rFonts w:ascii="Arial"/>
                <w:sz w:val="18"/>
              </w:rPr>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w w:val="99"/>
                <w:sz w:val="18"/>
              </w:rPr>
              <w:t>-</w:t>
            </w:r>
            <w:r>
              <w:rPr>
                <w:rFonts w:ascii="Arial"/>
                <w:sz w:val="18"/>
              </w:rPr>
            </w:r>
          </w:p>
        </w:tc>
        <w:tc>
          <w:tcPr>
            <w:tcW w:w="28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42" w:right="0"/>
              <w:jc w:val="left"/>
              <w:rPr>
                <w:rFonts w:ascii="Arial" w:hAnsi="Arial" w:cs="Arial" w:eastAsia="Arial" w:hint="default"/>
                <w:sz w:val="18"/>
                <w:szCs w:val="18"/>
              </w:rPr>
            </w:pPr>
            <w:r>
              <w:rPr>
                <w:rFonts w:ascii="Arial"/>
                <w:sz w:val="18"/>
              </w:rPr>
              <w:t>6,652</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18"/>
                <w:szCs w:val="18"/>
              </w:rPr>
            </w:pPr>
            <w:r>
              <w:rPr>
                <w:rFonts w:ascii="Arial"/>
                <w:spacing w:val="-1"/>
                <w:sz w:val="18"/>
              </w:rPr>
              <w:t>1.1%</w:t>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64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195" w:lineRule="exact"/>
              <w:ind w:left="180" w:right="0"/>
              <w:jc w:val="left"/>
              <w:rPr>
                <w:rFonts w:ascii="宋体" w:hAnsi="宋体" w:cs="宋体" w:eastAsia="宋体" w:hint="default"/>
                <w:sz w:val="18"/>
                <w:szCs w:val="18"/>
              </w:rPr>
            </w:pPr>
            <w:r>
              <w:rPr>
                <w:rFonts w:ascii="宋体" w:hAnsi="宋体" w:cs="宋体" w:eastAsia="宋体" w:hint="default"/>
                <w:sz w:val="18"/>
                <w:szCs w:val="18"/>
              </w:rPr>
              <w:t>应收节能补贴组合</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98" w:right="0"/>
              <w:jc w:val="left"/>
              <w:rPr>
                <w:rFonts w:ascii="Arial" w:hAnsi="Arial" w:cs="Arial" w:eastAsia="Arial" w:hint="default"/>
                <w:sz w:val="18"/>
                <w:szCs w:val="18"/>
              </w:rPr>
            </w:pPr>
            <w:r>
              <w:rPr>
                <w:rFonts w:ascii="Arial"/>
                <w:sz w:val="18"/>
              </w:rPr>
              <w:t>79,373</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Arial" w:hAnsi="Arial" w:cs="Arial" w:eastAsia="Arial" w:hint="default"/>
                <w:sz w:val="18"/>
                <w:szCs w:val="18"/>
              </w:rPr>
            </w:pPr>
            <w:r>
              <w:rPr>
                <w:rFonts w:ascii="Arial"/>
                <w:spacing w:val="-1"/>
                <w:sz w:val="18"/>
              </w:rPr>
              <w:t>10.2%</w:t>
            </w:r>
          </w:p>
        </w:tc>
        <w:tc>
          <w:tcPr>
            <w:tcW w:w="230"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8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43" w:right="0"/>
              <w:jc w:val="left"/>
              <w:rPr>
                <w:rFonts w:ascii="Arial" w:hAnsi="Arial" w:cs="Arial" w:eastAsia="Arial" w:hint="default"/>
                <w:sz w:val="18"/>
                <w:szCs w:val="18"/>
              </w:rPr>
            </w:pPr>
            <w:r>
              <w:rPr>
                <w:rFonts w:ascii="Arial"/>
                <w:sz w:val="18"/>
              </w:rPr>
              <w:t>87,609</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spacing w:val="-1"/>
                <w:sz w:val="18"/>
              </w:rPr>
              <w:t>15.1%</w:t>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37" w:hRule="exact"/>
        </w:trPr>
        <w:tc>
          <w:tcPr>
            <w:tcW w:w="64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196" w:lineRule="exact"/>
              <w:ind w:left="180"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001" w:type="dxa"/>
            <w:tcBorders>
              <w:top w:val="nil" w:sz="6" w:space="0" w:color="auto"/>
              <w:left w:val="nil" w:sz="6" w:space="0" w:color="auto"/>
              <w:bottom w:val="nil" w:sz="6" w:space="0" w:color="auto"/>
              <w:right w:val="nil" w:sz="6" w:space="0" w:color="auto"/>
            </w:tcBorders>
          </w:tcPr>
          <w:p>
            <w:pPr>
              <w:pStyle w:val="TableParagraph"/>
              <w:tabs>
                <w:tab w:pos="1279" w:val="left" w:leader="none"/>
              </w:tabs>
              <w:spacing w:line="240" w:lineRule="auto" w:before="15"/>
              <w:ind w:right="-279"/>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7"/>
                <w:sz w:val="18"/>
                <w:u w:val="single" w:color="000000"/>
              </w:rPr>
              <w:t> </w:t>
            </w:r>
            <w:r>
              <w:rPr>
                <w:rFonts w:ascii="Arial"/>
                <w:sz w:val="18"/>
                <w:u w:val="single" w:color="000000"/>
              </w:rPr>
              <w:t>689,444</w:t>
              <w:tab/>
            </w:r>
            <w:r>
              <w:rPr>
                <w:rFonts w:ascii="Arial"/>
                <w:sz w:val="18"/>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89.0%</w:t>
            </w:r>
            <w:r>
              <w:rPr>
                <w:rFonts w:ascii="Arial"/>
                <w:spacing w:val="-1"/>
                <w:sz w:val="18"/>
              </w:rPr>
            </w:r>
          </w:p>
        </w:tc>
        <w:tc>
          <w:tcPr>
            <w:tcW w:w="230"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tabs>
                <w:tab w:pos="274" w:val="left" w:leader="none"/>
              </w:tabs>
              <w:spacing w:line="240" w:lineRule="auto" w:before="15"/>
              <w:ind w:right="4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(69,424)</w:t>
            </w:r>
            <w:r>
              <w:rPr>
                <w:rFonts w:ascii="Arial"/>
                <w:spacing w:val="-1"/>
                <w:sz w:val="18"/>
              </w:rPr>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
              <w:jc w:val="right"/>
              <w:rPr>
                <w:rFonts w:ascii="Arial" w:hAnsi="Arial" w:cs="Arial" w:eastAsia="Arial" w:hint="default"/>
                <w:sz w:val="18"/>
                <w:szCs w:val="18"/>
              </w:rPr>
            </w:pPr>
            <w:r>
              <w:rPr>
                <w:rFonts w:ascii="Arial"/>
                <w:spacing w:val="-1"/>
                <w:sz w:val="18"/>
              </w:rPr>
              <w:t>10.1%</w:t>
            </w:r>
          </w:p>
        </w:tc>
        <w:tc>
          <w:tcPr>
            <w:tcW w:w="28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tabs>
                <w:tab w:pos="1310" w:val="left" w:leader="none"/>
              </w:tabs>
              <w:spacing w:line="240" w:lineRule="auto" w:before="15"/>
              <w:ind w:left="7" w:right="-26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z w:val="18"/>
                <w:u w:val="single" w:color="000000"/>
              </w:rPr>
              <w:t>485,962</w:t>
              <w:tab/>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83.8%</w:t>
            </w:r>
            <w:r>
              <w:rPr>
                <w:rFonts w:ascii="Arial"/>
                <w:spacing w:val="-1"/>
                <w:sz w:val="18"/>
              </w:rPr>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
              <w:jc w:val="right"/>
              <w:rPr>
                <w:rFonts w:ascii="Arial" w:hAnsi="Arial" w:cs="Arial" w:eastAsia="Arial" w:hint="default"/>
                <w:sz w:val="18"/>
                <w:szCs w:val="18"/>
              </w:rPr>
            </w:pPr>
            <w:r>
              <w:rPr>
                <w:rFonts w:ascii="Arial"/>
                <w:w w:val="100"/>
                <w:sz w:val="18"/>
              </w:rPr>
            </w:r>
            <w:r>
              <w:rPr>
                <w:rFonts w:ascii="Arial"/>
                <w:spacing w:val="15"/>
                <w:w w:val="100"/>
                <w:sz w:val="18"/>
                <w:u w:val="single" w:color="000000"/>
              </w:rPr>
              <w:t> </w:t>
            </w:r>
            <w:r>
              <w:rPr>
                <w:rFonts w:ascii="Arial"/>
                <w:spacing w:val="-1"/>
                <w:sz w:val="18"/>
                <w:u w:val="single" w:color="000000"/>
              </w:rPr>
              <w:t>(44,644)</w:t>
            </w:r>
            <w:r>
              <w:rPr>
                <w:rFonts w:ascii="Arial"/>
                <w:spacing w:val="-1"/>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1"/>
              <w:jc w:val="right"/>
              <w:rPr>
                <w:rFonts w:ascii="Arial" w:hAnsi="Arial" w:cs="Arial" w:eastAsia="Arial" w:hint="default"/>
                <w:sz w:val="18"/>
                <w:szCs w:val="18"/>
              </w:rPr>
            </w:pPr>
            <w:r>
              <w:rPr>
                <w:rFonts w:ascii="Arial"/>
                <w:spacing w:val="-1"/>
                <w:sz w:val="18"/>
              </w:rPr>
              <w:t>9.2%</w:t>
            </w:r>
          </w:p>
        </w:tc>
      </w:tr>
      <w:tr>
        <w:trPr>
          <w:trHeight w:val="219" w:hRule="exact"/>
        </w:trPr>
        <w:tc>
          <w:tcPr>
            <w:tcW w:w="64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12" w:space="0" w:color="000000"/>
              <w:right w:val="nil" w:sz="6" w:space="0" w:color="auto"/>
            </w:tcBorders>
          </w:tcPr>
          <w:p>
            <w:pPr>
              <w:pStyle w:val="TableParagraph"/>
              <w:spacing w:line="203" w:lineRule="exact"/>
              <w:ind w:left="199" w:right="0"/>
              <w:jc w:val="left"/>
              <w:rPr>
                <w:rFonts w:ascii="Arial" w:hAnsi="Arial" w:cs="Arial" w:eastAsia="Arial" w:hint="default"/>
                <w:sz w:val="18"/>
                <w:szCs w:val="18"/>
              </w:rPr>
            </w:pPr>
            <w:r>
              <w:rPr>
                <w:rFonts w:ascii="Arial"/>
                <w:sz w:val="18"/>
              </w:rPr>
              <w:t>775,041</w:t>
            </w:r>
          </w:p>
        </w:tc>
        <w:tc>
          <w:tcPr>
            <w:tcW w:w="826" w:type="dxa"/>
            <w:tcBorders>
              <w:top w:val="nil" w:sz="6" w:space="0" w:color="auto"/>
              <w:left w:val="nil" w:sz="6" w:space="0" w:color="auto"/>
              <w:bottom w:val="single" w:sz="12" w:space="0" w:color="000000"/>
              <w:right w:val="nil" w:sz="6" w:space="0" w:color="auto"/>
            </w:tcBorders>
          </w:tcPr>
          <w:p>
            <w:pPr>
              <w:pStyle w:val="TableParagraph"/>
              <w:spacing w:line="203" w:lineRule="exact"/>
              <w:ind w:right="62"/>
              <w:jc w:val="right"/>
              <w:rPr>
                <w:rFonts w:ascii="Arial" w:hAnsi="Arial" w:cs="Arial" w:eastAsia="Arial" w:hint="default"/>
                <w:sz w:val="18"/>
                <w:szCs w:val="18"/>
              </w:rPr>
            </w:pPr>
            <w:r>
              <w:rPr>
                <w:rFonts w:ascii="Arial"/>
                <w:spacing w:val="-1"/>
                <w:sz w:val="18"/>
              </w:rPr>
              <w:t>100.0%</w:t>
            </w:r>
          </w:p>
        </w:tc>
        <w:tc>
          <w:tcPr>
            <w:tcW w:w="230"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single" w:sz="12" w:space="0" w:color="000000"/>
              <w:right w:val="nil" w:sz="6" w:space="0" w:color="auto"/>
            </w:tcBorders>
          </w:tcPr>
          <w:p>
            <w:pPr>
              <w:pStyle w:val="TableParagraph"/>
              <w:spacing w:line="203" w:lineRule="exact"/>
              <w:ind w:right="44"/>
              <w:jc w:val="right"/>
              <w:rPr>
                <w:rFonts w:ascii="Arial" w:hAnsi="Arial" w:cs="Arial" w:eastAsia="Arial" w:hint="default"/>
                <w:sz w:val="18"/>
                <w:szCs w:val="18"/>
              </w:rPr>
            </w:pPr>
            <w:r>
              <w:rPr>
                <w:rFonts w:ascii="Arial"/>
                <w:spacing w:val="-1"/>
                <w:sz w:val="18"/>
              </w:rPr>
              <w:t>(69,424)</w:t>
            </w:r>
          </w:p>
        </w:tc>
        <w:tc>
          <w:tcPr>
            <w:tcW w:w="698"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2" w:space="0" w:color="000000"/>
              <w:right w:val="nil" w:sz="6" w:space="0" w:color="auto"/>
            </w:tcBorders>
          </w:tcPr>
          <w:p>
            <w:pPr>
              <w:pStyle w:val="TableParagraph"/>
              <w:spacing w:line="203" w:lineRule="exact"/>
              <w:ind w:left="242" w:right="0"/>
              <w:jc w:val="left"/>
              <w:rPr>
                <w:rFonts w:ascii="Arial" w:hAnsi="Arial" w:cs="Arial" w:eastAsia="Arial" w:hint="default"/>
                <w:sz w:val="18"/>
                <w:szCs w:val="18"/>
              </w:rPr>
            </w:pPr>
            <w:r>
              <w:rPr>
                <w:rFonts w:ascii="Arial"/>
                <w:sz w:val="18"/>
              </w:rPr>
              <w:t>580,223</w:t>
            </w:r>
          </w:p>
        </w:tc>
        <w:tc>
          <w:tcPr>
            <w:tcW w:w="806" w:type="dxa"/>
            <w:tcBorders>
              <w:top w:val="nil" w:sz="6" w:space="0" w:color="auto"/>
              <w:left w:val="nil" w:sz="6" w:space="0" w:color="auto"/>
              <w:bottom w:val="single" w:sz="12" w:space="0" w:color="000000"/>
              <w:right w:val="nil" w:sz="6" w:space="0" w:color="auto"/>
            </w:tcBorders>
          </w:tcPr>
          <w:p>
            <w:pPr>
              <w:pStyle w:val="TableParagraph"/>
              <w:spacing w:line="203" w:lineRule="exact"/>
              <w:ind w:right="36"/>
              <w:jc w:val="right"/>
              <w:rPr>
                <w:rFonts w:ascii="Arial" w:hAnsi="Arial" w:cs="Arial" w:eastAsia="Arial" w:hint="default"/>
                <w:sz w:val="18"/>
                <w:szCs w:val="18"/>
              </w:rPr>
            </w:pPr>
            <w:r>
              <w:rPr>
                <w:rFonts w:ascii="Arial"/>
                <w:spacing w:val="-1"/>
                <w:sz w:val="18"/>
              </w:rPr>
              <w:t>100.0%</w:t>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single" w:sz="12" w:space="0" w:color="000000"/>
              <w:right w:val="nil" w:sz="6" w:space="0" w:color="auto"/>
            </w:tcBorders>
          </w:tcPr>
          <w:p>
            <w:pPr>
              <w:pStyle w:val="TableParagraph"/>
              <w:spacing w:line="203" w:lineRule="exact"/>
              <w:ind w:right="36"/>
              <w:jc w:val="right"/>
              <w:rPr>
                <w:rFonts w:ascii="Arial" w:hAnsi="Arial" w:cs="Arial" w:eastAsia="Arial" w:hint="default"/>
                <w:sz w:val="18"/>
                <w:szCs w:val="18"/>
              </w:rPr>
            </w:pPr>
            <w:r>
              <w:rPr>
                <w:rFonts w:ascii="Arial"/>
                <w:spacing w:val="-1"/>
                <w:sz w:val="18"/>
              </w:rPr>
              <w:t>(44,644)</w:t>
            </w:r>
          </w:p>
        </w:tc>
        <w:tc>
          <w:tcPr>
            <w:tcW w:w="662"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686"/>
        <w:gridCol w:w="1358"/>
        <w:gridCol w:w="1418"/>
        <w:gridCol w:w="235"/>
        <w:gridCol w:w="1120"/>
        <w:gridCol w:w="766"/>
        <w:gridCol w:w="245"/>
        <w:gridCol w:w="1552"/>
        <w:gridCol w:w="235"/>
        <w:gridCol w:w="1050"/>
        <w:gridCol w:w="750"/>
      </w:tblGrid>
      <w:tr>
        <w:trPr>
          <w:trHeight w:val="694"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5" w:lineRule="exact"/>
              <w:ind w:right="3"/>
              <w:jc w:val="center"/>
              <w:rPr>
                <w:rFonts w:ascii="Arial" w:hAnsi="Arial" w:cs="Arial" w:eastAsia="Arial" w:hint="default"/>
                <w:sz w:val="24"/>
                <w:szCs w:val="24"/>
              </w:rPr>
            </w:pPr>
            <w:r>
              <w:rPr>
                <w:rFonts w:ascii="Arial"/>
                <w:sz w:val="24"/>
              </w:rPr>
              <w:t>(c)</w:t>
            </w:r>
          </w:p>
        </w:tc>
        <w:tc>
          <w:tcPr>
            <w:tcW w:w="8729" w:type="dxa"/>
            <w:gridSpan w:val="10"/>
            <w:tcBorders>
              <w:top w:val="nil" w:sz="6" w:space="0" w:color="auto"/>
              <w:left w:val="nil" w:sz="6" w:space="0" w:color="auto"/>
              <w:bottom w:val="nil" w:sz="6" w:space="0" w:color="auto"/>
              <w:right w:val="nil" w:sz="6" w:space="0" w:color="auto"/>
            </w:tcBorders>
          </w:tcPr>
          <w:p>
            <w:pPr>
              <w:pStyle w:val="TableParagraph"/>
              <w:spacing w:line="246" w:lineRule="exact"/>
              <w:ind w:left="199" w:right="0"/>
              <w:jc w:val="left"/>
              <w:rPr>
                <w:rFonts w:ascii="宋体" w:hAnsi="宋体" w:cs="宋体" w:eastAsia="宋体" w:hint="default"/>
                <w:sz w:val="24"/>
                <w:szCs w:val="24"/>
              </w:rPr>
            </w:pPr>
            <w:r>
              <w:rPr>
                <w:rFonts w:ascii="宋体" w:hAnsi="宋体" w:cs="宋体" w:eastAsia="宋体" w:hint="default"/>
                <w:sz w:val="24"/>
                <w:szCs w:val="24"/>
              </w:rPr>
              <w:t>按应收其他款项组合计提坏账准备的应收账款中，采用账龄分析法的组合分析如</w:t>
            </w:r>
          </w:p>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下：</w:t>
            </w:r>
          </w:p>
        </w:tc>
      </w:tr>
      <w:tr>
        <w:trPr>
          <w:trHeight w:val="347" w:hRule="exact"/>
        </w:trPr>
        <w:tc>
          <w:tcPr>
            <w:tcW w:w="686"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277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98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6" w:type="dxa"/>
            <w:tcBorders>
              <w:top w:val="nil" w:sz="6" w:space="0" w:color="auto"/>
              <w:left w:val="nil" w:sz="6" w:space="0" w:color="auto"/>
              <w:bottom w:val="single" w:sz="4" w:space="0" w:color="000000"/>
              <w:right w:val="nil" w:sz="6" w:space="0" w:color="auto"/>
            </w:tcBorders>
          </w:tcPr>
          <w:p>
            <w:pPr/>
          </w:p>
        </w:tc>
        <w:tc>
          <w:tcPr>
            <w:tcW w:w="308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9"/>
              <w:ind w:left="125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50" w:type="dxa"/>
            <w:tcBorders>
              <w:top w:val="nil" w:sz="6" w:space="0" w:color="auto"/>
              <w:left w:val="nil" w:sz="6" w:space="0" w:color="auto"/>
              <w:bottom w:val="single" w:sz="4" w:space="0" w:color="000000"/>
              <w:right w:val="nil" w:sz="6" w:space="0" w:color="auto"/>
            </w:tcBorders>
          </w:tcPr>
          <w:p>
            <w:pPr/>
          </w:p>
        </w:tc>
      </w:tr>
      <w:tr>
        <w:trPr>
          <w:trHeight w:val="244" w:hRule="exact"/>
        </w:trPr>
        <w:tc>
          <w:tcPr>
            <w:tcW w:w="686"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120" w:type="dxa"/>
            <w:gridSpan w:val="3"/>
            <w:tcBorders>
              <w:top w:val="single" w:sz="4" w:space="0" w:color="000000"/>
              <w:left w:val="nil" w:sz="6" w:space="0" w:color="auto"/>
              <w:bottom w:val="nil" w:sz="6" w:space="0" w:color="auto"/>
              <w:right w:val="nil" w:sz="6" w:space="0" w:color="auto"/>
            </w:tcBorders>
          </w:tcPr>
          <w:p>
            <w:pPr>
              <w:pStyle w:val="TableParagraph"/>
              <w:spacing w:line="207" w:lineRule="exact"/>
              <w:ind w:left="8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5"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036" w:type="dxa"/>
            <w:gridSpan w:val="3"/>
            <w:tcBorders>
              <w:top w:val="single" w:sz="4" w:space="0" w:color="000000"/>
              <w:left w:val="nil" w:sz="6" w:space="0" w:color="auto"/>
              <w:bottom w:val="nil" w:sz="6" w:space="0" w:color="auto"/>
              <w:right w:val="nil" w:sz="6" w:space="0" w:color="auto"/>
            </w:tcBorders>
          </w:tcPr>
          <w:p>
            <w:pPr>
              <w:pStyle w:val="TableParagraph"/>
              <w:spacing w:line="207" w:lineRule="exact"/>
              <w:ind w:left="7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82" w:hRule="exact"/>
        </w:trPr>
        <w:tc>
          <w:tcPr>
            <w:tcW w:w="686"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金额</w:t>
            </w:r>
          </w:p>
        </w:tc>
        <w:tc>
          <w:tcPr>
            <w:tcW w:w="235" w:type="dxa"/>
            <w:tcBorders>
              <w:top w:val="nil" w:sz="6" w:space="0" w:color="auto"/>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nil" w:sz="6" w:space="0" w:color="auto"/>
              <w:right w:val="nil" w:sz="6" w:space="0" w:color="auto"/>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left="486" w:right="0"/>
              <w:jc w:val="left"/>
              <w:rPr>
                <w:rFonts w:ascii="宋体" w:hAnsi="宋体" w:cs="宋体" w:eastAsia="宋体" w:hint="default"/>
                <w:sz w:val="18"/>
                <w:szCs w:val="18"/>
              </w:rPr>
            </w:pPr>
            <w:r>
              <w:rPr>
                <w:rFonts w:ascii="宋体" w:hAnsi="宋体" w:cs="宋体" w:eastAsia="宋体" w:hint="default"/>
                <w:sz w:val="18"/>
                <w:szCs w:val="18"/>
              </w:rPr>
              <w:t>例</w:t>
            </w:r>
          </w:p>
        </w:tc>
        <w:tc>
          <w:tcPr>
            <w:tcW w:w="245"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金额</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05" w:lineRule="exact"/>
              <w:ind w:right="174"/>
              <w:jc w:val="right"/>
              <w:rPr>
                <w:rFonts w:ascii="宋体" w:hAnsi="宋体" w:cs="宋体" w:eastAsia="宋体" w:hint="default"/>
                <w:sz w:val="18"/>
                <w:szCs w:val="18"/>
              </w:rPr>
            </w:pPr>
            <w:r>
              <w:rPr>
                <w:rFonts w:ascii="宋体" w:hAnsi="宋体" w:cs="宋体" w:eastAsia="宋体" w:hint="default"/>
                <w:sz w:val="18"/>
                <w:szCs w:val="18"/>
              </w:rPr>
              <w:t>金额</w:t>
            </w:r>
          </w:p>
        </w:tc>
        <w:tc>
          <w:tcPr>
            <w:tcW w:w="750" w:type="dxa"/>
            <w:tcBorders>
              <w:top w:val="single" w:sz="4" w:space="0" w:color="000000"/>
              <w:left w:val="nil" w:sz="6" w:space="0" w:color="auto"/>
              <w:bottom w:val="nil" w:sz="6" w:space="0" w:color="auto"/>
              <w:right w:val="nil" w:sz="6" w:space="0" w:color="auto"/>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5" w:lineRule="exact"/>
              <w:ind w:left="36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3" w:hRule="exact"/>
        </w:trPr>
        <w:tc>
          <w:tcPr>
            <w:tcW w:w="686"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
              <w:jc w:val="right"/>
              <w:rPr>
                <w:rFonts w:ascii="Arial" w:hAnsi="Arial" w:cs="Arial" w:eastAsia="Arial" w:hint="default"/>
                <w:sz w:val="18"/>
                <w:szCs w:val="18"/>
              </w:rPr>
            </w:pPr>
            <w:r>
              <w:rPr>
                <w:rFonts w:ascii="Arial"/>
                <w:spacing w:val="-1"/>
                <w:sz w:val="18"/>
              </w:rPr>
              <w:t>435,720</w:t>
            </w:r>
          </w:p>
        </w:tc>
        <w:tc>
          <w:tcPr>
            <w:tcW w:w="23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8"/>
              <w:jc w:val="right"/>
              <w:rPr>
                <w:rFonts w:ascii="Arial" w:hAnsi="Arial" w:cs="Arial" w:eastAsia="Arial" w:hint="default"/>
                <w:sz w:val="18"/>
                <w:szCs w:val="18"/>
              </w:rPr>
            </w:pPr>
            <w:r>
              <w:rPr>
                <w:rFonts w:ascii="Arial"/>
                <w:spacing w:val="-1"/>
                <w:sz w:val="18"/>
              </w:rPr>
              <w:t>(21,793)</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
              <w:jc w:val="right"/>
              <w:rPr>
                <w:rFonts w:ascii="Arial" w:hAnsi="Arial" w:cs="Arial" w:eastAsia="Arial" w:hint="default"/>
                <w:sz w:val="18"/>
                <w:szCs w:val="18"/>
              </w:rPr>
            </w:pPr>
            <w:r>
              <w:rPr>
                <w:rFonts w:ascii="Arial"/>
                <w:spacing w:val="-1"/>
                <w:sz w:val="18"/>
              </w:rPr>
              <w:t>5%</w:t>
            </w:r>
          </w:p>
        </w:tc>
        <w:tc>
          <w:tcPr>
            <w:tcW w:w="245"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6"/>
              <w:jc w:val="right"/>
              <w:rPr>
                <w:rFonts w:ascii="Arial" w:hAnsi="Arial" w:cs="Arial" w:eastAsia="Arial" w:hint="default"/>
                <w:sz w:val="18"/>
                <w:szCs w:val="18"/>
              </w:rPr>
            </w:pPr>
            <w:r>
              <w:rPr>
                <w:rFonts w:ascii="Arial"/>
                <w:spacing w:val="-1"/>
                <w:sz w:val="18"/>
              </w:rPr>
              <w:t>308,479</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7"/>
              <w:jc w:val="right"/>
              <w:rPr>
                <w:rFonts w:ascii="Arial" w:hAnsi="Arial" w:cs="Arial" w:eastAsia="Arial" w:hint="default"/>
                <w:sz w:val="18"/>
                <w:szCs w:val="18"/>
              </w:rPr>
            </w:pPr>
            <w:r>
              <w:rPr>
                <w:rFonts w:ascii="Arial"/>
                <w:spacing w:val="-1"/>
                <w:sz w:val="18"/>
              </w:rPr>
              <w:t>(15,437)</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right"/>
              <w:rPr>
                <w:rFonts w:ascii="Arial" w:hAnsi="Arial" w:cs="Arial" w:eastAsia="Arial" w:hint="default"/>
                <w:sz w:val="18"/>
                <w:szCs w:val="18"/>
              </w:rPr>
            </w:pPr>
            <w:r>
              <w:rPr>
                <w:rFonts w:ascii="Arial"/>
                <w:spacing w:val="-1"/>
                <w:sz w:val="18"/>
              </w:rPr>
              <w:t>5%</w:t>
            </w:r>
          </w:p>
        </w:tc>
      </w:tr>
      <w:tr>
        <w:trPr>
          <w:trHeight w:val="244" w:hRule="exact"/>
        </w:trPr>
        <w:tc>
          <w:tcPr>
            <w:tcW w:w="686"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02" w:lineRule="exact"/>
              <w:ind w:left="199"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Arial" w:hAnsi="Arial" w:cs="Arial" w:eastAsia="Arial" w:hint="default"/>
                <w:sz w:val="18"/>
                <w:szCs w:val="18"/>
              </w:rPr>
            </w:pPr>
            <w:r>
              <w:rPr>
                <w:rFonts w:ascii="Arial"/>
                <w:spacing w:val="-1"/>
                <w:sz w:val="18"/>
              </w:rPr>
              <w:t>127,806</w:t>
            </w:r>
          </w:p>
        </w:tc>
        <w:tc>
          <w:tcPr>
            <w:tcW w:w="23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02" w:lineRule="exact"/>
              <w:ind w:right="108"/>
              <w:jc w:val="right"/>
              <w:rPr>
                <w:rFonts w:ascii="Arial" w:hAnsi="Arial" w:cs="Arial" w:eastAsia="Arial" w:hint="default"/>
                <w:sz w:val="18"/>
                <w:szCs w:val="18"/>
              </w:rPr>
            </w:pPr>
            <w:r>
              <w:rPr>
                <w:rFonts w:ascii="Arial"/>
                <w:spacing w:val="-1"/>
                <w:sz w:val="18"/>
              </w:rPr>
              <w:t>(12,781)</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7"/>
              <w:jc w:val="right"/>
              <w:rPr>
                <w:rFonts w:ascii="Arial" w:hAnsi="Arial" w:cs="Arial" w:eastAsia="Arial" w:hint="default"/>
                <w:sz w:val="18"/>
                <w:szCs w:val="18"/>
              </w:rPr>
            </w:pPr>
            <w:r>
              <w:rPr>
                <w:rFonts w:ascii="Arial"/>
                <w:spacing w:val="-1"/>
                <w:w w:val="95"/>
                <w:sz w:val="18"/>
              </w:rPr>
              <w:t>10%</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w:hAnsi="Arial" w:cs="Arial" w:eastAsia="Arial" w:hint="default"/>
                <w:sz w:val="18"/>
                <w:szCs w:val="18"/>
              </w:rPr>
            </w:pPr>
            <w:r>
              <w:rPr>
                <w:rFonts w:ascii="Arial"/>
                <w:spacing w:val="-1"/>
                <w:sz w:val="18"/>
              </w:rPr>
              <w:t>106,045</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Arial" w:hAnsi="Arial" w:cs="Arial" w:eastAsia="Arial" w:hint="default"/>
                <w:sz w:val="18"/>
                <w:szCs w:val="18"/>
              </w:rPr>
            </w:pPr>
            <w:r>
              <w:rPr>
                <w:rFonts w:ascii="Arial"/>
                <w:spacing w:val="-1"/>
                <w:sz w:val="18"/>
              </w:rPr>
              <w:t>(10,604)</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243" w:hRule="exact"/>
        </w:trPr>
        <w:tc>
          <w:tcPr>
            <w:tcW w:w="686"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02" w:lineRule="exact"/>
              <w:ind w:left="199"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18"/>
                <w:szCs w:val="18"/>
              </w:rPr>
            </w:pPr>
            <w:r>
              <w:rPr>
                <w:rFonts w:ascii="Arial"/>
                <w:spacing w:val="-1"/>
                <w:sz w:val="18"/>
              </w:rPr>
              <w:t>82,917</w:t>
            </w:r>
          </w:p>
        </w:tc>
        <w:tc>
          <w:tcPr>
            <w:tcW w:w="23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02" w:lineRule="exact"/>
              <w:ind w:right="108"/>
              <w:jc w:val="right"/>
              <w:rPr>
                <w:rFonts w:ascii="Arial" w:hAnsi="Arial" w:cs="Arial" w:eastAsia="Arial" w:hint="default"/>
                <w:sz w:val="18"/>
                <w:szCs w:val="18"/>
              </w:rPr>
            </w:pPr>
            <w:r>
              <w:rPr>
                <w:rFonts w:ascii="Arial"/>
                <w:spacing w:val="-1"/>
                <w:sz w:val="18"/>
              </w:rPr>
              <w:t>(16,583)</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7"/>
              <w:jc w:val="right"/>
              <w:rPr>
                <w:rFonts w:ascii="Arial" w:hAnsi="Arial" w:cs="Arial" w:eastAsia="Arial" w:hint="default"/>
                <w:sz w:val="18"/>
                <w:szCs w:val="18"/>
              </w:rPr>
            </w:pPr>
            <w:r>
              <w:rPr>
                <w:rFonts w:ascii="Arial"/>
                <w:spacing w:val="-1"/>
                <w:w w:val="95"/>
                <w:sz w:val="18"/>
              </w:rPr>
              <w:t>20%</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18"/>
                <w:szCs w:val="18"/>
              </w:rPr>
            </w:pPr>
            <w:r>
              <w:rPr>
                <w:rFonts w:ascii="Arial"/>
                <w:spacing w:val="-1"/>
                <w:sz w:val="18"/>
              </w:rPr>
              <w:t>48,480</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Arial" w:hAnsi="Arial" w:cs="Arial" w:eastAsia="Arial" w:hint="default"/>
                <w:sz w:val="18"/>
                <w:szCs w:val="18"/>
              </w:rPr>
            </w:pPr>
            <w:r>
              <w:rPr>
                <w:rFonts w:ascii="Arial"/>
                <w:spacing w:val="-1"/>
                <w:sz w:val="18"/>
              </w:rPr>
              <w:t>(9,696)</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244" w:hRule="exact"/>
        </w:trPr>
        <w:tc>
          <w:tcPr>
            <w:tcW w:w="686"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Arial" w:hAnsi="Arial" w:cs="Arial" w:eastAsia="Arial" w:hint="default"/>
                <w:sz w:val="18"/>
                <w:szCs w:val="18"/>
              </w:rPr>
            </w:pPr>
            <w:r>
              <w:rPr>
                <w:rFonts w:ascii="Arial"/>
                <w:spacing w:val="-3"/>
                <w:sz w:val="18"/>
              </w:rPr>
              <w:t>31,411</w:t>
            </w:r>
          </w:p>
        </w:tc>
        <w:tc>
          <w:tcPr>
            <w:tcW w:w="23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03" w:lineRule="exact"/>
              <w:ind w:right="108"/>
              <w:jc w:val="right"/>
              <w:rPr>
                <w:rFonts w:ascii="Arial" w:hAnsi="Arial" w:cs="Arial" w:eastAsia="Arial" w:hint="default"/>
                <w:sz w:val="18"/>
                <w:szCs w:val="18"/>
              </w:rPr>
            </w:pPr>
            <w:r>
              <w:rPr>
                <w:rFonts w:ascii="Arial"/>
                <w:spacing w:val="-1"/>
                <w:sz w:val="18"/>
              </w:rPr>
              <w:t>(9,423)</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7"/>
              <w:jc w:val="right"/>
              <w:rPr>
                <w:rFonts w:ascii="Arial" w:hAnsi="Arial" w:cs="Arial" w:eastAsia="Arial" w:hint="default"/>
                <w:sz w:val="18"/>
                <w:szCs w:val="18"/>
              </w:rPr>
            </w:pPr>
            <w:r>
              <w:rPr>
                <w:rFonts w:ascii="Arial"/>
                <w:spacing w:val="-1"/>
                <w:w w:val="95"/>
                <w:sz w:val="18"/>
              </w:rPr>
              <w:t>30%</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w:hAnsi="Arial" w:cs="Arial" w:eastAsia="Arial" w:hint="default"/>
                <w:sz w:val="18"/>
                <w:szCs w:val="18"/>
              </w:rPr>
            </w:pPr>
            <w:r>
              <w:rPr>
                <w:rFonts w:ascii="Arial"/>
                <w:spacing w:val="-1"/>
                <w:sz w:val="18"/>
              </w:rPr>
              <w:t>16,946</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Arial" w:hAnsi="Arial" w:cs="Arial" w:eastAsia="Arial" w:hint="default"/>
                <w:sz w:val="18"/>
                <w:szCs w:val="18"/>
              </w:rPr>
            </w:pPr>
            <w:r>
              <w:rPr>
                <w:rFonts w:ascii="Arial"/>
                <w:spacing w:val="-1"/>
                <w:sz w:val="18"/>
              </w:rPr>
              <w:t>(5,084)</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244" w:hRule="exact"/>
        </w:trPr>
        <w:tc>
          <w:tcPr>
            <w:tcW w:w="686"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Arial" w:hAnsi="Arial" w:cs="Arial" w:eastAsia="Arial" w:hint="default"/>
                <w:sz w:val="18"/>
                <w:szCs w:val="18"/>
              </w:rPr>
            </w:pPr>
            <w:r>
              <w:rPr>
                <w:rFonts w:ascii="Arial"/>
                <w:spacing w:val="-1"/>
                <w:sz w:val="18"/>
              </w:rPr>
              <w:t>6,865</w:t>
            </w:r>
          </w:p>
        </w:tc>
        <w:tc>
          <w:tcPr>
            <w:tcW w:w="23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03" w:lineRule="exact"/>
              <w:ind w:right="108"/>
              <w:jc w:val="right"/>
              <w:rPr>
                <w:rFonts w:ascii="Arial" w:hAnsi="Arial" w:cs="Arial" w:eastAsia="Arial" w:hint="default"/>
                <w:sz w:val="18"/>
                <w:szCs w:val="18"/>
              </w:rPr>
            </w:pPr>
            <w:r>
              <w:rPr>
                <w:rFonts w:ascii="Arial"/>
                <w:spacing w:val="-3"/>
                <w:sz w:val="18"/>
              </w:rPr>
              <w:t>(4,119)</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7"/>
              <w:jc w:val="right"/>
              <w:rPr>
                <w:rFonts w:ascii="Arial" w:hAnsi="Arial" w:cs="Arial" w:eastAsia="Arial" w:hint="default"/>
                <w:sz w:val="18"/>
                <w:szCs w:val="18"/>
              </w:rPr>
            </w:pPr>
            <w:r>
              <w:rPr>
                <w:rFonts w:ascii="Arial"/>
                <w:spacing w:val="-1"/>
                <w:w w:val="95"/>
                <w:sz w:val="18"/>
              </w:rPr>
              <w:t>60%</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Arial" w:hAnsi="Arial" w:cs="Arial" w:eastAsia="Arial" w:hint="default"/>
                <w:sz w:val="18"/>
                <w:szCs w:val="18"/>
              </w:rPr>
            </w:pPr>
            <w:r>
              <w:rPr>
                <w:rFonts w:ascii="Arial"/>
                <w:spacing w:val="-1"/>
                <w:sz w:val="18"/>
              </w:rPr>
              <w:t>5,472</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Arial" w:hAnsi="Arial" w:cs="Arial" w:eastAsia="Arial" w:hint="default"/>
                <w:sz w:val="18"/>
                <w:szCs w:val="18"/>
              </w:rPr>
            </w:pPr>
            <w:r>
              <w:rPr>
                <w:rFonts w:ascii="Arial"/>
                <w:spacing w:val="-1"/>
                <w:sz w:val="18"/>
              </w:rPr>
              <w:t>(3,283)</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5" w:hRule="exact"/>
        </w:trPr>
        <w:tc>
          <w:tcPr>
            <w:tcW w:w="686"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418" w:type="dxa"/>
            <w:tcBorders>
              <w:top w:val="nil" w:sz="6" w:space="0" w:color="auto"/>
              <w:left w:val="nil" w:sz="6" w:space="0" w:color="auto"/>
              <w:bottom w:val="nil" w:sz="6" w:space="0" w:color="auto"/>
              <w:right w:val="nil" w:sz="6" w:space="0" w:color="auto"/>
            </w:tcBorders>
          </w:tcPr>
          <w:p>
            <w:pPr>
              <w:pStyle w:val="TableParagraph"/>
              <w:tabs>
                <w:tab w:pos="861" w:val="left" w:leader="none"/>
                <w:tab w:pos="1418" w:val="left" w:leader="none"/>
              </w:tabs>
              <w:spacing w:line="240" w:lineRule="auto" w:before="22"/>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4,725</w:t>
              <w:tab/>
            </w:r>
            <w:r>
              <w:rPr>
                <w:rFonts w:ascii="Arial"/>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4" w:space="0" w:color="000000"/>
              <w:right w:val="nil" w:sz="6" w:space="0" w:color="auto"/>
            </w:tcBorders>
          </w:tcPr>
          <w:p>
            <w:pPr>
              <w:pStyle w:val="TableParagraph"/>
              <w:spacing w:line="203" w:lineRule="exact"/>
              <w:ind w:right="108"/>
              <w:jc w:val="right"/>
              <w:rPr>
                <w:rFonts w:ascii="Arial" w:hAnsi="Arial" w:cs="Arial" w:eastAsia="Arial" w:hint="default"/>
                <w:sz w:val="18"/>
                <w:szCs w:val="18"/>
              </w:rPr>
            </w:pPr>
            <w:r>
              <w:rPr>
                <w:rFonts w:ascii="Arial"/>
                <w:spacing w:val="-1"/>
                <w:sz w:val="18"/>
              </w:rPr>
              <w:t>(4,725)</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7"/>
              <w:jc w:val="right"/>
              <w:rPr>
                <w:rFonts w:ascii="Arial" w:hAnsi="Arial" w:cs="Arial" w:eastAsia="Arial" w:hint="default"/>
                <w:sz w:val="18"/>
                <w:szCs w:val="18"/>
              </w:rPr>
            </w:pPr>
            <w:r>
              <w:rPr>
                <w:rFonts w:ascii="Arial"/>
                <w:spacing w:val="-1"/>
                <w:sz w:val="18"/>
              </w:rPr>
              <w:t>100%</w:t>
            </w:r>
          </w:p>
        </w:tc>
        <w:tc>
          <w:tcPr>
            <w:tcW w:w="245"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7"/>
              <w:jc w:val="right"/>
              <w:rPr>
                <w:rFonts w:ascii="Arial" w:hAnsi="Arial" w:cs="Arial" w:eastAsia="Arial" w:hint="default"/>
                <w:sz w:val="18"/>
                <w:szCs w:val="18"/>
              </w:rPr>
            </w:pPr>
            <w:r>
              <w:rPr>
                <w:rFonts w:ascii="Arial"/>
                <w:spacing w:val="-1"/>
                <w:w w:val="95"/>
                <w:sz w:val="18"/>
              </w:rPr>
              <w:t>540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6"/>
              <w:jc w:val="right"/>
              <w:rPr>
                <w:rFonts w:ascii="Arial" w:hAnsi="Arial" w:cs="Arial" w:eastAsia="Arial" w:hint="default"/>
                <w:sz w:val="18"/>
                <w:szCs w:val="18"/>
              </w:rPr>
            </w:pPr>
            <w:r>
              <w:rPr>
                <w:rFonts w:ascii="Arial"/>
                <w:spacing w:val="-1"/>
                <w:sz w:val="18"/>
              </w:rPr>
              <w:t>(540)</w:t>
            </w:r>
            <w:r>
              <w:rPr>
                <w:rFonts w:ascii="Arial"/>
                <w:sz w:val="18"/>
              </w:rPr>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spacing w:val="-1"/>
                <w:sz w:val="18"/>
              </w:rPr>
              <w:t>100%</w:t>
            </w:r>
          </w:p>
        </w:tc>
      </w:tr>
      <w:tr>
        <w:trPr>
          <w:trHeight w:val="227" w:hRule="exact"/>
        </w:trPr>
        <w:tc>
          <w:tcPr>
            <w:tcW w:w="686" w:type="dxa"/>
            <w:tcBorders>
              <w:top w:val="nil" w:sz="6" w:space="0" w:color="auto"/>
              <w:left w:val="nil" w:sz="6" w:space="0" w:color="auto"/>
              <w:bottom w:val="nil" w:sz="6" w:space="0" w:color="auto"/>
              <w:right w:val="nil" w:sz="6" w:space="0" w:color="auto"/>
            </w:tcBorders>
          </w:tcPr>
          <w:p>
            <w:pPr/>
          </w:p>
        </w:tc>
        <w:tc>
          <w:tcPr>
            <w:tcW w:w="27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105"/>
              <w:jc w:val="right"/>
              <w:rPr>
                <w:rFonts w:ascii="Arial" w:hAnsi="Arial" w:cs="Arial" w:eastAsia="Arial" w:hint="default"/>
                <w:sz w:val="18"/>
                <w:szCs w:val="18"/>
              </w:rPr>
            </w:pPr>
            <w:r>
              <w:rPr>
                <w:rFonts w:ascii="Arial"/>
                <w:spacing w:val="-1"/>
                <w:sz w:val="18"/>
              </w:rPr>
              <w:t>689,444</w:t>
            </w:r>
          </w:p>
        </w:tc>
        <w:tc>
          <w:tcPr>
            <w:tcW w:w="235" w:type="dxa"/>
            <w:tcBorders>
              <w:top w:val="nil" w:sz="6" w:space="0" w:color="auto"/>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single" w:sz="12" w:space="0" w:color="000000"/>
              <w:right w:val="nil" w:sz="6" w:space="0" w:color="auto"/>
            </w:tcBorders>
          </w:tcPr>
          <w:p>
            <w:pPr>
              <w:pStyle w:val="TableParagraph"/>
              <w:spacing w:line="206" w:lineRule="exact"/>
              <w:ind w:right="108"/>
              <w:jc w:val="right"/>
              <w:rPr>
                <w:rFonts w:ascii="Arial" w:hAnsi="Arial" w:cs="Arial" w:eastAsia="Arial" w:hint="default"/>
                <w:sz w:val="18"/>
                <w:szCs w:val="18"/>
              </w:rPr>
            </w:pPr>
            <w:r>
              <w:rPr>
                <w:rFonts w:ascii="Arial"/>
                <w:spacing w:val="-1"/>
                <w:sz w:val="18"/>
              </w:rPr>
              <w:t>(69,424)</w:t>
            </w:r>
          </w:p>
        </w:tc>
        <w:tc>
          <w:tcPr>
            <w:tcW w:w="766"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single" w:sz="12" w:space="0" w:color="000000"/>
              <w:right w:val="nil" w:sz="6" w:space="0" w:color="auto"/>
            </w:tcBorders>
          </w:tcPr>
          <w:p>
            <w:pPr>
              <w:pStyle w:val="TableParagraph"/>
              <w:spacing w:line="206" w:lineRule="exact"/>
              <w:ind w:right="106"/>
              <w:jc w:val="right"/>
              <w:rPr>
                <w:rFonts w:ascii="Arial" w:hAnsi="Arial" w:cs="Arial" w:eastAsia="Arial" w:hint="default"/>
                <w:sz w:val="18"/>
                <w:szCs w:val="18"/>
              </w:rPr>
            </w:pPr>
            <w:r>
              <w:rPr>
                <w:rFonts w:ascii="Arial"/>
                <w:spacing w:val="-1"/>
                <w:sz w:val="18"/>
              </w:rPr>
              <w:t>485,962</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single" w:sz="12" w:space="0" w:color="000000"/>
              <w:right w:val="nil" w:sz="6" w:space="0" w:color="auto"/>
            </w:tcBorders>
          </w:tcPr>
          <w:p>
            <w:pPr>
              <w:pStyle w:val="TableParagraph"/>
              <w:spacing w:line="206" w:lineRule="exact"/>
              <w:ind w:right="107"/>
              <w:jc w:val="right"/>
              <w:rPr>
                <w:rFonts w:ascii="Arial" w:hAnsi="Arial" w:cs="Arial" w:eastAsia="Arial" w:hint="default"/>
                <w:sz w:val="18"/>
                <w:szCs w:val="18"/>
              </w:rPr>
            </w:pPr>
            <w:r>
              <w:rPr>
                <w:rFonts w:ascii="Arial"/>
                <w:spacing w:val="-1"/>
                <w:sz w:val="18"/>
              </w:rPr>
              <w:t>(44,644)</w:t>
            </w:r>
          </w:p>
        </w:tc>
        <w:tc>
          <w:tcPr>
            <w:tcW w:w="750" w:type="dxa"/>
            <w:tcBorders>
              <w:top w:val="nil" w:sz="6" w:space="0" w:color="auto"/>
              <w:left w:val="nil" w:sz="6" w:space="0" w:color="auto"/>
              <w:bottom w:val="nil" w:sz="6" w:space="0" w:color="auto"/>
              <w:right w:val="nil" w:sz="6" w:space="0" w:color="auto"/>
            </w:tcBorders>
          </w:tcPr>
          <w:p>
            <w:pPr/>
          </w:p>
        </w:tc>
      </w:tr>
      <w:tr>
        <w:trPr>
          <w:trHeight w:val="578"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Arial" w:hAnsi="Arial" w:cs="Arial" w:eastAsia="Arial" w:hint="default"/>
                <w:sz w:val="24"/>
                <w:szCs w:val="24"/>
              </w:rPr>
            </w:pPr>
            <w:r>
              <w:rPr>
                <w:rFonts w:ascii="Arial"/>
                <w:sz w:val="24"/>
              </w:rPr>
              <w:t>(d)</w:t>
            </w:r>
          </w:p>
        </w:tc>
        <w:tc>
          <w:tcPr>
            <w:tcW w:w="8729"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4"/>
                <w:szCs w:val="24"/>
              </w:rPr>
            </w:pPr>
            <w:r>
              <w:rPr>
                <w:rFonts w:ascii="宋体" w:hAnsi="宋体" w:cs="宋体" w:eastAsia="宋体" w:hint="default"/>
                <w:sz w:val="24"/>
                <w:szCs w:val="24"/>
              </w:rPr>
              <w:t>本年度实际核销的应收账款约为人民币</w:t>
            </w:r>
            <w:r>
              <w:rPr>
                <w:rFonts w:ascii="宋体" w:hAnsi="宋体" w:cs="宋体" w:eastAsia="宋体" w:hint="default"/>
                <w:spacing w:val="-62"/>
                <w:sz w:val="24"/>
                <w:szCs w:val="24"/>
              </w:rPr>
              <w:t> </w:t>
            </w:r>
            <w:r>
              <w:rPr>
                <w:rFonts w:ascii="Arial" w:hAnsi="Arial" w:cs="Arial" w:eastAsia="Arial" w:hint="default"/>
                <w:sz w:val="24"/>
                <w:szCs w:val="24"/>
              </w:rPr>
              <w:t>303</w:t>
            </w:r>
            <w:r>
              <w:rPr>
                <w:rFonts w:ascii="Arial" w:hAnsi="Arial" w:cs="Arial" w:eastAsia="Arial" w:hint="default"/>
                <w:spacing w:val="-8"/>
                <w:sz w:val="24"/>
                <w:szCs w:val="24"/>
              </w:rPr>
              <w:t> </w:t>
            </w:r>
            <w:r>
              <w:rPr>
                <w:rFonts w:ascii="宋体" w:hAnsi="宋体" w:cs="宋体" w:eastAsia="宋体" w:hint="default"/>
                <w:sz w:val="24"/>
                <w:szCs w:val="24"/>
              </w:rPr>
              <w:t>万元，无重大的应收账款核销。</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686"/>
        <w:gridCol w:w="3280"/>
        <w:gridCol w:w="1989"/>
        <w:gridCol w:w="1600"/>
        <w:gridCol w:w="1859"/>
      </w:tblGrid>
      <w:tr>
        <w:trPr>
          <w:trHeight w:val="501"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8728" w:type="dxa"/>
            <w:gridSpan w:val="4"/>
            <w:tcBorders>
              <w:top w:val="nil" w:sz="6" w:space="0" w:color="auto"/>
              <w:left w:val="nil" w:sz="6" w:space="0" w:color="auto"/>
              <w:bottom w:val="nil" w:sz="6" w:space="0" w:color="auto"/>
              <w:right w:val="nil" w:sz="6" w:space="0" w:color="auto"/>
            </w:tcBorders>
          </w:tcPr>
          <w:p>
            <w:pPr>
              <w:pStyle w:val="TableParagraph"/>
              <w:spacing w:line="265" w:lineRule="exact"/>
              <w:ind w:left="192"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日，按欠款方归集的余额前五名的应收账款汇总分析如下：</w:t>
            </w:r>
          </w:p>
        </w:tc>
      </w:tr>
      <w:tr>
        <w:trPr>
          <w:trHeight w:val="891" w:hRule="exact"/>
        </w:trPr>
        <w:tc>
          <w:tcPr>
            <w:tcW w:w="686"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332"/>
              <w:jc w:val="right"/>
              <w:rPr>
                <w:rFonts w:ascii="宋体" w:hAnsi="宋体" w:cs="宋体" w:eastAsia="宋体" w:hint="default"/>
                <w:sz w:val="18"/>
                <w:szCs w:val="18"/>
              </w:rPr>
            </w:pPr>
            <w:r>
              <w:rPr>
                <w:rFonts w:ascii="宋体" w:hAnsi="宋体" w:cs="宋体" w:eastAsia="宋体" w:hint="default"/>
                <w:sz w:val="18"/>
                <w:szCs w:val="18"/>
              </w:rPr>
              <w:t>余额</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坏账准备金额</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5" w:lineRule="exact"/>
              <w:ind w:right="107"/>
              <w:jc w:val="right"/>
              <w:rPr>
                <w:rFonts w:ascii="宋体" w:hAnsi="宋体" w:cs="宋体" w:eastAsia="宋体" w:hint="default"/>
                <w:sz w:val="18"/>
                <w:szCs w:val="18"/>
              </w:rPr>
            </w:pPr>
            <w:r>
              <w:rPr>
                <w:rFonts w:ascii="宋体" w:hAnsi="宋体" w:cs="宋体" w:eastAsia="宋体" w:hint="default"/>
                <w:sz w:val="18"/>
                <w:szCs w:val="18"/>
              </w:rPr>
              <w:t>占应收账款余额总额</w:t>
            </w:r>
          </w:p>
          <w:p>
            <w:pPr>
              <w:pStyle w:val="TableParagraph"/>
              <w:spacing w:line="235" w:lineRule="exact"/>
              <w:ind w:right="107"/>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515" w:hRule="exact"/>
        </w:trPr>
        <w:tc>
          <w:tcPr>
            <w:tcW w:w="686"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余额前五名的应收账款总额</w:t>
            </w:r>
          </w:p>
        </w:tc>
        <w:tc>
          <w:tcPr>
            <w:tcW w:w="1989"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32"/>
              <w:jc w:val="right"/>
              <w:rPr>
                <w:rFonts w:ascii="Arial" w:hAnsi="Arial" w:cs="Arial" w:eastAsia="Arial" w:hint="default"/>
                <w:sz w:val="22"/>
                <w:szCs w:val="22"/>
              </w:rPr>
            </w:pPr>
            <w:r>
              <w:rPr>
                <w:rFonts w:ascii="Arial"/>
                <w:w w:val="95"/>
                <w:sz w:val="22"/>
              </w:rPr>
              <w:t>166,283</w:t>
            </w:r>
            <w:r>
              <w:rPr>
                <w:rFonts w:ascii="Arial"/>
                <w:sz w:val="22"/>
              </w:rPr>
            </w:r>
          </w:p>
        </w:tc>
        <w:tc>
          <w:tcPr>
            <w:tcW w:w="1600"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9"/>
              <w:jc w:val="right"/>
              <w:rPr>
                <w:rFonts w:ascii="Arial" w:hAnsi="Arial" w:cs="Arial" w:eastAsia="Arial" w:hint="default"/>
                <w:sz w:val="22"/>
                <w:szCs w:val="22"/>
              </w:rPr>
            </w:pPr>
            <w:r>
              <w:rPr>
                <w:rFonts w:ascii="Arial"/>
                <w:w w:val="95"/>
                <w:sz w:val="22"/>
              </w:rPr>
              <w:t>9,627</w:t>
            </w:r>
            <w:r>
              <w:rPr>
                <w:rFonts w:ascii="Arial"/>
                <w:sz w:val="22"/>
              </w:rPr>
            </w:r>
          </w:p>
        </w:tc>
        <w:tc>
          <w:tcPr>
            <w:tcW w:w="1859"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22"/>
                <w:szCs w:val="22"/>
              </w:rPr>
            </w:pPr>
            <w:r>
              <w:rPr>
                <w:rFonts w:ascii="Arial"/>
                <w:w w:val="95"/>
                <w:sz w:val="22"/>
              </w:rPr>
              <w:t>21%</w:t>
            </w:r>
            <w:r>
              <w:rPr>
                <w:rFonts w:ascii="Arial"/>
                <w:sz w:val="22"/>
              </w:rPr>
            </w:r>
          </w:p>
        </w:tc>
      </w:tr>
    </w:tbl>
    <w:p>
      <w:pPr>
        <w:spacing w:after="0" w:line="240" w:lineRule="auto"/>
        <w:jc w:val="right"/>
        <w:rPr>
          <w:rFonts w:ascii="Arial" w:hAnsi="Arial" w:cs="Arial" w:eastAsia="Arial" w:hint="default"/>
          <w:sz w:val="22"/>
          <w:szCs w:val="22"/>
        </w:rPr>
        <w:sectPr>
          <w:pgSz w:w="11910" w:h="16840"/>
          <w:pgMar w:header="755" w:footer="912" w:top="186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675"/>
        <w:gridCol w:w="3803"/>
        <w:gridCol w:w="2246"/>
        <w:gridCol w:w="2599"/>
      </w:tblGrid>
      <w:tr>
        <w:trPr>
          <w:trHeight w:val="416"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exact"/>
              <w:ind w:right="32"/>
              <w:jc w:val="center"/>
              <w:rPr>
                <w:rFonts w:ascii="黑体" w:hAnsi="黑体" w:cs="黑体" w:eastAsia="黑体" w:hint="default"/>
                <w:sz w:val="24"/>
                <w:szCs w:val="24"/>
              </w:rPr>
            </w:pPr>
            <w:r>
              <w:rPr>
                <w:rFonts w:ascii="黑体" w:hAnsi="黑体" w:cs="黑体" w:eastAsia="黑体" w:hint="default"/>
                <w:sz w:val="24"/>
                <w:szCs w:val="24"/>
              </w:rPr>
              <w:t>四</w:t>
            </w:r>
          </w:p>
        </w:tc>
        <w:tc>
          <w:tcPr>
            <w:tcW w:w="3803" w:type="dxa"/>
            <w:tcBorders>
              <w:top w:val="nil" w:sz="6" w:space="0" w:color="auto"/>
              <w:left w:val="nil" w:sz="6" w:space="0" w:color="auto"/>
              <w:bottom w:val="nil" w:sz="6" w:space="0" w:color="auto"/>
              <w:right w:val="nil" w:sz="6" w:space="0" w:color="auto"/>
            </w:tcBorders>
          </w:tcPr>
          <w:p>
            <w:pPr>
              <w:pStyle w:val="TableParagraph"/>
              <w:spacing w:line="257" w:lineRule="exact"/>
              <w:ind w:left="18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46" w:type="dxa"/>
            <w:tcBorders>
              <w:top w:val="nil" w:sz="6" w:space="0" w:color="auto"/>
              <w:left w:val="nil" w:sz="6" w:space="0" w:color="auto"/>
              <w:bottom w:val="nil" w:sz="6" w:space="0" w:color="auto"/>
              <w:right w:val="nil" w:sz="6" w:space="0" w:color="auto"/>
            </w:tcBorders>
          </w:tcPr>
          <w:p>
            <w:pPr/>
          </w:p>
        </w:tc>
        <w:tc>
          <w:tcPr>
            <w:tcW w:w="2599" w:type="dxa"/>
            <w:tcBorders>
              <w:top w:val="nil" w:sz="6" w:space="0" w:color="auto"/>
              <w:left w:val="nil" w:sz="6" w:space="0" w:color="auto"/>
              <w:bottom w:val="nil" w:sz="6" w:space="0" w:color="auto"/>
              <w:right w:val="nil" w:sz="6" w:space="0" w:color="auto"/>
            </w:tcBorders>
          </w:tcPr>
          <w:p>
            <w:pPr/>
          </w:p>
        </w:tc>
      </w:tr>
      <w:tr>
        <w:trPr>
          <w:trHeight w:val="585"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8" w:right="0"/>
              <w:jc w:val="center"/>
              <w:rPr>
                <w:rFonts w:ascii="Arial" w:hAnsi="Arial" w:cs="Arial" w:eastAsia="Arial" w:hint="default"/>
                <w:sz w:val="24"/>
                <w:szCs w:val="24"/>
              </w:rPr>
            </w:pPr>
            <w:r>
              <w:rPr>
                <w:rFonts w:ascii="Arial"/>
                <w:sz w:val="24"/>
              </w:rPr>
              <w:t>(7)</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1" w:right="0"/>
              <w:jc w:val="left"/>
              <w:rPr>
                <w:rFonts w:ascii="黑体" w:hAnsi="黑体" w:cs="黑体" w:eastAsia="黑体" w:hint="default"/>
                <w:sz w:val="24"/>
                <w:szCs w:val="24"/>
              </w:rPr>
            </w:pPr>
            <w:r>
              <w:rPr>
                <w:rFonts w:ascii="黑体" w:hAnsi="黑体" w:cs="黑体" w:eastAsia="黑体" w:hint="default"/>
                <w:sz w:val="24"/>
                <w:szCs w:val="24"/>
              </w:rPr>
              <w:t>其他应收款和长期应收款</w:t>
            </w:r>
          </w:p>
        </w:tc>
        <w:tc>
          <w:tcPr>
            <w:tcW w:w="2246" w:type="dxa"/>
            <w:tcBorders>
              <w:top w:val="nil" w:sz="6" w:space="0" w:color="auto"/>
              <w:left w:val="nil" w:sz="6" w:space="0" w:color="auto"/>
              <w:bottom w:val="nil" w:sz="6" w:space="0" w:color="auto"/>
              <w:right w:val="nil" w:sz="6" w:space="0" w:color="auto"/>
            </w:tcBorders>
          </w:tcPr>
          <w:p>
            <w:pPr/>
          </w:p>
        </w:tc>
        <w:tc>
          <w:tcPr>
            <w:tcW w:w="2599" w:type="dxa"/>
            <w:tcBorders>
              <w:top w:val="nil" w:sz="6" w:space="0" w:color="auto"/>
              <w:left w:val="nil" w:sz="6" w:space="0" w:color="auto"/>
              <w:bottom w:val="nil" w:sz="6" w:space="0" w:color="auto"/>
              <w:right w:val="nil" w:sz="6" w:space="0" w:color="auto"/>
            </w:tcBorders>
          </w:tcPr>
          <w:p>
            <w:pPr/>
          </w:p>
        </w:tc>
      </w:tr>
      <w:tr>
        <w:trPr>
          <w:trHeight w:val="590"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9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9" w:right="0"/>
              <w:jc w:val="left"/>
              <w:rPr>
                <w:rFonts w:ascii="Arial" w:hAnsi="Arial" w:cs="Arial" w:eastAsia="Arial" w:hint="default"/>
                <w:sz w:val="24"/>
                <w:szCs w:val="24"/>
              </w:rPr>
            </w:pPr>
            <w:r>
              <w:rPr>
                <w:rFonts w:ascii="宋体" w:hAnsi="宋体" w:cs="宋体" w:eastAsia="宋体" w:hint="default"/>
                <w:sz w:val="24"/>
                <w:szCs w:val="24"/>
              </w:rPr>
              <w:t>保本保收益理财产品</w:t>
            </w:r>
            <w:r>
              <w:rPr>
                <w:rFonts w:ascii="Arial" w:hAnsi="Arial" w:cs="Arial" w:eastAsia="Arial" w:hint="default"/>
                <w:sz w:val="24"/>
                <w:szCs w:val="24"/>
              </w:rPr>
              <w:t>(i)</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38"/>
              <w:jc w:val="right"/>
              <w:rPr>
                <w:rFonts w:ascii="Arial" w:hAnsi="Arial" w:cs="Arial" w:eastAsia="Arial" w:hint="default"/>
                <w:sz w:val="24"/>
                <w:szCs w:val="24"/>
              </w:rPr>
            </w:pPr>
            <w:r>
              <w:rPr>
                <w:rFonts w:ascii="Arial"/>
                <w:w w:val="95"/>
                <w:sz w:val="24"/>
              </w:rPr>
              <w:t>2,080,000</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17"/>
              <w:jc w:val="right"/>
              <w:rPr>
                <w:rFonts w:ascii="Arial" w:hAnsi="Arial" w:cs="Arial" w:eastAsia="Arial" w:hint="default"/>
                <w:sz w:val="24"/>
                <w:szCs w:val="24"/>
              </w:rPr>
            </w:pPr>
            <w:r>
              <w:rPr>
                <w:rFonts w:ascii="Arial"/>
                <w:spacing w:val="-1"/>
                <w:sz w:val="24"/>
              </w:rPr>
              <w:t>1,310,000</w:t>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5" w:lineRule="exact"/>
              <w:ind w:left="199"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2246" w:type="dxa"/>
            <w:tcBorders>
              <w:top w:val="nil" w:sz="6" w:space="0" w:color="auto"/>
              <w:left w:val="nil" w:sz="6" w:space="0" w:color="auto"/>
              <w:bottom w:val="nil" w:sz="6" w:space="0" w:color="auto"/>
              <w:right w:val="nil" w:sz="6" w:space="0" w:color="auto"/>
            </w:tcBorders>
          </w:tcPr>
          <w:p>
            <w:pPr>
              <w:pStyle w:val="TableParagraph"/>
              <w:spacing w:line="263" w:lineRule="exact"/>
              <w:ind w:right="239"/>
              <w:jc w:val="right"/>
              <w:rPr>
                <w:rFonts w:ascii="Arial" w:hAnsi="Arial" w:cs="Arial" w:eastAsia="Arial" w:hint="default"/>
                <w:sz w:val="24"/>
                <w:szCs w:val="24"/>
              </w:rPr>
            </w:pPr>
            <w:r>
              <w:rPr>
                <w:rFonts w:ascii="Arial"/>
                <w:spacing w:val="-1"/>
                <w:sz w:val="24"/>
              </w:rPr>
              <w:t>679,389</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17"/>
              <w:jc w:val="right"/>
              <w:rPr>
                <w:rFonts w:ascii="Arial" w:hAnsi="Arial" w:cs="Arial" w:eastAsia="Arial" w:hint="default"/>
                <w:sz w:val="24"/>
                <w:szCs w:val="24"/>
              </w:rPr>
            </w:pPr>
            <w:r>
              <w:rPr>
                <w:rFonts w:ascii="Arial"/>
                <w:spacing w:val="-1"/>
                <w:sz w:val="24"/>
              </w:rPr>
              <w:t>562,961</w:t>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5" w:lineRule="exact"/>
              <w:ind w:left="199" w:right="0"/>
              <w:jc w:val="left"/>
              <w:rPr>
                <w:rFonts w:ascii="宋体" w:hAnsi="宋体" w:cs="宋体" w:eastAsia="宋体" w:hint="default"/>
                <w:sz w:val="24"/>
                <w:szCs w:val="24"/>
              </w:rPr>
            </w:pPr>
            <w:r>
              <w:rPr>
                <w:rFonts w:ascii="宋体" w:hAnsi="宋体" w:cs="宋体" w:eastAsia="宋体" w:hint="default"/>
                <w:sz w:val="24"/>
                <w:szCs w:val="24"/>
              </w:rPr>
              <w:t>代垫水电费</w:t>
            </w:r>
          </w:p>
        </w:tc>
        <w:tc>
          <w:tcPr>
            <w:tcW w:w="2246" w:type="dxa"/>
            <w:tcBorders>
              <w:top w:val="nil" w:sz="6" w:space="0" w:color="auto"/>
              <w:left w:val="nil" w:sz="6" w:space="0" w:color="auto"/>
              <w:bottom w:val="nil" w:sz="6" w:space="0" w:color="auto"/>
              <w:right w:val="nil" w:sz="6" w:space="0" w:color="auto"/>
            </w:tcBorders>
          </w:tcPr>
          <w:p>
            <w:pPr>
              <w:pStyle w:val="TableParagraph"/>
              <w:spacing w:line="263" w:lineRule="exact"/>
              <w:ind w:right="239"/>
              <w:jc w:val="right"/>
              <w:rPr>
                <w:rFonts w:ascii="Arial" w:hAnsi="Arial" w:cs="Arial" w:eastAsia="Arial" w:hint="default"/>
                <w:sz w:val="24"/>
                <w:szCs w:val="24"/>
              </w:rPr>
            </w:pPr>
            <w:r>
              <w:rPr>
                <w:rFonts w:ascii="Arial"/>
                <w:w w:val="95"/>
                <w:sz w:val="24"/>
              </w:rPr>
              <w:t>93,879</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7"/>
              <w:jc w:val="right"/>
              <w:rPr>
                <w:rFonts w:ascii="Arial" w:hAnsi="Arial" w:cs="Arial" w:eastAsia="Arial" w:hint="default"/>
                <w:sz w:val="24"/>
                <w:szCs w:val="24"/>
              </w:rPr>
            </w:pPr>
            <w:r>
              <w:rPr>
                <w:rFonts w:ascii="Arial"/>
                <w:spacing w:val="-1"/>
                <w:sz w:val="24"/>
              </w:rPr>
              <w:t>146,421</w:t>
            </w:r>
          </w:p>
        </w:tc>
      </w:tr>
      <w:tr>
        <w:trPr>
          <w:trHeight w:val="315"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5" w:lineRule="exact"/>
              <w:ind w:left="199"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2246" w:type="dxa"/>
            <w:tcBorders>
              <w:top w:val="nil" w:sz="6" w:space="0" w:color="auto"/>
              <w:left w:val="nil" w:sz="6" w:space="0" w:color="auto"/>
              <w:bottom w:val="nil" w:sz="6" w:space="0" w:color="auto"/>
              <w:right w:val="nil" w:sz="6" w:space="0" w:color="auto"/>
            </w:tcBorders>
          </w:tcPr>
          <w:p>
            <w:pPr>
              <w:pStyle w:val="TableParagraph"/>
              <w:spacing w:line="263" w:lineRule="exact"/>
              <w:ind w:right="238"/>
              <w:jc w:val="right"/>
              <w:rPr>
                <w:rFonts w:ascii="Arial" w:hAnsi="Arial" w:cs="Arial" w:eastAsia="Arial" w:hint="default"/>
                <w:sz w:val="24"/>
                <w:szCs w:val="24"/>
              </w:rPr>
            </w:pPr>
            <w:r>
              <w:rPr>
                <w:rFonts w:ascii="Arial"/>
                <w:w w:val="95"/>
                <w:sz w:val="24"/>
              </w:rPr>
              <w:t>16,827</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17"/>
              <w:jc w:val="right"/>
              <w:rPr>
                <w:rFonts w:ascii="Arial" w:hAnsi="Arial" w:cs="Arial" w:eastAsia="Arial" w:hint="default"/>
                <w:sz w:val="24"/>
                <w:szCs w:val="24"/>
              </w:rPr>
            </w:pPr>
            <w:r>
              <w:rPr>
                <w:rFonts w:ascii="Arial"/>
                <w:w w:val="95"/>
                <w:sz w:val="24"/>
              </w:rPr>
              <w:t>31,646</w:t>
            </w:r>
            <w:r>
              <w:rPr>
                <w:rFonts w:ascii="Arial"/>
                <w:sz w:val="24"/>
              </w:rPr>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售后租回交易应收款</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9"/>
              <w:jc w:val="right"/>
              <w:rPr>
                <w:rFonts w:ascii="Arial" w:hAnsi="Arial" w:cs="Arial" w:eastAsia="Arial" w:hint="default"/>
                <w:sz w:val="24"/>
                <w:szCs w:val="24"/>
              </w:rPr>
            </w:pPr>
            <w:r>
              <w:rPr>
                <w:rFonts w:ascii="Arial"/>
                <w:w w:val="99"/>
                <w:sz w:val="24"/>
              </w:rPr>
              <w:t>-</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8"/>
              <w:jc w:val="right"/>
              <w:rPr>
                <w:rFonts w:ascii="Arial" w:hAnsi="Arial" w:cs="Arial" w:eastAsia="Arial" w:hint="default"/>
                <w:sz w:val="24"/>
                <w:szCs w:val="24"/>
              </w:rPr>
            </w:pPr>
            <w:r>
              <w:rPr>
                <w:rFonts w:ascii="Arial"/>
                <w:spacing w:val="-1"/>
                <w:sz w:val="24"/>
              </w:rPr>
              <w:t>225,700</w:t>
            </w:r>
          </w:p>
        </w:tc>
      </w:tr>
      <w:tr>
        <w:trPr>
          <w:trHeight w:val="313"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tabs>
                <w:tab w:pos="3755" w:val="left" w:leader="none"/>
                <w:tab w:pos="4939" w:val="left" w:leader="none"/>
              </w:tabs>
              <w:spacing w:line="259" w:lineRule="exact"/>
              <w:ind w:left="199" w:right="-1137"/>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46"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19"/>
              <w:ind w:right="130"/>
              <w:jc w:val="right"/>
              <w:rPr>
                <w:rFonts w:ascii="Arial" w:hAnsi="Arial" w:cs="Arial" w:eastAsia="Arial" w:hint="default"/>
                <w:sz w:val="24"/>
                <w:szCs w:val="24"/>
              </w:rPr>
            </w:pPr>
            <w:r>
              <w:rPr>
                <w:rFonts w:ascii="Arial"/>
                <w:w w:val="99"/>
                <w:sz w:val="24"/>
              </w:rPr>
            </w:r>
            <w:r>
              <w:rPr>
                <w:rFonts w:ascii="Arial"/>
                <w:spacing w:val="-1"/>
                <w:sz w:val="24"/>
                <w:u w:val="single" w:color="000000"/>
              </w:rPr>
              <w:t>196,349</w:t>
              <w:tab/>
            </w:r>
            <w:r>
              <w:rPr>
                <w:rFonts w:ascii="Arial"/>
                <w:spacing w:val="-1"/>
                <w:sz w:val="24"/>
              </w:rPr>
            </w:r>
          </w:p>
        </w:tc>
        <w:tc>
          <w:tcPr>
            <w:tcW w:w="2599" w:type="dxa"/>
            <w:tcBorders>
              <w:top w:val="nil" w:sz="6" w:space="0" w:color="auto"/>
              <w:left w:val="nil" w:sz="6" w:space="0" w:color="auto"/>
              <w:bottom w:val="nil" w:sz="6" w:space="0" w:color="auto"/>
              <w:right w:val="nil" w:sz="6" w:space="0" w:color="auto"/>
            </w:tcBorders>
          </w:tcPr>
          <w:p>
            <w:pPr>
              <w:pStyle w:val="TableParagraph"/>
              <w:tabs>
                <w:tab w:pos="1275" w:val="left" w:leader="none"/>
                <w:tab w:pos="2249" w:val="left" w:leader="none"/>
              </w:tabs>
              <w:spacing w:line="240" w:lineRule="auto" w:before="19"/>
              <w:ind w:right="21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170,724</w:t>
              <w:tab/>
            </w:r>
            <w:r>
              <w:rPr>
                <w:rFonts w:ascii="Arial"/>
                <w:spacing w:val="-1"/>
                <w:sz w:val="24"/>
              </w:rPr>
            </w:r>
          </w:p>
        </w:tc>
      </w:tr>
      <w:tr>
        <w:trPr>
          <w:trHeight w:val="285" w:hRule="exact"/>
        </w:trPr>
        <w:tc>
          <w:tcPr>
            <w:tcW w:w="675" w:type="dxa"/>
            <w:tcBorders>
              <w:top w:val="nil" w:sz="6" w:space="0" w:color="auto"/>
              <w:left w:val="nil" w:sz="6" w:space="0" w:color="auto"/>
              <w:bottom w:val="nil" w:sz="6" w:space="0" w:color="auto"/>
              <w:right w:val="nil" w:sz="6" w:space="0" w:color="auto"/>
            </w:tcBorders>
          </w:tcPr>
          <w:p>
            <w:pPr/>
          </w:p>
        </w:tc>
        <w:tc>
          <w:tcPr>
            <w:tcW w:w="6048"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239"/>
              <w:jc w:val="right"/>
              <w:rPr>
                <w:rFonts w:ascii="Arial" w:hAnsi="Arial" w:cs="Arial" w:eastAsia="Arial" w:hint="default"/>
                <w:sz w:val="24"/>
                <w:szCs w:val="24"/>
              </w:rPr>
            </w:pPr>
            <w:r>
              <w:rPr>
                <w:rFonts w:ascii="Arial"/>
                <w:w w:val="95"/>
                <w:sz w:val="24"/>
              </w:rPr>
              <w:t>3,066,444</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68" w:lineRule="exact"/>
              <w:ind w:right="317"/>
              <w:jc w:val="right"/>
              <w:rPr>
                <w:rFonts w:ascii="Arial" w:hAnsi="Arial" w:cs="Arial" w:eastAsia="Arial" w:hint="default"/>
                <w:sz w:val="24"/>
                <w:szCs w:val="24"/>
              </w:rPr>
            </w:pPr>
            <w:r>
              <w:rPr>
                <w:rFonts w:ascii="Arial"/>
                <w:w w:val="95"/>
                <w:sz w:val="24"/>
              </w:rPr>
              <w:t>2,447,452</w:t>
            </w:r>
            <w:r>
              <w:rPr>
                <w:rFonts w:ascii="Arial"/>
                <w:sz w:val="24"/>
              </w:rPr>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tabs>
                <w:tab w:pos="3755" w:val="left" w:leader="none"/>
                <w:tab w:pos="4961" w:val="left" w:leader="none"/>
              </w:tabs>
              <w:spacing w:line="257" w:lineRule="exact"/>
              <w:ind w:left="199" w:right="-1159"/>
              <w:jc w:val="left"/>
              <w:rPr>
                <w:rFonts w:ascii="Arial" w:hAnsi="Arial" w:cs="Arial" w:eastAsia="Arial" w:hint="default"/>
                <w:sz w:val="24"/>
                <w:szCs w:val="24"/>
              </w:rPr>
            </w:pPr>
            <w:r>
              <w:rPr>
                <w:rFonts w:ascii="宋体" w:hAnsi="宋体" w:cs="宋体" w:eastAsia="宋体" w:hint="default"/>
                <w:position w:val="2"/>
                <w:sz w:val="24"/>
                <w:szCs w:val="24"/>
              </w:rPr>
              <w:t>减：坏账准备</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1"/>
              <w:jc w:val="right"/>
              <w:rPr>
                <w:rFonts w:ascii="Arial" w:hAnsi="Arial" w:cs="Arial" w:eastAsia="Arial" w:hint="default"/>
                <w:sz w:val="24"/>
                <w:szCs w:val="24"/>
              </w:rPr>
            </w:pPr>
            <w:r>
              <w:rPr>
                <w:rFonts w:ascii="Arial"/>
                <w:w w:val="99"/>
                <w:sz w:val="24"/>
              </w:rPr>
            </w:r>
            <w:r>
              <w:rPr>
                <w:rFonts w:ascii="Arial"/>
                <w:w w:val="95"/>
                <w:sz w:val="24"/>
                <w:u w:val="single" w:color="000000"/>
              </w:rPr>
              <w:t>(31,213)</w:t>
            </w:r>
            <w:r>
              <w:rPr>
                <w:rFonts w:ascii="Arial"/>
                <w:w w:val="95"/>
                <w:sz w:val="24"/>
              </w:rPr>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tabs>
                <w:tab w:pos="1318" w:val="left" w:leader="none"/>
              </w:tabs>
              <w:spacing w:line="240" w:lineRule="auto" w:before="18"/>
              <w:ind w:right="24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(30,800)</w:t>
            </w:r>
            <w:r>
              <w:rPr>
                <w:rFonts w:ascii="Arial"/>
                <w:w w:val="95"/>
                <w:sz w:val="24"/>
              </w:rPr>
            </w:r>
            <w:r>
              <w:rPr>
                <w:rFonts w:ascii="Arial"/>
                <w:sz w:val="24"/>
              </w:rPr>
            </w:r>
          </w:p>
        </w:tc>
      </w:tr>
      <w:tr>
        <w:trPr>
          <w:trHeight w:val="290" w:hRule="exact"/>
        </w:trPr>
        <w:tc>
          <w:tcPr>
            <w:tcW w:w="675" w:type="dxa"/>
            <w:tcBorders>
              <w:top w:val="nil" w:sz="6" w:space="0" w:color="auto"/>
              <w:left w:val="nil" w:sz="6" w:space="0" w:color="auto"/>
              <w:bottom w:val="nil" w:sz="6" w:space="0" w:color="auto"/>
              <w:right w:val="nil" w:sz="6" w:space="0" w:color="auto"/>
            </w:tcBorders>
          </w:tcPr>
          <w:p>
            <w:pPr/>
          </w:p>
        </w:tc>
        <w:tc>
          <w:tcPr>
            <w:tcW w:w="6048" w:type="dxa"/>
            <w:gridSpan w:val="2"/>
            <w:tcBorders>
              <w:top w:val="nil" w:sz="6" w:space="0" w:color="auto"/>
              <w:left w:val="nil" w:sz="6" w:space="0" w:color="auto"/>
              <w:bottom w:val="nil" w:sz="6" w:space="0" w:color="auto"/>
              <w:right w:val="nil" w:sz="6" w:space="0" w:color="auto"/>
            </w:tcBorders>
          </w:tcPr>
          <w:p>
            <w:pPr>
              <w:pStyle w:val="TableParagraph"/>
              <w:tabs>
                <w:tab w:pos="4739" w:val="left" w:leader="none"/>
                <w:tab w:pos="5915" w:val="left" w:leader="none"/>
              </w:tabs>
              <w:spacing w:line="269" w:lineRule="exact"/>
              <w:ind w:left="375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3,035,231</w:t>
              <w:tab/>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tabs>
                <w:tab w:pos="1075" w:val="left" w:leader="none"/>
                <w:tab w:pos="2249" w:val="left" w:leader="none"/>
              </w:tabs>
              <w:spacing w:line="269" w:lineRule="exact"/>
              <w:ind w:right="21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2,416,652</w:t>
            </w:r>
            <w:r>
              <w:rPr>
                <w:rFonts w:ascii="Arial"/>
                <w:sz w:val="24"/>
                <w:u w:val="single" w:color="000000"/>
              </w:rPr>
              <w:tab/>
            </w:r>
            <w:r>
              <w:rPr>
                <w:rFonts w:ascii="Arial"/>
                <w:sz w:val="24"/>
              </w:rPr>
            </w:r>
          </w:p>
        </w:tc>
      </w:tr>
      <w:tr>
        <w:trPr>
          <w:trHeight w:val="303" w:hRule="exact"/>
        </w:trPr>
        <w:tc>
          <w:tcPr>
            <w:tcW w:w="675" w:type="dxa"/>
            <w:tcBorders>
              <w:top w:val="nil" w:sz="6" w:space="0" w:color="auto"/>
              <w:left w:val="nil" w:sz="6" w:space="0" w:color="auto"/>
              <w:bottom w:val="nil" w:sz="6" w:space="0" w:color="auto"/>
              <w:right w:val="nil" w:sz="6" w:space="0" w:color="auto"/>
            </w:tcBorders>
          </w:tcPr>
          <w:p>
            <w:pPr/>
          </w:p>
        </w:tc>
        <w:tc>
          <w:tcPr>
            <w:tcW w:w="6048" w:type="dxa"/>
            <w:gridSpan w:val="2"/>
            <w:tcBorders>
              <w:top w:val="nil" w:sz="6" w:space="0" w:color="auto"/>
              <w:left w:val="nil" w:sz="6" w:space="0" w:color="auto"/>
              <w:bottom w:val="nil" w:sz="6" w:space="0" w:color="auto"/>
              <w:right w:val="nil" w:sz="6" w:space="0" w:color="auto"/>
            </w:tcBorders>
          </w:tcPr>
          <w:p>
            <w:pPr>
              <w:pStyle w:val="TableParagraph"/>
              <w:spacing w:line="267" w:lineRule="exact"/>
              <w:ind w:left="199" w:right="0"/>
              <w:jc w:val="left"/>
              <w:rPr>
                <w:rFonts w:ascii="宋体" w:hAnsi="宋体" w:cs="宋体" w:eastAsia="宋体" w:hint="default"/>
                <w:sz w:val="24"/>
                <w:szCs w:val="24"/>
              </w:rPr>
            </w:pPr>
            <w:r>
              <w:rPr>
                <w:rFonts w:ascii="宋体" w:hAnsi="宋体" w:cs="宋体" w:eastAsia="宋体" w:hint="default"/>
                <w:sz w:val="24"/>
                <w:szCs w:val="24"/>
              </w:rPr>
              <w:t>减：长期应收款</w:t>
            </w:r>
          </w:p>
        </w:tc>
        <w:tc>
          <w:tcPr>
            <w:tcW w:w="2599" w:type="dxa"/>
            <w:tcBorders>
              <w:top w:val="nil" w:sz="6" w:space="0" w:color="auto"/>
              <w:left w:val="nil" w:sz="6" w:space="0" w:color="auto"/>
              <w:bottom w:val="nil" w:sz="6" w:space="0" w:color="auto"/>
              <w:right w:val="nil" w:sz="6" w:space="0" w:color="auto"/>
            </w:tcBorders>
          </w:tcPr>
          <w:p>
            <w:pPr/>
          </w:p>
        </w:tc>
      </w:tr>
      <w:tr>
        <w:trPr>
          <w:trHeight w:val="325"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76" w:lineRule="exact"/>
              <w:ind w:left="706" w:right="0"/>
              <w:jc w:val="left"/>
              <w:rPr>
                <w:rFonts w:ascii="宋体" w:hAnsi="宋体" w:cs="宋体" w:eastAsia="宋体" w:hint="default"/>
                <w:sz w:val="24"/>
                <w:szCs w:val="24"/>
              </w:rPr>
            </w:pPr>
            <w:r>
              <w:rPr>
                <w:rFonts w:ascii="宋体" w:hAnsi="宋体" w:cs="宋体" w:eastAsia="宋体" w:hint="default"/>
                <w:sz w:val="24"/>
                <w:szCs w:val="24"/>
              </w:rPr>
              <w:t>一年以上租赁保证金</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0"/>
              <w:jc w:val="right"/>
              <w:rPr>
                <w:rFonts w:ascii="Arial" w:hAnsi="Arial" w:cs="Arial" w:eastAsia="Arial" w:hint="default"/>
                <w:sz w:val="24"/>
                <w:szCs w:val="24"/>
              </w:rPr>
            </w:pPr>
            <w:r>
              <w:rPr>
                <w:rFonts w:ascii="Arial"/>
                <w:w w:val="95"/>
                <w:sz w:val="24"/>
              </w:rPr>
              <w:t>(591,684)</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7"/>
              <w:jc w:val="right"/>
              <w:rPr>
                <w:rFonts w:ascii="Arial" w:hAnsi="Arial" w:cs="Arial" w:eastAsia="Arial" w:hint="default"/>
                <w:sz w:val="24"/>
                <w:szCs w:val="24"/>
              </w:rPr>
            </w:pPr>
            <w:r>
              <w:rPr>
                <w:rFonts w:ascii="Arial"/>
                <w:w w:val="95"/>
                <w:sz w:val="24"/>
              </w:rPr>
              <w:t>(453,877)</w:t>
            </w:r>
            <w:r>
              <w:rPr>
                <w:rFonts w:ascii="Arial"/>
                <w:sz w:val="24"/>
              </w:rPr>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tabs>
                <w:tab w:pos="3755" w:val="left" w:leader="none"/>
                <w:tab w:pos="4913" w:val="left" w:leader="none"/>
              </w:tabs>
              <w:spacing w:line="257" w:lineRule="exact"/>
              <w:ind w:left="706" w:right="-1111"/>
              <w:jc w:val="left"/>
              <w:rPr>
                <w:rFonts w:ascii="Arial" w:hAnsi="Arial" w:cs="Arial" w:eastAsia="Arial" w:hint="default"/>
                <w:sz w:val="24"/>
                <w:szCs w:val="24"/>
              </w:rPr>
            </w:pPr>
            <w:r>
              <w:rPr>
                <w:rFonts w:ascii="宋体" w:hAnsi="宋体" w:cs="宋体" w:eastAsia="宋体" w:hint="default"/>
                <w:position w:val="2"/>
                <w:sz w:val="24"/>
                <w:szCs w:val="24"/>
              </w:rPr>
              <w:t>一年以上采购保证金</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46" w:type="dxa"/>
            <w:tcBorders>
              <w:top w:val="nil" w:sz="6" w:space="0" w:color="auto"/>
              <w:left w:val="nil" w:sz="6" w:space="0" w:color="auto"/>
              <w:bottom w:val="nil" w:sz="6" w:space="0" w:color="auto"/>
              <w:right w:val="nil" w:sz="6" w:space="0" w:color="auto"/>
            </w:tcBorders>
          </w:tcPr>
          <w:p>
            <w:pPr>
              <w:pStyle w:val="TableParagraph"/>
              <w:tabs>
                <w:tab w:pos="1002" w:val="left" w:leader="none"/>
              </w:tabs>
              <w:spacing w:line="240" w:lineRule="auto" w:before="18"/>
              <w:ind w:right="130"/>
              <w:jc w:val="right"/>
              <w:rPr>
                <w:rFonts w:ascii="Arial" w:hAnsi="Arial" w:cs="Arial" w:eastAsia="Arial" w:hint="default"/>
                <w:sz w:val="24"/>
                <w:szCs w:val="24"/>
              </w:rPr>
            </w:pPr>
            <w:r>
              <w:rPr>
                <w:rFonts w:ascii="Arial"/>
                <w:w w:val="99"/>
                <w:sz w:val="24"/>
              </w:rPr>
            </w:r>
            <w:r>
              <w:rPr>
                <w:rFonts w:ascii="Arial"/>
                <w:w w:val="95"/>
                <w:sz w:val="24"/>
                <w:u w:val="single" w:color="000000"/>
              </w:rPr>
              <w:t>(38,718)</w:t>
              <w:tab/>
            </w:r>
            <w:r>
              <w:rPr>
                <w:rFonts w:ascii="Arial"/>
                <w:w w:val="95"/>
                <w:sz w:val="24"/>
              </w:rPr>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tabs>
                <w:tab w:pos="1318" w:val="left" w:leader="none"/>
              </w:tabs>
              <w:spacing w:line="240" w:lineRule="auto" w:before="18"/>
              <w:ind w:right="24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(48,907)</w:t>
            </w:r>
            <w:r>
              <w:rPr>
                <w:rFonts w:ascii="Arial"/>
                <w:w w:val="95"/>
                <w:sz w:val="24"/>
              </w:rPr>
            </w:r>
            <w:r>
              <w:rPr>
                <w:rFonts w:ascii="Arial"/>
                <w:sz w:val="24"/>
              </w:rPr>
            </w:r>
          </w:p>
        </w:tc>
      </w:tr>
      <w:tr>
        <w:trPr>
          <w:trHeight w:val="438" w:hRule="exact"/>
        </w:trPr>
        <w:tc>
          <w:tcPr>
            <w:tcW w:w="675" w:type="dxa"/>
            <w:tcBorders>
              <w:top w:val="nil" w:sz="6" w:space="0" w:color="auto"/>
              <w:left w:val="nil" w:sz="6" w:space="0" w:color="auto"/>
              <w:bottom w:val="nil" w:sz="6" w:space="0" w:color="auto"/>
              <w:right w:val="nil" w:sz="6" w:space="0" w:color="auto"/>
            </w:tcBorders>
          </w:tcPr>
          <w:p>
            <w:pPr/>
          </w:p>
        </w:tc>
        <w:tc>
          <w:tcPr>
            <w:tcW w:w="6048" w:type="dxa"/>
            <w:gridSpan w:val="2"/>
            <w:tcBorders>
              <w:top w:val="nil" w:sz="6" w:space="0" w:color="auto"/>
              <w:left w:val="nil" w:sz="6" w:space="0" w:color="auto"/>
              <w:bottom w:val="nil" w:sz="6" w:space="0" w:color="auto"/>
              <w:right w:val="nil" w:sz="6" w:space="0" w:color="auto"/>
            </w:tcBorders>
          </w:tcPr>
          <w:p>
            <w:pPr>
              <w:pStyle w:val="TableParagraph"/>
              <w:tabs>
                <w:tab w:pos="4739" w:val="left" w:leader="none"/>
                <w:tab w:pos="5915" w:val="left" w:leader="none"/>
              </w:tabs>
              <w:spacing w:line="269" w:lineRule="exact"/>
              <w:ind w:left="375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2,404,829</w:t>
              <w:tab/>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tabs>
                <w:tab w:pos="1075" w:val="left" w:leader="none"/>
                <w:tab w:pos="2249" w:val="left" w:leader="none"/>
              </w:tabs>
              <w:spacing w:line="269" w:lineRule="exact"/>
              <w:ind w:right="21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1,913,868</w:t>
              <w:tab/>
            </w:r>
            <w:r>
              <w:rPr>
                <w:rFonts w:ascii="Arial"/>
                <w:spacing w:val="-1"/>
                <w:sz w:val="24"/>
              </w:rPr>
            </w:r>
          </w:p>
        </w:tc>
      </w:tr>
      <w:tr>
        <w:trPr>
          <w:trHeight w:val="2734" w:hRule="exact"/>
        </w:trPr>
        <w:tc>
          <w:tcPr>
            <w:tcW w:w="9323"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101"/>
              <w:ind w:left="766" w:right="0"/>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4"/>
                <w:sz w:val="24"/>
                <w:szCs w:val="24"/>
              </w:rPr>
              <w:t> </w:t>
            </w: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2015</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日，本集团购买的多笔尚未到期的银行保本保收益理财</w:t>
            </w:r>
          </w:p>
          <w:p>
            <w:pPr>
              <w:pStyle w:val="TableParagraph"/>
              <w:spacing w:line="310" w:lineRule="exact" w:before="22"/>
              <w:ind w:left="1051" w:right="198"/>
              <w:jc w:val="left"/>
              <w:rPr>
                <w:rFonts w:ascii="宋体" w:hAnsi="宋体" w:cs="宋体" w:eastAsia="宋体" w:hint="default"/>
                <w:sz w:val="24"/>
                <w:szCs w:val="24"/>
              </w:rPr>
            </w:pPr>
            <w:r>
              <w:rPr>
                <w:rFonts w:ascii="宋体" w:hAnsi="宋体" w:cs="宋体" w:eastAsia="宋体" w:hint="default"/>
                <w:sz w:val="24"/>
                <w:szCs w:val="24"/>
              </w:rPr>
              <w:t>产品本金金额约人民币</w:t>
            </w:r>
            <w:r>
              <w:rPr>
                <w:rFonts w:ascii="宋体" w:hAnsi="宋体" w:cs="宋体" w:eastAsia="宋体" w:hint="default"/>
                <w:spacing w:val="-78"/>
                <w:sz w:val="24"/>
                <w:szCs w:val="24"/>
              </w:rPr>
              <w:t> </w:t>
            </w:r>
            <w:r>
              <w:rPr>
                <w:rFonts w:ascii="Arial" w:hAnsi="Arial" w:cs="Arial" w:eastAsia="Arial" w:hint="default"/>
                <w:w w:val="99"/>
                <w:sz w:val="24"/>
                <w:szCs w:val="24"/>
              </w:rPr>
              <w:t>20.8</w:t>
            </w:r>
            <w:r>
              <w:rPr>
                <w:rFonts w:ascii="Arial" w:hAnsi="Arial" w:cs="Arial" w:eastAsia="Arial" w:hint="default"/>
                <w:spacing w:val="-25"/>
                <w:w w:val="99"/>
                <w:sz w:val="24"/>
                <w:szCs w:val="24"/>
              </w:rPr>
              <w:t> </w:t>
            </w:r>
            <w:r>
              <w:rPr>
                <w:rFonts w:ascii="宋体" w:hAnsi="宋体" w:cs="宋体" w:eastAsia="宋体" w:hint="default"/>
                <w:spacing w:val="-1"/>
                <w:w w:val="99"/>
                <w:sz w:val="24"/>
                <w:szCs w:val="24"/>
              </w:rPr>
              <w:t>亿元</w:t>
            </w:r>
            <w:r>
              <w:rPr>
                <w:rFonts w:ascii="Arial" w:hAnsi="Arial" w:cs="Arial" w:eastAsia="Arial" w:hint="default"/>
                <w:spacing w:val="-1"/>
                <w:w w:val="99"/>
                <w:sz w:val="24"/>
                <w:szCs w:val="24"/>
              </w:rPr>
              <w:t>(2014</w:t>
            </w:r>
            <w:r>
              <w:rPr>
                <w:rFonts w:ascii="Arial" w:hAnsi="Arial" w:cs="Arial" w:eastAsia="Arial" w:hint="default"/>
                <w:spacing w:val="-25"/>
                <w:w w:val="99"/>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Arial" w:hAnsi="Arial" w:cs="Arial" w:eastAsia="Arial" w:hint="default"/>
                <w:spacing w:val="-1"/>
                <w:w w:val="99"/>
                <w:sz w:val="24"/>
                <w:szCs w:val="24"/>
              </w:rPr>
              <w:t>12</w:t>
            </w:r>
            <w:r>
              <w:rPr>
                <w:rFonts w:ascii="Arial" w:hAnsi="Arial" w:cs="Arial" w:eastAsia="Arial" w:hint="default"/>
                <w:spacing w:val="-25"/>
                <w:w w:val="99"/>
                <w:sz w:val="24"/>
                <w:szCs w:val="24"/>
              </w:rPr>
              <w:t> </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Arial" w:hAnsi="Arial" w:cs="Arial" w:eastAsia="Arial" w:hint="default"/>
                <w:spacing w:val="-1"/>
                <w:w w:val="99"/>
                <w:sz w:val="24"/>
                <w:szCs w:val="24"/>
              </w:rPr>
              <w:t>31</w:t>
            </w:r>
            <w:r>
              <w:rPr>
                <w:rFonts w:ascii="Arial" w:hAnsi="Arial" w:cs="Arial" w:eastAsia="Arial" w:hint="default"/>
                <w:spacing w:val="-25"/>
                <w:w w:val="99"/>
                <w:sz w:val="24"/>
                <w:szCs w:val="24"/>
              </w:rPr>
              <w:t> </w:t>
            </w:r>
            <w:r>
              <w:rPr>
                <w:rFonts w:ascii="宋体" w:hAnsi="宋体" w:cs="宋体" w:eastAsia="宋体" w:hint="default"/>
                <w:spacing w:val="-20"/>
                <w:sz w:val="24"/>
                <w:szCs w:val="24"/>
              </w:rPr>
              <w:t>日：约人民币</w:t>
            </w:r>
            <w:r>
              <w:rPr>
                <w:rFonts w:ascii="宋体" w:hAnsi="宋体" w:cs="宋体" w:eastAsia="宋体" w:hint="default"/>
                <w:spacing w:val="-78"/>
                <w:sz w:val="24"/>
                <w:szCs w:val="24"/>
              </w:rPr>
              <w:t> </w:t>
            </w:r>
            <w:r>
              <w:rPr>
                <w:rFonts w:ascii="Arial" w:hAnsi="Arial" w:cs="Arial" w:eastAsia="Arial" w:hint="default"/>
                <w:w w:val="99"/>
                <w:sz w:val="24"/>
                <w:szCs w:val="24"/>
              </w:rPr>
              <w:t>13.10</w:t>
            </w:r>
            <w:r>
              <w:rPr>
                <w:rFonts w:ascii="Arial" w:hAnsi="Arial" w:cs="Arial" w:eastAsia="Arial" w:hint="default"/>
                <w:spacing w:val="-26"/>
                <w:w w:val="9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 根据合同规定，全部将于一年内到期，到期后利随本清。</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25" w:lineRule="auto"/>
              <w:ind w:left="1051" w:right="316"/>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52"/>
                <w:sz w:val="24"/>
                <w:szCs w:val="24"/>
              </w:rPr>
              <w:t> </w:t>
            </w:r>
            <w:r>
              <w:rPr>
                <w:rFonts w:ascii="宋体" w:hAnsi="宋体" w:cs="宋体" w:eastAsia="宋体" w:hint="default"/>
                <w:spacing w:val="-8"/>
                <w:sz w:val="24"/>
                <w:szCs w:val="24"/>
              </w:rPr>
              <w:t>日，本集团约人民币</w:t>
            </w:r>
            <w:r>
              <w:rPr>
                <w:rFonts w:ascii="宋体" w:hAnsi="宋体" w:cs="宋体" w:eastAsia="宋体" w:hint="default"/>
                <w:spacing w:val="-61"/>
                <w:sz w:val="24"/>
                <w:szCs w:val="24"/>
              </w:rPr>
              <w:t> </w:t>
            </w:r>
            <w:r>
              <w:rPr>
                <w:rFonts w:ascii="Arial" w:hAnsi="Arial" w:cs="Arial" w:eastAsia="Arial" w:hint="default"/>
                <w:sz w:val="24"/>
                <w:szCs w:val="24"/>
              </w:rPr>
              <w:t>8.5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18"/>
                <w:sz w:val="24"/>
                <w:szCs w:val="24"/>
              </w:rPr>
              <w:t>日：无</w:t>
            </w:r>
            <w:r>
              <w:rPr>
                <w:rFonts w:ascii="Arial" w:hAnsi="Arial" w:cs="Arial" w:eastAsia="Arial" w:hint="default"/>
                <w:spacing w:val="-18"/>
                <w:sz w:val="24"/>
                <w:szCs w:val="24"/>
              </w:rPr>
              <w:t>)</w:t>
            </w:r>
            <w:r>
              <w:rPr>
                <w:rFonts w:ascii="Arial" w:hAnsi="Arial" w:cs="Arial" w:eastAsia="Arial" w:hint="default"/>
                <w:sz w:val="24"/>
                <w:szCs w:val="24"/>
              </w:rPr>
              <w:t> </w:t>
            </w:r>
            <w:r>
              <w:rPr>
                <w:rFonts w:ascii="宋体" w:hAnsi="宋体" w:cs="宋体" w:eastAsia="宋体" w:hint="default"/>
                <w:sz w:val="24"/>
                <w:szCs w:val="24"/>
              </w:rPr>
              <w:t>的理财产品质押给银行用于开立银行承兑汇票 </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(24))</w:t>
            </w:r>
            <w:r>
              <w:rPr>
                <w:rFonts w:ascii="宋体" w:hAnsi="宋体" w:cs="宋体" w:eastAsia="宋体" w:hint="default"/>
                <w:sz w:val="24"/>
                <w:szCs w:val="24"/>
              </w:rPr>
              <w:t>，约人民币 </w:t>
            </w:r>
            <w:r>
              <w:rPr>
                <w:rFonts w:ascii="Arial" w:hAnsi="Arial" w:cs="Arial" w:eastAsia="Arial" w:hint="default"/>
                <w:sz w:val="24"/>
                <w:szCs w:val="24"/>
              </w:rPr>
              <w:t>7</w:t>
            </w:r>
            <w:r>
              <w:rPr>
                <w:rFonts w:ascii="Arial" w:hAnsi="Arial" w:cs="Arial" w:eastAsia="Arial" w:hint="default"/>
                <w:spacing w:val="-42"/>
                <w:sz w:val="24"/>
                <w:szCs w:val="24"/>
              </w:rPr>
              <w:t> </w:t>
            </w:r>
            <w:r>
              <w:rPr>
                <w:rFonts w:ascii="宋体" w:hAnsi="宋体" w:cs="宋体" w:eastAsia="宋体" w:hint="default"/>
                <w:sz w:val="24"/>
                <w:szCs w:val="24"/>
              </w:rPr>
              <w:t>亿 </w:t>
            </w:r>
            <w:r>
              <w:rPr>
                <w:rFonts w:ascii="宋体" w:hAnsi="宋体" w:cs="宋体" w:eastAsia="宋体" w:hint="default"/>
                <w:spacing w:val="-1"/>
                <w:w w:val="99"/>
                <w:sz w:val="24"/>
                <w:szCs w:val="24"/>
              </w:rPr>
              <w:t>元</w:t>
            </w:r>
            <w:r>
              <w:rPr>
                <w:rFonts w:ascii="Arial" w:hAnsi="Arial" w:cs="Arial" w:eastAsia="Arial" w:hint="default"/>
                <w:spacing w:val="-1"/>
                <w:w w:val="99"/>
                <w:sz w:val="24"/>
                <w:szCs w:val="24"/>
              </w:rPr>
              <w:t>(2014</w:t>
            </w:r>
            <w:r>
              <w:rPr>
                <w:rFonts w:ascii="Arial" w:hAnsi="Arial" w:cs="Arial" w:eastAsia="Arial" w:hint="default"/>
                <w:spacing w:val="-35"/>
                <w:w w:val="99"/>
                <w:sz w:val="24"/>
                <w:szCs w:val="24"/>
              </w:rPr>
              <w:t> </w:t>
            </w:r>
            <w:r>
              <w:rPr>
                <w:rFonts w:ascii="宋体" w:hAnsi="宋体" w:cs="宋体" w:eastAsia="宋体" w:hint="default"/>
                <w:sz w:val="24"/>
                <w:szCs w:val="24"/>
              </w:rPr>
              <w:t>年</w:t>
            </w:r>
            <w:r>
              <w:rPr>
                <w:rFonts w:ascii="宋体" w:hAnsi="宋体" w:cs="宋体" w:eastAsia="宋体" w:hint="default"/>
                <w:spacing w:val="-87"/>
                <w:sz w:val="24"/>
                <w:szCs w:val="24"/>
              </w:rPr>
              <w:t> </w:t>
            </w:r>
            <w:r>
              <w:rPr>
                <w:rFonts w:ascii="Arial" w:hAnsi="Arial" w:cs="Arial" w:eastAsia="Arial" w:hint="default"/>
                <w:spacing w:val="-1"/>
                <w:w w:val="99"/>
                <w:sz w:val="24"/>
                <w:szCs w:val="24"/>
              </w:rPr>
              <w:t>12</w:t>
            </w:r>
            <w:r>
              <w:rPr>
                <w:rFonts w:ascii="Arial" w:hAnsi="Arial" w:cs="Arial" w:eastAsia="Arial" w:hint="default"/>
                <w:spacing w:val="-35"/>
                <w:w w:val="99"/>
                <w:sz w:val="24"/>
                <w:szCs w:val="24"/>
              </w:rPr>
              <w:t> </w:t>
            </w:r>
            <w:r>
              <w:rPr>
                <w:rFonts w:ascii="宋体" w:hAnsi="宋体" w:cs="宋体" w:eastAsia="宋体" w:hint="default"/>
                <w:sz w:val="24"/>
                <w:szCs w:val="24"/>
              </w:rPr>
              <w:t>月</w:t>
            </w:r>
            <w:r>
              <w:rPr>
                <w:rFonts w:ascii="宋体" w:hAnsi="宋体" w:cs="宋体" w:eastAsia="宋体" w:hint="default"/>
                <w:spacing w:val="-88"/>
                <w:sz w:val="24"/>
                <w:szCs w:val="24"/>
              </w:rPr>
              <w:t> </w:t>
            </w:r>
            <w:r>
              <w:rPr>
                <w:rFonts w:ascii="Arial" w:hAnsi="Arial" w:cs="Arial" w:eastAsia="Arial" w:hint="default"/>
                <w:w w:val="99"/>
                <w:sz w:val="24"/>
                <w:szCs w:val="24"/>
              </w:rPr>
              <w:t>31</w:t>
            </w:r>
            <w:r>
              <w:rPr>
                <w:rFonts w:ascii="Arial" w:hAnsi="Arial" w:cs="Arial" w:eastAsia="Arial" w:hint="default"/>
                <w:spacing w:val="-35"/>
                <w:w w:val="99"/>
                <w:sz w:val="24"/>
                <w:szCs w:val="24"/>
              </w:rPr>
              <w:t> </w:t>
            </w:r>
            <w:r>
              <w:rPr>
                <w:rFonts w:ascii="宋体" w:hAnsi="宋体" w:cs="宋体" w:eastAsia="宋体" w:hint="default"/>
                <w:spacing w:val="-5"/>
                <w:sz w:val="24"/>
                <w:szCs w:val="24"/>
              </w:rPr>
              <w:t>日：无</w:t>
            </w:r>
            <w:r>
              <w:rPr>
                <w:rFonts w:ascii="Arial" w:hAnsi="Arial" w:cs="Arial" w:eastAsia="Arial" w:hint="default"/>
                <w:spacing w:val="-5"/>
                <w:sz w:val="24"/>
                <w:szCs w:val="24"/>
              </w:rPr>
              <w:t>)</w:t>
            </w:r>
            <w:r>
              <w:rPr>
                <w:rFonts w:ascii="宋体" w:hAnsi="宋体" w:cs="宋体" w:eastAsia="宋体" w:hint="default"/>
                <w:spacing w:val="-5"/>
                <w:sz w:val="24"/>
                <w:szCs w:val="24"/>
              </w:rPr>
              <w:t>的理财产品质押给银行作为短期借款的质押物</w:t>
            </w:r>
            <w:r>
              <w:rPr>
                <w:rFonts w:ascii="宋体" w:hAnsi="宋体" w:cs="宋体" w:eastAsia="宋体" w:hint="default"/>
                <w:spacing w:val="2"/>
                <w:sz w:val="24"/>
                <w:szCs w:val="24"/>
              </w:rPr>
              <w:t> </w:t>
            </w:r>
            <w:r>
              <w:rPr>
                <w:rFonts w:ascii="Arial" w:hAnsi="Arial" w:cs="Arial" w:eastAsia="Arial" w:hint="default"/>
                <w:sz w:val="24"/>
                <w:szCs w:val="24"/>
              </w:rPr>
              <w:t>(</w:t>
            </w:r>
            <w:r>
              <w:rPr>
                <w:rFonts w:ascii="宋体" w:hAnsi="宋体" w:cs="宋体" w:eastAsia="宋体" w:hint="default"/>
                <w:sz w:val="24"/>
                <w:szCs w:val="24"/>
              </w:rPr>
              <w:t>附 注四</w:t>
            </w:r>
            <w:r>
              <w:rPr>
                <w:rFonts w:ascii="Arial" w:hAnsi="Arial" w:cs="Arial" w:eastAsia="Arial" w:hint="default"/>
                <w:sz w:val="24"/>
                <w:szCs w:val="24"/>
              </w:rPr>
              <w:t>(22))</w:t>
            </w:r>
            <w:r>
              <w:rPr>
                <w:rFonts w:ascii="宋体" w:hAnsi="宋体" w:cs="宋体" w:eastAsia="宋体" w:hint="default"/>
                <w:sz w:val="24"/>
                <w:szCs w:val="24"/>
              </w:rPr>
              <w:t>。</w:t>
            </w:r>
          </w:p>
        </w:tc>
      </w:tr>
      <w:tr>
        <w:trPr>
          <w:trHeight w:val="585"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8" w:right="0"/>
              <w:jc w:val="center"/>
              <w:rPr>
                <w:rFonts w:ascii="Arial" w:hAnsi="Arial" w:cs="Arial" w:eastAsia="Arial" w:hint="default"/>
                <w:sz w:val="24"/>
                <w:szCs w:val="24"/>
              </w:rPr>
            </w:pPr>
            <w:r>
              <w:rPr>
                <w:rFonts w:ascii="Arial"/>
                <w:sz w:val="24"/>
              </w:rPr>
              <w:t>(a)</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9"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p>
        </w:tc>
        <w:tc>
          <w:tcPr>
            <w:tcW w:w="2246" w:type="dxa"/>
            <w:tcBorders>
              <w:top w:val="nil" w:sz="6" w:space="0" w:color="auto"/>
              <w:left w:val="nil" w:sz="6" w:space="0" w:color="auto"/>
              <w:bottom w:val="nil" w:sz="6" w:space="0" w:color="auto"/>
              <w:right w:val="nil" w:sz="6" w:space="0" w:color="auto"/>
            </w:tcBorders>
          </w:tcPr>
          <w:p>
            <w:pPr/>
          </w:p>
        </w:tc>
        <w:tc>
          <w:tcPr>
            <w:tcW w:w="2599" w:type="dxa"/>
            <w:tcBorders>
              <w:top w:val="nil" w:sz="6" w:space="0" w:color="auto"/>
              <w:left w:val="nil" w:sz="6" w:space="0" w:color="auto"/>
              <w:bottom w:val="nil" w:sz="6" w:space="0" w:color="auto"/>
              <w:right w:val="nil" w:sz="6" w:space="0" w:color="auto"/>
            </w:tcBorders>
          </w:tcPr>
          <w:p>
            <w:pPr/>
          </w:p>
        </w:tc>
      </w:tr>
      <w:tr>
        <w:trPr>
          <w:trHeight w:val="593"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8"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9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39"/>
              <w:jc w:val="right"/>
              <w:rPr>
                <w:rFonts w:ascii="Arial" w:hAnsi="Arial" w:cs="Arial" w:eastAsia="Arial" w:hint="default"/>
                <w:sz w:val="24"/>
                <w:szCs w:val="24"/>
              </w:rPr>
            </w:pPr>
            <w:r>
              <w:rPr>
                <w:rFonts w:ascii="Arial"/>
                <w:w w:val="95"/>
                <w:sz w:val="24"/>
              </w:rPr>
              <w:t>2,370,151</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18"/>
              <w:jc w:val="right"/>
              <w:rPr>
                <w:rFonts w:ascii="Arial" w:hAnsi="Arial" w:cs="Arial" w:eastAsia="Arial" w:hint="default"/>
                <w:sz w:val="24"/>
                <w:szCs w:val="24"/>
              </w:rPr>
            </w:pPr>
            <w:r>
              <w:rPr>
                <w:rFonts w:ascii="Arial"/>
                <w:w w:val="95"/>
                <w:sz w:val="24"/>
              </w:rPr>
              <w:t>1,876,797</w:t>
            </w:r>
            <w:r>
              <w:rPr>
                <w:rFonts w:ascii="Arial"/>
                <w:sz w:val="24"/>
              </w:rPr>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8"/>
              <w:jc w:val="right"/>
              <w:rPr>
                <w:rFonts w:ascii="Arial" w:hAnsi="Arial" w:cs="Arial" w:eastAsia="Arial" w:hint="default"/>
                <w:sz w:val="24"/>
                <w:szCs w:val="24"/>
              </w:rPr>
            </w:pPr>
            <w:r>
              <w:rPr>
                <w:rFonts w:ascii="Arial"/>
                <w:w w:val="95"/>
                <w:sz w:val="24"/>
              </w:rPr>
              <w:t>34,744</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7"/>
              <w:jc w:val="right"/>
              <w:rPr>
                <w:rFonts w:ascii="Arial" w:hAnsi="Arial" w:cs="Arial" w:eastAsia="Arial" w:hint="default"/>
                <w:sz w:val="24"/>
                <w:szCs w:val="24"/>
              </w:rPr>
            </w:pPr>
            <w:r>
              <w:rPr>
                <w:rFonts w:ascii="Arial"/>
                <w:w w:val="95"/>
                <w:sz w:val="24"/>
              </w:rPr>
              <w:t>31,247</w:t>
            </w:r>
            <w:r>
              <w:rPr>
                <w:rFonts w:ascii="Arial"/>
                <w:sz w:val="24"/>
              </w:rPr>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8"/>
              <w:jc w:val="right"/>
              <w:rPr>
                <w:rFonts w:ascii="Arial" w:hAnsi="Arial" w:cs="Arial" w:eastAsia="Arial" w:hint="default"/>
                <w:sz w:val="24"/>
                <w:szCs w:val="24"/>
              </w:rPr>
            </w:pPr>
            <w:r>
              <w:rPr>
                <w:rFonts w:ascii="Arial"/>
                <w:spacing w:val="-4"/>
                <w:sz w:val="24"/>
              </w:rPr>
              <w:t>11,676</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7"/>
              <w:jc w:val="right"/>
              <w:rPr>
                <w:rFonts w:ascii="Arial" w:hAnsi="Arial" w:cs="Arial" w:eastAsia="Arial" w:hint="default"/>
                <w:sz w:val="24"/>
                <w:szCs w:val="24"/>
              </w:rPr>
            </w:pPr>
            <w:r>
              <w:rPr>
                <w:rFonts w:ascii="Arial"/>
                <w:w w:val="95"/>
                <w:sz w:val="24"/>
              </w:rPr>
              <w:t>17,828</w:t>
            </w:r>
            <w:r>
              <w:rPr>
                <w:rFonts w:ascii="Arial"/>
                <w:sz w:val="24"/>
              </w:rPr>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8"/>
              <w:jc w:val="right"/>
              <w:rPr>
                <w:rFonts w:ascii="Arial" w:hAnsi="Arial" w:cs="Arial" w:eastAsia="Arial" w:hint="default"/>
                <w:sz w:val="24"/>
                <w:szCs w:val="24"/>
              </w:rPr>
            </w:pPr>
            <w:r>
              <w:rPr>
                <w:rFonts w:ascii="Arial"/>
                <w:w w:val="95"/>
                <w:sz w:val="24"/>
              </w:rPr>
              <w:t>7,969</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7"/>
              <w:jc w:val="right"/>
              <w:rPr>
                <w:rFonts w:ascii="Arial" w:hAnsi="Arial" w:cs="Arial" w:eastAsia="Arial" w:hint="default"/>
                <w:sz w:val="24"/>
                <w:szCs w:val="24"/>
              </w:rPr>
            </w:pPr>
            <w:r>
              <w:rPr>
                <w:rFonts w:ascii="Arial"/>
                <w:w w:val="95"/>
                <w:sz w:val="24"/>
              </w:rPr>
              <w:t>14,308</w:t>
            </w:r>
            <w:r>
              <w:rPr>
                <w:rFonts w:ascii="Arial"/>
                <w:sz w:val="24"/>
              </w:rPr>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8"/>
              <w:jc w:val="right"/>
              <w:rPr>
                <w:rFonts w:ascii="Arial" w:hAnsi="Arial" w:cs="Arial" w:eastAsia="Arial" w:hint="default"/>
                <w:sz w:val="24"/>
                <w:szCs w:val="24"/>
              </w:rPr>
            </w:pPr>
            <w:r>
              <w:rPr>
                <w:rFonts w:ascii="Arial"/>
                <w:w w:val="95"/>
                <w:sz w:val="24"/>
              </w:rPr>
              <w:t>7,484</w:t>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7"/>
              <w:jc w:val="right"/>
              <w:rPr>
                <w:rFonts w:ascii="Arial" w:hAnsi="Arial" w:cs="Arial" w:eastAsia="Arial" w:hint="default"/>
                <w:sz w:val="24"/>
                <w:szCs w:val="24"/>
              </w:rPr>
            </w:pPr>
            <w:r>
              <w:rPr>
                <w:rFonts w:ascii="Arial"/>
                <w:w w:val="95"/>
                <w:sz w:val="24"/>
              </w:rPr>
              <w:t>4,337</w:t>
            </w:r>
            <w:r>
              <w:rPr>
                <w:rFonts w:ascii="Arial"/>
                <w:sz w:val="24"/>
              </w:rPr>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tabs>
                <w:tab w:pos="3755" w:val="left" w:leader="none"/>
                <w:tab w:pos="5207" w:val="left" w:leader="none"/>
              </w:tabs>
              <w:spacing w:line="257" w:lineRule="exact"/>
              <w:ind w:left="199" w:right="-1405"/>
              <w:jc w:val="left"/>
              <w:rPr>
                <w:rFonts w:ascii="Arial" w:hAnsi="Arial" w:cs="Arial" w:eastAsia="Arial" w:hint="default"/>
                <w:sz w:val="24"/>
                <w:szCs w:val="24"/>
              </w:rPr>
            </w:pPr>
            <w:r>
              <w:rPr>
                <w:rFonts w:ascii="宋体" w:hAnsi="宋体" w:cs="宋体" w:eastAsia="宋体" w:hint="default"/>
                <w:position w:val="2"/>
                <w:sz w:val="24"/>
                <w:szCs w:val="24"/>
              </w:rPr>
              <w:t>五年以上</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46"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8"/>
              <w:ind w:right="130"/>
              <w:jc w:val="right"/>
              <w:rPr>
                <w:rFonts w:ascii="Arial" w:hAnsi="Arial" w:cs="Arial" w:eastAsia="Arial" w:hint="default"/>
                <w:sz w:val="24"/>
                <w:szCs w:val="24"/>
              </w:rPr>
            </w:pPr>
            <w:r>
              <w:rPr>
                <w:rFonts w:ascii="Arial"/>
                <w:w w:val="99"/>
                <w:sz w:val="24"/>
              </w:rPr>
            </w:r>
            <w:r>
              <w:rPr>
                <w:rFonts w:ascii="Arial"/>
                <w:w w:val="95"/>
                <w:sz w:val="24"/>
                <w:u w:val="single" w:color="000000"/>
              </w:rPr>
              <w:t>4,018</w:t>
            </w:r>
            <w:r>
              <w:rPr>
                <w:rFonts w:ascii="Arial"/>
                <w:sz w:val="24"/>
                <w:u w:val="single" w:color="000000"/>
              </w:rPr>
              <w:tab/>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tabs>
                <w:tab w:pos="1742" w:val="left" w:leader="none"/>
                <w:tab w:pos="2249" w:val="left" w:leader="none"/>
              </w:tabs>
              <w:spacing w:line="240" w:lineRule="auto" w:before="18"/>
              <w:ind w:right="21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151</w:t>
              <w:tab/>
            </w:r>
            <w:r>
              <w:rPr>
                <w:rFonts w:ascii="Arial"/>
                <w:spacing w:val="-1"/>
                <w:sz w:val="24"/>
              </w:rPr>
            </w:r>
          </w:p>
        </w:tc>
      </w:tr>
      <w:tr>
        <w:trPr>
          <w:trHeight w:val="263"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tabs>
                <w:tab w:pos="936" w:val="left" w:leader="none"/>
                <w:tab w:pos="2112" w:val="left" w:leader="none"/>
              </w:tabs>
              <w:spacing w:line="268" w:lineRule="exact"/>
              <w:ind w:left="-6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2,436,042</w:t>
              <w:tab/>
            </w:r>
            <w:r>
              <w:rPr>
                <w:rFonts w:ascii="Arial"/>
                <w:sz w:val="24"/>
              </w:rPr>
            </w:r>
          </w:p>
        </w:tc>
        <w:tc>
          <w:tcPr>
            <w:tcW w:w="2599" w:type="dxa"/>
            <w:tcBorders>
              <w:top w:val="nil" w:sz="6" w:space="0" w:color="auto"/>
              <w:left w:val="nil" w:sz="6" w:space="0" w:color="auto"/>
              <w:bottom w:val="nil" w:sz="6" w:space="0" w:color="auto"/>
              <w:right w:val="nil" w:sz="6" w:space="0" w:color="auto"/>
            </w:tcBorders>
          </w:tcPr>
          <w:p>
            <w:pPr>
              <w:pStyle w:val="TableParagraph"/>
              <w:tabs>
                <w:tab w:pos="1089" w:val="left" w:leader="none"/>
                <w:tab w:pos="2264" w:val="left" w:leader="none"/>
              </w:tabs>
              <w:spacing w:line="268" w:lineRule="exact"/>
              <w:ind w:right="21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1,944,668</w:t>
            </w:r>
            <w:r>
              <w:rPr>
                <w:rFonts w:ascii="Arial"/>
                <w:sz w:val="24"/>
                <w:u w:val="thick" w:color="000000"/>
              </w:rPr>
              <w:tab/>
            </w:r>
            <w:r>
              <w:rPr>
                <w:rFonts w:ascii="Arial"/>
                <w:sz w:val="24"/>
              </w:rPr>
            </w:r>
          </w:p>
        </w:tc>
      </w:tr>
    </w:tbl>
    <w:p>
      <w:pPr>
        <w:spacing w:after="0" w:line="268" w:lineRule="exact"/>
        <w:jc w:val="right"/>
        <w:rPr>
          <w:rFonts w:ascii="Arial" w:hAnsi="Arial" w:cs="Arial" w:eastAsia="Arial" w:hint="default"/>
          <w:sz w:val="24"/>
          <w:szCs w:val="24"/>
        </w:rPr>
        <w:sectPr>
          <w:pgSz w:w="11910" w:h="16840"/>
          <w:pgMar w:header="755" w:footer="912" w:top="1860" w:bottom="1100" w:left="14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680"/>
        <w:gridCol w:w="8832"/>
      </w:tblGrid>
      <w:tr>
        <w:trPr>
          <w:trHeight w:val="496"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right="38"/>
              <w:jc w:val="center"/>
              <w:rPr>
                <w:rFonts w:ascii="黑体" w:hAnsi="黑体" w:cs="黑体" w:eastAsia="黑体" w:hint="default"/>
                <w:sz w:val="24"/>
                <w:szCs w:val="24"/>
              </w:rPr>
            </w:pPr>
            <w:r>
              <w:rPr>
                <w:rFonts w:ascii="黑体" w:hAnsi="黑体" w:cs="黑体" w:eastAsia="黑体" w:hint="default"/>
                <w:sz w:val="24"/>
                <w:szCs w:val="24"/>
              </w:rPr>
              <w:t>四</w:t>
            </w:r>
          </w:p>
        </w:tc>
        <w:tc>
          <w:tcPr>
            <w:tcW w:w="8832" w:type="dxa"/>
            <w:tcBorders>
              <w:top w:val="nil" w:sz="6" w:space="0" w:color="auto"/>
              <w:left w:val="nil" w:sz="6" w:space="0" w:color="auto"/>
              <w:bottom w:val="nil" w:sz="6" w:space="0" w:color="auto"/>
              <w:right w:val="nil" w:sz="6" w:space="0" w:color="auto"/>
            </w:tcBorders>
          </w:tcPr>
          <w:p>
            <w:pPr>
              <w:pStyle w:val="TableParagraph"/>
              <w:spacing w:line="257" w:lineRule="exact"/>
              <w:ind w:left="18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13" w:right="0"/>
              <w:jc w:val="center"/>
              <w:rPr>
                <w:rFonts w:ascii="Arial" w:hAnsi="Arial" w:cs="Arial" w:eastAsia="Arial" w:hint="default"/>
                <w:sz w:val="24"/>
                <w:szCs w:val="24"/>
              </w:rPr>
            </w:pPr>
            <w:r>
              <w:rPr>
                <w:rFonts w:ascii="Arial"/>
                <w:sz w:val="24"/>
              </w:rPr>
              <w:t>(7)</w:t>
            </w:r>
          </w:p>
        </w:tc>
        <w:tc>
          <w:tcPr>
            <w:tcW w:w="883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6" w:right="0"/>
              <w:jc w:val="left"/>
              <w:rPr>
                <w:rFonts w:ascii="Arial" w:hAnsi="Arial" w:cs="Arial" w:eastAsia="Arial" w:hint="default"/>
                <w:sz w:val="24"/>
                <w:szCs w:val="24"/>
              </w:rPr>
            </w:pPr>
            <w:r>
              <w:rPr>
                <w:rFonts w:ascii="黑体" w:hAnsi="黑体" w:cs="黑体" w:eastAsia="黑体" w:hint="default"/>
                <w:sz w:val="24"/>
                <w:szCs w:val="24"/>
              </w:rPr>
              <w:t>其他应收款和长期应收款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13" w:right="0"/>
              <w:jc w:val="center"/>
              <w:rPr>
                <w:rFonts w:ascii="Arial" w:hAnsi="Arial" w:cs="Arial" w:eastAsia="Arial" w:hint="default"/>
                <w:sz w:val="24"/>
                <w:szCs w:val="24"/>
              </w:rPr>
            </w:pPr>
            <w:r>
              <w:rPr>
                <w:rFonts w:ascii="Arial"/>
                <w:sz w:val="24"/>
              </w:rPr>
              <w:t>(a)</w:t>
            </w:r>
          </w:p>
        </w:tc>
        <w:tc>
          <w:tcPr>
            <w:tcW w:w="883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6"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810" w:hRule="exact"/>
        </w:trPr>
        <w:tc>
          <w:tcPr>
            <w:tcW w:w="680" w:type="dxa"/>
            <w:tcBorders>
              <w:top w:val="nil" w:sz="6" w:space="0" w:color="auto"/>
              <w:left w:val="nil" w:sz="6" w:space="0" w:color="auto"/>
              <w:bottom w:val="nil" w:sz="6" w:space="0" w:color="auto"/>
              <w:right w:val="nil" w:sz="6" w:space="0" w:color="auto"/>
            </w:tcBorders>
          </w:tcPr>
          <w:p>
            <w:pPr/>
          </w:p>
        </w:tc>
        <w:tc>
          <w:tcPr>
            <w:tcW w:w="8832" w:type="dxa"/>
            <w:tcBorders>
              <w:top w:val="nil" w:sz="6" w:space="0" w:color="auto"/>
              <w:left w:val="nil" w:sz="6" w:space="0" w:color="auto"/>
              <w:bottom w:val="nil" w:sz="6" w:space="0" w:color="auto"/>
              <w:right w:val="nil" w:sz="6" w:space="0" w:color="auto"/>
            </w:tcBorders>
          </w:tcPr>
          <w:p>
            <w:pPr>
              <w:pStyle w:val="TableParagraph"/>
              <w:spacing w:line="310" w:lineRule="exact" w:before="205"/>
              <w:ind w:left="204" w:right="198" w:hanging="1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6"/>
                <w:sz w:val="24"/>
                <w:szCs w:val="24"/>
              </w:rPr>
              <w:t> </w:t>
            </w:r>
            <w:r>
              <w:rPr>
                <w:rFonts w:ascii="Arial" w:hAnsi="Arial" w:cs="Arial" w:eastAsia="Arial" w:hint="default"/>
                <w:sz w:val="24"/>
                <w:szCs w:val="24"/>
              </w:rPr>
              <w:t>2015</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日，无已逾期未减值的其他应收款</w:t>
            </w:r>
            <w:r>
              <w:rPr>
                <w:rFonts w:ascii="Arial" w:hAnsi="Arial" w:cs="Arial" w:eastAsia="Arial" w:hint="default"/>
                <w:sz w:val="24"/>
                <w:szCs w:val="24"/>
              </w:rPr>
              <w:t>(2014</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日﹕无 元</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708"/>
        <w:gridCol w:w="3961"/>
        <w:gridCol w:w="2160"/>
        <w:gridCol w:w="263"/>
        <w:gridCol w:w="2300"/>
      </w:tblGrid>
      <w:tr>
        <w:trPr>
          <w:trHeight w:val="50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961" w:type="dxa"/>
            <w:tcBorders>
              <w:top w:val="nil" w:sz="6" w:space="0" w:color="auto"/>
              <w:left w:val="nil" w:sz="6" w:space="0" w:color="auto"/>
              <w:bottom w:val="nil" w:sz="6" w:space="0" w:color="auto"/>
              <w:right w:val="nil" w:sz="6" w:space="0" w:color="auto"/>
            </w:tcBorders>
          </w:tcPr>
          <w:p>
            <w:pPr>
              <w:pStyle w:val="TableParagraph"/>
              <w:spacing w:line="247" w:lineRule="exact"/>
              <w:ind w:left="215" w:right="0"/>
              <w:jc w:val="left"/>
              <w:rPr>
                <w:rFonts w:ascii="宋体" w:hAnsi="宋体" w:cs="宋体" w:eastAsia="宋体" w:hint="default"/>
                <w:sz w:val="24"/>
                <w:szCs w:val="24"/>
              </w:rPr>
            </w:pPr>
            <w:r>
              <w:rPr>
                <w:rFonts w:ascii="宋体" w:hAnsi="宋体" w:cs="宋体" w:eastAsia="宋体" w:hint="default"/>
                <w:sz w:val="24"/>
                <w:szCs w:val="24"/>
              </w:rPr>
              <w:t>长期应收款账龄分析如下：</w:t>
            </w:r>
          </w:p>
        </w:tc>
        <w:tc>
          <w:tcPr>
            <w:tcW w:w="2160"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749"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62"/>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8"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08"/>
              <w:jc w:val="right"/>
              <w:rPr>
                <w:rFonts w:ascii="Arial" w:hAnsi="Arial" w:cs="Arial" w:eastAsia="Arial" w:hint="default"/>
                <w:sz w:val="24"/>
                <w:szCs w:val="24"/>
              </w:rPr>
            </w:pPr>
            <w:r>
              <w:rPr>
                <w:rFonts w:ascii="Arial"/>
                <w:spacing w:val="-1"/>
                <w:sz w:val="24"/>
              </w:rPr>
              <w:t>190,517</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w w:val="95"/>
                <w:sz w:val="24"/>
              </w:rPr>
              <w:t>82,870</w:t>
            </w:r>
            <w:r>
              <w:rPr>
                <w:rFonts w:ascii="Arial"/>
                <w:sz w:val="24"/>
              </w:rPr>
            </w:r>
          </w:p>
        </w:tc>
      </w:tr>
      <w:tr>
        <w:trPr>
          <w:trHeight w:val="39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6" w:lineRule="exact"/>
              <w:ind w:left="215"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4"/>
                <w:szCs w:val="24"/>
              </w:rPr>
            </w:pPr>
            <w:r>
              <w:rPr>
                <w:rFonts w:ascii="Arial"/>
                <w:w w:val="95"/>
                <w:sz w:val="24"/>
              </w:rPr>
              <w:t>61,763</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24"/>
                <w:szCs w:val="24"/>
              </w:rPr>
            </w:pPr>
            <w:r>
              <w:rPr>
                <w:rFonts w:ascii="Arial"/>
                <w:w w:val="95"/>
                <w:sz w:val="24"/>
              </w:rPr>
              <w:t>33,054</w:t>
            </w:r>
            <w:r>
              <w:rPr>
                <w:rFonts w:ascii="Arial"/>
                <w:sz w:val="24"/>
              </w:rPr>
            </w:r>
          </w:p>
        </w:tc>
      </w:tr>
      <w:tr>
        <w:trPr>
          <w:trHeight w:val="39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6" w:lineRule="exact"/>
              <w:ind w:left="215"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Arial" w:hAnsi="Arial" w:cs="Arial" w:eastAsia="Arial" w:hint="default"/>
                <w:sz w:val="24"/>
                <w:szCs w:val="24"/>
              </w:rPr>
            </w:pPr>
            <w:r>
              <w:rPr>
                <w:rFonts w:ascii="Arial"/>
                <w:spacing w:val="-1"/>
                <w:sz w:val="24"/>
              </w:rPr>
              <w:t>20,231</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24"/>
                <w:szCs w:val="24"/>
              </w:rPr>
            </w:pPr>
            <w:r>
              <w:rPr>
                <w:rFonts w:ascii="Arial"/>
                <w:w w:val="95"/>
                <w:sz w:val="24"/>
              </w:rPr>
              <w:t>70,527</w:t>
            </w:r>
            <w:r>
              <w:rPr>
                <w:rFonts w:ascii="Arial"/>
                <w:sz w:val="24"/>
              </w:rPr>
            </w:r>
          </w:p>
        </w:tc>
      </w:tr>
      <w:tr>
        <w:trPr>
          <w:trHeight w:val="39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6" w:lineRule="exact"/>
              <w:ind w:left="215"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4"/>
                <w:szCs w:val="24"/>
              </w:rPr>
            </w:pPr>
            <w:r>
              <w:rPr>
                <w:rFonts w:ascii="Arial"/>
                <w:w w:val="95"/>
                <w:sz w:val="24"/>
              </w:rPr>
              <w:t>56,554</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24"/>
                <w:szCs w:val="24"/>
              </w:rPr>
            </w:pPr>
            <w:r>
              <w:rPr>
                <w:rFonts w:ascii="Arial"/>
                <w:w w:val="95"/>
                <w:sz w:val="24"/>
              </w:rPr>
              <w:t>38,065</w:t>
            </w:r>
            <w:r>
              <w:rPr>
                <w:rFonts w:ascii="Arial"/>
                <w:sz w:val="24"/>
              </w:rPr>
            </w:r>
          </w:p>
        </w:tc>
      </w:tr>
      <w:tr>
        <w:trPr>
          <w:trHeight w:val="39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6" w:lineRule="exact"/>
              <w:ind w:left="215"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4"/>
                <w:szCs w:val="24"/>
              </w:rPr>
            </w:pPr>
            <w:r>
              <w:rPr>
                <w:rFonts w:ascii="Arial"/>
                <w:spacing w:val="-1"/>
                <w:sz w:val="24"/>
              </w:rPr>
              <w:t>37,233</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24"/>
                <w:szCs w:val="24"/>
              </w:rPr>
            </w:pPr>
            <w:r>
              <w:rPr>
                <w:rFonts w:ascii="Arial"/>
                <w:w w:val="95"/>
                <w:sz w:val="24"/>
              </w:rPr>
              <w:t>27,214</w:t>
            </w:r>
            <w:r>
              <w:rPr>
                <w:rFonts w:ascii="Arial"/>
                <w:sz w:val="24"/>
              </w:rPr>
            </w:r>
          </w:p>
        </w:tc>
      </w:tr>
      <w:tr>
        <w:trPr>
          <w:trHeight w:val="386"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6" w:lineRule="exact"/>
              <w:ind w:left="215"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07"/>
              <w:jc w:val="right"/>
              <w:rPr>
                <w:rFonts w:ascii="Arial" w:hAnsi="Arial" w:cs="Arial" w:eastAsia="Arial" w:hint="default"/>
                <w:sz w:val="24"/>
                <w:szCs w:val="24"/>
              </w:rPr>
            </w:pPr>
            <w:r>
              <w:rPr>
                <w:rFonts w:ascii="Arial"/>
                <w:spacing w:val="-1"/>
                <w:sz w:val="24"/>
              </w:rPr>
              <w:t>264,104</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5"/>
              <w:jc w:val="right"/>
              <w:rPr>
                <w:rFonts w:ascii="Arial" w:hAnsi="Arial" w:cs="Arial" w:eastAsia="Arial" w:hint="default"/>
                <w:sz w:val="24"/>
                <w:szCs w:val="24"/>
              </w:rPr>
            </w:pPr>
            <w:r>
              <w:rPr>
                <w:rFonts w:ascii="Arial"/>
                <w:spacing w:val="-1"/>
                <w:sz w:val="24"/>
              </w:rPr>
              <w:t>251,054</w:t>
            </w:r>
          </w:p>
        </w:tc>
      </w:tr>
      <w:tr>
        <w:trPr>
          <w:trHeight w:val="376"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7"/>
              <w:jc w:val="right"/>
              <w:rPr>
                <w:rFonts w:ascii="Arial" w:hAnsi="Arial" w:cs="Arial" w:eastAsia="Arial" w:hint="default"/>
                <w:sz w:val="24"/>
                <w:szCs w:val="24"/>
              </w:rPr>
            </w:pPr>
            <w:r>
              <w:rPr>
                <w:rFonts w:ascii="Arial"/>
                <w:spacing w:val="-1"/>
                <w:sz w:val="24"/>
              </w:rPr>
              <w:t>630,402</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5"/>
              <w:jc w:val="right"/>
              <w:rPr>
                <w:rFonts w:ascii="Arial" w:hAnsi="Arial" w:cs="Arial" w:eastAsia="Arial" w:hint="default"/>
                <w:sz w:val="24"/>
                <w:szCs w:val="24"/>
              </w:rPr>
            </w:pPr>
            <w:r>
              <w:rPr>
                <w:rFonts w:ascii="Arial"/>
                <w:spacing w:val="-1"/>
                <w:sz w:val="24"/>
              </w:rPr>
              <w:t>502,784</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677"/>
        <w:gridCol w:w="1940"/>
        <w:gridCol w:w="1019"/>
        <w:gridCol w:w="653"/>
        <w:gridCol w:w="130"/>
        <w:gridCol w:w="888"/>
        <w:gridCol w:w="630"/>
        <w:gridCol w:w="127"/>
        <w:gridCol w:w="1021"/>
        <w:gridCol w:w="671"/>
        <w:gridCol w:w="127"/>
        <w:gridCol w:w="864"/>
        <w:gridCol w:w="662"/>
      </w:tblGrid>
      <w:tr>
        <w:trPr>
          <w:trHeight w:val="462"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5261" w:type="dxa"/>
            <w:gridSpan w:val="6"/>
            <w:tcBorders>
              <w:top w:val="nil" w:sz="6" w:space="0" w:color="auto"/>
              <w:left w:val="nil" w:sz="6" w:space="0" w:color="auto"/>
              <w:bottom w:val="nil" w:sz="6" w:space="0" w:color="auto"/>
              <w:right w:val="nil" w:sz="6" w:space="0" w:color="auto"/>
            </w:tcBorders>
          </w:tcPr>
          <w:p>
            <w:pPr>
              <w:pStyle w:val="TableParagraph"/>
              <w:spacing w:line="247" w:lineRule="exact"/>
              <w:ind w:left="197" w:right="0"/>
              <w:jc w:val="left"/>
              <w:rPr>
                <w:rFonts w:ascii="宋体" w:hAnsi="宋体" w:cs="宋体" w:eastAsia="宋体" w:hint="default"/>
                <w:sz w:val="24"/>
                <w:szCs w:val="24"/>
              </w:rPr>
            </w:pPr>
            <w:r>
              <w:rPr>
                <w:rFonts w:ascii="宋体" w:hAnsi="宋体" w:cs="宋体" w:eastAsia="宋体" w:hint="default"/>
                <w:sz w:val="24"/>
                <w:szCs w:val="24"/>
              </w:rPr>
              <w:t>其他应收款和长期应收款按类别分析如下：</w:t>
            </w:r>
          </w:p>
        </w:tc>
        <w:tc>
          <w:tcPr>
            <w:tcW w:w="12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466" w:hRule="exact"/>
        </w:trPr>
        <w:tc>
          <w:tcPr>
            <w:tcW w:w="677"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
        </w:tc>
        <w:tc>
          <w:tcPr>
            <w:tcW w:w="269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58"/>
              <w:ind w:left="87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30" w:type="dxa"/>
            <w:tcBorders>
              <w:top w:val="nil" w:sz="6" w:space="0" w:color="auto"/>
              <w:left w:val="nil" w:sz="6" w:space="0" w:color="auto"/>
              <w:bottom w:val="single" w:sz="4" w:space="0" w:color="000000"/>
              <w:right w:val="nil" w:sz="6" w:space="0" w:color="auto"/>
            </w:tcBorders>
          </w:tcPr>
          <w:p>
            <w:pPr/>
          </w:p>
        </w:tc>
        <w:tc>
          <w:tcPr>
            <w:tcW w:w="2810"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58"/>
              <w:ind w:left="102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62" w:type="dxa"/>
            <w:tcBorders>
              <w:top w:val="nil" w:sz="6" w:space="0" w:color="auto"/>
              <w:left w:val="nil" w:sz="6" w:space="0" w:color="auto"/>
              <w:bottom w:val="single" w:sz="4" w:space="0" w:color="000000"/>
              <w:right w:val="nil" w:sz="6" w:space="0" w:color="auto"/>
            </w:tcBorders>
          </w:tcPr>
          <w:p>
            <w:pPr/>
          </w:p>
        </w:tc>
      </w:tr>
      <w:tr>
        <w:trPr>
          <w:trHeight w:val="324" w:hRule="exact"/>
        </w:trPr>
        <w:tc>
          <w:tcPr>
            <w:tcW w:w="677"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
        </w:tc>
        <w:tc>
          <w:tcPr>
            <w:tcW w:w="1802"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1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5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967" w:hRule="exact"/>
        </w:trPr>
        <w:tc>
          <w:tcPr>
            <w:tcW w:w="677"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
        </w:tc>
        <w:tc>
          <w:tcPr>
            <w:tcW w:w="101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65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40" w:lineRule="auto" w:before="37"/>
              <w:ind w:left="458" w:right="11"/>
              <w:jc w:val="right"/>
              <w:rPr>
                <w:rFonts w:ascii="宋体" w:hAnsi="宋体" w:cs="宋体" w:eastAsia="宋体" w:hint="default"/>
                <w:sz w:val="18"/>
                <w:szCs w:val="18"/>
              </w:rPr>
            </w:pPr>
            <w:r>
              <w:rPr>
                <w:rFonts w:ascii="宋体" w:hAnsi="宋体" w:cs="宋体" w:eastAsia="宋体" w:hint="default"/>
                <w:sz w:val="18"/>
                <w:szCs w:val="18"/>
              </w:rPr>
              <w:t>比 例</w:t>
            </w:r>
          </w:p>
        </w:tc>
        <w:tc>
          <w:tcPr>
            <w:tcW w:w="130"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262" w:right="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 w:type="dxa"/>
            <w:tcBorders>
              <w:top w:val="nil" w:sz="6" w:space="0" w:color="auto"/>
              <w:left w:val="nil" w:sz="6" w:space="0" w:color="auto"/>
              <w:bottom w:val="nil" w:sz="6" w:space="0" w:color="auto"/>
              <w:right w:val="nil" w:sz="6" w:space="0" w:color="auto"/>
            </w:tcBorders>
          </w:tcPr>
          <w:p>
            <w:pPr/>
          </w:p>
        </w:tc>
        <w:tc>
          <w:tcPr>
            <w:tcW w:w="102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56"/>
              <w:jc w:val="right"/>
              <w:rPr>
                <w:rFonts w:ascii="宋体" w:hAnsi="宋体" w:cs="宋体" w:eastAsia="宋体" w:hint="default"/>
                <w:sz w:val="18"/>
                <w:szCs w:val="18"/>
              </w:rPr>
            </w:pPr>
            <w:r>
              <w:rPr>
                <w:rFonts w:ascii="宋体" w:hAnsi="宋体" w:cs="宋体" w:eastAsia="宋体" w:hint="default"/>
                <w:sz w:val="18"/>
                <w:szCs w:val="18"/>
              </w:rPr>
              <w:t>金额</w:t>
            </w:r>
          </w:p>
        </w:tc>
        <w:tc>
          <w:tcPr>
            <w:tcW w:w="67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40" w:lineRule="auto" w:before="37"/>
              <w:ind w:left="483" w:right="5"/>
              <w:jc w:val="right"/>
              <w:rPr>
                <w:rFonts w:ascii="宋体" w:hAnsi="宋体" w:cs="宋体" w:eastAsia="宋体" w:hint="default"/>
                <w:sz w:val="18"/>
                <w:szCs w:val="18"/>
              </w:rPr>
            </w:pPr>
            <w:r>
              <w:rPr>
                <w:rFonts w:ascii="宋体" w:hAnsi="宋体" w:cs="宋体" w:eastAsia="宋体" w:hint="default"/>
                <w:sz w:val="18"/>
                <w:szCs w:val="18"/>
              </w:rPr>
              <w:t>比 例</w:t>
            </w:r>
          </w:p>
        </w:tc>
        <w:tc>
          <w:tcPr>
            <w:tcW w:w="127" w:type="dxa"/>
            <w:tcBorders>
              <w:top w:val="nil" w:sz="6" w:space="0" w:color="auto"/>
              <w:left w:val="nil" w:sz="6" w:space="0" w:color="auto"/>
              <w:bottom w:val="nil" w:sz="6" w:space="0" w:color="auto"/>
              <w:right w:val="nil" w:sz="6" w:space="0" w:color="auto"/>
            </w:tcBorders>
          </w:tcPr>
          <w:p>
            <w:pPr/>
          </w:p>
        </w:tc>
        <w:tc>
          <w:tcPr>
            <w:tcW w:w="86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245" w:right="54"/>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936" w:hRule="exact"/>
        </w:trPr>
        <w:tc>
          <w:tcPr>
            <w:tcW w:w="677"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37" w:lineRule="auto" w:before="156"/>
              <w:ind w:left="396" w:right="57" w:hanging="200"/>
              <w:jc w:val="both"/>
              <w:rPr>
                <w:rFonts w:ascii="宋体" w:hAnsi="宋体" w:cs="宋体" w:eastAsia="宋体" w:hint="default"/>
                <w:sz w:val="18"/>
                <w:szCs w:val="18"/>
              </w:rPr>
            </w:pPr>
            <w:r>
              <w:rPr>
                <w:rFonts w:ascii="宋体" w:hAnsi="宋体" w:cs="宋体" w:eastAsia="宋体" w:hint="default"/>
                <w:spacing w:val="7"/>
                <w:sz w:val="18"/>
                <w:szCs w:val="18"/>
              </w:rPr>
              <w:t>单项金额重大并单独 </w:t>
            </w:r>
            <w:r>
              <w:rPr>
                <w:rFonts w:ascii="宋体" w:hAnsi="宋体" w:cs="宋体" w:eastAsia="宋体" w:hint="default"/>
                <w:spacing w:val="4"/>
                <w:sz w:val="18"/>
                <w:szCs w:val="18"/>
              </w:rPr>
              <w:t>计提坏账准备－售</w:t>
            </w:r>
            <w:r>
              <w:rPr>
                <w:rFonts w:ascii="宋体" w:hAnsi="宋体" w:cs="宋体" w:eastAsia="宋体" w:hint="default"/>
                <w:sz w:val="18"/>
                <w:szCs w:val="18"/>
              </w:rPr>
              <w:t> 后租回交易应收款</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Arial" w:hAnsi="Arial" w:cs="Arial" w:eastAsia="Arial" w:hint="default"/>
                <w:sz w:val="18"/>
                <w:szCs w:val="18"/>
              </w:rPr>
            </w:pPr>
            <w:r>
              <w:rPr>
                <w:rFonts w:ascii="Arial"/>
                <w:w w:val="99"/>
                <w:sz w:val="18"/>
              </w:rPr>
              <w:t>-</w:t>
            </w:r>
            <w:r>
              <w:rPr>
                <w:rFonts w:ascii="Arial"/>
                <w:sz w:val="18"/>
              </w:rPr>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0"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3"/>
              <w:jc w:val="right"/>
              <w:rPr>
                <w:rFonts w:ascii="Arial" w:hAnsi="Arial" w:cs="Arial" w:eastAsia="Arial" w:hint="default"/>
                <w:sz w:val="18"/>
                <w:szCs w:val="18"/>
              </w:rPr>
            </w:pPr>
            <w:r>
              <w:rPr>
                <w:rFonts w:ascii="Arial"/>
                <w:spacing w:val="-1"/>
                <w:sz w:val="18"/>
              </w:rPr>
              <w:t>225,700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9%</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r>
      <w:tr>
        <w:trPr>
          <w:trHeight w:val="302" w:hRule="exact"/>
        </w:trPr>
        <w:tc>
          <w:tcPr>
            <w:tcW w:w="677"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019"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558" w:hRule="exact"/>
        </w:trPr>
        <w:tc>
          <w:tcPr>
            <w:tcW w:w="677"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8" w:right="57" w:hanging="222"/>
              <w:jc w:val="left"/>
              <w:rPr>
                <w:rFonts w:ascii="宋体" w:hAnsi="宋体" w:cs="宋体" w:eastAsia="宋体" w:hint="default"/>
                <w:sz w:val="18"/>
                <w:szCs w:val="18"/>
              </w:rPr>
            </w:pPr>
            <w:r>
              <w:rPr>
                <w:rFonts w:ascii="宋体" w:hAnsi="宋体" w:cs="宋体" w:eastAsia="宋体" w:hint="default"/>
                <w:spacing w:val="7"/>
                <w:sz w:val="18"/>
                <w:szCs w:val="18"/>
              </w:rPr>
              <w:t>应收保本保收益理财 </w:t>
            </w:r>
            <w:r>
              <w:rPr>
                <w:rFonts w:ascii="宋体" w:hAnsi="宋体" w:cs="宋体" w:eastAsia="宋体" w:hint="default"/>
                <w:sz w:val="18"/>
                <w:szCs w:val="18"/>
              </w:rPr>
              <w:t>产品组合</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Arial" w:hAnsi="Arial" w:cs="Arial" w:eastAsia="Arial" w:hint="default"/>
                <w:sz w:val="18"/>
                <w:szCs w:val="18"/>
              </w:rPr>
            </w:pPr>
            <w:r>
              <w:rPr>
                <w:rFonts w:ascii="Arial"/>
                <w:spacing w:val="-1"/>
                <w:sz w:val="18"/>
              </w:rPr>
              <w:t>2,080,000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Arial" w:hAnsi="Arial" w:cs="Arial" w:eastAsia="Arial" w:hint="default"/>
                <w:sz w:val="18"/>
                <w:szCs w:val="18"/>
              </w:rPr>
            </w:pPr>
            <w:r>
              <w:rPr>
                <w:rFonts w:ascii="Arial"/>
                <w:spacing w:val="-1"/>
                <w:w w:val="95"/>
                <w:sz w:val="18"/>
              </w:rPr>
              <w:t>67%</w:t>
            </w:r>
            <w:r>
              <w:rPr>
                <w:rFonts w:ascii="Arial"/>
                <w:sz w:val="18"/>
              </w:rPr>
            </w:r>
          </w:p>
        </w:tc>
        <w:tc>
          <w:tcPr>
            <w:tcW w:w="130"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21"/>
              <w:jc w:val="right"/>
              <w:rPr>
                <w:rFonts w:ascii="Arial" w:hAnsi="Arial" w:cs="Arial" w:eastAsia="Arial" w:hint="default"/>
                <w:sz w:val="18"/>
                <w:szCs w:val="18"/>
              </w:rPr>
            </w:pPr>
            <w:r>
              <w:rPr>
                <w:rFonts w:ascii="Arial"/>
                <w:spacing w:val="-1"/>
                <w:sz w:val="18"/>
              </w:rPr>
              <w:t>1,310,000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53%</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r>
      <w:tr>
        <w:trPr>
          <w:trHeight w:val="548" w:hRule="exact"/>
        </w:trPr>
        <w:tc>
          <w:tcPr>
            <w:tcW w:w="677"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ind w:left="418" w:right="57" w:hanging="222"/>
              <w:jc w:val="left"/>
              <w:rPr>
                <w:rFonts w:ascii="宋体" w:hAnsi="宋体" w:cs="宋体" w:eastAsia="宋体" w:hint="default"/>
                <w:sz w:val="18"/>
                <w:szCs w:val="18"/>
              </w:rPr>
            </w:pPr>
            <w:r>
              <w:rPr>
                <w:rFonts w:ascii="宋体" w:hAnsi="宋体" w:cs="宋体" w:eastAsia="宋体" w:hint="default"/>
                <w:spacing w:val="7"/>
                <w:sz w:val="18"/>
                <w:szCs w:val="18"/>
              </w:rPr>
              <w:t>应收租赁保证金及采 </w:t>
            </w:r>
            <w:r>
              <w:rPr>
                <w:rFonts w:ascii="宋体" w:hAnsi="宋体" w:cs="宋体" w:eastAsia="宋体" w:hint="default"/>
                <w:sz w:val="18"/>
                <w:szCs w:val="18"/>
              </w:rPr>
              <w:t>购保证金组合</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Arial" w:hAnsi="Arial" w:cs="Arial" w:eastAsia="Arial" w:hint="default"/>
                <w:sz w:val="18"/>
                <w:szCs w:val="18"/>
              </w:rPr>
            </w:pPr>
            <w:r>
              <w:rPr>
                <w:rFonts w:ascii="Arial"/>
                <w:spacing w:val="-1"/>
                <w:sz w:val="18"/>
              </w:rPr>
              <w:t>630,402</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Arial" w:hAnsi="Arial" w:cs="Arial" w:eastAsia="Arial" w:hint="default"/>
                <w:sz w:val="18"/>
                <w:szCs w:val="18"/>
              </w:rPr>
            </w:pPr>
            <w:r>
              <w:rPr>
                <w:rFonts w:ascii="Arial"/>
                <w:spacing w:val="-1"/>
                <w:w w:val="95"/>
                <w:sz w:val="18"/>
              </w:rPr>
              <w:t>21%</w:t>
            </w:r>
            <w:r>
              <w:rPr>
                <w:rFonts w:ascii="Arial"/>
                <w:sz w:val="18"/>
              </w:rPr>
            </w:r>
          </w:p>
        </w:tc>
        <w:tc>
          <w:tcPr>
            <w:tcW w:w="130"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21"/>
              <w:jc w:val="right"/>
              <w:rPr>
                <w:rFonts w:ascii="Arial" w:hAnsi="Arial" w:cs="Arial" w:eastAsia="Arial" w:hint="default"/>
                <w:sz w:val="18"/>
                <w:szCs w:val="18"/>
              </w:rPr>
            </w:pPr>
            <w:r>
              <w:rPr>
                <w:rFonts w:ascii="Arial"/>
                <w:spacing w:val="-1"/>
                <w:sz w:val="18"/>
              </w:rPr>
              <w:t>502,784</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21%</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r>
      <w:tr>
        <w:trPr>
          <w:trHeight w:val="307" w:hRule="exact"/>
        </w:trPr>
        <w:tc>
          <w:tcPr>
            <w:tcW w:w="677"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01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97"/>
              <w:jc w:val="right"/>
              <w:rPr>
                <w:rFonts w:ascii="Arial" w:hAnsi="Arial" w:cs="Arial" w:eastAsia="Arial" w:hint="default"/>
                <w:sz w:val="18"/>
                <w:szCs w:val="18"/>
              </w:rPr>
            </w:pPr>
            <w:r>
              <w:rPr>
                <w:rFonts w:ascii="Arial"/>
                <w:spacing w:val="-1"/>
                <w:sz w:val="18"/>
              </w:rPr>
              <w:t>356,042</w:t>
            </w:r>
          </w:p>
        </w:tc>
        <w:tc>
          <w:tcPr>
            <w:tcW w:w="65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
              <w:jc w:val="right"/>
              <w:rPr>
                <w:rFonts w:ascii="Arial" w:hAnsi="Arial" w:cs="Arial" w:eastAsia="Arial" w:hint="default"/>
                <w:sz w:val="18"/>
                <w:szCs w:val="18"/>
              </w:rPr>
            </w:pPr>
            <w:r>
              <w:rPr>
                <w:rFonts w:ascii="Arial"/>
                <w:spacing w:val="-1"/>
                <w:w w:val="95"/>
                <w:sz w:val="18"/>
              </w:rPr>
              <w:t>12%</w:t>
            </w:r>
            <w:r>
              <w:rPr>
                <w:rFonts w:ascii="Arial"/>
                <w:sz w:val="18"/>
              </w:rPr>
            </w:r>
          </w:p>
        </w:tc>
        <w:tc>
          <w:tcPr>
            <w:tcW w:w="130"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(31,213)</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8.8%</w:t>
            </w:r>
          </w:p>
        </w:tc>
        <w:tc>
          <w:tcPr>
            <w:tcW w:w="12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21"/>
              <w:jc w:val="right"/>
              <w:rPr>
                <w:rFonts w:ascii="Arial" w:hAnsi="Arial" w:cs="Arial" w:eastAsia="Arial" w:hint="default"/>
                <w:sz w:val="18"/>
                <w:szCs w:val="18"/>
              </w:rPr>
            </w:pPr>
            <w:r>
              <w:rPr>
                <w:rFonts w:ascii="Arial"/>
                <w:spacing w:val="-1"/>
                <w:sz w:val="18"/>
              </w:rPr>
              <w:t>408,968</w:t>
            </w:r>
          </w:p>
        </w:tc>
        <w:tc>
          <w:tcPr>
            <w:tcW w:w="67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17%</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4"/>
              <w:jc w:val="right"/>
              <w:rPr>
                <w:rFonts w:ascii="Arial" w:hAnsi="Arial" w:cs="Arial" w:eastAsia="Arial" w:hint="default"/>
                <w:sz w:val="18"/>
                <w:szCs w:val="18"/>
              </w:rPr>
            </w:pPr>
            <w:r>
              <w:rPr>
                <w:rFonts w:ascii="Arial"/>
                <w:spacing w:val="-1"/>
                <w:sz w:val="18"/>
              </w:rPr>
              <w:t>(30,800)</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7.5%</w:t>
            </w:r>
          </w:p>
        </w:tc>
      </w:tr>
      <w:tr>
        <w:trPr>
          <w:trHeight w:val="307" w:hRule="exact"/>
        </w:trPr>
        <w:tc>
          <w:tcPr>
            <w:tcW w:w="677"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
        </w:tc>
        <w:tc>
          <w:tcPr>
            <w:tcW w:w="10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97"/>
              <w:jc w:val="right"/>
              <w:rPr>
                <w:rFonts w:ascii="Arial" w:hAnsi="Arial" w:cs="Arial" w:eastAsia="Arial" w:hint="default"/>
                <w:sz w:val="18"/>
                <w:szCs w:val="18"/>
              </w:rPr>
            </w:pPr>
            <w:r>
              <w:rPr>
                <w:rFonts w:ascii="Arial"/>
                <w:spacing w:val="-1"/>
                <w:sz w:val="18"/>
              </w:rPr>
              <w:t>3,066,444</w:t>
            </w:r>
          </w:p>
        </w:tc>
        <w:tc>
          <w:tcPr>
            <w:tcW w:w="6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0"/>
              <w:jc w:val="right"/>
              <w:rPr>
                <w:rFonts w:ascii="Arial" w:hAnsi="Arial" w:cs="Arial" w:eastAsia="Arial" w:hint="default"/>
                <w:sz w:val="18"/>
                <w:szCs w:val="18"/>
              </w:rPr>
            </w:pPr>
            <w:r>
              <w:rPr>
                <w:rFonts w:ascii="Arial"/>
                <w:spacing w:val="-1"/>
                <w:sz w:val="18"/>
              </w:rPr>
              <w:t>100%</w:t>
            </w:r>
          </w:p>
        </w:tc>
        <w:tc>
          <w:tcPr>
            <w:tcW w:w="130"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(31,213)</w:t>
            </w:r>
          </w:p>
        </w:tc>
        <w:tc>
          <w:tcPr>
            <w:tcW w:w="630"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22"/>
              <w:jc w:val="right"/>
              <w:rPr>
                <w:rFonts w:ascii="Arial" w:hAnsi="Arial" w:cs="Arial" w:eastAsia="Arial" w:hint="default"/>
                <w:sz w:val="18"/>
                <w:szCs w:val="18"/>
              </w:rPr>
            </w:pPr>
            <w:r>
              <w:rPr>
                <w:rFonts w:ascii="Arial"/>
                <w:spacing w:val="-1"/>
                <w:sz w:val="18"/>
              </w:rPr>
              <w:t>2,447,452</w:t>
            </w:r>
          </w:p>
        </w:tc>
        <w:tc>
          <w:tcPr>
            <w:tcW w:w="6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spacing w:val="-1"/>
                <w:sz w:val="18"/>
              </w:rPr>
              <w:t>100%</w:t>
            </w:r>
          </w:p>
        </w:tc>
        <w:tc>
          <w:tcPr>
            <w:tcW w:w="127" w:type="dxa"/>
            <w:tcBorders>
              <w:top w:val="nil" w:sz="6" w:space="0" w:color="auto"/>
              <w:left w:val="nil" w:sz="6" w:space="0" w:color="auto"/>
              <w:bottom w:val="nil" w:sz="6" w:space="0" w:color="auto"/>
              <w:right w:val="nil" w:sz="6" w:space="0" w:color="auto"/>
            </w:tcBorders>
          </w:tcPr>
          <w:p>
            <w:pPr/>
          </w:p>
        </w:tc>
        <w:tc>
          <w:tcPr>
            <w:tcW w:w="8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4"/>
              <w:jc w:val="right"/>
              <w:rPr>
                <w:rFonts w:ascii="Arial" w:hAnsi="Arial" w:cs="Arial" w:eastAsia="Arial" w:hint="default"/>
                <w:sz w:val="18"/>
                <w:szCs w:val="18"/>
              </w:rPr>
            </w:pPr>
            <w:r>
              <w:rPr>
                <w:rFonts w:ascii="Arial"/>
                <w:spacing w:val="-1"/>
                <w:sz w:val="18"/>
              </w:rPr>
              <w:t>(30,800)</w:t>
            </w:r>
          </w:p>
        </w:tc>
        <w:tc>
          <w:tcPr>
            <w:tcW w:w="66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912"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724"/>
        <w:gridCol w:w="1366"/>
        <w:gridCol w:w="1572"/>
        <w:gridCol w:w="257"/>
        <w:gridCol w:w="1195"/>
        <w:gridCol w:w="499"/>
        <w:gridCol w:w="280"/>
        <w:gridCol w:w="1652"/>
        <w:gridCol w:w="229"/>
        <w:gridCol w:w="959"/>
        <w:gridCol w:w="728"/>
      </w:tblGrid>
      <w:tr>
        <w:trPr>
          <w:trHeight w:val="416" w:hRule="exact"/>
        </w:trPr>
        <w:tc>
          <w:tcPr>
            <w:tcW w:w="724"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93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0" w:right="0"/>
              <w:jc w:val="left"/>
              <w:rPr>
                <w:rFonts w:ascii="黑体" w:hAnsi="黑体" w:cs="黑体" w:eastAsia="黑体"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p>
        </w:tc>
        <w:tc>
          <w:tcPr>
            <w:tcW w:w="257" w:type="dxa"/>
            <w:tcBorders>
              <w:top w:val="nil" w:sz="6" w:space="0" w:color="auto"/>
              <w:left w:val="nil" w:sz="6" w:space="0" w:color="auto"/>
              <w:bottom w:val="nil" w:sz="6" w:space="0" w:color="auto"/>
              <w:right w:val="nil" w:sz="6" w:space="0" w:color="auto"/>
            </w:tcBorders>
          </w:tcPr>
          <w:p>
            <w:pPr>
              <w:pStyle w:val="TableParagraph"/>
              <w:spacing w:line="257" w:lineRule="exact"/>
              <w:ind w:left="-27" w:right="0"/>
              <w:jc w:val="left"/>
              <w:rPr>
                <w:rFonts w:ascii="Arial" w:hAnsi="Arial" w:cs="Arial" w:eastAsia="Arial" w:hint="default"/>
                <w:sz w:val="24"/>
                <w:szCs w:val="24"/>
              </w:rPr>
            </w:pPr>
            <w:r>
              <w:rPr>
                <w:rFonts w:ascii="Arial"/>
                <w:w w:val="99"/>
                <w:sz w:val="24"/>
              </w:rPr>
              <w:t>)</w:t>
            </w:r>
            <w:r>
              <w:rPr>
                <w:rFonts w:ascii="Arial"/>
                <w:sz w:val="24"/>
              </w:rPr>
            </w:r>
          </w:p>
        </w:tc>
        <w:tc>
          <w:tcPr>
            <w:tcW w:w="1195" w:type="dxa"/>
            <w:tcBorders>
              <w:top w:val="nil" w:sz="6" w:space="0" w:color="auto"/>
              <w:left w:val="nil" w:sz="6" w:space="0" w:color="auto"/>
              <w:bottom w:val="nil" w:sz="6" w:space="0" w:color="auto"/>
              <w:right w:val="nil" w:sz="6" w:space="0" w:color="auto"/>
            </w:tcBorders>
          </w:tcPr>
          <w:p>
            <w:pPr/>
          </w:p>
        </w:tc>
        <w:tc>
          <w:tcPr>
            <w:tcW w:w="49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r>
      <w:tr>
        <w:trPr>
          <w:trHeight w:val="588" w:hRule="exact"/>
        </w:trPr>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39" w:right="0"/>
              <w:jc w:val="left"/>
              <w:rPr>
                <w:rFonts w:ascii="Arial" w:hAnsi="Arial" w:cs="Arial" w:eastAsia="Arial" w:hint="default"/>
                <w:sz w:val="24"/>
                <w:szCs w:val="24"/>
              </w:rPr>
            </w:pPr>
            <w:r>
              <w:rPr>
                <w:rFonts w:ascii="Arial"/>
                <w:sz w:val="24"/>
              </w:rPr>
              <w:t>(7)</w:t>
            </w:r>
          </w:p>
        </w:tc>
        <w:tc>
          <w:tcPr>
            <w:tcW w:w="438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8"/>
              <w:ind w:left="190" w:right="0"/>
              <w:jc w:val="left"/>
              <w:rPr>
                <w:rFonts w:ascii="Arial" w:hAnsi="Arial" w:cs="Arial" w:eastAsia="Arial" w:hint="default"/>
                <w:sz w:val="24"/>
                <w:szCs w:val="24"/>
              </w:rPr>
            </w:pPr>
            <w:r>
              <w:rPr>
                <w:rFonts w:ascii="黑体" w:hAnsi="黑体" w:cs="黑体" w:eastAsia="黑体" w:hint="default"/>
                <w:sz w:val="24"/>
                <w:szCs w:val="24"/>
              </w:rPr>
              <w:t>其他应收款和长期应收款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49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r>
      <w:tr>
        <w:trPr>
          <w:trHeight w:val="857" w:hRule="exact"/>
        </w:trPr>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(d)</w:t>
            </w:r>
          </w:p>
        </w:tc>
        <w:tc>
          <w:tcPr>
            <w:tcW w:w="8736" w:type="dxa"/>
            <w:gridSpan w:val="10"/>
            <w:tcBorders>
              <w:top w:val="nil" w:sz="6" w:space="0" w:color="auto"/>
              <w:left w:val="nil" w:sz="6" w:space="0" w:color="auto"/>
              <w:bottom w:val="nil" w:sz="6" w:space="0" w:color="auto"/>
              <w:right w:val="nil" w:sz="6" w:space="0" w:color="auto"/>
            </w:tcBorders>
          </w:tcPr>
          <w:p>
            <w:pPr>
              <w:pStyle w:val="TableParagraph"/>
              <w:spacing w:line="312" w:lineRule="exact" w:before="128"/>
              <w:ind w:left="234" w:right="117"/>
              <w:jc w:val="left"/>
              <w:rPr>
                <w:rFonts w:ascii="宋体" w:hAnsi="宋体" w:cs="宋体" w:eastAsia="宋体" w:hint="default"/>
                <w:sz w:val="24"/>
                <w:szCs w:val="24"/>
              </w:rPr>
            </w:pPr>
            <w:r>
              <w:rPr>
                <w:rFonts w:ascii="宋体" w:hAnsi="宋体" w:cs="宋体" w:eastAsia="宋体" w:hint="default"/>
                <w:spacing w:val="-1"/>
                <w:sz w:val="24"/>
                <w:szCs w:val="24"/>
              </w:rPr>
              <w:t>按应收其他款项组合计提坏账准备的其他应收款中，采用账龄分析法的组合分析</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如下：</w:t>
            </w:r>
          </w:p>
        </w:tc>
      </w:tr>
      <w:tr>
        <w:trPr>
          <w:trHeight w:val="347"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302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8"/>
              <w:ind w:left="97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499" w:type="dxa"/>
            <w:tcBorders>
              <w:top w:val="nil" w:sz="6" w:space="0" w:color="auto"/>
              <w:left w:val="nil" w:sz="6" w:space="0" w:color="auto"/>
              <w:bottom w:val="single" w:sz="4" w:space="0" w:color="000000"/>
              <w:right w:val="nil" w:sz="6" w:space="0" w:color="auto"/>
            </w:tcBorders>
          </w:tcPr>
          <w:p>
            <w:pPr/>
          </w:p>
        </w:tc>
        <w:tc>
          <w:tcPr>
            <w:tcW w:w="312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8"/>
              <w:ind w:left="127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28" w:type="dxa"/>
            <w:tcBorders>
              <w:top w:val="nil" w:sz="6" w:space="0" w:color="auto"/>
              <w:left w:val="nil" w:sz="6" w:space="0" w:color="auto"/>
              <w:bottom w:val="single" w:sz="4" w:space="0" w:color="000000"/>
              <w:right w:val="nil" w:sz="6" w:space="0" w:color="auto"/>
            </w:tcBorders>
          </w:tcPr>
          <w:p>
            <w:pPr/>
          </w:p>
        </w:tc>
      </w:tr>
      <w:tr>
        <w:trPr>
          <w:trHeight w:val="244"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55"/>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57" w:type="dxa"/>
            <w:tcBorders>
              <w:top w:val="single" w:sz="4" w:space="0" w:color="000000"/>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486" w:right="-12"/>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99" w:type="dxa"/>
            <w:tcBorders>
              <w:top w:val="single" w:sz="4" w:space="0" w:color="000000"/>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56"/>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gridSpan w:val="3"/>
            <w:tcBorders>
              <w:top w:val="single" w:sz="4" w:space="0" w:color="000000"/>
              <w:left w:val="nil" w:sz="6" w:space="0" w:color="auto"/>
              <w:bottom w:val="nil" w:sz="6" w:space="0" w:color="auto"/>
              <w:right w:val="nil" w:sz="6" w:space="0" w:color="auto"/>
            </w:tcBorders>
          </w:tcPr>
          <w:p>
            <w:pPr>
              <w:pStyle w:val="TableParagraph"/>
              <w:spacing w:line="205" w:lineRule="exact"/>
              <w:ind w:left="7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2"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Style w:val="TableParagraph"/>
              <w:spacing w:line="205" w:lineRule="exact"/>
              <w:ind w:right="83"/>
              <w:jc w:val="right"/>
              <w:rPr>
                <w:rFonts w:ascii="宋体" w:hAnsi="宋体" w:cs="宋体" w:eastAsia="宋体" w:hint="default"/>
                <w:sz w:val="18"/>
                <w:szCs w:val="18"/>
              </w:rPr>
            </w:pPr>
            <w:r>
              <w:rPr>
                <w:rFonts w:ascii="宋体" w:hAnsi="宋体" w:cs="宋体" w:eastAsia="宋体" w:hint="default"/>
                <w:sz w:val="18"/>
                <w:szCs w:val="18"/>
              </w:rPr>
              <w:t>金额</w:t>
            </w:r>
          </w:p>
        </w:tc>
        <w:tc>
          <w:tcPr>
            <w:tcW w:w="257"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Style w:val="TableParagraph"/>
              <w:spacing w:line="205" w:lineRule="exact"/>
              <w:ind w:left="5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99" w:type="dxa"/>
            <w:tcBorders>
              <w:top w:val="single" w:sz="4" w:space="0" w:color="000000"/>
              <w:left w:val="nil" w:sz="6" w:space="0" w:color="auto"/>
              <w:bottom w:val="nil" w:sz="6" w:space="0" w:color="auto"/>
              <w:right w:val="nil" w:sz="6" w:space="0" w:color="auto"/>
            </w:tcBorders>
          </w:tcPr>
          <w:p>
            <w:pPr>
              <w:pStyle w:val="TableParagraph"/>
              <w:spacing w:line="205" w:lineRule="exact"/>
              <w:ind w:left="8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5" w:lineRule="exact"/>
              <w:ind w:left="8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nil" w:sz="6" w:space="0" w:color="auto"/>
              <w:right w:val="nil" w:sz="6" w:space="0" w:color="auto"/>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金额</w:t>
            </w: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nil" w:sz="6" w:space="0" w:color="auto"/>
              <w:right w:val="nil" w:sz="6" w:space="0" w:color="auto"/>
            </w:tcBorders>
          </w:tcPr>
          <w:p>
            <w:pPr>
              <w:pStyle w:val="TableParagraph"/>
              <w:spacing w:line="205" w:lineRule="exact"/>
              <w:ind w:right="80"/>
              <w:jc w:val="right"/>
              <w:rPr>
                <w:rFonts w:ascii="宋体" w:hAnsi="宋体" w:cs="宋体" w:eastAsia="宋体" w:hint="default"/>
                <w:sz w:val="18"/>
                <w:szCs w:val="18"/>
              </w:rPr>
            </w:pPr>
            <w:r>
              <w:rPr>
                <w:rFonts w:ascii="宋体" w:hAnsi="宋体" w:cs="宋体" w:eastAsia="宋体" w:hint="default"/>
                <w:sz w:val="18"/>
                <w:szCs w:val="18"/>
              </w:rPr>
              <w:t>金额</w:t>
            </w:r>
          </w:p>
        </w:tc>
        <w:tc>
          <w:tcPr>
            <w:tcW w:w="728" w:type="dxa"/>
            <w:tcBorders>
              <w:top w:val="single" w:sz="4" w:space="0" w:color="000000"/>
              <w:left w:val="nil" w:sz="6" w:space="0" w:color="auto"/>
              <w:bottom w:val="nil" w:sz="6" w:space="0" w:color="auto"/>
              <w:right w:val="nil" w:sz="6" w:space="0" w:color="auto"/>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5" w:lineRule="exact"/>
              <w:ind w:left="30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8"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2"/>
              <w:jc w:val="right"/>
              <w:rPr>
                <w:rFonts w:ascii="Arial" w:hAnsi="Arial" w:cs="Arial" w:eastAsia="Arial" w:hint="default"/>
                <w:sz w:val="18"/>
                <w:szCs w:val="18"/>
              </w:rPr>
            </w:pPr>
            <w:r>
              <w:rPr>
                <w:rFonts w:ascii="Arial"/>
                <w:spacing w:val="-1"/>
                <w:sz w:val="18"/>
              </w:rPr>
              <w:t>290,151</w:t>
            </w:r>
          </w:p>
        </w:tc>
        <w:tc>
          <w:tcPr>
            <w:tcW w:w="2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62" w:right="0"/>
              <w:jc w:val="left"/>
              <w:rPr>
                <w:rFonts w:ascii="Arial" w:hAnsi="Arial" w:cs="Arial" w:eastAsia="Arial" w:hint="default"/>
                <w:sz w:val="18"/>
                <w:szCs w:val="18"/>
              </w:rPr>
            </w:pPr>
            <w:r>
              <w:rPr>
                <w:rFonts w:ascii="Arial"/>
                <w:sz w:val="18"/>
              </w:rPr>
              <w:t>(14,504)</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7"/>
              <w:jc w:val="right"/>
              <w:rPr>
                <w:rFonts w:ascii="Arial" w:hAnsi="Arial" w:cs="Arial" w:eastAsia="Arial" w:hint="default"/>
                <w:sz w:val="18"/>
                <w:szCs w:val="18"/>
              </w:rPr>
            </w:pPr>
            <w:r>
              <w:rPr>
                <w:rFonts w:ascii="Arial"/>
                <w:spacing w:val="-1"/>
                <w:sz w:val="18"/>
              </w:rPr>
              <w:t>5%</w:t>
            </w: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63"/>
              <w:jc w:val="right"/>
              <w:rPr>
                <w:rFonts w:ascii="Arial" w:hAnsi="Arial" w:cs="Arial" w:eastAsia="Arial" w:hint="default"/>
                <w:sz w:val="18"/>
                <w:szCs w:val="18"/>
              </w:rPr>
            </w:pPr>
            <w:r>
              <w:rPr>
                <w:rFonts w:ascii="Arial"/>
                <w:spacing w:val="-1"/>
                <w:sz w:val="18"/>
              </w:rPr>
              <w:t>341,097</w:t>
            </w: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5"/>
              <w:jc w:val="right"/>
              <w:rPr>
                <w:rFonts w:ascii="Arial" w:hAnsi="Arial" w:cs="Arial" w:eastAsia="Arial" w:hint="default"/>
                <w:sz w:val="18"/>
                <w:szCs w:val="18"/>
              </w:rPr>
            </w:pPr>
            <w:r>
              <w:rPr>
                <w:rFonts w:ascii="Arial"/>
                <w:spacing w:val="-1"/>
                <w:sz w:val="18"/>
              </w:rPr>
              <w:t>(17,064)</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64"/>
              <w:jc w:val="right"/>
              <w:rPr>
                <w:rFonts w:ascii="Arial" w:hAnsi="Arial" w:cs="Arial" w:eastAsia="Arial" w:hint="default"/>
                <w:sz w:val="18"/>
                <w:szCs w:val="18"/>
              </w:rPr>
            </w:pPr>
            <w:r>
              <w:rPr>
                <w:rFonts w:ascii="Arial"/>
                <w:spacing w:val="-1"/>
                <w:sz w:val="18"/>
              </w:rPr>
              <w:t>5%</w:t>
            </w:r>
          </w:p>
        </w:tc>
      </w:tr>
      <w:tr>
        <w:trPr>
          <w:trHeight w:val="233"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198" w:lineRule="exact"/>
              <w:ind w:left="184"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spacing w:val="-1"/>
                <w:sz w:val="18"/>
              </w:rPr>
              <w:t>34,744</w:t>
            </w:r>
          </w:p>
        </w:tc>
        <w:tc>
          <w:tcPr>
            <w:tcW w:w="2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197" w:lineRule="exact"/>
              <w:ind w:left="363" w:right="0"/>
              <w:jc w:val="left"/>
              <w:rPr>
                <w:rFonts w:ascii="Arial" w:hAnsi="Arial" w:cs="Arial" w:eastAsia="Arial" w:hint="default"/>
                <w:sz w:val="18"/>
                <w:szCs w:val="18"/>
              </w:rPr>
            </w:pPr>
            <w:r>
              <w:rPr>
                <w:rFonts w:ascii="Arial"/>
                <w:sz w:val="18"/>
              </w:rPr>
              <w:t>(3,474)</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8"/>
              <w:jc w:val="right"/>
              <w:rPr>
                <w:rFonts w:ascii="Arial" w:hAnsi="Arial" w:cs="Arial" w:eastAsia="Arial" w:hint="default"/>
                <w:sz w:val="18"/>
                <w:szCs w:val="18"/>
              </w:rPr>
            </w:pPr>
            <w:r>
              <w:rPr>
                <w:rFonts w:ascii="Arial"/>
                <w:spacing w:val="-1"/>
                <w:w w:val="95"/>
                <w:sz w:val="18"/>
              </w:rPr>
              <w:t>10%</w:t>
            </w:r>
            <w:r>
              <w:rPr>
                <w:rFonts w:ascii="Arial"/>
                <w:sz w:val="18"/>
              </w:rPr>
            </w: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3"/>
              <w:jc w:val="right"/>
              <w:rPr>
                <w:rFonts w:ascii="Arial" w:hAnsi="Arial" w:cs="Arial" w:eastAsia="Arial" w:hint="default"/>
                <w:sz w:val="18"/>
                <w:szCs w:val="18"/>
              </w:rPr>
            </w:pPr>
            <w:r>
              <w:rPr>
                <w:rFonts w:ascii="Arial"/>
                <w:spacing w:val="-1"/>
                <w:sz w:val="18"/>
              </w:rPr>
              <w:t>31,247</w:t>
            </w: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5"/>
              <w:jc w:val="right"/>
              <w:rPr>
                <w:rFonts w:ascii="Arial" w:hAnsi="Arial" w:cs="Arial" w:eastAsia="Arial" w:hint="default"/>
                <w:sz w:val="18"/>
                <w:szCs w:val="18"/>
              </w:rPr>
            </w:pPr>
            <w:r>
              <w:rPr>
                <w:rFonts w:ascii="Arial"/>
                <w:spacing w:val="-1"/>
                <w:sz w:val="18"/>
              </w:rPr>
              <w:t>(3,125)</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5"/>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233"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198" w:lineRule="exact"/>
              <w:ind w:left="184"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572" w:type="dxa"/>
            <w:tcBorders>
              <w:top w:val="nil" w:sz="6" w:space="0" w:color="auto"/>
              <w:left w:val="nil" w:sz="6" w:space="0" w:color="auto"/>
              <w:bottom w:val="nil" w:sz="6" w:space="0" w:color="auto"/>
              <w:right w:val="nil" w:sz="6" w:space="0" w:color="auto"/>
            </w:tcBorders>
          </w:tcPr>
          <w:p>
            <w:pPr>
              <w:pStyle w:val="TableParagraph"/>
              <w:spacing w:line="198" w:lineRule="exact"/>
              <w:ind w:right="81"/>
              <w:jc w:val="right"/>
              <w:rPr>
                <w:rFonts w:ascii="Arial" w:hAnsi="Arial" w:cs="Arial" w:eastAsia="Arial" w:hint="default"/>
                <w:sz w:val="18"/>
                <w:szCs w:val="18"/>
              </w:rPr>
            </w:pPr>
            <w:r>
              <w:rPr>
                <w:rFonts w:ascii="Arial"/>
                <w:spacing w:val="-3"/>
                <w:sz w:val="18"/>
              </w:rPr>
              <w:t>11,676</w:t>
            </w:r>
          </w:p>
        </w:tc>
        <w:tc>
          <w:tcPr>
            <w:tcW w:w="2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198" w:lineRule="exact"/>
              <w:ind w:left="363" w:right="0"/>
              <w:jc w:val="left"/>
              <w:rPr>
                <w:rFonts w:ascii="Arial" w:hAnsi="Arial" w:cs="Arial" w:eastAsia="Arial" w:hint="default"/>
                <w:sz w:val="18"/>
                <w:szCs w:val="18"/>
              </w:rPr>
            </w:pPr>
            <w:r>
              <w:rPr>
                <w:rFonts w:ascii="Arial"/>
                <w:sz w:val="18"/>
              </w:rPr>
              <w:t>(2,335)</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7"/>
              <w:jc w:val="right"/>
              <w:rPr>
                <w:rFonts w:ascii="Arial" w:hAnsi="Arial" w:cs="Arial" w:eastAsia="Arial" w:hint="default"/>
                <w:sz w:val="18"/>
                <w:szCs w:val="18"/>
              </w:rPr>
            </w:pPr>
            <w:r>
              <w:rPr>
                <w:rFonts w:ascii="Arial"/>
                <w:spacing w:val="-1"/>
                <w:sz w:val="18"/>
              </w:rPr>
              <w:t>20%</w:t>
            </w: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3"/>
              <w:jc w:val="right"/>
              <w:rPr>
                <w:rFonts w:ascii="Arial" w:hAnsi="Arial" w:cs="Arial" w:eastAsia="Arial" w:hint="default"/>
                <w:sz w:val="18"/>
                <w:szCs w:val="18"/>
              </w:rPr>
            </w:pPr>
            <w:r>
              <w:rPr>
                <w:rFonts w:ascii="Arial"/>
                <w:spacing w:val="-1"/>
                <w:sz w:val="18"/>
              </w:rPr>
              <w:t>17,828</w:t>
            </w: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
              <w:jc w:val="right"/>
              <w:rPr>
                <w:rFonts w:ascii="Arial" w:hAnsi="Arial" w:cs="Arial" w:eastAsia="Arial" w:hint="default"/>
                <w:sz w:val="18"/>
                <w:szCs w:val="18"/>
              </w:rPr>
            </w:pPr>
            <w:r>
              <w:rPr>
                <w:rFonts w:ascii="Arial"/>
                <w:spacing w:val="-1"/>
                <w:sz w:val="18"/>
              </w:rPr>
              <w:t>(3,566)</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4"/>
              <w:jc w:val="right"/>
              <w:rPr>
                <w:rFonts w:ascii="Arial" w:hAnsi="Arial" w:cs="Arial" w:eastAsia="Arial" w:hint="default"/>
                <w:sz w:val="18"/>
                <w:szCs w:val="18"/>
              </w:rPr>
            </w:pPr>
            <w:r>
              <w:rPr>
                <w:rFonts w:ascii="Arial"/>
                <w:spacing w:val="-1"/>
                <w:sz w:val="18"/>
              </w:rPr>
              <w:t>20%</w:t>
            </w:r>
          </w:p>
        </w:tc>
      </w:tr>
      <w:tr>
        <w:trPr>
          <w:trHeight w:val="233"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198" w:lineRule="exact"/>
              <w:ind w:left="184"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572" w:type="dxa"/>
            <w:tcBorders>
              <w:top w:val="nil" w:sz="6" w:space="0" w:color="auto"/>
              <w:left w:val="nil" w:sz="6" w:space="0" w:color="auto"/>
              <w:bottom w:val="nil" w:sz="6" w:space="0" w:color="auto"/>
              <w:right w:val="nil" w:sz="6" w:space="0" w:color="auto"/>
            </w:tcBorders>
          </w:tcPr>
          <w:p>
            <w:pPr>
              <w:pStyle w:val="TableParagraph"/>
              <w:spacing w:line="197" w:lineRule="exact"/>
              <w:ind w:right="80"/>
              <w:jc w:val="right"/>
              <w:rPr>
                <w:rFonts w:ascii="Arial" w:hAnsi="Arial" w:cs="Arial" w:eastAsia="Arial" w:hint="default"/>
                <w:sz w:val="18"/>
                <w:szCs w:val="18"/>
              </w:rPr>
            </w:pPr>
            <w:r>
              <w:rPr>
                <w:rFonts w:ascii="Arial"/>
                <w:spacing w:val="-1"/>
                <w:sz w:val="18"/>
              </w:rPr>
              <w:t>7,969</w:t>
            </w:r>
          </w:p>
        </w:tc>
        <w:tc>
          <w:tcPr>
            <w:tcW w:w="2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197" w:lineRule="exact"/>
              <w:ind w:left="363" w:right="0"/>
              <w:jc w:val="left"/>
              <w:rPr>
                <w:rFonts w:ascii="Arial" w:hAnsi="Arial" w:cs="Arial" w:eastAsia="Arial" w:hint="default"/>
                <w:sz w:val="18"/>
                <w:szCs w:val="18"/>
              </w:rPr>
            </w:pPr>
            <w:r>
              <w:rPr>
                <w:rFonts w:ascii="Arial"/>
                <w:sz w:val="18"/>
              </w:rPr>
              <w:t>(2,391)</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8"/>
              <w:jc w:val="right"/>
              <w:rPr>
                <w:rFonts w:ascii="Arial" w:hAnsi="Arial" w:cs="Arial" w:eastAsia="Arial" w:hint="default"/>
                <w:sz w:val="18"/>
                <w:szCs w:val="18"/>
              </w:rPr>
            </w:pPr>
            <w:r>
              <w:rPr>
                <w:rFonts w:ascii="Arial"/>
                <w:spacing w:val="-1"/>
                <w:w w:val="95"/>
                <w:sz w:val="18"/>
              </w:rPr>
              <w:t>30%</w:t>
            </w:r>
            <w:r>
              <w:rPr>
                <w:rFonts w:ascii="Arial"/>
                <w:sz w:val="18"/>
              </w:rPr>
            </w: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3"/>
              <w:jc w:val="right"/>
              <w:rPr>
                <w:rFonts w:ascii="Arial" w:hAnsi="Arial" w:cs="Arial" w:eastAsia="Arial" w:hint="default"/>
                <w:sz w:val="18"/>
                <w:szCs w:val="18"/>
              </w:rPr>
            </w:pPr>
            <w:r>
              <w:rPr>
                <w:rFonts w:ascii="Arial"/>
                <w:spacing w:val="-1"/>
                <w:sz w:val="18"/>
              </w:rPr>
              <w:t>14,308</w:t>
            </w: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5"/>
              <w:jc w:val="right"/>
              <w:rPr>
                <w:rFonts w:ascii="Arial" w:hAnsi="Arial" w:cs="Arial" w:eastAsia="Arial" w:hint="default"/>
                <w:sz w:val="18"/>
                <w:szCs w:val="18"/>
              </w:rPr>
            </w:pPr>
            <w:r>
              <w:rPr>
                <w:rFonts w:ascii="Arial"/>
                <w:spacing w:val="-1"/>
                <w:sz w:val="18"/>
              </w:rPr>
              <w:t>(4,292)</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5"/>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233"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198" w:lineRule="exact"/>
              <w:ind w:left="184"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572" w:type="dxa"/>
            <w:tcBorders>
              <w:top w:val="nil" w:sz="6" w:space="0" w:color="auto"/>
              <w:left w:val="nil" w:sz="6" w:space="0" w:color="auto"/>
              <w:bottom w:val="nil" w:sz="6" w:space="0" w:color="auto"/>
              <w:right w:val="nil" w:sz="6" w:space="0" w:color="auto"/>
            </w:tcBorders>
          </w:tcPr>
          <w:p>
            <w:pPr>
              <w:pStyle w:val="TableParagraph"/>
              <w:spacing w:line="198" w:lineRule="exact"/>
              <w:ind w:right="80"/>
              <w:jc w:val="right"/>
              <w:rPr>
                <w:rFonts w:ascii="Arial" w:hAnsi="Arial" w:cs="Arial" w:eastAsia="Arial" w:hint="default"/>
                <w:sz w:val="18"/>
                <w:szCs w:val="18"/>
              </w:rPr>
            </w:pPr>
            <w:r>
              <w:rPr>
                <w:rFonts w:ascii="Arial"/>
                <w:spacing w:val="-1"/>
                <w:sz w:val="18"/>
              </w:rPr>
              <w:t>7,484</w:t>
            </w:r>
          </w:p>
        </w:tc>
        <w:tc>
          <w:tcPr>
            <w:tcW w:w="2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198" w:lineRule="exact"/>
              <w:ind w:left="363" w:right="0"/>
              <w:jc w:val="left"/>
              <w:rPr>
                <w:rFonts w:ascii="Arial" w:hAnsi="Arial" w:cs="Arial" w:eastAsia="Arial" w:hint="default"/>
                <w:sz w:val="18"/>
                <w:szCs w:val="18"/>
              </w:rPr>
            </w:pPr>
            <w:r>
              <w:rPr>
                <w:rFonts w:ascii="Arial"/>
                <w:sz w:val="18"/>
              </w:rPr>
              <w:t>(4,491)</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7"/>
              <w:jc w:val="right"/>
              <w:rPr>
                <w:rFonts w:ascii="Arial" w:hAnsi="Arial" w:cs="Arial" w:eastAsia="Arial" w:hint="default"/>
                <w:sz w:val="18"/>
                <w:szCs w:val="18"/>
              </w:rPr>
            </w:pPr>
            <w:r>
              <w:rPr>
                <w:rFonts w:ascii="Arial"/>
                <w:spacing w:val="-1"/>
                <w:sz w:val="18"/>
              </w:rPr>
              <w:t>60%</w:t>
            </w: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2"/>
              <w:jc w:val="right"/>
              <w:rPr>
                <w:rFonts w:ascii="Arial" w:hAnsi="Arial" w:cs="Arial" w:eastAsia="Arial" w:hint="default"/>
                <w:sz w:val="18"/>
                <w:szCs w:val="18"/>
              </w:rPr>
            </w:pPr>
            <w:r>
              <w:rPr>
                <w:rFonts w:ascii="Arial"/>
                <w:spacing w:val="-1"/>
                <w:sz w:val="18"/>
              </w:rPr>
              <w:t>4,337</w:t>
            </w: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
              <w:jc w:val="right"/>
              <w:rPr>
                <w:rFonts w:ascii="Arial" w:hAnsi="Arial" w:cs="Arial" w:eastAsia="Arial" w:hint="default"/>
                <w:sz w:val="18"/>
                <w:szCs w:val="18"/>
              </w:rPr>
            </w:pPr>
            <w:r>
              <w:rPr>
                <w:rFonts w:ascii="Arial"/>
                <w:spacing w:val="-1"/>
                <w:sz w:val="18"/>
              </w:rPr>
              <w:t>(2,602)</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4"/>
              <w:jc w:val="right"/>
              <w:rPr>
                <w:rFonts w:ascii="Arial" w:hAnsi="Arial" w:cs="Arial" w:eastAsia="Arial" w:hint="default"/>
                <w:sz w:val="18"/>
                <w:szCs w:val="18"/>
              </w:rPr>
            </w:pPr>
            <w:r>
              <w:rPr>
                <w:rFonts w:ascii="Arial"/>
                <w:spacing w:val="-1"/>
                <w:sz w:val="18"/>
              </w:rPr>
              <w:t>60%</w:t>
            </w:r>
          </w:p>
        </w:tc>
      </w:tr>
      <w:tr>
        <w:trPr>
          <w:trHeight w:val="231"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198" w:lineRule="exact"/>
              <w:ind w:left="184"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197" w:lineRule="exact"/>
              <w:ind w:right="80"/>
              <w:jc w:val="right"/>
              <w:rPr>
                <w:rFonts w:ascii="Arial" w:hAnsi="Arial" w:cs="Arial" w:eastAsia="Arial" w:hint="default"/>
                <w:sz w:val="18"/>
                <w:szCs w:val="18"/>
              </w:rPr>
            </w:pPr>
            <w:r>
              <w:rPr>
                <w:rFonts w:ascii="Arial"/>
                <w:spacing w:val="-1"/>
                <w:sz w:val="18"/>
              </w:rPr>
              <w:t>4,018</w:t>
            </w:r>
          </w:p>
        </w:tc>
        <w:tc>
          <w:tcPr>
            <w:tcW w:w="2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Style w:val="TableParagraph"/>
              <w:spacing w:line="197" w:lineRule="exact"/>
              <w:ind w:left="363" w:right="0"/>
              <w:jc w:val="left"/>
              <w:rPr>
                <w:rFonts w:ascii="Arial" w:hAnsi="Arial" w:cs="Arial" w:eastAsia="Arial" w:hint="default"/>
                <w:sz w:val="18"/>
                <w:szCs w:val="18"/>
              </w:rPr>
            </w:pPr>
            <w:r>
              <w:rPr>
                <w:rFonts w:ascii="Arial"/>
                <w:sz w:val="18"/>
              </w:rPr>
              <w:t>(4,018)</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 w:right="48"/>
              <w:jc w:val="right"/>
              <w:rPr>
                <w:rFonts w:ascii="Arial" w:hAnsi="Arial" w:cs="Arial" w:eastAsia="Arial" w:hint="default"/>
                <w:sz w:val="18"/>
                <w:szCs w:val="18"/>
              </w:rPr>
            </w:pPr>
            <w:r>
              <w:rPr>
                <w:rFonts w:ascii="Arial"/>
                <w:spacing w:val="-1"/>
                <w:sz w:val="18"/>
              </w:rPr>
              <w:t>100%</w:t>
            </w: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64"/>
              <w:jc w:val="right"/>
              <w:rPr>
                <w:rFonts w:ascii="Arial" w:hAnsi="Arial" w:cs="Arial" w:eastAsia="Arial" w:hint="default"/>
                <w:sz w:val="18"/>
                <w:szCs w:val="18"/>
              </w:rPr>
            </w:pPr>
            <w:r>
              <w:rPr>
                <w:rFonts w:ascii="Arial"/>
                <w:spacing w:val="-1"/>
                <w:w w:val="95"/>
                <w:sz w:val="18"/>
              </w:rPr>
              <w:t>151</w:t>
            </w:r>
            <w:r>
              <w:rPr>
                <w:rFonts w:ascii="Arial"/>
                <w:sz w:val="18"/>
              </w:rPr>
            </w: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5"/>
              <w:jc w:val="right"/>
              <w:rPr>
                <w:rFonts w:ascii="Arial" w:hAnsi="Arial" w:cs="Arial" w:eastAsia="Arial" w:hint="default"/>
                <w:sz w:val="18"/>
                <w:szCs w:val="18"/>
              </w:rPr>
            </w:pPr>
            <w:r>
              <w:rPr>
                <w:rFonts w:ascii="Arial"/>
                <w:spacing w:val="-1"/>
                <w:sz w:val="18"/>
              </w:rPr>
              <w:t>(151)</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4"/>
              <w:jc w:val="right"/>
              <w:rPr>
                <w:rFonts w:ascii="Arial" w:hAnsi="Arial" w:cs="Arial" w:eastAsia="Arial" w:hint="default"/>
                <w:sz w:val="18"/>
                <w:szCs w:val="18"/>
              </w:rPr>
            </w:pPr>
            <w:r>
              <w:rPr>
                <w:rFonts w:ascii="Arial"/>
                <w:spacing w:val="-1"/>
                <w:sz w:val="18"/>
              </w:rPr>
              <w:t>100%</w:t>
            </w:r>
          </w:p>
        </w:tc>
      </w:tr>
      <w:tr>
        <w:trPr>
          <w:trHeight w:val="227" w:hRule="exact"/>
        </w:trPr>
        <w:tc>
          <w:tcPr>
            <w:tcW w:w="7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81"/>
              <w:jc w:val="right"/>
              <w:rPr>
                <w:rFonts w:ascii="Arial" w:hAnsi="Arial" w:cs="Arial" w:eastAsia="Arial" w:hint="default"/>
                <w:sz w:val="18"/>
                <w:szCs w:val="18"/>
              </w:rPr>
            </w:pPr>
            <w:r>
              <w:rPr>
                <w:rFonts w:ascii="Arial"/>
                <w:spacing w:val="-1"/>
                <w:sz w:val="18"/>
              </w:rPr>
              <w:t>356,042</w:t>
            </w:r>
          </w:p>
        </w:tc>
        <w:tc>
          <w:tcPr>
            <w:tcW w:w="257"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262" w:right="0"/>
              <w:jc w:val="left"/>
              <w:rPr>
                <w:rFonts w:ascii="Arial" w:hAnsi="Arial" w:cs="Arial" w:eastAsia="Arial" w:hint="default"/>
                <w:sz w:val="18"/>
                <w:szCs w:val="18"/>
              </w:rPr>
            </w:pPr>
            <w:r>
              <w:rPr>
                <w:rFonts w:ascii="Arial"/>
                <w:sz w:val="18"/>
              </w:rPr>
              <w:t>(31,213)</w:t>
            </w:r>
          </w:p>
        </w:tc>
        <w:tc>
          <w:tcPr>
            <w:tcW w:w="49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64"/>
              <w:jc w:val="right"/>
              <w:rPr>
                <w:rFonts w:ascii="Arial" w:hAnsi="Arial" w:cs="Arial" w:eastAsia="Arial" w:hint="default"/>
                <w:sz w:val="18"/>
                <w:szCs w:val="18"/>
              </w:rPr>
            </w:pPr>
            <w:r>
              <w:rPr>
                <w:rFonts w:ascii="Arial"/>
                <w:spacing w:val="-1"/>
                <w:sz w:val="18"/>
              </w:rPr>
              <w:t>408,968</w:t>
            </w:r>
          </w:p>
        </w:tc>
        <w:tc>
          <w:tcPr>
            <w:tcW w:w="229" w:type="dxa"/>
            <w:tcBorders>
              <w:top w:val="nil" w:sz="6" w:space="0" w:color="auto"/>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55"/>
              <w:jc w:val="right"/>
              <w:rPr>
                <w:rFonts w:ascii="Arial" w:hAnsi="Arial" w:cs="Arial" w:eastAsia="Arial" w:hint="default"/>
                <w:sz w:val="18"/>
                <w:szCs w:val="18"/>
              </w:rPr>
            </w:pPr>
            <w:r>
              <w:rPr>
                <w:rFonts w:ascii="Arial"/>
                <w:spacing w:val="-1"/>
                <w:sz w:val="18"/>
              </w:rPr>
              <w:t>(30,800)</w:t>
            </w:r>
          </w:p>
        </w:tc>
        <w:tc>
          <w:tcPr>
            <w:tcW w:w="72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717"/>
        <w:gridCol w:w="8731"/>
      </w:tblGrid>
      <w:tr>
        <w:trPr>
          <w:trHeight w:val="259"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8731" w:type="dxa"/>
            <w:tcBorders>
              <w:top w:val="nil" w:sz="6" w:space="0" w:color="auto"/>
              <w:left w:val="nil" w:sz="6" w:space="0" w:color="auto"/>
              <w:bottom w:val="nil" w:sz="6" w:space="0" w:color="auto"/>
              <w:right w:val="nil" w:sz="6" w:space="0" w:color="auto"/>
            </w:tcBorders>
          </w:tcPr>
          <w:p>
            <w:pPr>
              <w:pStyle w:val="TableParagraph"/>
              <w:spacing w:line="265" w:lineRule="exact"/>
              <w:ind w:left="224" w:right="0"/>
              <w:jc w:val="left"/>
              <w:rPr>
                <w:rFonts w:ascii="宋体" w:hAnsi="宋体" w:cs="宋体" w:eastAsia="宋体" w:hint="default"/>
                <w:sz w:val="24"/>
                <w:szCs w:val="24"/>
              </w:rPr>
            </w:pPr>
            <w:r>
              <w:rPr>
                <w:rFonts w:ascii="宋体" w:hAnsi="宋体" w:cs="宋体" w:eastAsia="宋体" w:hint="default"/>
                <w:sz w:val="24"/>
                <w:szCs w:val="24"/>
              </w:rPr>
              <w:t>本年度实际核销的其他应收款约为人民币</w:t>
            </w:r>
            <w:r>
              <w:rPr>
                <w:rFonts w:ascii="宋体" w:hAnsi="宋体" w:cs="宋体" w:eastAsia="宋体" w:hint="default"/>
                <w:spacing w:val="-61"/>
                <w:sz w:val="24"/>
                <w:szCs w:val="24"/>
              </w:rPr>
              <w:t> </w:t>
            </w:r>
            <w:r>
              <w:rPr>
                <w:rFonts w:ascii="Arial" w:hAnsi="Arial" w:cs="Arial" w:eastAsia="Arial" w:hint="default"/>
                <w:sz w:val="24"/>
                <w:szCs w:val="24"/>
              </w:rPr>
              <w:t>74</w:t>
            </w:r>
            <w:r>
              <w:rPr>
                <w:rFonts w:ascii="Arial" w:hAnsi="Arial" w:cs="Arial" w:eastAsia="Arial" w:hint="default"/>
                <w:spacing w:val="-8"/>
                <w:sz w:val="24"/>
                <w:szCs w:val="24"/>
              </w:rPr>
              <w:t> </w:t>
            </w:r>
            <w:r>
              <w:rPr>
                <w:rFonts w:ascii="宋体" w:hAnsi="宋体" w:cs="宋体" w:eastAsia="宋体" w:hint="default"/>
                <w:sz w:val="24"/>
                <w:szCs w:val="24"/>
              </w:rPr>
              <w:t>万元，无重大的其他应收款核销。</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668"/>
        <w:gridCol w:w="2779"/>
        <w:gridCol w:w="1317"/>
        <w:gridCol w:w="1190"/>
        <w:gridCol w:w="980"/>
        <w:gridCol w:w="1500"/>
        <w:gridCol w:w="980"/>
      </w:tblGrid>
      <w:tr>
        <w:trPr>
          <w:trHeight w:val="490" w:hRule="exact"/>
        </w:trPr>
        <w:tc>
          <w:tcPr>
            <w:tcW w:w="6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(f)</w:t>
            </w:r>
          </w:p>
        </w:tc>
        <w:tc>
          <w:tcPr>
            <w:tcW w:w="8746" w:type="dxa"/>
            <w:gridSpan w:val="6"/>
            <w:tcBorders>
              <w:top w:val="nil" w:sz="6" w:space="0" w:color="auto"/>
              <w:left w:val="nil" w:sz="6" w:space="0" w:color="auto"/>
              <w:bottom w:val="nil" w:sz="6" w:space="0" w:color="auto"/>
              <w:right w:val="nil" w:sz="6" w:space="0" w:color="auto"/>
            </w:tcBorders>
          </w:tcPr>
          <w:p>
            <w:pPr>
              <w:pStyle w:val="TableParagraph"/>
              <w:spacing w:line="265" w:lineRule="exact"/>
              <w:ind w:left="24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日，按欠款方归集的余额前五名的其他应收款分析如下：</w:t>
            </w:r>
          </w:p>
        </w:tc>
      </w:tr>
      <w:tr>
        <w:trPr>
          <w:trHeight w:val="1099" w:hRule="exact"/>
        </w:trPr>
        <w:tc>
          <w:tcPr>
            <w:tcW w:w="668"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性质</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余额</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37" w:lineRule="auto"/>
              <w:ind w:left="267" w:right="150"/>
              <w:jc w:val="both"/>
              <w:rPr>
                <w:rFonts w:ascii="宋体" w:hAnsi="宋体" w:cs="宋体" w:eastAsia="宋体" w:hint="default"/>
                <w:sz w:val="18"/>
                <w:szCs w:val="18"/>
              </w:rPr>
            </w:pPr>
            <w:r>
              <w:rPr>
                <w:rFonts w:ascii="宋体" w:hAnsi="宋体" w:cs="宋体" w:eastAsia="宋体" w:hint="default"/>
                <w:sz w:val="18"/>
                <w:szCs w:val="18"/>
              </w:rPr>
              <w:t>占其他应收款 和长期应收款 余额总额比例</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7" w:hRule="exact"/>
        </w:trPr>
        <w:tc>
          <w:tcPr>
            <w:tcW w:w="668"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32" w:lineRule="exact"/>
              <w:ind w:left="434" w:right="126" w:hanging="202"/>
              <w:jc w:val="left"/>
              <w:rPr>
                <w:rFonts w:ascii="宋体" w:hAnsi="宋体" w:cs="宋体" w:eastAsia="宋体" w:hint="default"/>
                <w:sz w:val="18"/>
                <w:szCs w:val="18"/>
              </w:rPr>
            </w:pPr>
            <w:r>
              <w:rPr>
                <w:rFonts w:ascii="宋体" w:hAnsi="宋体" w:cs="宋体" w:eastAsia="宋体" w:hint="default"/>
                <w:spacing w:val="6"/>
                <w:sz w:val="18"/>
                <w:szCs w:val="18"/>
              </w:rPr>
              <w:t>中国光大银行股份有限公司南 </w:t>
            </w:r>
            <w:r>
              <w:rPr>
                <w:rFonts w:ascii="宋体" w:hAnsi="宋体" w:cs="宋体" w:eastAsia="宋体" w:hint="default"/>
                <w:sz w:val="18"/>
                <w:szCs w:val="18"/>
              </w:rPr>
              <w:t>京分行</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2,030,000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8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51"/>
              <w:jc w:val="right"/>
              <w:rPr>
                <w:rFonts w:ascii="Arial" w:hAnsi="Arial" w:cs="Arial" w:eastAsia="Arial" w:hint="default"/>
                <w:sz w:val="18"/>
                <w:szCs w:val="18"/>
              </w:rPr>
            </w:pPr>
            <w:r>
              <w:rPr>
                <w:rFonts w:ascii="Arial"/>
                <w:spacing w:val="-1"/>
                <w:w w:val="95"/>
                <w:sz w:val="18"/>
              </w:rPr>
              <w:t>66%</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23" w:hRule="exact"/>
        </w:trPr>
        <w:tc>
          <w:tcPr>
            <w:tcW w:w="668"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40" w:right="0"/>
              <w:jc w:val="left"/>
              <w:rPr>
                <w:rFonts w:ascii="宋体" w:hAnsi="宋体" w:cs="宋体" w:eastAsia="宋体" w:hint="default"/>
                <w:sz w:val="18"/>
                <w:szCs w:val="18"/>
              </w:rPr>
            </w:pPr>
            <w:r>
              <w:rPr>
                <w:rFonts w:ascii="宋体" w:hAnsi="宋体" w:cs="宋体" w:eastAsia="宋体" w:hint="default"/>
                <w:sz w:val="18"/>
                <w:szCs w:val="18"/>
              </w:rPr>
              <w:t>交通银行上海市陆家嘴支行</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w:hAnsi="Arial" w:cs="Arial" w:eastAsia="Arial" w:hint="default"/>
                <w:sz w:val="18"/>
                <w:szCs w:val="18"/>
              </w:rPr>
            </w:pPr>
            <w:r>
              <w:rPr>
                <w:rFonts w:ascii="Arial"/>
                <w:spacing w:val="-1"/>
                <w:sz w:val="18"/>
              </w:rPr>
              <w:t>50,000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1"/>
              <w:jc w:val="right"/>
              <w:rPr>
                <w:rFonts w:ascii="Arial" w:hAnsi="Arial" w:cs="Arial" w:eastAsia="Arial" w:hint="default"/>
                <w:sz w:val="18"/>
                <w:szCs w:val="18"/>
              </w:rPr>
            </w:pPr>
            <w:r>
              <w:rPr>
                <w:rFonts w:ascii="Arial"/>
                <w:spacing w:val="-1"/>
                <w:w w:val="95"/>
                <w:sz w:val="18"/>
              </w:rPr>
              <w:t>2%</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23" w:hRule="exact"/>
        </w:trPr>
        <w:tc>
          <w:tcPr>
            <w:tcW w:w="668"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40" w:right="0"/>
              <w:jc w:val="left"/>
              <w:rPr>
                <w:rFonts w:ascii="宋体" w:hAnsi="宋体" w:cs="宋体" w:eastAsia="宋体" w:hint="default"/>
                <w:sz w:val="18"/>
                <w:szCs w:val="18"/>
              </w:rPr>
            </w:pPr>
            <w:r>
              <w:rPr>
                <w:rFonts w:ascii="宋体" w:hAnsi="宋体" w:cs="宋体" w:eastAsia="宋体" w:hint="default"/>
                <w:sz w:val="18"/>
                <w:szCs w:val="18"/>
              </w:rPr>
              <w:t>朝日无线电机株式会社</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租赁保证金</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18"/>
                <w:szCs w:val="18"/>
              </w:rPr>
            </w:pPr>
            <w:r>
              <w:rPr>
                <w:rFonts w:ascii="Arial"/>
                <w:spacing w:val="-1"/>
                <w:sz w:val="18"/>
              </w:rPr>
              <w:t>41,161</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Arial" w:hAnsi="Arial" w:cs="Arial" w:eastAsia="Arial" w:hint="default"/>
                <w:sz w:val="18"/>
                <w:szCs w:val="18"/>
              </w:rPr>
            </w:pPr>
            <w:r>
              <w:rPr>
                <w:rFonts w:ascii="Arial"/>
                <w:spacing w:val="-1"/>
                <w:w w:val="95"/>
                <w:sz w:val="18"/>
              </w:rPr>
              <w:t>1%</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88" w:hRule="exact"/>
        </w:trPr>
        <w:tc>
          <w:tcPr>
            <w:tcW w:w="668"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40" w:right="0"/>
              <w:jc w:val="left"/>
              <w:rPr>
                <w:rFonts w:ascii="宋体" w:hAnsi="宋体" w:cs="宋体" w:eastAsia="宋体" w:hint="default"/>
                <w:sz w:val="18"/>
                <w:szCs w:val="18"/>
              </w:rPr>
            </w:pPr>
            <w:r>
              <w:rPr>
                <w:rFonts w:ascii="宋体" w:hAnsi="宋体" w:cs="宋体" w:eastAsia="宋体" w:hint="default"/>
                <w:sz w:val="18"/>
                <w:szCs w:val="18"/>
              </w:rPr>
              <w:t>芜湖市国土资源局</w:t>
            </w:r>
          </w:p>
        </w:tc>
        <w:tc>
          <w:tcPr>
            <w:tcW w:w="1317" w:type="dxa"/>
            <w:vMerge w:val="restart"/>
            <w:tcBorders>
              <w:top w:val="nil" w:sz="6" w:space="0" w:color="auto"/>
              <w:left w:val="nil" w:sz="6" w:space="0" w:color="auto"/>
              <w:right w:val="nil" w:sz="6" w:space="0" w:color="auto"/>
            </w:tcBorders>
          </w:tcPr>
          <w:p>
            <w:pPr>
              <w:pStyle w:val="TableParagraph"/>
              <w:spacing w:line="278" w:lineRule="auto" w:before="5"/>
              <w:ind w:left="350" w:right="107" w:hanging="222"/>
              <w:jc w:val="left"/>
              <w:rPr>
                <w:rFonts w:ascii="宋体" w:hAnsi="宋体" w:cs="宋体" w:eastAsia="宋体" w:hint="default"/>
                <w:sz w:val="18"/>
                <w:szCs w:val="18"/>
              </w:rPr>
            </w:pPr>
            <w:r>
              <w:rPr>
                <w:rFonts w:ascii="宋体" w:hAnsi="宋体" w:cs="宋体" w:eastAsia="宋体" w:hint="default"/>
                <w:sz w:val="18"/>
                <w:szCs w:val="18"/>
              </w:rPr>
              <w:t>土地竞买保证 金</w:t>
            </w:r>
          </w:p>
        </w:tc>
        <w:tc>
          <w:tcPr>
            <w:tcW w:w="119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r>
      <w:tr>
        <w:trPr>
          <w:trHeight w:val="309" w:hRule="exact"/>
        </w:trPr>
        <w:tc>
          <w:tcPr>
            <w:tcW w:w="668"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
        </w:tc>
        <w:tc>
          <w:tcPr>
            <w:tcW w:w="1317" w:type="dxa"/>
            <w:vMerge/>
            <w:tcBorders>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5"/>
              <w:jc w:val="right"/>
              <w:rPr>
                <w:rFonts w:ascii="Arial" w:hAnsi="Arial" w:cs="Arial" w:eastAsia="Arial" w:hint="default"/>
                <w:sz w:val="18"/>
                <w:szCs w:val="18"/>
              </w:rPr>
            </w:pPr>
            <w:r>
              <w:rPr>
                <w:rFonts w:ascii="Arial"/>
                <w:spacing w:val="-1"/>
                <w:sz w:val="18"/>
              </w:rPr>
              <w:t>20,000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exact"/>
              <w:ind w:left="187"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1"/>
              <w:jc w:val="right"/>
              <w:rPr>
                <w:rFonts w:ascii="Arial" w:hAnsi="Arial" w:cs="Arial" w:eastAsia="Arial" w:hint="default"/>
                <w:sz w:val="18"/>
                <w:szCs w:val="18"/>
              </w:rPr>
            </w:pPr>
            <w:r>
              <w:rPr>
                <w:rFonts w:ascii="Arial"/>
                <w:spacing w:val="-1"/>
                <w:w w:val="95"/>
                <w:sz w:val="18"/>
              </w:rPr>
              <w:t>1%</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668"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40" w:right="0"/>
              <w:jc w:val="left"/>
              <w:rPr>
                <w:rFonts w:ascii="宋体" w:hAnsi="宋体" w:cs="宋体" w:eastAsia="宋体" w:hint="default"/>
                <w:sz w:val="18"/>
                <w:szCs w:val="18"/>
              </w:rPr>
            </w:pPr>
            <w:r>
              <w:rPr>
                <w:rFonts w:ascii="宋体" w:hAnsi="宋体" w:cs="宋体" w:eastAsia="宋体" w:hint="default"/>
                <w:sz w:val="18"/>
                <w:szCs w:val="18"/>
              </w:rPr>
              <w:t>南京政治学院上海分院</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租赁保证金</w:t>
            </w:r>
          </w:p>
        </w:tc>
        <w:tc>
          <w:tcPr>
            <w:tcW w:w="119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7"/>
              <w:jc w:val="right"/>
              <w:rPr>
                <w:rFonts w:ascii="Arial" w:hAnsi="Arial" w:cs="Arial" w:eastAsia="Arial" w:hint="default"/>
                <w:sz w:val="18"/>
                <w:szCs w:val="18"/>
              </w:rPr>
            </w:pPr>
            <w:r>
              <w:rPr>
                <w:rFonts w:ascii="Arial"/>
                <w:spacing w:val="-1"/>
                <w:sz w:val="18"/>
              </w:rPr>
              <w:t>16,000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7"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年以上</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51"/>
              <w:jc w:val="right"/>
              <w:rPr>
                <w:rFonts w:ascii="Arial" w:hAnsi="Arial" w:cs="Arial" w:eastAsia="Arial" w:hint="default"/>
                <w:sz w:val="18"/>
                <w:szCs w:val="18"/>
              </w:rPr>
            </w:pPr>
            <w:r>
              <w:rPr>
                <w:rFonts w:ascii="Arial"/>
                <w:spacing w:val="-1"/>
                <w:w w:val="95"/>
                <w:sz w:val="18"/>
              </w:rPr>
              <w:t>1%</w:t>
            </w:r>
            <w:r>
              <w:rPr>
                <w:rFonts w:ascii="Arial"/>
                <w:sz w:val="18"/>
              </w:rPr>
            </w:r>
          </w:p>
        </w:tc>
        <w:tc>
          <w:tcPr>
            <w:tcW w:w="98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08" w:hRule="exact"/>
        </w:trPr>
        <w:tc>
          <w:tcPr>
            <w:tcW w:w="668"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Arial" w:hAnsi="Arial" w:cs="Arial" w:eastAsia="Arial" w:hint="default"/>
                <w:sz w:val="18"/>
                <w:szCs w:val="18"/>
              </w:rPr>
            </w:pPr>
            <w:r>
              <w:rPr>
                <w:rFonts w:ascii="Arial"/>
                <w:spacing w:val="-1"/>
                <w:sz w:val="18"/>
              </w:rPr>
              <w:t>2,157,161</w:t>
            </w:r>
          </w:p>
        </w:tc>
        <w:tc>
          <w:tcPr>
            <w:tcW w:w="980"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51"/>
              <w:jc w:val="right"/>
              <w:rPr>
                <w:rFonts w:ascii="Arial" w:hAnsi="Arial" w:cs="Arial" w:eastAsia="Arial" w:hint="default"/>
                <w:sz w:val="18"/>
                <w:szCs w:val="18"/>
              </w:rPr>
            </w:pPr>
            <w:r>
              <w:rPr>
                <w:rFonts w:ascii="Arial"/>
                <w:spacing w:val="-1"/>
                <w:sz w:val="18"/>
              </w:rPr>
              <w:t>71%</w:t>
            </w:r>
          </w:p>
        </w:tc>
        <w:tc>
          <w:tcPr>
            <w:tcW w:w="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755" w:footer="912" w:top="1860" w:bottom="1100" w:left="1380" w:right="0"/>
        </w:sectPr>
      </w:pPr>
    </w:p>
    <w:p>
      <w:pPr>
        <w:spacing w:line="240" w:lineRule="auto" w:before="2"/>
        <w:rPr>
          <w:rFonts w:ascii="Times New Roman" w:hAnsi="Times New Roman" w:cs="Times New Roman" w:eastAsia="Times New Roman" w:hint="default"/>
          <w:sz w:val="26"/>
          <w:szCs w:val="26"/>
        </w:rPr>
      </w:pPr>
      <w:r>
        <w:rPr/>
        <w:pict>
          <v:group style="position:absolute;margin-left:362.959991pt;margin-top:560.589966pt;width:56.75pt;height:.1pt;mso-position-horizontal-relative:page;mso-position-vertical-relative:page;z-index:-1831072" coordorigin="7259,11212" coordsize="1135,2">
            <v:shape style="position:absolute;left:7259;top:11212;width:1135;height:2" coordorigin="7259,11212" coordsize="1135,0" path="m7259,11212l8394,11212e" filled="false" stroked="true" strokeweight="1.5pt" strokecolor="#000000">
              <v:path arrowok="t"/>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677"/>
        <w:gridCol w:w="1231"/>
        <w:gridCol w:w="1364"/>
        <w:gridCol w:w="1143"/>
        <w:gridCol w:w="1315"/>
        <w:gridCol w:w="1480"/>
        <w:gridCol w:w="929"/>
        <w:gridCol w:w="284"/>
        <w:gridCol w:w="1170"/>
      </w:tblGrid>
      <w:tr>
        <w:trPr>
          <w:trHeight w:val="416"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exact"/>
              <w:ind w:right="35"/>
              <w:jc w:val="center"/>
              <w:rPr>
                <w:rFonts w:ascii="黑体" w:hAnsi="黑体" w:cs="黑体" w:eastAsia="黑体" w:hint="default"/>
                <w:sz w:val="24"/>
                <w:szCs w:val="24"/>
              </w:rPr>
            </w:pPr>
            <w:r>
              <w:rPr>
                <w:rFonts w:ascii="黑体" w:hAnsi="黑体" w:cs="黑体" w:eastAsia="黑体" w:hint="default"/>
                <w:sz w:val="24"/>
                <w:szCs w:val="24"/>
              </w:rPr>
              <w:t>四</w:t>
            </w:r>
          </w:p>
        </w:tc>
        <w:tc>
          <w:tcPr>
            <w:tcW w:w="3737"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8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15"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582"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6" w:right="0"/>
              <w:jc w:val="center"/>
              <w:rPr>
                <w:rFonts w:ascii="Arial" w:hAnsi="Arial" w:cs="Arial" w:eastAsia="Arial" w:hint="default"/>
                <w:sz w:val="24"/>
                <w:szCs w:val="24"/>
              </w:rPr>
            </w:pPr>
            <w:r>
              <w:rPr>
                <w:rFonts w:ascii="Arial"/>
                <w:sz w:val="24"/>
              </w:rPr>
              <w:t>(8)</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3" w:right="0"/>
              <w:jc w:val="left"/>
              <w:rPr>
                <w:rFonts w:ascii="黑体" w:hAnsi="黑体" w:cs="黑体" w:eastAsia="黑体" w:hint="default"/>
                <w:sz w:val="24"/>
                <w:szCs w:val="24"/>
              </w:rPr>
            </w:pPr>
            <w:r>
              <w:rPr>
                <w:rFonts w:ascii="黑体" w:hAnsi="黑体" w:cs="黑体" w:eastAsia="黑体" w:hint="default"/>
                <w:sz w:val="24"/>
                <w:szCs w:val="24"/>
              </w:rPr>
              <w:t>预付款项</w:t>
            </w:r>
          </w:p>
        </w:tc>
        <w:tc>
          <w:tcPr>
            <w:tcW w:w="1364"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591"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6" w:right="0"/>
              <w:jc w:val="center"/>
              <w:rPr>
                <w:rFonts w:ascii="Arial" w:hAnsi="Arial" w:cs="Arial" w:eastAsia="Arial" w:hint="default"/>
                <w:sz w:val="24"/>
                <w:szCs w:val="24"/>
              </w:rPr>
            </w:pPr>
            <w:r>
              <w:rPr>
                <w:rFonts w:ascii="Arial"/>
                <w:sz w:val="24"/>
              </w:rPr>
              <w:t>(a)</w:t>
            </w:r>
          </w:p>
        </w:tc>
        <w:tc>
          <w:tcPr>
            <w:tcW w:w="373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83" w:right="0"/>
              <w:jc w:val="left"/>
              <w:rPr>
                <w:rFonts w:ascii="宋体" w:hAnsi="宋体" w:cs="宋体" w:eastAsia="宋体" w:hint="default"/>
                <w:sz w:val="24"/>
                <w:szCs w:val="24"/>
              </w:rPr>
            </w:pPr>
            <w:r>
              <w:rPr>
                <w:rFonts w:ascii="宋体" w:hAnsi="宋体" w:cs="宋体" w:eastAsia="宋体" w:hint="default"/>
                <w:sz w:val="24"/>
                <w:szCs w:val="24"/>
              </w:rPr>
              <w:t>预付款项账龄分析如下：</w:t>
            </w:r>
          </w:p>
        </w:tc>
        <w:tc>
          <w:tcPr>
            <w:tcW w:w="1315"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455"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38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657"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863"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733"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4"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75" w:lineRule="exact"/>
              <w:ind w:left="867"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2458" w:type="dxa"/>
            <w:gridSpan w:val="2"/>
            <w:tcBorders>
              <w:top w:val="nil" w:sz="6" w:space="0" w:color="auto"/>
              <w:left w:val="nil" w:sz="6" w:space="0" w:color="auto"/>
              <w:bottom w:val="nil" w:sz="6" w:space="0" w:color="auto"/>
              <w:right w:val="nil" w:sz="6" w:space="0" w:color="auto"/>
            </w:tcBorders>
          </w:tcPr>
          <w:p>
            <w:pPr>
              <w:pStyle w:val="TableParagraph"/>
              <w:spacing w:line="280" w:lineRule="exact"/>
              <w:ind w:left="630" w:right="0"/>
              <w:jc w:val="left"/>
              <w:rPr>
                <w:rFonts w:ascii="宋体" w:hAnsi="宋体" w:cs="宋体" w:eastAsia="宋体" w:hint="default"/>
                <w:sz w:val="24"/>
                <w:szCs w:val="24"/>
              </w:rPr>
            </w:pPr>
            <w:r>
              <w:rPr>
                <w:rFonts w:ascii="宋体" w:hAnsi="宋体" w:cs="宋体" w:eastAsia="宋体" w:hint="default"/>
                <w:sz w:val="24"/>
                <w:szCs w:val="24"/>
              </w:rPr>
              <w:t>占总额比例</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75" w:lineRule="exact"/>
              <w:ind w:left="828"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29" w:type="dxa"/>
            <w:tcBorders>
              <w:top w:val="single" w:sz="4" w:space="0" w:color="000000"/>
              <w:left w:val="nil" w:sz="6" w:space="0" w:color="auto"/>
              <w:bottom w:val="nil" w:sz="6" w:space="0" w:color="auto"/>
              <w:right w:val="nil" w:sz="6" w:space="0" w:color="auto"/>
            </w:tcBorders>
          </w:tcPr>
          <w:p>
            <w:pPr/>
          </w:p>
        </w:tc>
        <w:tc>
          <w:tcPr>
            <w:tcW w:w="284" w:type="dxa"/>
            <w:tcBorders>
              <w:top w:val="single" w:sz="4" w:space="0" w:color="000000"/>
              <w:left w:val="nil" w:sz="6" w:space="0" w:color="auto"/>
              <w:bottom w:val="nil" w:sz="6" w:space="0" w:color="auto"/>
              <w:right w:val="nil" w:sz="6" w:space="0" w:color="auto"/>
            </w:tcBorders>
          </w:tcPr>
          <w:p>
            <w:pPr>
              <w:pStyle w:val="TableParagraph"/>
              <w:spacing w:line="275" w:lineRule="exact"/>
              <w:ind w:left="145" w:right="-101"/>
              <w:jc w:val="left"/>
              <w:rPr>
                <w:rFonts w:ascii="宋体" w:hAnsi="宋体" w:cs="宋体" w:eastAsia="宋体" w:hint="default"/>
                <w:sz w:val="24"/>
                <w:szCs w:val="24"/>
              </w:rPr>
            </w:pPr>
            <w:r>
              <w:rPr>
                <w:rFonts w:ascii="宋体" w:hAnsi="宋体" w:cs="宋体" w:eastAsia="宋体" w:hint="default"/>
                <w:sz w:val="24"/>
                <w:szCs w:val="24"/>
              </w:rPr>
              <w:t>占</w:t>
            </w:r>
          </w:p>
        </w:tc>
        <w:tc>
          <w:tcPr>
            <w:tcW w:w="1170" w:type="dxa"/>
            <w:tcBorders>
              <w:top w:val="single" w:sz="4" w:space="0" w:color="000000"/>
              <w:left w:val="nil" w:sz="6" w:space="0" w:color="auto"/>
              <w:bottom w:val="nil" w:sz="6" w:space="0" w:color="auto"/>
              <w:right w:val="nil" w:sz="6" w:space="0" w:color="auto"/>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总额比例</w:t>
            </w:r>
          </w:p>
        </w:tc>
      </w:tr>
      <w:tr>
        <w:trPr>
          <w:trHeight w:val="612"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3"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364" w:type="dxa"/>
            <w:tcBorders>
              <w:top w:val="nil" w:sz="6" w:space="0" w:color="auto"/>
              <w:left w:val="nil" w:sz="6" w:space="0" w:color="auto"/>
              <w:bottom w:val="nil" w:sz="6" w:space="0" w:color="auto"/>
              <w:right w:val="nil" w:sz="6" w:space="0" w:color="auto"/>
            </w:tcBorders>
          </w:tcPr>
          <w:p>
            <w:pPr>
              <w:pStyle w:val="TableParagraph"/>
              <w:tabs>
                <w:tab w:pos="1455" w:val="left" w:leader="none"/>
              </w:tabs>
              <w:spacing w:line="240" w:lineRule="auto" w:before="170"/>
              <w:ind w:left="99" w:right="-9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21"/>
                <w:sz w:val="24"/>
                <w:u w:val="thick" w:color="000000"/>
              </w:rPr>
              <w:t> </w:t>
            </w:r>
            <w:r>
              <w:rPr>
                <w:rFonts w:ascii="Arial"/>
                <w:sz w:val="24"/>
                <w:u w:val="thick" w:color="000000"/>
              </w:rPr>
              <w:t>6,706,522</w:t>
              <w:tab/>
            </w:r>
            <w:r>
              <w:rPr>
                <w:rFonts w:ascii="Arial"/>
                <w:sz w:val="24"/>
              </w:rPr>
            </w:r>
          </w:p>
        </w:tc>
        <w:tc>
          <w:tcPr>
            <w:tcW w:w="2458" w:type="dxa"/>
            <w:gridSpan w:val="2"/>
            <w:tcBorders>
              <w:top w:val="nil" w:sz="6" w:space="0" w:color="auto"/>
              <w:left w:val="nil" w:sz="6" w:space="0" w:color="auto"/>
              <w:bottom w:val="nil" w:sz="6" w:space="0" w:color="auto"/>
              <w:right w:val="nil" w:sz="6" w:space="0" w:color="auto"/>
            </w:tcBorders>
          </w:tcPr>
          <w:p>
            <w:pPr>
              <w:pStyle w:val="TableParagraph"/>
              <w:tabs>
                <w:tab w:pos="1216" w:val="left" w:leader="none"/>
                <w:tab w:pos="2190" w:val="left" w:leader="none"/>
                <w:tab w:pos="2698" w:val="left" w:leader="none"/>
              </w:tabs>
              <w:spacing w:line="240" w:lineRule="auto" w:before="170"/>
              <w:ind w:left="421" w:right="-24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100% </w:t>
            </w:r>
            <w:r>
              <w:rPr>
                <w:rFonts w:ascii="Arial"/>
                <w:spacing w:val="-24"/>
                <w:sz w:val="24"/>
                <w:u w:val="thick" w:color="000000"/>
              </w:rPr>
              <w:t> </w:t>
            </w:r>
            <w:r>
              <w:rPr>
                <w:rFonts w:ascii="Arial"/>
                <w:spacing w:val="-24"/>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480" w:type="dxa"/>
            <w:tcBorders>
              <w:top w:val="nil" w:sz="6" w:space="0" w:color="auto"/>
              <w:left w:val="nil" w:sz="6" w:space="0" w:color="auto"/>
              <w:bottom w:val="nil" w:sz="6" w:space="0" w:color="auto"/>
              <w:right w:val="nil" w:sz="6" w:space="0" w:color="auto"/>
            </w:tcBorders>
          </w:tcPr>
          <w:p>
            <w:pPr>
              <w:pStyle w:val="TableParagraph"/>
              <w:tabs>
                <w:tab w:pos="1416" w:val="left" w:leader="none"/>
              </w:tabs>
              <w:spacing w:line="240" w:lineRule="auto" w:before="170"/>
              <w:ind w:left="240" w:right="0"/>
              <w:jc w:val="left"/>
              <w:rPr>
                <w:rFonts w:ascii="Arial" w:hAnsi="Arial" w:cs="Arial" w:eastAsia="Arial" w:hint="default"/>
                <w:sz w:val="24"/>
                <w:szCs w:val="24"/>
              </w:rPr>
            </w:pPr>
            <w:r>
              <w:rPr>
                <w:rFonts w:ascii="Arial"/>
                <w:w w:val="99"/>
                <w:sz w:val="24"/>
              </w:rPr>
            </w:r>
            <w:r>
              <w:rPr>
                <w:rFonts w:ascii="Arial"/>
                <w:sz w:val="24"/>
                <w:u w:val="thick" w:color="000000"/>
              </w:rPr>
              <w:t>3,851,804</w:t>
              <w:tab/>
            </w:r>
            <w:r>
              <w:rPr>
                <w:rFonts w:ascii="Arial"/>
                <w:sz w:val="24"/>
              </w:rPr>
            </w:r>
          </w:p>
        </w:tc>
        <w:tc>
          <w:tcPr>
            <w:tcW w:w="2383" w:type="dxa"/>
            <w:gridSpan w:val="3"/>
            <w:tcBorders>
              <w:top w:val="nil" w:sz="6" w:space="0" w:color="auto"/>
              <w:left w:val="nil" w:sz="6" w:space="0" w:color="auto"/>
              <w:bottom w:val="nil" w:sz="6" w:space="0" w:color="auto"/>
              <w:right w:val="nil" w:sz="6" w:space="0" w:color="auto"/>
            </w:tcBorders>
          </w:tcPr>
          <w:p>
            <w:pPr>
              <w:pStyle w:val="TableParagraph"/>
              <w:tabs>
                <w:tab w:pos="1659" w:val="left" w:leader="none"/>
                <w:tab w:pos="2386" w:val="left" w:leader="none"/>
              </w:tabs>
              <w:spacing w:line="240" w:lineRule="auto" w:before="170"/>
              <w:ind w:left="314" w:right="-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100%</w:t>
              <w:tab/>
            </w:r>
            <w:r>
              <w:rPr>
                <w:rFonts w:ascii="Arial"/>
                <w:sz w:val="24"/>
              </w:rPr>
            </w:r>
          </w:p>
        </w:tc>
      </w:tr>
      <w:tr>
        <w:trPr>
          <w:trHeight w:val="598"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5" w:right="0"/>
              <w:jc w:val="center"/>
              <w:rPr>
                <w:rFonts w:ascii="Arial" w:hAnsi="Arial" w:cs="Arial" w:eastAsia="Arial" w:hint="default"/>
                <w:sz w:val="24"/>
                <w:szCs w:val="24"/>
              </w:rPr>
            </w:pPr>
            <w:r>
              <w:rPr>
                <w:rFonts w:ascii="Arial"/>
                <w:sz w:val="24"/>
              </w:rPr>
              <w:t>(b)</w:t>
            </w:r>
          </w:p>
        </w:tc>
        <w:tc>
          <w:tcPr>
            <w:tcW w:w="891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4"/>
              <w:ind w:left="183"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日，按收款方归集的余额前五名的预付款项汇总分析如下：</w:t>
            </w:r>
          </w:p>
        </w:tc>
      </w:tr>
      <w:tr>
        <w:trPr>
          <w:trHeight w:val="557"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84"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23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95" w:right="0"/>
              <w:jc w:val="left"/>
              <w:rPr>
                <w:rFonts w:ascii="宋体" w:hAnsi="宋体" w:cs="宋体" w:eastAsia="宋体" w:hint="default"/>
                <w:sz w:val="24"/>
                <w:szCs w:val="24"/>
              </w:rPr>
            </w:pPr>
            <w:r>
              <w:rPr>
                <w:rFonts w:ascii="宋体" w:hAnsi="宋体" w:cs="宋体" w:eastAsia="宋体" w:hint="default"/>
                <w:sz w:val="24"/>
                <w:szCs w:val="24"/>
              </w:rPr>
              <w:t>占预付账款总额比例</w:t>
            </w:r>
          </w:p>
        </w:tc>
      </w:tr>
      <w:tr>
        <w:trPr>
          <w:trHeight w:val="608" w:hRule="exact"/>
        </w:trPr>
        <w:tc>
          <w:tcPr>
            <w:tcW w:w="677" w:type="dxa"/>
            <w:tcBorders>
              <w:top w:val="nil" w:sz="6" w:space="0" w:color="auto"/>
              <w:left w:val="nil" w:sz="6" w:space="0" w:color="auto"/>
              <w:bottom w:val="nil" w:sz="6" w:space="0" w:color="auto"/>
              <w:right w:val="nil" w:sz="6" w:space="0" w:color="auto"/>
            </w:tcBorders>
          </w:tcPr>
          <w:p>
            <w:pPr/>
          </w:p>
        </w:tc>
        <w:tc>
          <w:tcPr>
            <w:tcW w:w="373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5"/>
              <w:ind w:left="177" w:right="0"/>
              <w:jc w:val="left"/>
              <w:rPr>
                <w:rFonts w:ascii="宋体" w:hAnsi="宋体" w:cs="宋体" w:eastAsia="宋体" w:hint="default"/>
                <w:sz w:val="24"/>
                <w:szCs w:val="24"/>
              </w:rPr>
            </w:pPr>
            <w:r>
              <w:rPr>
                <w:rFonts w:ascii="宋体" w:hAnsi="宋体" w:cs="宋体" w:eastAsia="宋体" w:hint="default"/>
                <w:sz w:val="24"/>
                <w:szCs w:val="24"/>
              </w:rPr>
              <w:t>余额前五名的预付款项总额</w:t>
            </w:r>
          </w:p>
        </w:tc>
        <w:tc>
          <w:tcPr>
            <w:tcW w:w="2795" w:type="dxa"/>
            <w:gridSpan w:val="2"/>
            <w:tcBorders>
              <w:top w:val="nil" w:sz="6" w:space="0" w:color="auto"/>
              <w:left w:val="nil" w:sz="6" w:space="0" w:color="auto"/>
              <w:bottom w:val="nil" w:sz="6" w:space="0" w:color="auto"/>
              <w:right w:val="nil" w:sz="6" w:space="0" w:color="auto"/>
            </w:tcBorders>
          </w:tcPr>
          <w:p>
            <w:pPr>
              <w:pStyle w:val="TableParagraph"/>
              <w:tabs>
                <w:tab w:pos="1211" w:val="left" w:leader="none"/>
                <w:tab w:pos="2449" w:val="left" w:leader="none"/>
                <w:tab w:pos="4503" w:val="left" w:leader="none"/>
              </w:tabs>
              <w:spacing w:line="240" w:lineRule="auto" w:before="146"/>
              <w:ind w:left="361" w:right="-170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494,467</w:t>
            </w:r>
            <w:r>
              <w:rPr>
                <w:rFonts w:ascii="Arial"/>
                <w:spacing w:val="20"/>
                <w:sz w:val="24"/>
                <w:u w:val="thick" w:color="000000"/>
              </w:rPr>
              <w:t> </w:t>
            </w:r>
            <w:r>
              <w:rPr>
                <w:rFonts w:ascii="Arial"/>
                <w:spacing w:val="20"/>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92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46"/>
              <w:ind w:right="38"/>
              <w:jc w:val="right"/>
              <w:rPr>
                <w:rFonts w:ascii="Arial" w:hAnsi="Arial" w:cs="Arial" w:eastAsia="Arial" w:hint="default"/>
                <w:sz w:val="24"/>
                <w:szCs w:val="24"/>
              </w:rPr>
            </w:pPr>
            <w:r>
              <w:rPr>
                <w:rFonts w:ascii="Arial"/>
                <w:w w:val="99"/>
                <w:sz w:val="24"/>
              </w:rPr>
            </w:r>
            <w:r>
              <w:rPr>
                <w:rFonts w:ascii="Arial"/>
                <w:w w:val="95"/>
                <w:sz w:val="24"/>
                <w:u w:val="thick" w:color="000000"/>
              </w:rPr>
              <w:t>7.4%</w:t>
            </w:r>
            <w:r>
              <w:rPr>
                <w:rFonts w:ascii="Arial"/>
                <w:sz w:val="24"/>
                <w:u w:val="thick" w:color="000000"/>
              </w:rPr>
              <w:tab/>
            </w:r>
            <w:r>
              <w:rPr>
                <w:rFonts w:ascii="Arial"/>
                <w:sz w:val="24"/>
              </w:rPr>
            </w:r>
          </w:p>
        </w:tc>
      </w:tr>
      <w:tr>
        <w:trPr>
          <w:trHeight w:val="612"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6" w:right="0"/>
              <w:jc w:val="center"/>
              <w:rPr>
                <w:rFonts w:ascii="Arial" w:hAnsi="Arial" w:cs="Arial" w:eastAsia="Arial" w:hint="default"/>
                <w:sz w:val="24"/>
                <w:szCs w:val="24"/>
              </w:rPr>
            </w:pPr>
            <w:r>
              <w:rPr>
                <w:rFonts w:ascii="Arial"/>
                <w:sz w:val="24"/>
              </w:rPr>
              <w:t>(9)</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47" w:right="0"/>
              <w:jc w:val="left"/>
              <w:rPr>
                <w:rFonts w:ascii="黑体" w:hAnsi="黑体" w:cs="黑体" w:eastAsia="黑体" w:hint="default"/>
                <w:sz w:val="24"/>
                <w:szCs w:val="24"/>
              </w:rPr>
            </w:pPr>
            <w:r>
              <w:rPr>
                <w:rFonts w:ascii="黑体" w:hAnsi="黑体" w:cs="黑体" w:eastAsia="黑体" w:hint="default"/>
                <w:sz w:val="24"/>
                <w:szCs w:val="24"/>
              </w:rPr>
              <w:t>存货</w:t>
            </w:r>
          </w:p>
        </w:tc>
        <w:tc>
          <w:tcPr>
            <w:tcW w:w="1364"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610"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5" w:right="0"/>
              <w:jc w:val="center"/>
              <w:rPr>
                <w:rFonts w:ascii="Arial" w:hAnsi="Arial" w:cs="Arial" w:eastAsia="Arial" w:hint="default"/>
                <w:sz w:val="24"/>
                <w:szCs w:val="24"/>
              </w:rPr>
            </w:pPr>
            <w:r>
              <w:rPr>
                <w:rFonts w:ascii="Arial"/>
                <w:sz w:val="24"/>
              </w:rPr>
              <w:t>(a)</w:t>
            </w:r>
          </w:p>
        </w:tc>
        <w:tc>
          <w:tcPr>
            <w:tcW w:w="25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247" w:right="0"/>
              <w:jc w:val="left"/>
              <w:rPr>
                <w:rFonts w:ascii="宋体" w:hAnsi="宋体" w:cs="宋体" w:eastAsia="宋体" w:hint="default"/>
                <w:sz w:val="24"/>
                <w:szCs w:val="24"/>
              </w:rPr>
            </w:pPr>
            <w:r>
              <w:rPr>
                <w:rFonts w:ascii="宋体" w:hAnsi="宋体" w:cs="宋体" w:eastAsia="宋体" w:hint="default"/>
                <w:sz w:val="24"/>
                <w:szCs w:val="24"/>
              </w:rPr>
              <w:t>存货分类如下：</w:t>
            </w:r>
          </w:p>
        </w:tc>
        <w:tc>
          <w:tcPr>
            <w:tcW w:w="1143"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403"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
        </w:tc>
        <w:tc>
          <w:tcPr>
            <w:tcW w:w="250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4"/>
              <w:ind w:left="89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15" w:type="dxa"/>
            <w:tcBorders>
              <w:top w:val="nil" w:sz="6" w:space="0" w:color="auto"/>
              <w:left w:val="nil" w:sz="6" w:space="0" w:color="auto"/>
              <w:bottom w:val="single" w:sz="4" w:space="0" w:color="000000"/>
              <w:right w:val="nil" w:sz="6" w:space="0" w:color="auto"/>
            </w:tcBorders>
          </w:tcPr>
          <w:p>
            <w:pPr/>
          </w:p>
        </w:tc>
        <w:tc>
          <w:tcPr>
            <w:tcW w:w="3863"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34"/>
              <w:ind w:left="1136"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74"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05" w:lineRule="exact"/>
              <w:ind w:left="78"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78"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43" w:type="dxa"/>
            <w:tcBorders>
              <w:top w:val="single" w:sz="4" w:space="0" w:color="000000"/>
              <w:left w:val="nil" w:sz="6" w:space="0" w:color="auto"/>
              <w:bottom w:val="nil" w:sz="6" w:space="0" w:color="auto"/>
              <w:right w:val="nil" w:sz="6" w:space="0" w:color="auto"/>
            </w:tcBorders>
          </w:tcPr>
          <w:p>
            <w:pPr>
              <w:pStyle w:val="TableParagraph"/>
              <w:spacing w:line="205" w:lineRule="exact"/>
              <w:ind w:left="223" w:right="0"/>
              <w:jc w:val="left"/>
              <w:rPr>
                <w:rFonts w:ascii="宋体" w:hAnsi="宋体" w:cs="宋体" w:eastAsia="宋体" w:hint="default"/>
                <w:sz w:val="18"/>
                <w:szCs w:val="18"/>
              </w:rPr>
            </w:pPr>
            <w:r>
              <w:rPr>
                <w:rFonts w:ascii="宋体" w:hAnsi="宋体" w:cs="宋体" w:eastAsia="宋体" w:hint="default"/>
                <w:sz w:val="18"/>
                <w:szCs w:val="18"/>
              </w:rPr>
              <w:t>存货跌</w:t>
            </w:r>
          </w:p>
          <w:p>
            <w:pPr>
              <w:pStyle w:val="TableParagraph"/>
              <w:spacing w:line="235" w:lineRule="exact"/>
              <w:ind w:left="223"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05" w:lineRule="exact"/>
              <w:ind w:left="585"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585"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05" w:lineRule="exact"/>
              <w:ind w:left="688"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68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05" w:lineRule="exact"/>
              <w:ind w:left="303" w:right="0"/>
              <w:jc w:val="left"/>
              <w:rPr>
                <w:rFonts w:ascii="宋体" w:hAnsi="宋体" w:cs="宋体" w:eastAsia="宋体" w:hint="default"/>
                <w:sz w:val="18"/>
                <w:szCs w:val="18"/>
              </w:rPr>
            </w:pPr>
            <w:r>
              <w:rPr>
                <w:rFonts w:ascii="宋体" w:hAnsi="宋体" w:cs="宋体" w:eastAsia="宋体" w:hint="default"/>
                <w:sz w:val="18"/>
                <w:szCs w:val="18"/>
              </w:rPr>
              <w:t>存货跌</w:t>
            </w:r>
          </w:p>
          <w:p>
            <w:pPr>
              <w:pStyle w:val="TableParagraph"/>
              <w:spacing w:line="235" w:lineRule="exact"/>
              <w:ind w:left="303"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284" w:type="dxa"/>
            <w:tcBorders>
              <w:top w:val="single" w:sz="4" w:space="0" w:color="000000"/>
              <w:left w:val="nil" w:sz="6" w:space="0" w:color="auto"/>
              <w:bottom w:val="nil" w:sz="6" w:space="0" w:color="auto"/>
              <w:right w:val="nil" w:sz="6" w:space="0" w:color="auto"/>
            </w:tcBorders>
          </w:tcPr>
          <w:p>
            <w:pPr/>
          </w:p>
        </w:tc>
        <w:tc>
          <w:tcPr>
            <w:tcW w:w="1170" w:type="dxa"/>
            <w:tcBorders>
              <w:top w:val="single" w:sz="4" w:space="0" w:color="000000"/>
              <w:left w:val="nil" w:sz="6" w:space="0" w:color="auto"/>
              <w:bottom w:val="nil" w:sz="6" w:space="0" w:color="auto"/>
              <w:right w:val="nil" w:sz="6" w:space="0" w:color="auto"/>
            </w:tcBorders>
          </w:tcPr>
          <w:p>
            <w:pPr>
              <w:pStyle w:val="TableParagraph"/>
              <w:spacing w:line="205" w:lineRule="exact"/>
              <w:ind w:left="697"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697" w:right="0"/>
              <w:jc w:val="left"/>
              <w:rPr>
                <w:rFonts w:ascii="宋体" w:hAnsi="宋体" w:cs="宋体" w:eastAsia="宋体" w:hint="default"/>
                <w:sz w:val="18"/>
                <w:szCs w:val="18"/>
              </w:rPr>
            </w:pPr>
            <w:r>
              <w:rPr>
                <w:rFonts w:ascii="宋体" w:hAnsi="宋体" w:cs="宋体" w:eastAsia="宋体" w:hint="default"/>
                <w:sz w:val="18"/>
                <w:szCs w:val="18"/>
              </w:rPr>
              <w:t>价值</w:t>
            </w:r>
          </w:p>
        </w:tc>
      </w:tr>
      <w:tr>
        <w:trPr>
          <w:trHeight w:val="348"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left"/>
              <w:rPr>
                <w:rFonts w:ascii="Arial" w:hAnsi="Arial" w:cs="Arial" w:eastAsia="Arial" w:hint="default"/>
                <w:sz w:val="18"/>
                <w:szCs w:val="18"/>
              </w:rPr>
            </w:pPr>
            <w:r>
              <w:rPr>
                <w:rFonts w:ascii="Arial"/>
                <w:sz w:val="18"/>
              </w:rPr>
              <w:t>13,028,278</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6" w:right="0"/>
              <w:jc w:val="left"/>
              <w:rPr>
                <w:rFonts w:ascii="Arial" w:hAnsi="Arial" w:cs="Arial" w:eastAsia="Arial" w:hint="default"/>
                <w:sz w:val="18"/>
                <w:szCs w:val="18"/>
              </w:rPr>
            </w:pPr>
            <w:r>
              <w:rPr>
                <w:rFonts w:ascii="Arial"/>
                <w:sz w:val="18"/>
              </w:rPr>
              <w:t>(300,304)</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4" w:right="0"/>
              <w:jc w:val="left"/>
              <w:rPr>
                <w:rFonts w:ascii="Arial" w:hAnsi="Arial" w:cs="Arial" w:eastAsia="Arial" w:hint="default"/>
                <w:sz w:val="18"/>
                <w:szCs w:val="18"/>
              </w:rPr>
            </w:pPr>
            <w:r>
              <w:rPr>
                <w:rFonts w:ascii="Arial"/>
                <w:sz w:val="18"/>
              </w:rPr>
              <w:t>12,727,974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46" w:right="0"/>
              <w:jc w:val="left"/>
              <w:rPr>
                <w:rFonts w:ascii="Arial" w:hAnsi="Arial" w:cs="Arial" w:eastAsia="Arial" w:hint="default"/>
                <w:sz w:val="18"/>
                <w:szCs w:val="18"/>
              </w:rPr>
            </w:pPr>
            <w:r>
              <w:rPr>
                <w:rFonts w:ascii="Arial"/>
                <w:sz w:val="18"/>
              </w:rPr>
              <w:t>14,567,081</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2"/>
              <w:jc w:val="right"/>
              <w:rPr>
                <w:rFonts w:ascii="Arial" w:hAnsi="Arial" w:cs="Arial" w:eastAsia="Arial" w:hint="default"/>
                <w:sz w:val="18"/>
                <w:szCs w:val="18"/>
              </w:rPr>
            </w:pPr>
            <w:r>
              <w:rPr>
                <w:rFonts w:ascii="Arial"/>
                <w:spacing w:val="-1"/>
                <w:sz w:val="18"/>
              </w:rPr>
              <w:t>(252,819)</w:t>
            </w: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56" w:right="0"/>
              <w:jc w:val="left"/>
              <w:rPr>
                <w:rFonts w:ascii="Arial" w:hAnsi="Arial" w:cs="Arial" w:eastAsia="Arial" w:hint="default"/>
                <w:sz w:val="18"/>
                <w:szCs w:val="18"/>
              </w:rPr>
            </w:pPr>
            <w:r>
              <w:rPr>
                <w:rFonts w:ascii="Arial"/>
                <w:sz w:val="18"/>
              </w:rPr>
              <w:t>14,314,262</w:t>
            </w:r>
          </w:p>
        </w:tc>
      </w:tr>
      <w:tr>
        <w:trPr>
          <w:trHeight w:val="467"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195" w:lineRule="exact"/>
              <w:ind w:left="405" w:right="0" w:hanging="152"/>
              <w:jc w:val="left"/>
              <w:rPr>
                <w:rFonts w:ascii="宋体" w:hAnsi="宋体" w:cs="宋体" w:eastAsia="宋体" w:hint="default"/>
                <w:sz w:val="18"/>
                <w:szCs w:val="18"/>
              </w:rPr>
            </w:pPr>
            <w:r>
              <w:rPr>
                <w:rFonts w:ascii="宋体" w:hAnsi="宋体" w:cs="宋体" w:eastAsia="宋体" w:hint="default"/>
                <w:sz w:val="18"/>
                <w:szCs w:val="18"/>
              </w:rPr>
              <w:t>安装维修</w:t>
            </w:r>
          </w:p>
          <w:p>
            <w:pPr>
              <w:pStyle w:val="TableParagraph"/>
              <w:spacing w:line="235" w:lineRule="exact"/>
              <w:ind w:left="405" w:right="0"/>
              <w:jc w:val="left"/>
              <w:rPr>
                <w:rFonts w:ascii="宋体" w:hAnsi="宋体" w:cs="宋体" w:eastAsia="宋体" w:hint="default"/>
                <w:sz w:val="18"/>
                <w:szCs w:val="18"/>
              </w:rPr>
            </w:pPr>
            <w:r>
              <w:rPr>
                <w:rFonts w:ascii="宋体" w:hAnsi="宋体" w:cs="宋体" w:eastAsia="宋体" w:hint="default"/>
                <w:sz w:val="18"/>
                <w:szCs w:val="18"/>
              </w:rPr>
              <w:t>用备件</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1" w:right="0"/>
              <w:jc w:val="left"/>
              <w:rPr>
                <w:rFonts w:ascii="Arial" w:hAnsi="Arial" w:cs="Arial" w:eastAsia="Arial" w:hint="default"/>
                <w:sz w:val="18"/>
                <w:szCs w:val="18"/>
              </w:rPr>
            </w:pPr>
            <w:r>
              <w:rPr>
                <w:rFonts w:ascii="Arial"/>
                <w:sz w:val="18"/>
              </w:rPr>
              <w:t>75,080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9" w:right="0"/>
              <w:jc w:val="center"/>
              <w:rPr>
                <w:rFonts w:ascii="Arial" w:hAnsi="Arial" w:cs="Arial" w:eastAsia="Arial" w:hint="default"/>
                <w:sz w:val="18"/>
                <w:szCs w:val="18"/>
              </w:rPr>
            </w:pPr>
            <w:r>
              <w:rPr>
                <w:rFonts w:ascii="Arial"/>
                <w:w w:val="99"/>
                <w:sz w:val="18"/>
              </w:rPr>
              <w:t>-</w:t>
            </w:r>
            <w:r>
              <w:rPr>
                <w:rFonts w:ascii="Arial"/>
                <w:sz w:val="18"/>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95" w:right="0"/>
              <w:jc w:val="left"/>
              <w:rPr>
                <w:rFonts w:ascii="Arial" w:hAnsi="Arial" w:cs="Arial" w:eastAsia="Arial" w:hint="default"/>
                <w:sz w:val="18"/>
                <w:szCs w:val="18"/>
              </w:rPr>
            </w:pPr>
            <w:r>
              <w:rPr>
                <w:rFonts w:ascii="Arial"/>
                <w:sz w:val="18"/>
              </w:rPr>
              <w:t>75,080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98" w:right="0"/>
              <w:jc w:val="left"/>
              <w:rPr>
                <w:rFonts w:ascii="Arial" w:hAnsi="Arial" w:cs="Arial" w:eastAsia="Arial" w:hint="default"/>
                <w:sz w:val="18"/>
                <w:szCs w:val="18"/>
              </w:rPr>
            </w:pPr>
            <w:r>
              <w:rPr>
                <w:rFonts w:ascii="Arial"/>
                <w:sz w:val="18"/>
              </w:rPr>
              <w:t>93,123</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5"/>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0"/>
              <w:jc w:val="right"/>
              <w:rPr>
                <w:rFonts w:ascii="Arial" w:hAnsi="Arial" w:cs="Arial" w:eastAsia="Arial" w:hint="default"/>
                <w:sz w:val="18"/>
                <w:szCs w:val="18"/>
              </w:rPr>
            </w:pPr>
            <w:r>
              <w:rPr>
                <w:rFonts w:ascii="Arial"/>
                <w:spacing w:val="-1"/>
                <w:sz w:val="18"/>
              </w:rPr>
              <w:t>93,123</w:t>
            </w:r>
          </w:p>
        </w:tc>
      </w:tr>
      <w:tr>
        <w:trPr>
          <w:trHeight w:val="467"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195" w:lineRule="exact"/>
              <w:ind w:left="104" w:right="0"/>
              <w:jc w:val="center"/>
              <w:rPr>
                <w:rFonts w:ascii="宋体" w:hAnsi="宋体" w:cs="宋体" w:eastAsia="宋体" w:hint="default"/>
                <w:sz w:val="18"/>
                <w:szCs w:val="18"/>
              </w:rPr>
            </w:pPr>
            <w:r>
              <w:rPr>
                <w:rFonts w:ascii="宋体" w:hAnsi="宋体" w:cs="宋体" w:eastAsia="宋体" w:hint="default"/>
                <w:spacing w:val="20"/>
                <w:sz w:val="18"/>
                <w:szCs w:val="18"/>
              </w:rPr>
              <w:t>房地产开</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spacing w:line="235" w:lineRule="exact"/>
              <w:ind w:left="196" w:right="0"/>
              <w:jc w:val="center"/>
              <w:rPr>
                <w:rFonts w:ascii="宋体" w:hAnsi="宋体" w:cs="宋体" w:eastAsia="宋体" w:hint="default"/>
                <w:sz w:val="18"/>
                <w:szCs w:val="18"/>
              </w:rPr>
            </w:pPr>
            <w:r>
              <w:rPr>
                <w:rFonts w:ascii="宋体" w:hAnsi="宋体" w:cs="宋体" w:eastAsia="宋体" w:hint="default"/>
                <w:sz w:val="18"/>
                <w:szCs w:val="18"/>
              </w:rPr>
              <w:t>发成本</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1" w:right="0"/>
              <w:jc w:val="left"/>
              <w:rPr>
                <w:rFonts w:ascii="Arial" w:hAnsi="Arial" w:cs="Arial" w:eastAsia="Arial" w:hint="default"/>
                <w:sz w:val="18"/>
                <w:szCs w:val="18"/>
              </w:rPr>
            </w:pPr>
            <w:r>
              <w:rPr>
                <w:rFonts w:ascii="Arial"/>
                <w:sz w:val="18"/>
              </w:rPr>
              <w:t>628,167</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03" w:right="0"/>
              <w:jc w:val="left"/>
              <w:rPr>
                <w:rFonts w:ascii="Arial" w:hAnsi="Arial" w:cs="Arial" w:eastAsia="Arial" w:hint="default"/>
                <w:sz w:val="18"/>
                <w:szCs w:val="18"/>
              </w:rPr>
            </w:pPr>
            <w:r>
              <w:rPr>
                <w:rFonts w:ascii="Arial"/>
                <w:w w:val="99"/>
                <w:sz w:val="18"/>
              </w:rPr>
              <w:t>-</w:t>
            </w:r>
            <w:r>
              <w:rPr>
                <w:rFonts w:ascii="Arial"/>
                <w:sz w:val="18"/>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Arial" w:hAnsi="Arial" w:cs="Arial" w:eastAsia="Arial" w:hint="default"/>
                <w:sz w:val="18"/>
                <w:szCs w:val="18"/>
              </w:rPr>
            </w:pPr>
            <w:r>
              <w:rPr>
                <w:rFonts w:ascii="Arial"/>
                <w:sz w:val="18"/>
              </w:rPr>
              <w:t>628,167</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8" w:right="0"/>
              <w:jc w:val="left"/>
              <w:rPr>
                <w:rFonts w:ascii="Arial" w:hAnsi="Arial" w:cs="Arial" w:eastAsia="Arial" w:hint="default"/>
                <w:sz w:val="18"/>
                <w:szCs w:val="18"/>
              </w:rPr>
            </w:pPr>
            <w:r>
              <w:rPr>
                <w:rFonts w:ascii="Arial"/>
                <w:sz w:val="18"/>
              </w:rPr>
              <w:t>1,404,748</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Arial" w:hAnsi="Arial" w:cs="Arial" w:eastAsia="Arial" w:hint="default"/>
                <w:sz w:val="18"/>
                <w:szCs w:val="18"/>
              </w:rPr>
            </w:pPr>
            <w:r>
              <w:rPr>
                <w:rFonts w:ascii="Arial"/>
                <w:sz w:val="18"/>
              </w:rPr>
              <w:t>1,404,748</w:t>
            </w:r>
          </w:p>
        </w:tc>
      </w:tr>
      <w:tr>
        <w:trPr>
          <w:trHeight w:val="470"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195" w:lineRule="exact"/>
              <w:ind w:left="252" w:right="-253"/>
              <w:jc w:val="left"/>
              <w:rPr>
                <w:rFonts w:ascii="宋体" w:hAnsi="宋体" w:cs="宋体" w:eastAsia="宋体" w:hint="default"/>
                <w:sz w:val="18"/>
                <w:szCs w:val="18"/>
              </w:rPr>
            </w:pPr>
            <w:r>
              <w:rPr>
                <w:rFonts w:ascii="宋体" w:hAnsi="宋体" w:cs="宋体" w:eastAsia="宋体" w:hint="default"/>
                <w:spacing w:val="20"/>
                <w:sz w:val="18"/>
                <w:szCs w:val="18"/>
              </w:rPr>
              <w:t>房地产开</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tabs>
                <w:tab w:pos="1482" w:val="left" w:leader="none"/>
              </w:tabs>
              <w:spacing w:line="240" w:lineRule="auto" w:before="1"/>
              <w:ind w:left="443" w:right="-253"/>
              <w:jc w:val="left"/>
              <w:rPr>
                <w:rFonts w:ascii="Arial" w:hAnsi="Arial" w:cs="Arial" w:eastAsia="Arial" w:hint="default"/>
                <w:sz w:val="18"/>
                <w:szCs w:val="18"/>
              </w:rPr>
            </w:pPr>
            <w:r>
              <w:rPr>
                <w:rFonts w:ascii="宋体" w:hAnsi="宋体" w:cs="宋体" w:eastAsia="宋体" w:hint="default"/>
                <w:position w:val="1"/>
                <w:sz w:val="18"/>
                <w:szCs w:val="18"/>
              </w:rPr>
              <w:t>发产品</w:t>
            </w:r>
            <w:r>
              <w:rPr>
                <w:rFonts w:ascii="宋体" w:hAnsi="宋体" w:cs="宋体" w:eastAsia="宋体" w:hint="default"/>
                <w:spacing w:val="-23"/>
                <w:position w:val="1"/>
                <w:sz w:val="18"/>
                <w:szCs w:val="18"/>
              </w:rPr>
              <w:t> </w:t>
            </w:r>
            <w:r>
              <w:rPr>
                <w:rFonts w:ascii="Arial" w:hAnsi="Arial" w:cs="Arial" w:eastAsia="Arial" w:hint="default"/>
                <w:spacing w:val="-23"/>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269" w:val="left" w:leader="none"/>
                <w:tab w:pos="2067" w:val="left" w:leader="none"/>
              </w:tabs>
              <w:spacing w:line="240" w:lineRule="auto"/>
              <w:ind w:left="251" w:right="-704"/>
              <w:jc w:val="left"/>
              <w:rPr>
                <w:rFonts w:ascii="Arial" w:hAnsi="Arial" w:cs="Arial" w:eastAsia="Arial" w:hint="default"/>
                <w:sz w:val="18"/>
                <w:szCs w:val="18"/>
              </w:rPr>
            </w:pPr>
            <w:r>
              <w:rPr>
                <w:rFonts w:ascii="Arial"/>
                <w:w w:val="99"/>
                <w:sz w:val="18"/>
              </w:rPr>
            </w:r>
            <w:r>
              <w:rPr>
                <w:rFonts w:ascii="Arial"/>
                <w:sz w:val="18"/>
                <w:u w:val="single" w:color="000000"/>
              </w:rPr>
              <w:t>573,576 </w:t>
            </w:r>
            <w:r>
              <w:rPr>
                <w:rFonts w:ascii="Arial"/>
                <w:spacing w:val="-16"/>
                <w:sz w:val="18"/>
                <w:u w:val="single" w:color="000000"/>
              </w:rPr>
              <w:t> </w:t>
            </w:r>
            <w:r>
              <w:rPr>
                <w:rFonts w:ascii="Arial"/>
                <w:spacing w:val="-16"/>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086" w:val="left" w:leader="none"/>
                <w:tab w:pos="1439" w:val="left" w:leader="none"/>
              </w:tabs>
              <w:spacing w:line="240" w:lineRule="auto"/>
              <w:ind w:left="703" w:right="-297"/>
              <w:jc w:val="left"/>
              <w:rPr>
                <w:rFonts w:ascii="Arial" w:hAnsi="Arial" w:cs="Arial" w:eastAsia="Arial" w:hint="default"/>
                <w:sz w:val="18"/>
                <w:szCs w:val="18"/>
              </w:rPr>
            </w:pPr>
            <w:r>
              <w:rPr>
                <w:rFonts w:ascii="Arial"/>
                <w:w w:val="99"/>
                <w:sz w:val="18"/>
              </w:rPr>
            </w:r>
            <w:r>
              <w:rPr>
                <w:rFonts w:ascii="Arial"/>
                <w:sz w:val="18"/>
                <w:u w:val="single" w:color="000000"/>
              </w:rPr>
              <w:t>- </w:t>
            </w:r>
            <w:r>
              <w:rPr>
                <w:rFonts w:ascii="Arial"/>
                <w:spacing w:val="-15"/>
                <w:sz w:val="18"/>
                <w:u w:val="single" w:color="000000"/>
              </w:rPr>
              <w:t> </w:t>
            </w:r>
            <w:r>
              <w:rPr>
                <w:rFonts w:ascii="Arial"/>
                <w:spacing w:val="-15"/>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030" w:val="left" w:leader="none"/>
              </w:tabs>
              <w:spacing w:line="240" w:lineRule="auto"/>
              <w:ind w:left="296" w:right="0"/>
              <w:jc w:val="left"/>
              <w:rPr>
                <w:rFonts w:ascii="Arial" w:hAnsi="Arial" w:cs="Arial" w:eastAsia="Arial" w:hint="default"/>
                <w:sz w:val="18"/>
                <w:szCs w:val="18"/>
              </w:rPr>
            </w:pPr>
            <w:r>
              <w:rPr>
                <w:rFonts w:ascii="Arial"/>
                <w:w w:val="99"/>
                <w:sz w:val="18"/>
              </w:rPr>
            </w:r>
            <w:r>
              <w:rPr>
                <w:rFonts w:ascii="Arial"/>
                <w:sz w:val="18"/>
                <w:u w:val="single" w:color="000000"/>
              </w:rPr>
              <w:t>573,576</w:t>
              <w:tab/>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398" w:val="left" w:leader="none"/>
                <w:tab w:pos="1416" w:val="left" w:leader="none"/>
                <w:tab w:pos="2263" w:val="left" w:leader="none"/>
              </w:tabs>
              <w:spacing w:line="240" w:lineRule="auto"/>
              <w:ind w:right="-784"/>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226,389 </w:t>
            </w:r>
            <w:r>
              <w:rPr>
                <w:rFonts w:ascii="Arial"/>
                <w:spacing w:val="-15"/>
                <w:sz w:val="18"/>
                <w:u w:val="single" w:color="000000"/>
              </w:rPr>
              <w:t> </w:t>
            </w:r>
            <w:r>
              <w:rPr>
                <w:rFonts w:ascii="Arial"/>
                <w:spacing w:val="-15"/>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45" w:val="left" w:leader="none"/>
              </w:tabs>
              <w:spacing w:line="240" w:lineRule="auto"/>
              <w:ind w:right="0"/>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407" w:val="left" w:leader="none"/>
                <w:tab w:pos="1142" w:val="left" w:leader="none"/>
              </w:tabs>
              <w:spacing w:line="240" w:lineRule="auto"/>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226,389</w:t>
              <w:tab/>
            </w:r>
            <w:r>
              <w:rPr>
                <w:rFonts w:ascii="Arial"/>
                <w:spacing w:val="-1"/>
                <w:sz w:val="18"/>
              </w:rPr>
            </w:r>
          </w:p>
        </w:tc>
      </w:tr>
      <w:tr>
        <w:trPr>
          <w:trHeight w:val="219" w:hRule="exact"/>
        </w:trPr>
        <w:tc>
          <w:tcPr>
            <w:tcW w:w="677" w:type="dxa"/>
            <w:tcBorders>
              <w:top w:val="nil" w:sz="6" w:space="0" w:color="auto"/>
              <w:left w:val="nil" w:sz="6" w:space="0" w:color="auto"/>
              <w:bottom w:val="nil" w:sz="6" w:space="0" w:color="auto"/>
              <w:right w:val="nil" w:sz="6" w:space="0" w:color="auto"/>
            </w:tcBorders>
          </w:tcPr>
          <w:p>
            <w:pPr/>
          </w:p>
        </w:tc>
        <w:tc>
          <w:tcPr>
            <w:tcW w:w="2594"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230" w:right="0"/>
              <w:jc w:val="left"/>
              <w:rPr>
                <w:rFonts w:ascii="Arial" w:hAnsi="Arial" w:cs="Arial" w:eastAsia="Arial" w:hint="default"/>
                <w:sz w:val="18"/>
                <w:szCs w:val="18"/>
              </w:rPr>
            </w:pPr>
            <w:r>
              <w:rPr>
                <w:rFonts w:ascii="Arial"/>
                <w:sz w:val="18"/>
              </w:rPr>
              <w:t>14,305,101</w:t>
            </w:r>
          </w:p>
        </w:tc>
        <w:tc>
          <w:tcPr>
            <w:tcW w:w="1143" w:type="dxa"/>
            <w:tcBorders>
              <w:top w:val="nil" w:sz="6" w:space="0" w:color="auto"/>
              <w:left w:val="nil" w:sz="6" w:space="0" w:color="auto"/>
              <w:bottom w:val="single" w:sz="12" w:space="0" w:color="000000"/>
              <w:right w:val="nil" w:sz="6" w:space="0" w:color="auto"/>
            </w:tcBorders>
          </w:tcPr>
          <w:p>
            <w:pPr>
              <w:pStyle w:val="TableParagraph"/>
              <w:spacing w:line="203" w:lineRule="exact"/>
              <w:ind w:left="16" w:right="0"/>
              <w:jc w:val="left"/>
              <w:rPr>
                <w:rFonts w:ascii="Arial" w:hAnsi="Arial" w:cs="Arial" w:eastAsia="Arial" w:hint="default"/>
                <w:sz w:val="18"/>
                <w:szCs w:val="18"/>
              </w:rPr>
            </w:pPr>
            <w:r>
              <w:rPr>
                <w:rFonts w:ascii="Arial"/>
                <w:sz w:val="18"/>
              </w:rPr>
              <w:t>(300,304)</w:t>
            </w:r>
          </w:p>
        </w:tc>
        <w:tc>
          <w:tcPr>
            <w:tcW w:w="1315" w:type="dxa"/>
            <w:tcBorders>
              <w:top w:val="nil" w:sz="6" w:space="0" w:color="auto"/>
              <w:left w:val="nil" w:sz="6" w:space="0" w:color="auto"/>
              <w:bottom w:val="single" w:sz="12" w:space="0" w:color="000000"/>
              <w:right w:val="nil" w:sz="6" w:space="0" w:color="auto"/>
            </w:tcBorders>
          </w:tcPr>
          <w:p>
            <w:pPr>
              <w:pStyle w:val="TableParagraph"/>
              <w:spacing w:line="203" w:lineRule="exact"/>
              <w:ind w:left="44" w:right="0"/>
              <w:jc w:val="left"/>
              <w:rPr>
                <w:rFonts w:ascii="Arial" w:hAnsi="Arial" w:cs="Arial" w:eastAsia="Arial" w:hint="default"/>
                <w:sz w:val="18"/>
                <w:szCs w:val="18"/>
              </w:rPr>
            </w:pPr>
            <w:r>
              <w:rPr>
                <w:rFonts w:ascii="Arial"/>
                <w:sz w:val="18"/>
              </w:rPr>
              <w:t>14,004,797</w:t>
            </w:r>
          </w:p>
        </w:tc>
        <w:tc>
          <w:tcPr>
            <w:tcW w:w="1480" w:type="dxa"/>
            <w:tcBorders>
              <w:top w:val="nil" w:sz="6" w:space="0" w:color="auto"/>
              <w:left w:val="nil" w:sz="6" w:space="0" w:color="auto"/>
              <w:bottom w:val="single" w:sz="12" w:space="0" w:color="000000"/>
              <w:right w:val="nil" w:sz="6" w:space="0" w:color="auto"/>
            </w:tcBorders>
          </w:tcPr>
          <w:p>
            <w:pPr>
              <w:pStyle w:val="TableParagraph"/>
              <w:spacing w:line="203" w:lineRule="exact"/>
              <w:ind w:left="146" w:right="0"/>
              <w:jc w:val="left"/>
              <w:rPr>
                <w:rFonts w:ascii="Arial" w:hAnsi="Arial" w:cs="Arial" w:eastAsia="Arial" w:hint="default"/>
                <w:sz w:val="18"/>
                <w:szCs w:val="18"/>
              </w:rPr>
            </w:pPr>
            <w:r>
              <w:rPr>
                <w:rFonts w:ascii="Arial"/>
                <w:sz w:val="18"/>
              </w:rPr>
              <w:t>16,291,341</w:t>
            </w:r>
          </w:p>
        </w:tc>
        <w:tc>
          <w:tcPr>
            <w:tcW w:w="929" w:type="dxa"/>
            <w:tcBorders>
              <w:top w:val="nil" w:sz="6" w:space="0" w:color="auto"/>
              <w:left w:val="nil" w:sz="6" w:space="0" w:color="auto"/>
              <w:bottom w:val="single" w:sz="12" w:space="0" w:color="000000"/>
              <w:right w:val="nil" w:sz="6" w:space="0" w:color="auto"/>
            </w:tcBorders>
          </w:tcPr>
          <w:p>
            <w:pPr>
              <w:pStyle w:val="TableParagraph"/>
              <w:spacing w:line="203" w:lineRule="exact"/>
              <w:ind w:right="52"/>
              <w:jc w:val="right"/>
              <w:rPr>
                <w:rFonts w:ascii="Arial" w:hAnsi="Arial" w:cs="Arial" w:eastAsia="Arial" w:hint="default"/>
                <w:sz w:val="18"/>
                <w:szCs w:val="18"/>
              </w:rPr>
            </w:pPr>
            <w:r>
              <w:rPr>
                <w:rFonts w:ascii="Arial"/>
                <w:spacing w:val="-1"/>
                <w:sz w:val="18"/>
              </w:rPr>
              <w:t>(252,819)</w:t>
            </w: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single" w:sz="12" w:space="0" w:color="000000"/>
              <w:right w:val="nil" w:sz="6" w:space="0" w:color="auto"/>
            </w:tcBorders>
          </w:tcPr>
          <w:p>
            <w:pPr>
              <w:pStyle w:val="TableParagraph"/>
              <w:spacing w:line="203" w:lineRule="exact"/>
              <w:ind w:left="156" w:right="0"/>
              <w:jc w:val="left"/>
              <w:rPr>
                <w:rFonts w:ascii="Arial" w:hAnsi="Arial" w:cs="Arial" w:eastAsia="Arial" w:hint="default"/>
                <w:sz w:val="18"/>
                <w:szCs w:val="18"/>
              </w:rPr>
            </w:pPr>
            <w:r>
              <w:rPr>
                <w:rFonts w:ascii="Arial"/>
                <w:sz w:val="18"/>
              </w:rPr>
              <w:t>16,038,522</w:t>
            </w:r>
          </w:p>
        </w:tc>
      </w:tr>
      <w:tr>
        <w:trPr>
          <w:trHeight w:val="740"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5" w:right="0"/>
              <w:jc w:val="center"/>
              <w:rPr>
                <w:rFonts w:ascii="Arial" w:hAnsi="Arial" w:cs="Arial" w:eastAsia="Arial" w:hint="default"/>
                <w:sz w:val="24"/>
                <w:szCs w:val="24"/>
              </w:rPr>
            </w:pPr>
            <w:r>
              <w:rPr>
                <w:rFonts w:ascii="Arial"/>
                <w:sz w:val="24"/>
              </w:rPr>
              <w:t>(b)</w:t>
            </w:r>
          </w:p>
        </w:tc>
        <w:tc>
          <w:tcPr>
            <w:tcW w:w="3737" w:type="dxa"/>
            <w:gridSpan w:val="3"/>
            <w:tcBorders>
              <w:top w:val="nil" w:sz="6" w:space="0" w:color="auto"/>
              <w:left w:val="nil" w:sz="6" w:space="0" w:color="auto"/>
              <w:bottom w:val="nil" w:sz="6" w:space="0" w:color="auto"/>
              <w:right w:val="nil" w:sz="6" w:space="0" w:color="auto"/>
            </w:tcBorders>
          </w:tcPr>
          <w:p>
            <w:pPr>
              <w:pStyle w:val="TableParagraph"/>
              <w:spacing w:line="30" w:lineRule="exact"/>
              <w:ind w:left="1035" w:right="0"/>
              <w:jc w:val="left"/>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59.85pt;height:1.5pt;mso-position-horizontal-relative:char;mso-position-vertical-relative:line" coordorigin="0,0" coordsize="1197,30">
                  <v:group style="position:absolute;left:15;top:15;width:1167;height:2" coordorigin="15,15" coordsize="1167,2">
                    <v:shape style="position:absolute;left:15;top:15;width:1167;height:2" coordorigin="15,15" coordsize="1167,0" path="m15,15l1181,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3" w:right="0"/>
              <w:jc w:val="left"/>
              <w:rPr>
                <w:rFonts w:ascii="宋体" w:hAnsi="宋体" w:cs="宋体" w:eastAsia="宋体" w:hint="default"/>
                <w:sz w:val="24"/>
                <w:szCs w:val="24"/>
              </w:rPr>
            </w:pPr>
            <w:r>
              <w:rPr>
                <w:rFonts w:ascii="宋体" w:hAnsi="宋体" w:cs="宋体" w:eastAsia="宋体" w:hint="default"/>
                <w:sz w:val="24"/>
                <w:szCs w:val="24"/>
              </w:rPr>
              <w:t>存货跌价准备分析如下：</w:t>
            </w:r>
          </w:p>
        </w:tc>
        <w:tc>
          <w:tcPr>
            <w:tcW w:w="1315" w:type="dxa"/>
            <w:tcBorders>
              <w:top w:val="single" w:sz="12" w:space="0" w:color="000000"/>
              <w:left w:val="nil" w:sz="6" w:space="0" w:color="auto"/>
              <w:bottom w:val="nil" w:sz="6" w:space="0" w:color="auto"/>
              <w:right w:val="nil" w:sz="6" w:space="0" w:color="auto"/>
            </w:tcBorders>
          </w:tcPr>
          <w:p>
            <w:pPr/>
          </w:p>
        </w:tc>
        <w:tc>
          <w:tcPr>
            <w:tcW w:w="1480" w:type="dxa"/>
            <w:tcBorders>
              <w:top w:val="single" w:sz="12" w:space="0" w:color="000000"/>
              <w:left w:val="nil" w:sz="6" w:space="0" w:color="auto"/>
              <w:bottom w:val="nil" w:sz="6" w:space="0" w:color="auto"/>
              <w:right w:val="nil" w:sz="6" w:space="0" w:color="auto"/>
            </w:tcBorders>
          </w:tcPr>
          <w:p>
            <w:pPr/>
          </w:p>
        </w:tc>
        <w:tc>
          <w:tcPr>
            <w:tcW w:w="929" w:type="dxa"/>
            <w:tcBorders>
              <w:top w:val="single" w:sz="12"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single" w:sz="12" w:space="0" w:color="000000"/>
              <w:left w:val="nil" w:sz="6" w:space="0" w:color="auto"/>
              <w:bottom w:val="nil" w:sz="6" w:space="0" w:color="auto"/>
              <w:right w:val="nil" w:sz="6" w:space="0" w:color="auto"/>
            </w:tcBorders>
          </w:tcPr>
          <w:p>
            <w:pPr/>
          </w:p>
        </w:tc>
      </w:tr>
      <w:tr>
        <w:trPr>
          <w:trHeight w:val="904"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2507" w:type="dxa"/>
            <w:gridSpan w:val="2"/>
            <w:tcBorders>
              <w:top w:val="nil" w:sz="6" w:space="0" w:color="auto"/>
              <w:left w:val="nil" w:sz="6" w:space="0" w:color="auto"/>
              <w:bottom w:val="nil" w:sz="6" w:space="0" w:color="auto"/>
              <w:right w:val="nil" w:sz="6" w:space="0" w:color="auto"/>
            </w:tcBorders>
          </w:tcPr>
          <w:p>
            <w:pPr>
              <w:pStyle w:val="TableParagraph"/>
              <w:spacing w:line="321" w:lineRule="exact" w:before="100"/>
              <w:ind w:left="108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728"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left="206" w:right="0"/>
              <w:jc w:val="left"/>
              <w:rPr>
                <w:rFonts w:ascii="宋体" w:hAnsi="宋体" w:cs="宋体" w:eastAsia="宋体" w:hint="default"/>
                <w:sz w:val="24"/>
                <w:szCs w:val="24"/>
              </w:rPr>
            </w:pPr>
            <w:r>
              <w:rPr>
                <w:rFonts w:ascii="宋体" w:hAnsi="宋体" w:cs="宋体" w:eastAsia="宋体" w:hint="default"/>
                <w:sz w:val="24"/>
                <w:szCs w:val="24"/>
              </w:rPr>
              <w:t>本年计提</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left="520" w:right="0"/>
              <w:jc w:val="left"/>
              <w:rPr>
                <w:rFonts w:ascii="宋体" w:hAnsi="宋体" w:cs="宋体" w:eastAsia="宋体" w:hint="default"/>
                <w:sz w:val="24"/>
                <w:szCs w:val="24"/>
              </w:rPr>
            </w:pPr>
            <w:r>
              <w:rPr>
                <w:rFonts w:ascii="宋体" w:hAnsi="宋体" w:cs="宋体" w:eastAsia="宋体" w:hint="default"/>
                <w:w w:val="95"/>
                <w:sz w:val="24"/>
                <w:szCs w:val="24"/>
              </w:rPr>
              <w:t>本年转销</w:t>
            </w:r>
          </w:p>
        </w:tc>
        <w:tc>
          <w:tcPr>
            <w:tcW w:w="2383"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00"/>
              <w:ind w:left="139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1035"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36" w:hRule="exact"/>
        </w:trPr>
        <w:tc>
          <w:tcPr>
            <w:tcW w:w="67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33"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2507" w:type="dxa"/>
            <w:gridSpan w:val="2"/>
            <w:tcBorders>
              <w:top w:val="nil" w:sz="6" w:space="0" w:color="auto"/>
              <w:left w:val="nil" w:sz="6" w:space="0" w:color="auto"/>
              <w:bottom w:val="nil" w:sz="6" w:space="0" w:color="auto"/>
              <w:right w:val="nil" w:sz="6" w:space="0" w:color="auto"/>
            </w:tcBorders>
          </w:tcPr>
          <w:p>
            <w:pPr>
              <w:pStyle w:val="TableParagraph"/>
              <w:tabs>
                <w:tab w:pos="922" w:val="left" w:leader="none"/>
                <w:tab w:pos="2252" w:val="left" w:leader="none"/>
                <w:tab w:pos="2696" w:val="left" w:leader="none"/>
              </w:tabs>
              <w:spacing w:line="240" w:lineRule="auto" w:before="165"/>
              <w:ind w:left="85" w:right="-19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(252,819)</w:t>
            </w:r>
            <w:r>
              <w:rPr>
                <w:rFonts w:ascii="Arial"/>
                <w:spacing w:val="13"/>
                <w:sz w:val="24"/>
                <w:u w:val="thick" w:color="000000"/>
              </w:rPr>
              <w:t> </w:t>
            </w:r>
            <w:r>
              <w:rPr>
                <w:rFonts w:ascii="Arial"/>
                <w:spacing w:val="13"/>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315" w:type="dxa"/>
            <w:tcBorders>
              <w:top w:val="nil" w:sz="6" w:space="0" w:color="auto"/>
              <w:left w:val="nil" w:sz="6" w:space="0" w:color="auto"/>
              <w:bottom w:val="nil" w:sz="6" w:space="0" w:color="auto"/>
              <w:right w:val="nil" w:sz="6" w:space="0" w:color="auto"/>
            </w:tcBorders>
          </w:tcPr>
          <w:p>
            <w:pPr>
              <w:pStyle w:val="TableParagraph"/>
              <w:tabs>
                <w:tab w:pos="1325" w:val="left" w:leader="none"/>
              </w:tabs>
              <w:spacing w:line="240" w:lineRule="auto" w:before="165"/>
              <w:ind w:left="189" w:right="-11"/>
              <w:jc w:val="left"/>
              <w:rPr>
                <w:rFonts w:ascii="Arial" w:hAnsi="Arial" w:cs="Arial" w:eastAsia="Arial" w:hint="default"/>
                <w:sz w:val="24"/>
                <w:szCs w:val="24"/>
              </w:rPr>
            </w:pPr>
            <w:r>
              <w:rPr>
                <w:rFonts w:ascii="Arial"/>
                <w:w w:val="99"/>
                <w:sz w:val="24"/>
              </w:rPr>
            </w:r>
            <w:r>
              <w:rPr>
                <w:rFonts w:ascii="Arial"/>
                <w:sz w:val="24"/>
                <w:u w:val="thick" w:color="000000"/>
              </w:rPr>
              <w:t>(160,798)</w:t>
              <w:tab/>
            </w:r>
            <w:r>
              <w:rPr>
                <w:rFonts w:ascii="Arial"/>
                <w:sz w:val="24"/>
              </w:rPr>
            </w:r>
          </w:p>
        </w:tc>
        <w:tc>
          <w:tcPr>
            <w:tcW w:w="1480" w:type="dxa"/>
            <w:tcBorders>
              <w:top w:val="nil" w:sz="6" w:space="0" w:color="auto"/>
              <w:left w:val="nil" w:sz="6" w:space="0" w:color="auto"/>
              <w:bottom w:val="nil" w:sz="6" w:space="0" w:color="auto"/>
              <w:right w:val="nil" w:sz="6" w:space="0" w:color="auto"/>
            </w:tcBorders>
          </w:tcPr>
          <w:p>
            <w:pPr>
              <w:pStyle w:val="TableParagraph"/>
              <w:tabs>
                <w:tab w:pos="609" w:val="left" w:leader="none"/>
                <w:tab w:pos="1567" w:val="left" w:leader="none"/>
              </w:tabs>
              <w:spacing w:line="240" w:lineRule="auto" w:before="165"/>
              <w:ind w:left="239" w:right="-8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113,313</w:t>
              <w:tab/>
            </w:r>
            <w:r>
              <w:rPr>
                <w:rFonts w:ascii="Arial"/>
                <w:spacing w:val="-3"/>
                <w:sz w:val="24"/>
              </w:rPr>
            </w:r>
          </w:p>
        </w:tc>
        <w:tc>
          <w:tcPr>
            <w:tcW w:w="2383" w:type="dxa"/>
            <w:gridSpan w:val="3"/>
            <w:tcBorders>
              <w:top w:val="nil" w:sz="6" w:space="0" w:color="auto"/>
              <w:left w:val="nil" w:sz="6" w:space="0" w:color="auto"/>
              <w:bottom w:val="nil" w:sz="6" w:space="0" w:color="auto"/>
              <w:right w:val="nil" w:sz="6" w:space="0" w:color="auto"/>
            </w:tcBorders>
          </w:tcPr>
          <w:p>
            <w:pPr>
              <w:pStyle w:val="TableParagraph"/>
              <w:tabs>
                <w:tab w:pos="1220" w:val="left" w:leader="none"/>
                <w:tab w:pos="2355" w:val="left" w:leader="none"/>
              </w:tabs>
              <w:spacing w:line="240" w:lineRule="auto" w:before="165"/>
              <w:ind w:left="31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(300,304)</w:t>
              <w:tab/>
            </w:r>
            <w:r>
              <w:rPr>
                <w:rFonts w:ascii="Arial"/>
                <w:sz w:val="24"/>
              </w:rPr>
            </w:r>
          </w:p>
        </w:tc>
      </w:tr>
    </w:tbl>
    <w:p>
      <w:pPr>
        <w:spacing w:after="0" w:line="240" w:lineRule="auto"/>
        <w:jc w:val="left"/>
        <w:rPr>
          <w:rFonts w:ascii="Arial" w:hAnsi="Arial" w:cs="Arial" w:eastAsia="Arial" w:hint="default"/>
          <w:sz w:val="24"/>
          <w:szCs w:val="24"/>
        </w:rPr>
        <w:sectPr>
          <w:pgSz w:w="11910" w:h="16840"/>
          <w:pgMar w:header="755" w:footer="912"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709"/>
        <w:gridCol w:w="2521"/>
        <w:gridCol w:w="3598"/>
        <w:gridCol w:w="2783"/>
      </w:tblGrid>
      <w:tr>
        <w:trPr>
          <w:trHeight w:val="496"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exact"/>
              <w:ind w:right="66"/>
              <w:jc w:val="center"/>
              <w:rPr>
                <w:rFonts w:ascii="黑体" w:hAnsi="黑体" w:cs="黑体" w:eastAsia="黑体" w:hint="default"/>
                <w:sz w:val="24"/>
                <w:szCs w:val="24"/>
              </w:rPr>
            </w:pPr>
            <w:r>
              <w:rPr>
                <w:rFonts w:ascii="黑体" w:hAnsi="黑体" w:cs="黑体" w:eastAsia="黑体" w:hint="default"/>
                <w:sz w:val="24"/>
                <w:szCs w:val="24"/>
              </w:rPr>
              <w:t>四</w:t>
            </w:r>
          </w:p>
        </w:tc>
        <w:tc>
          <w:tcPr>
            <w:tcW w:w="611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1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83" w:type="dxa"/>
            <w:tcBorders>
              <w:top w:val="nil" w:sz="6" w:space="0" w:color="auto"/>
              <w:left w:val="nil" w:sz="6" w:space="0" w:color="auto"/>
              <w:bottom w:val="nil" w:sz="6" w:space="0" w:color="auto"/>
              <w:right w:val="nil" w:sz="6" w:space="0" w:color="auto"/>
            </w:tcBorders>
          </w:tcPr>
          <w:p>
            <w:pPr/>
          </w:p>
        </w:tc>
      </w:tr>
      <w:tr>
        <w:trPr>
          <w:trHeight w:val="741"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3"/>
              <w:jc w:val="center"/>
              <w:rPr>
                <w:rFonts w:ascii="Arial" w:hAnsi="Arial" w:cs="Arial" w:eastAsia="Arial" w:hint="default"/>
                <w:sz w:val="24"/>
                <w:szCs w:val="24"/>
              </w:rPr>
            </w:pPr>
            <w:r>
              <w:rPr>
                <w:rFonts w:ascii="Arial"/>
                <w:sz w:val="24"/>
              </w:rPr>
              <w:t>(9)</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黑体" w:hAnsi="黑体" w:cs="黑体" w:eastAsia="黑体" w:hint="default"/>
                <w:sz w:val="24"/>
                <w:szCs w:val="24"/>
              </w:rPr>
            </w:pPr>
            <w:r>
              <w:rPr>
                <w:rFonts w:ascii="黑体" w:hAnsi="黑体" w:cs="黑体" w:eastAsia="黑体" w:hint="default"/>
                <w:sz w:val="24"/>
                <w:szCs w:val="24"/>
              </w:rPr>
              <w:t>存货</w:t>
            </w:r>
          </w:p>
        </w:tc>
        <w:tc>
          <w:tcPr>
            <w:tcW w:w="3598" w:type="dxa"/>
            <w:tcBorders>
              <w:top w:val="nil" w:sz="6" w:space="0" w:color="auto"/>
              <w:left w:val="nil" w:sz="6" w:space="0" w:color="auto"/>
              <w:bottom w:val="nil" w:sz="6" w:space="0" w:color="auto"/>
              <w:right w:val="nil" w:sz="6" w:space="0" w:color="auto"/>
            </w:tcBorders>
          </w:tcPr>
          <w:p>
            <w:pPr/>
          </w:p>
        </w:tc>
        <w:tc>
          <w:tcPr>
            <w:tcW w:w="2783" w:type="dxa"/>
            <w:tcBorders>
              <w:top w:val="nil" w:sz="6" w:space="0" w:color="auto"/>
              <w:left w:val="nil" w:sz="6" w:space="0" w:color="auto"/>
              <w:bottom w:val="nil" w:sz="6" w:space="0" w:color="auto"/>
              <w:right w:val="nil" w:sz="6" w:space="0" w:color="auto"/>
            </w:tcBorders>
          </w:tcPr>
          <w:p>
            <w:pPr/>
          </w:p>
        </w:tc>
      </w:tr>
      <w:tr>
        <w:trPr>
          <w:trHeight w:val="749"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6"/>
              <w:jc w:val="center"/>
              <w:rPr>
                <w:rFonts w:ascii="Arial" w:hAnsi="Arial" w:cs="Arial" w:eastAsia="Arial" w:hint="default"/>
                <w:sz w:val="24"/>
                <w:szCs w:val="24"/>
              </w:rPr>
            </w:pPr>
            <w:r>
              <w:rPr>
                <w:rFonts w:ascii="Arial"/>
                <w:sz w:val="24"/>
              </w:rPr>
              <w:t>(c)</w:t>
            </w:r>
          </w:p>
        </w:tc>
        <w:tc>
          <w:tcPr>
            <w:tcW w:w="61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215" w:right="0"/>
              <w:jc w:val="left"/>
              <w:rPr>
                <w:rFonts w:ascii="宋体" w:hAnsi="宋体" w:cs="宋体" w:eastAsia="宋体" w:hint="default"/>
                <w:sz w:val="24"/>
                <w:szCs w:val="24"/>
              </w:rPr>
            </w:pPr>
            <w:r>
              <w:rPr>
                <w:rFonts w:ascii="宋体" w:hAnsi="宋体" w:cs="宋体" w:eastAsia="宋体" w:hint="default"/>
                <w:sz w:val="24"/>
                <w:szCs w:val="24"/>
              </w:rPr>
              <w:t>存货跌价准备情况如下：</w:t>
            </w:r>
          </w:p>
        </w:tc>
        <w:tc>
          <w:tcPr>
            <w:tcW w:w="2783" w:type="dxa"/>
            <w:tcBorders>
              <w:top w:val="nil" w:sz="6" w:space="0" w:color="auto"/>
              <w:left w:val="nil" w:sz="6" w:space="0" w:color="auto"/>
              <w:bottom w:val="nil" w:sz="6" w:space="0" w:color="auto"/>
              <w:right w:val="nil" w:sz="6" w:space="0" w:color="auto"/>
            </w:tcBorders>
          </w:tcPr>
          <w:p>
            <w:pPr/>
          </w:p>
        </w:tc>
      </w:tr>
      <w:tr>
        <w:trPr>
          <w:trHeight w:val="1049" w:hRule="exact"/>
        </w:trPr>
        <w:tc>
          <w:tcPr>
            <w:tcW w:w="709"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
        </w:tc>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60" w:right="0"/>
              <w:jc w:val="left"/>
              <w:rPr>
                <w:rFonts w:ascii="宋体" w:hAnsi="宋体" w:cs="宋体" w:eastAsia="宋体" w:hint="default"/>
                <w:sz w:val="22"/>
                <w:szCs w:val="22"/>
              </w:rPr>
            </w:pPr>
            <w:r>
              <w:rPr>
                <w:rFonts w:ascii="宋体" w:hAnsi="宋体" w:cs="宋体" w:eastAsia="宋体" w:hint="default"/>
                <w:sz w:val="22"/>
                <w:szCs w:val="22"/>
              </w:rPr>
              <w:t>确定可变现净值的具体依据</w:t>
            </w:r>
          </w:p>
        </w:tc>
        <w:tc>
          <w:tcPr>
            <w:tcW w:w="2783" w:type="dxa"/>
            <w:tcBorders>
              <w:top w:val="nil" w:sz="6" w:space="0" w:color="auto"/>
              <w:left w:val="nil" w:sz="6" w:space="0" w:color="auto"/>
              <w:bottom w:val="nil" w:sz="6" w:space="0" w:color="auto"/>
              <w:right w:val="nil" w:sz="6" w:space="0" w:color="auto"/>
            </w:tcBorders>
          </w:tcPr>
          <w:p>
            <w:pPr>
              <w:pStyle w:val="TableParagraph"/>
              <w:spacing w:line="271" w:lineRule="auto" w:before="184"/>
              <w:ind w:left="1040" w:right="198" w:firstLine="220"/>
              <w:jc w:val="left"/>
              <w:rPr>
                <w:rFonts w:ascii="宋体" w:hAnsi="宋体" w:cs="宋体" w:eastAsia="宋体" w:hint="default"/>
                <w:sz w:val="22"/>
                <w:szCs w:val="22"/>
              </w:rPr>
            </w:pPr>
            <w:r>
              <w:rPr>
                <w:rFonts w:ascii="宋体" w:hAnsi="宋体" w:cs="宋体" w:eastAsia="宋体" w:hint="default"/>
                <w:sz w:val="22"/>
                <w:szCs w:val="22"/>
              </w:rPr>
              <w:t>本年转销存货</w:t>
            </w:r>
            <w:r>
              <w:rPr>
                <w:rFonts w:ascii="宋体" w:hAnsi="宋体" w:cs="宋体" w:eastAsia="宋体" w:hint="default"/>
                <w:spacing w:val="1"/>
                <w:w w:val="99"/>
                <w:sz w:val="22"/>
                <w:szCs w:val="22"/>
              </w:rPr>
              <w:t> </w:t>
            </w:r>
            <w:r>
              <w:rPr>
                <w:rFonts w:ascii="宋体" w:hAnsi="宋体" w:cs="宋体" w:eastAsia="宋体" w:hint="default"/>
                <w:sz w:val="22"/>
                <w:szCs w:val="22"/>
              </w:rPr>
              <w:t>跌价准备的原因</w:t>
            </w:r>
          </w:p>
        </w:tc>
      </w:tr>
      <w:tr>
        <w:trPr>
          <w:trHeight w:val="1372" w:hRule="exact"/>
        </w:trPr>
        <w:tc>
          <w:tcPr>
            <w:tcW w:w="709"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6" w:lineRule="exact"/>
              <w:ind w:left="484" w:right="159" w:hanging="270"/>
              <w:jc w:val="left"/>
              <w:rPr>
                <w:rFonts w:ascii="宋体" w:hAnsi="宋体" w:cs="宋体" w:eastAsia="宋体" w:hint="default"/>
                <w:sz w:val="22"/>
                <w:szCs w:val="22"/>
              </w:rPr>
            </w:pPr>
            <w:r>
              <w:rPr>
                <w:rFonts w:ascii="宋体" w:hAnsi="宋体" w:cs="宋体" w:eastAsia="宋体" w:hint="default"/>
                <w:spacing w:val="-6"/>
                <w:sz w:val="22"/>
                <w:szCs w:val="22"/>
              </w:rPr>
              <w:t>库存商品、安装维修用</w:t>
            </w:r>
            <w:r>
              <w:rPr>
                <w:rFonts w:ascii="宋体" w:hAnsi="宋体" w:cs="宋体" w:eastAsia="宋体" w:hint="default"/>
                <w:w w:val="99"/>
                <w:sz w:val="22"/>
                <w:szCs w:val="22"/>
              </w:rPr>
              <w:t> </w:t>
            </w:r>
            <w:r>
              <w:rPr>
                <w:rFonts w:ascii="宋体" w:hAnsi="宋体" w:cs="宋体" w:eastAsia="宋体" w:hint="default"/>
                <w:sz w:val="22"/>
                <w:szCs w:val="22"/>
              </w:rPr>
              <w:t>备件</w:t>
            </w:r>
          </w:p>
        </w:tc>
        <w:tc>
          <w:tcPr>
            <w:tcW w:w="3598" w:type="dxa"/>
            <w:tcBorders>
              <w:top w:val="nil" w:sz="6" w:space="0" w:color="auto"/>
              <w:left w:val="nil" w:sz="6" w:space="0" w:color="auto"/>
              <w:bottom w:val="nil" w:sz="6" w:space="0" w:color="auto"/>
              <w:right w:val="nil" w:sz="6" w:space="0" w:color="auto"/>
            </w:tcBorders>
          </w:tcPr>
          <w:p>
            <w:pPr>
              <w:pStyle w:val="TableParagraph"/>
              <w:spacing w:line="254" w:lineRule="auto" w:before="182"/>
              <w:ind w:left="381" w:right="356" w:hanging="220"/>
              <w:jc w:val="both"/>
              <w:rPr>
                <w:rFonts w:ascii="宋体" w:hAnsi="宋体" w:cs="宋体" w:eastAsia="宋体" w:hint="default"/>
                <w:sz w:val="22"/>
                <w:szCs w:val="22"/>
              </w:rPr>
            </w:pPr>
            <w:r>
              <w:rPr>
                <w:rFonts w:ascii="宋体" w:hAnsi="宋体" w:cs="宋体" w:eastAsia="宋体" w:hint="default"/>
                <w:w w:val="95"/>
                <w:sz w:val="22"/>
                <w:szCs w:val="22"/>
              </w:rPr>
              <w:t>按日常活动中存货的估计售价减</w:t>
            </w:r>
            <w:r>
              <w:rPr>
                <w:rFonts w:ascii="宋体" w:hAnsi="宋体" w:cs="宋体" w:eastAsia="宋体" w:hint="default"/>
                <w:spacing w:val="43"/>
                <w:w w:val="95"/>
                <w:sz w:val="22"/>
                <w:szCs w:val="22"/>
              </w:rPr>
              <w:t> </w:t>
            </w:r>
            <w:r>
              <w:rPr>
                <w:rFonts w:ascii="宋体" w:hAnsi="宋体" w:cs="宋体" w:eastAsia="宋体" w:hint="default"/>
                <w:w w:val="95"/>
                <w:sz w:val="22"/>
                <w:szCs w:val="22"/>
              </w:rPr>
              <w:t>去估计的销售费用以及相关税</w:t>
            </w:r>
            <w:r>
              <w:rPr>
                <w:rFonts w:ascii="宋体" w:hAnsi="宋体" w:cs="宋体" w:eastAsia="宋体" w:hint="default"/>
                <w:w w:val="99"/>
                <w:sz w:val="22"/>
                <w:szCs w:val="22"/>
              </w:rPr>
              <w:t> </w:t>
            </w:r>
            <w:r>
              <w:rPr>
                <w:rFonts w:ascii="宋体" w:hAnsi="宋体" w:cs="宋体" w:eastAsia="宋体" w:hint="default"/>
                <w:sz w:val="22"/>
                <w:szCs w:val="22"/>
              </w:rPr>
              <w:t>费后的金额确定</w:t>
            </w:r>
          </w:p>
        </w:tc>
        <w:tc>
          <w:tcPr>
            <w:tcW w:w="2783" w:type="dxa"/>
            <w:tcBorders>
              <w:top w:val="nil" w:sz="6" w:space="0" w:color="auto"/>
              <w:left w:val="nil" w:sz="6" w:space="0" w:color="auto"/>
              <w:bottom w:val="nil" w:sz="6" w:space="0" w:color="auto"/>
              <w:right w:val="nil" w:sz="6" w:space="0" w:color="auto"/>
            </w:tcBorders>
          </w:tcPr>
          <w:p>
            <w:pPr>
              <w:pStyle w:val="TableParagraph"/>
              <w:spacing w:line="271" w:lineRule="auto" w:before="182"/>
              <w:ind w:left="578" w:right="223" w:hanging="221"/>
              <w:jc w:val="left"/>
              <w:rPr>
                <w:rFonts w:ascii="宋体" w:hAnsi="宋体" w:cs="宋体" w:eastAsia="宋体" w:hint="default"/>
                <w:sz w:val="22"/>
                <w:szCs w:val="22"/>
              </w:rPr>
            </w:pPr>
            <w:r>
              <w:rPr>
                <w:rFonts w:ascii="宋体" w:hAnsi="宋体" w:cs="宋体" w:eastAsia="宋体" w:hint="default"/>
                <w:sz w:val="22"/>
                <w:szCs w:val="22"/>
              </w:rPr>
              <w:t>以前年度计提了存货跌</w:t>
            </w:r>
            <w:r>
              <w:rPr>
                <w:rFonts w:ascii="宋体" w:hAnsi="宋体" w:cs="宋体" w:eastAsia="宋体" w:hint="default"/>
                <w:w w:val="99"/>
                <w:sz w:val="22"/>
                <w:szCs w:val="22"/>
              </w:rPr>
              <w:t> </w:t>
            </w:r>
            <w:r>
              <w:rPr>
                <w:rFonts w:ascii="宋体" w:hAnsi="宋体" w:cs="宋体" w:eastAsia="宋体" w:hint="default"/>
                <w:sz w:val="22"/>
                <w:szCs w:val="22"/>
              </w:rPr>
              <w:t>价准备的库存商品本</w:t>
            </w:r>
          </w:p>
          <w:p>
            <w:pPr>
              <w:pStyle w:val="TableParagraph"/>
              <w:spacing w:line="240" w:lineRule="auto" w:before="8"/>
              <w:ind w:left="1238" w:right="0"/>
              <w:jc w:val="left"/>
              <w:rPr>
                <w:rFonts w:ascii="宋体" w:hAnsi="宋体" w:cs="宋体" w:eastAsia="宋体" w:hint="default"/>
                <w:sz w:val="22"/>
                <w:szCs w:val="22"/>
              </w:rPr>
            </w:pPr>
            <w:r>
              <w:rPr>
                <w:rFonts w:ascii="宋体" w:hAnsi="宋体" w:cs="宋体" w:eastAsia="宋体" w:hint="default"/>
                <w:sz w:val="22"/>
                <w:szCs w:val="22"/>
              </w:rPr>
              <w:t>年度实现销售</w:t>
            </w:r>
          </w:p>
        </w:tc>
      </w:tr>
      <w:tr>
        <w:trPr>
          <w:trHeight w:val="1407" w:hRule="exact"/>
        </w:trPr>
        <w:tc>
          <w:tcPr>
            <w:tcW w:w="709"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86" w:lineRule="exact"/>
              <w:ind w:left="484" w:right="160" w:hanging="270"/>
              <w:jc w:val="left"/>
              <w:rPr>
                <w:rFonts w:ascii="宋体" w:hAnsi="宋体" w:cs="宋体" w:eastAsia="宋体" w:hint="default"/>
                <w:sz w:val="22"/>
                <w:szCs w:val="22"/>
              </w:rPr>
            </w:pPr>
            <w:r>
              <w:rPr>
                <w:rFonts w:ascii="宋体" w:hAnsi="宋体" w:cs="宋体" w:eastAsia="宋体" w:hint="default"/>
                <w:spacing w:val="-6"/>
                <w:sz w:val="22"/>
                <w:szCs w:val="22"/>
              </w:rPr>
              <w:t>房地产开发成本、房地</w:t>
            </w:r>
            <w:r>
              <w:rPr>
                <w:rFonts w:ascii="宋体" w:hAnsi="宋体" w:cs="宋体" w:eastAsia="宋体" w:hint="default"/>
                <w:w w:val="99"/>
                <w:sz w:val="22"/>
                <w:szCs w:val="22"/>
              </w:rPr>
              <w:t> </w:t>
            </w:r>
            <w:r>
              <w:rPr>
                <w:rFonts w:ascii="宋体" w:hAnsi="宋体" w:cs="宋体" w:eastAsia="宋体" w:hint="default"/>
                <w:sz w:val="22"/>
                <w:szCs w:val="22"/>
              </w:rPr>
              <w:t>产开发产品</w:t>
            </w:r>
          </w:p>
        </w:tc>
        <w:tc>
          <w:tcPr>
            <w:tcW w:w="3598" w:type="dxa"/>
            <w:tcBorders>
              <w:top w:val="nil" w:sz="6" w:space="0" w:color="auto"/>
              <w:left w:val="nil" w:sz="6" w:space="0" w:color="auto"/>
              <w:bottom w:val="nil" w:sz="6" w:space="0" w:color="auto"/>
              <w:right w:val="nil" w:sz="6" w:space="0" w:color="auto"/>
            </w:tcBorders>
          </w:tcPr>
          <w:p>
            <w:pPr>
              <w:pStyle w:val="TableParagraph"/>
              <w:spacing w:line="259" w:lineRule="auto" w:before="182"/>
              <w:ind w:left="381" w:right="356" w:hanging="220"/>
              <w:jc w:val="left"/>
              <w:rPr>
                <w:rFonts w:ascii="宋体" w:hAnsi="宋体" w:cs="宋体" w:eastAsia="宋体" w:hint="default"/>
                <w:sz w:val="22"/>
                <w:szCs w:val="22"/>
              </w:rPr>
            </w:pPr>
            <w:r>
              <w:rPr>
                <w:rFonts w:ascii="宋体" w:hAnsi="宋体" w:cs="宋体" w:eastAsia="宋体" w:hint="default"/>
                <w:w w:val="95"/>
                <w:sz w:val="22"/>
                <w:szCs w:val="22"/>
              </w:rPr>
              <w:t>按日常活动中存货的估计售价减</w:t>
            </w:r>
            <w:r>
              <w:rPr>
                <w:rFonts w:ascii="宋体" w:hAnsi="宋体" w:cs="宋体" w:eastAsia="宋体" w:hint="default"/>
                <w:spacing w:val="43"/>
                <w:w w:val="95"/>
                <w:sz w:val="22"/>
                <w:szCs w:val="22"/>
              </w:rPr>
              <w:t> </w:t>
            </w:r>
            <w:r>
              <w:rPr>
                <w:rFonts w:ascii="宋体" w:hAnsi="宋体" w:cs="宋体" w:eastAsia="宋体" w:hint="default"/>
                <w:w w:val="95"/>
                <w:sz w:val="22"/>
                <w:szCs w:val="22"/>
              </w:rPr>
              <w:t>去至完工时估计将要发生的成</w:t>
            </w:r>
            <w:r>
              <w:rPr>
                <w:rFonts w:ascii="宋体" w:hAnsi="宋体" w:cs="宋体" w:eastAsia="宋体" w:hint="default"/>
                <w:w w:val="99"/>
                <w:sz w:val="22"/>
                <w:szCs w:val="22"/>
              </w:rPr>
              <w:t> </w:t>
            </w:r>
            <w:r>
              <w:rPr>
                <w:rFonts w:ascii="宋体" w:hAnsi="宋体" w:cs="宋体" w:eastAsia="宋体" w:hint="default"/>
                <w:sz w:val="22"/>
                <w:szCs w:val="22"/>
              </w:rPr>
              <w:t>本、估计的销售费用以及相</w:t>
            </w:r>
            <w:r>
              <w:rPr>
                <w:rFonts w:ascii="宋体" w:hAnsi="宋体" w:cs="宋体" w:eastAsia="宋体" w:hint="default"/>
                <w:w w:val="99"/>
                <w:sz w:val="22"/>
                <w:szCs w:val="22"/>
              </w:rPr>
              <w:t> </w:t>
            </w:r>
            <w:r>
              <w:rPr>
                <w:rFonts w:ascii="宋体" w:hAnsi="宋体" w:cs="宋体" w:eastAsia="宋体" w:hint="default"/>
                <w:sz w:val="22"/>
                <w:szCs w:val="22"/>
              </w:rPr>
              <w:t>关税费后的金额确定</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223"/>
              <w:jc w:val="right"/>
              <w:rPr>
                <w:rFonts w:ascii="宋体" w:hAnsi="宋体" w:cs="宋体" w:eastAsia="宋体" w:hint="default"/>
                <w:sz w:val="22"/>
                <w:szCs w:val="22"/>
              </w:rPr>
            </w:pPr>
            <w:r>
              <w:rPr>
                <w:rFonts w:ascii="宋体" w:hAnsi="宋体" w:cs="宋体" w:eastAsia="宋体" w:hint="default"/>
                <w:w w:val="95"/>
                <w:sz w:val="22"/>
                <w:szCs w:val="22"/>
              </w:rPr>
              <w:t>不适用</w:t>
            </w:r>
            <w:r>
              <w:rPr>
                <w:rFonts w:ascii="宋体" w:hAnsi="宋体" w:cs="宋体" w:eastAsia="宋体" w:hint="default"/>
                <w:sz w:val="22"/>
                <w:szCs w:val="22"/>
              </w:rPr>
            </w:r>
          </w:p>
        </w:tc>
      </w:tr>
    </w:tbl>
    <w:p>
      <w:pPr>
        <w:spacing w:after="0" w:line="240" w:lineRule="auto"/>
        <w:jc w:val="right"/>
        <w:rPr>
          <w:rFonts w:ascii="宋体" w:hAnsi="宋体" w:cs="宋体" w:eastAsia="宋体" w:hint="default"/>
          <w:sz w:val="22"/>
          <w:szCs w:val="22"/>
        </w:rPr>
        <w:sectPr>
          <w:pgSz w:w="11910" w:h="16840"/>
          <w:pgMar w:header="755" w:footer="912"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685"/>
        <w:gridCol w:w="2581"/>
        <w:gridCol w:w="1954"/>
        <w:gridCol w:w="1927"/>
        <w:gridCol w:w="1134"/>
        <w:gridCol w:w="284"/>
        <w:gridCol w:w="1277"/>
        <w:gridCol w:w="1133"/>
        <w:gridCol w:w="283"/>
        <w:gridCol w:w="1134"/>
        <w:gridCol w:w="284"/>
        <w:gridCol w:w="1035"/>
        <w:gridCol w:w="240"/>
        <w:gridCol w:w="1134"/>
      </w:tblGrid>
      <w:tr>
        <w:trPr>
          <w:trHeight w:val="496"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3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2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747"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(9)</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1" w:right="0"/>
              <w:jc w:val="left"/>
              <w:rPr>
                <w:rFonts w:ascii="Arial" w:hAnsi="Arial" w:cs="Arial" w:eastAsia="Arial" w:hint="default"/>
                <w:sz w:val="24"/>
                <w:szCs w:val="24"/>
              </w:rPr>
            </w:pPr>
            <w:r>
              <w:rPr>
                <w:rFonts w:ascii="黑体" w:hAnsi="黑体" w:cs="黑体" w:eastAsia="黑体" w:hint="default"/>
                <w:sz w:val="24"/>
                <w:szCs w:val="24"/>
              </w:rPr>
              <w:t>存货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762"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45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91" w:right="0"/>
              <w:jc w:val="left"/>
              <w:rPr>
                <w:rFonts w:ascii="宋体" w:hAnsi="宋体" w:cs="宋体" w:eastAsia="宋体" w:hint="default"/>
                <w:sz w:val="24"/>
                <w:szCs w:val="24"/>
              </w:rPr>
            </w:pPr>
            <w:r>
              <w:rPr>
                <w:rFonts w:ascii="宋体" w:hAnsi="宋体" w:cs="宋体" w:eastAsia="宋体" w:hint="default"/>
                <w:sz w:val="24"/>
                <w:szCs w:val="24"/>
              </w:rPr>
              <w:t>房地产开发成本分析如下：</w:t>
            </w:r>
          </w:p>
        </w:tc>
        <w:tc>
          <w:tcPr>
            <w:tcW w:w="192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522" w:hRule="exact"/>
        </w:trPr>
        <w:tc>
          <w:tcPr>
            <w:tcW w:w="685"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269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13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3" w:type="dxa"/>
            <w:tcBorders>
              <w:top w:val="nil" w:sz="6" w:space="0" w:color="auto"/>
              <w:left w:val="nil" w:sz="6" w:space="0" w:color="auto"/>
              <w:bottom w:val="single" w:sz="4" w:space="0" w:color="000000"/>
              <w:right w:val="nil" w:sz="6" w:space="0" w:color="auto"/>
            </w:tcBorders>
          </w:tcPr>
          <w:p>
            <w:pPr/>
          </w:p>
        </w:tc>
        <w:tc>
          <w:tcPr>
            <w:tcW w:w="411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41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36" w:hRule="exact"/>
        </w:trPr>
        <w:tc>
          <w:tcPr>
            <w:tcW w:w="685"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9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7" w:right="0"/>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24" w:right="0"/>
              <w:jc w:val="left"/>
              <w:rPr>
                <w:rFonts w:ascii="宋体" w:hAnsi="宋体" w:cs="宋体" w:eastAsia="宋体" w:hint="default"/>
                <w:sz w:val="18"/>
                <w:szCs w:val="18"/>
              </w:rPr>
            </w:pPr>
            <w:r>
              <w:rPr>
                <w:rFonts w:ascii="宋体" w:hAnsi="宋体" w:cs="宋体" w:eastAsia="宋体" w:hint="default"/>
                <w:sz w:val="18"/>
                <w:szCs w:val="18"/>
              </w:rPr>
              <w:t>预计竣工时间</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84"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90"/>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84" w:type="dxa"/>
            <w:tcBorders>
              <w:top w:val="single" w:sz="4" w:space="0" w:color="000000"/>
              <w:left w:val="nil" w:sz="6" w:space="0" w:color="auto"/>
              <w:bottom w:val="nil" w:sz="6" w:space="0" w:color="auto"/>
              <w:right w:val="nil" w:sz="6" w:space="0" w:color="auto"/>
            </w:tcBorders>
          </w:tcPr>
          <w:p>
            <w:pP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240"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45" w:hRule="exact"/>
        </w:trPr>
        <w:tc>
          <w:tcPr>
            <w:tcW w:w="685"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包头苏宁房地产项目</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262,095</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262,095</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160,436</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160,436</w:t>
            </w:r>
          </w:p>
        </w:tc>
      </w:tr>
      <w:tr>
        <w:trPr>
          <w:trHeight w:val="356" w:hRule="exact"/>
        </w:trPr>
        <w:tc>
          <w:tcPr>
            <w:tcW w:w="685"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1" w:right="0"/>
              <w:jc w:val="left"/>
              <w:rPr>
                <w:rFonts w:ascii="宋体" w:hAnsi="宋体" w:cs="宋体" w:eastAsia="宋体" w:hint="default"/>
                <w:sz w:val="18"/>
                <w:szCs w:val="18"/>
              </w:rPr>
            </w:pPr>
            <w:r>
              <w:rPr>
                <w:rFonts w:ascii="宋体" w:hAnsi="宋体" w:cs="宋体" w:eastAsia="宋体" w:hint="default"/>
                <w:sz w:val="18"/>
                <w:szCs w:val="18"/>
              </w:rPr>
              <w:t>滁州苏宁房地产项目</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7"/>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40"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Arial" w:hAnsi="Arial" w:cs="Arial" w:eastAsia="Arial" w:hint="default"/>
                <w:sz w:val="18"/>
                <w:szCs w:val="18"/>
              </w:rPr>
            </w:pPr>
            <w:r>
              <w:rPr>
                <w:rFonts w:ascii="Arial"/>
                <w:spacing w:val="-1"/>
                <w:sz w:val="18"/>
              </w:rPr>
              <w:t>207,813</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Arial" w:hAnsi="Arial" w:cs="Arial" w:eastAsia="Arial" w:hint="default"/>
                <w:sz w:val="18"/>
                <w:szCs w:val="18"/>
              </w:rPr>
            </w:pPr>
            <w:r>
              <w:rPr>
                <w:rFonts w:ascii="Arial"/>
                <w:spacing w:val="-1"/>
                <w:sz w:val="18"/>
              </w:rPr>
              <w:t>207,813</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Arial" w:hAnsi="Arial" w:cs="Arial" w:eastAsia="Arial" w:hint="default"/>
                <w:sz w:val="18"/>
                <w:szCs w:val="18"/>
              </w:rPr>
            </w:pPr>
            <w:r>
              <w:rPr>
                <w:rFonts w:ascii="Arial"/>
                <w:spacing w:val="-3"/>
                <w:sz w:val="18"/>
              </w:rPr>
              <w:t>110,863</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Arial" w:hAnsi="Arial" w:cs="Arial" w:eastAsia="Arial" w:hint="default"/>
                <w:sz w:val="18"/>
                <w:szCs w:val="18"/>
              </w:rPr>
            </w:pPr>
            <w:r>
              <w:rPr>
                <w:rFonts w:ascii="Arial"/>
                <w:spacing w:val="-3"/>
                <w:sz w:val="18"/>
              </w:rPr>
              <w:t>110,863</w:t>
            </w:r>
          </w:p>
        </w:tc>
      </w:tr>
      <w:tr>
        <w:trPr>
          <w:trHeight w:val="379" w:hRule="exact"/>
        </w:trPr>
        <w:tc>
          <w:tcPr>
            <w:tcW w:w="685"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1" w:right="0"/>
              <w:jc w:val="left"/>
              <w:rPr>
                <w:rFonts w:ascii="宋体" w:hAnsi="宋体" w:cs="宋体" w:eastAsia="宋体" w:hint="default"/>
                <w:sz w:val="18"/>
                <w:szCs w:val="18"/>
              </w:rPr>
            </w:pPr>
            <w:r>
              <w:rPr>
                <w:rFonts w:ascii="宋体" w:hAnsi="宋体" w:cs="宋体" w:eastAsia="宋体" w:hint="default"/>
                <w:sz w:val="18"/>
                <w:szCs w:val="18"/>
              </w:rPr>
              <w:t>济宁苏宁房地产项目</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8"/>
                <w:szCs w:val="18"/>
              </w:rPr>
            </w:pPr>
            <w:r>
              <w:rPr>
                <w:rFonts w:ascii="Arial"/>
                <w:spacing w:val="-1"/>
                <w:sz w:val="18"/>
              </w:rPr>
              <w:t>158,259</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8"/>
                <w:szCs w:val="18"/>
              </w:rPr>
            </w:pPr>
            <w:r>
              <w:rPr>
                <w:rFonts w:ascii="Arial"/>
                <w:spacing w:val="-1"/>
                <w:sz w:val="18"/>
              </w:rPr>
              <w:t>158,259</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5"/>
              <w:jc w:val="right"/>
              <w:rPr>
                <w:rFonts w:ascii="Arial" w:hAnsi="Arial" w:cs="Arial" w:eastAsia="Arial" w:hint="default"/>
                <w:sz w:val="18"/>
                <w:szCs w:val="18"/>
              </w:rPr>
            </w:pPr>
            <w:r>
              <w:rPr>
                <w:rFonts w:ascii="Arial"/>
                <w:spacing w:val="-3"/>
                <w:sz w:val="18"/>
              </w:rPr>
              <w:t>113,275</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5"/>
              <w:jc w:val="right"/>
              <w:rPr>
                <w:rFonts w:ascii="Arial" w:hAnsi="Arial" w:cs="Arial" w:eastAsia="Arial" w:hint="default"/>
                <w:sz w:val="18"/>
                <w:szCs w:val="18"/>
              </w:rPr>
            </w:pPr>
            <w:r>
              <w:rPr>
                <w:rFonts w:ascii="Arial"/>
                <w:spacing w:val="-3"/>
                <w:sz w:val="18"/>
              </w:rPr>
              <w:t>113,275</w:t>
            </w:r>
          </w:p>
        </w:tc>
      </w:tr>
      <w:tr>
        <w:trPr>
          <w:trHeight w:val="357" w:hRule="exact"/>
        </w:trPr>
        <w:tc>
          <w:tcPr>
            <w:tcW w:w="685"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上海奉贤苏宁房地产项目</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4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548,396</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548,396</w:t>
            </w:r>
          </w:p>
        </w:tc>
      </w:tr>
      <w:tr>
        <w:trPr>
          <w:trHeight w:val="356" w:hRule="exact"/>
        </w:trPr>
        <w:tc>
          <w:tcPr>
            <w:tcW w:w="685"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1" w:right="0"/>
              <w:jc w:val="left"/>
              <w:rPr>
                <w:rFonts w:ascii="宋体" w:hAnsi="宋体" w:cs="宋体" w:eastAsia="宋体" w:hint="default"/>
                <w:sz w:val="18"/>
                <w:szCs w:val="18"/>
              </w:rPr>
            </w:pPr>
            <w:r>
              <w:rPr>
                <w:rFonts w:ascii="宋体" w:hAnsi="宋体" w:cs="宋体" w:eastAsia="宋体" w:hint="default"/>
                <w:sz w:val="18"/>
                <w:szCs w:val="18"/>
              </w:rPr>
              <w:t>汕头龙湖苏宁房地产项目</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274,675</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274,675</w:t>
            </w:r>
          </w:p>
        </w:tc>
      </w:tr>
      <w:tr>
        <w:trPr>
          <w:trHeight w:val="328" w:hRule="exact"/>
        </w:trPr>
        <w:tc>
          <w:tcPr>
            <w:tcW w:w="685"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Arial" w:hAnsi="Arial" w:cs="Arial" w:eastAsia="Arial" w:hint="default"/>
                <w:sz w:val="18"/>
                <w:szCs w:val="18"/>
              </w:rPr>
            </w:pPr>
            <w:r>
              <w:rPr>
                <w:rFonts w:ascii="宋体" w:hAnsi="宋体" w:cs="宋体" w:eastAsia="宋体" w:hint="default"/>
                <w:sz w:val="18"/>
                <w:szCs w:val="18"/>
              </w:rPr>
              <w:t>北京朝阳苏宁房地产项目</w:t>
            </w:r>
            <w:r>
              <w:rPr>
                <w:rFonts w:ascii="Arial" w:hAnsi="Arial" w:cs="Arial" w:eastAsia="Arial" w:hint="default"/>
                <w:sz w:val="18"/>
                <w:szCs w:val="18"/>
              </w:rPr>
              <w:t>(i)</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7"/>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4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5"/>
              <w:jc w:val="right"/>
              <w:rPr>
                <w:rFonts w:ascii="Arial" w:hAnsi="Arial" w:cs="Arial" w:eastAsia="Arial" w:hint="default"/>
                <w:sz w:val="18"/>
                <w:szCs w:val="18"/>
              </w:rPr>
            </w:pPr>
            <w:r>
              <w:rPr>
                <w:rFonts w:ascii="Arial"/>
                <w:spacing w:val="-1"/>
                <w:sz w:val="18"/>
              </w:rPr>
              <w:t>197,103</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5"/>
              <w:jc w:val="right"/>
              <w:rPr>
                <w:rFonts w:ascii="Arial" w:hAnsi="Arial" w:cs="Arial" w:eastAsia="Arial" w:hint="default"/>
                <w:sz w:val="18"/>
                <w:szCs w:val="18"/>
              </w:rPr>
            </w:pPr>
            <w:r>
              <w:rPr>
                <w:rFonts w:ascii="Arial"/>
                <w:spacing w:val="-1"/>
                <w:sz w:val="18"/>
              </w:rPr>
              <w:t>197,103</w:t>
            </w:r>
          </w:p>
        </w:tc>
      </w:tr>
      <w:tr>
        <w:trPr>
          <w:trHeight w:val="376" w:hRule="exact"/>
        </w:trPr>
        <w:tc>
          <w:tcPr>
            <w:tcW w:w="685"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628,167</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1pt;height:.5pt;mso-position-horizontal-relative:char;mso-position-vertical-relative:line" coordorigin="0,0" coordsize="1002,10">
                  <v:group style="position:absolute;left:5;top:5;width:993;height:2" coordorigin="5,5" coordsize="993,2">
                    <v:shape style="position:absolute;left:5;top:5;width:993;height:2" coordorigin="5,5" coordsize="993,0" path="m5,5l997,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8"/>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628,167</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1,404,748</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1,404,748</w:t>
            </w:r>
          </w:p>
        </w:tc>
      </w:tr>
      <w:tr>
        <w:trPr>
          <w:trHeight w:val="1010" w:hRule="exact"/>
        </w:trPr>
        <w:tc>
          <w:tcPr>
            <w:tcW w:w="685" w:type="dxa"/>
            <w:tcBorders>
              <w:top w:val="nil" w:sz="6" w:space="0" w:color="auto"/>
              <w:left w:val="nil" w:sz="6" w:space="0" w:color="auto"/>
              <w:bottom w:val="nil" w:sz="6" w:space="0" w:color="auto"/>
              <w:right w:val="nil" w:sz="6" w:space="0" w:color="auto"/>
            </w:tcBorders>
          </w:tcPr>
          <w:p>
            <w:pPr/>
          </w:p>
        </w:tc>
        <w:tc>
          <w:tcPr>
            <w:tcW w:w="14400" w:type="dxa"/>
            <w:gridSpan w:val="13"/>
            <w:tcBorders>
              <w:top w:val="nil" w:sz="6" w:space="0" w:color="auto"/>
              <w:left w:val="nil" w:sz="6" w:space="0" w:color="auto"/>
              <w:bottom w:val="nil" w:sz="6" w:space="0" w:color="auto"/>
              <w:right w:val="nil" w:sz="6" w:space="0" w:color="auto"/>
            </w:tcBorders>
          </w:tcPr>
          <w:p>
            <w:pPr>
              <w:pStyle w:val="TableParagraph"/>
              <w:spacing w:line="30" w:lineRule="exact"/>
              <w:ind w:left="7865" w:right="0"/>
              <w:jc w:val="left"/>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51.15pt;height:1.5pt;mso-position-horizontal-relative:char;mso-position-vertical-relative:line" coordorigin="0,0" coordsize="1023,30">
                  <v:group style="position:absolute;left:15;top:15;width:993;height:2" coordorigin="15,15" coordsize="993,2">
                    <v:shape style="position:absolute;left:15;top:15;width:993;height:2" coordorigin="15,15" coordsize="993,0" path="m15,15l1007,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TableParagraph"/>
              <w:spacing w:line="240" w:lineRule="auto" w:before="0"/>
              <w:ind w:right="0"/>
              <w:jc w:val="left"/>
              <w:rPr>
                <w:rFonts w:ascii="Times New Roman" w:hAnsi="Times New Roman" w:cs="Times New Roman" w:eastAsia="Times New Roman" w:hint="default"/>
                <w:sz w:val="31"/>
                <w:szCs w:val="31"/>
              </w:rPr>
            </w:pPr>
          </w:p>
          <w:p>
            <w:pPr>
              <w:pStyle w:val="TableParagraph"/>
              <w:spacing w:line="322" w:lineRule="exact"/>
              <w:ind w:left="191" w:right="0"/>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2"/>
                <w:sz w:val="24"/>
                <w:szCs w:val="24"/>
              </w:rPr>
              <w:t> </w:t>
            </w:r>
            <w:r>
              <w:rPr>
                <w:rFonts w:ascii="宋体" w:hAnsi="宋体" w:cs="宋体" w:eastAsia="宋体" w:hint="default"/>
                <w:sz w:val="24"/>
                <w:szCs w:val="24"/>
              </w:rPr>
              <w:t>于</w:t>
            </w:r>
            <w:r>
              <w:rPr>
                <w:rFonts w:ascii="宋体" w:hAnsi="宋体" w:cs="宋体" w:eastAsia="宋体" w:hint="default"/>
                <w:spacing w:val="-49"/>
                <w:sz w:val="24"/>
                <w:szCs w:val="24"/>
              </w:rPr>
              <w:t> </w:t>
            </w:r>
            <w:r>
              <w:rPr>
                <w:rFonts w:ascii="Arial" w:hAnsi="Arial" w:cs="Arial" w:eastAsia="Arial" w:hint="default"/>
                <w:sz w:val="24"/>
                <w:szCs w:val="24"/>
              </w:rPr>
              <w:t>2015</w:t>
            </w:r>
            <w:r>
              <w:rPr>
                <w:rFonts w:ascii="Arial" w:hAnsi="Arial" w:cs="Arial" w:eastAsia="Arial" w:hint="default"/>
                <w:spacing w:val="4"/>
                <w:sz w:val="24"/>
                <w:szCs w:val="24"/>
              </w:rPr>
              <w:t> </w:t>
            </w:r>
            <w:r>
              <w:rPr>
                <w:rFonts w:ascii="宋体" w:hAnsi="宋体" w:cs="宋体" w:eastAsia="宋体" w:hint="default"/>
                <w:sz w:val="24"/>
                <w:szCs w:val="24"/>
              </w:rPr>
              <w:t>年度，北京朝阳苏宁生活广场项目由出售改为自用，该用途的转变导致该项目由存货转入在建工程核算。于</w:t>
            </w:r>
            <w:r>
              <w:rPr>
                <w:rFonts w:ascii="宋体" w:hAnsi="宋体" w:cs="宋体" w:eastAsia="宋体" w:hint="default"/>
                <w:spacing w:val="-49"/>
                <w:sz w:val="24"/>
                <w:szCs w:val="24"/>
              </w:rPr>
              <w:t> </w:t>
            </w:r>
            <w:r>
              <w:rPr>
                <w:rFonts w:ascii="Arial" w:hAnsi="Arial" w:cs="Arial" w:eastAsia="Arial" w:hint="default"/>
                <w:sz w:val="24"/>
                <w:szCs w:val="24"/>
              </w:rPr>
              <w:t>2015</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p>
          <w:p>
            <w:pPr>
              <w:pStyle w:val="TableParagraph"/>
              <w:spacing w:line="322" w:lineRule="exact"/>
              <w:ind w:left="191" w:right="0"/>
              <w:jc w:val="left"/>
              <w:rPr>
                <w:rFonts w:ascii="宋体" w:hAnsi="宋体" w:cs="宋体" w:eastAsia="宋体" w:hint="default"/>
                <w:sz w:val="24"/>
                <w:szCs w:val="24"/>
              </w:rPr>
            </w:pP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日，北京朝阳苏宁生活广场项目已达可使用状态账列固定资产。</w:t>
            </w:r>
          </w:p>
        </w:tc>
      </w:tr>
    </w:tbl>
    <w:p>
      <w:pPr>
        <w:spacing w:after="0" w:line="322" w:lineRule="exact"/>
        <w:jc w:val="left"/>
        <w:rPr>
          <w:rFonts w:ascii="宋体" w:hAnsi="宋体" w:cs="宋体" w:eastAsia="宋体" w:hint="default"/>
          <w:sz w:val="24"/>
          <w:szCs w:val="24"/>
        </w:rPr>
        <w:sectPr>
          <w:headerReference w:type="default" r:id="rId41"/>
          <w:footerReference w:type="default" r:id="rId42"/>
          <w:pgSz w:w="16840" w:h="11910" w:orient="landscape"/>
          <w:pgMar w:header="755" w:footer="915" w:top="1860" w:bottom="1100" w:left="420" w:right="0"/>
          <w:pgNumType w:start="159"/>
        </w:sectPr>
      </w:pPr>
    </w:p>
    <w:p>
      <w:pPr>
        <w:spacing w:line="240" w:lineRule="auto" w:before="8"/>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697"/>
        <w:gridCol w:w="5750"/>
        <w:gridCol w:w="2686"/>
        <w:gridCol w:w="275"/>
        <w:gridCol w:w="3277"/>
        <w:gridCol w:w="2639"/>
      </w:tblGrid>
      <w:tr>
        <w:trPr>
          <w:trHeight w:val="496"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750" w:type="dxa"/>
            <w:tcBorders>
              <w:top w:val="nil" w:sz="6" w:space="0" w:color="auto"/>
              <w:left w:val="nil" w:sz="6" w:space="0" w:color="auto"/>
              <w:bottom w:val="nil" w:sz="6" w:space="0" w:color="auto"/>
              <w:right w:val="nil" w:sz="6" w:space="0" w:color="auto"/>
            </w:tcBorders>
          </w:tcPr>
          <w:p>
            <w:pPr>
              <w:pStyle w:val="TableParagraph"/>
              <w:spacing w:line="257" w:lineRule="exact"/>
              <w:ind w:left="20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86"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r>
      <w:tr>
        <w:trPr>
          <w:trHeight w:val="748"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(9)</w:t>
            </w: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3" w:right="0"/>
              <w:jc w:val="left"/>
              <w:rPr>
                <w:rFonts w:ascii="Arial" w:hAnsi="Arial" w:cs="Arial" w:eastAsia="Arial" w:hint="default"/>
                <w:sz w:val="24"/>
                <w:szCs w:val="24"/>
              </w:rPr>
            </w:pPr>
            <w:r>
              <w:rPr>
                <w:rFonts w:ascii="黑体" w:hAnsi="黑体" w:cs="黑体" w:eastAsia="黑体" w:hint="default"/>
                <w:sz w:val="24"/>
                <w:szCs w:val="24"/>
              </w:rPr>
              <w:t>存货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86"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r>
      <w:tr>
        <w:trPr>
          <w:trHeight w:val="754"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(e)</w:t>
            </w: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3" w:right="0"/>
              <w:jc w:val="left"/>
              <w:rPr>
                <w:rFonts w:ascii="宋体" w:hAnsi="宋体" w:cs="宋体" w:eastAsia="宋体" w:hint="default"/>
                <w:sz w:val="24"/>
                <w:szCs w:val="24"/>
              </w:rPr>
            </w:pPr>
            <w:r>
              <w:rPr>
                <w:rFonts w:ascii="宋体" w:hAnsi="宋体" w:cs="宋体" w:eastAsia="宋体" w:hint="default"/>
                <w:sz w:val="24"/>
                <w:szCs w:val="24"/>
              </w:rPr>
              <w:t>按照房地产开发项目列示资本化利息如下：</w:t>
            </w:r>
          </w:p>
        </w:tc>
        <w:tc>
          <w:tcPr>
            <w:tcW w:w="2686"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r>
      <w:tr>
        <w:trPr>
          <w:trHeight w:val="708"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借款费用资本化累计金额</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其中：本年借款费用资本化金额</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本年借款费用资本化率</w:t>
            </w:r>
          </w:p>
        </w:tc>
      </w:tr>
      <w:tr>
        <w:trPr>
          <w:trHeight w:val="545"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上海奉贤苏宁房地产项目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Arial" w:hAnsi="Arial" w:cs="Arial" w:eastAsia="Arial" w:hint="default"/>
                <w:sz w:val="18"/>
                <w:szCs w:val="18"/>
              </w:rPr>
            </w:pPr>
            <w:r>
              <w:rPr>
                <w:rFonts w:ascii="Arial"/>
                <w:spacing w:val="-1"/>
                <w:sz w:val="18"/>
              </w:rPr>
              <w:t>20,106</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Arial" w:hAnsi="Arial" w:cs="Arial" w:eastAsia="Arial" w:hint="default"/>
                <w:sz w:val="18"/>
                <w:szCs w:val="18"/>
              </w:rPr>
            </w:pPr>
            <w:r>
              <w:rPr>
                <w:rFonts w:ascii="Arial"/>
                <w:spacing w:val="-1"/>
                <w:sz w:val="18"/>
              </w:rPr>
              <w:t>12,849</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98"/>
              <w:jc w:val="right"/>
              <w:rPr>
                <w:rFonts w:ascii="Arial" w:hAnsi="Arial" w:cs="Arial" w:eastAsia="Arial" w:hint="default"/>
                <w:sz w:val="18"/>
                <w:szCs w:val="18"/>
              </w:rPr>
            </w:pPr>
            <w:r>
              <w:rPr>
                <w:rFonts w:ascii="Arial"/>
                <w:spacing w:val="-1"/>
                <w:sz w:val="18"/>
              </w:rPr>
              <w:t>5.53%</w:t>
            </w:r>
          </w:p>
        </w:tc>
      </w:tr>
      <w:tr>
        <w:trPr>
          <w:trHeight w:val="35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3" w:right="0"/>
              <w:jc w:val="left"/>
              <w:rPr>
                <w:rFonts w:ascii="宋体" w:hAnsi="宋体" w:cs="宋体" w:eastAsia="宋体" w:hint="default"/>
                <w:sz w:val="18"/>
                <w:szCs w:val="18"/>
              </w:rPr>
            </w:pPr>
            <w:r>
              <w:rPr>
                <w:rFonts w:ascii="宋体" w:hAnsi="宋体" w:cs="宋体" w:eastAsia="宋体" w:hint="default"/>
                <w:sz w:val="18"/>
                <w:szCs w:val="18"/>
              </w:rPr>
              <w:t>汕头市龙湖苏宁房地产项目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spacing w:val="-1"/>
                <w:sz w:val="18"/>
              </w:rPr>
              <w:t>9,614</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spacing w:val="-1"/>
                <w:sz w:val="18"/>
              </w:rPr>
              <w:t>6,295</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8"/>
              <w:jc w:val="right"/>
              <w:rPr>
                <w:rFonts w:ascii="Arial" w:hAnsi="Arial" w:cs="Arial" w:eastAsia="Arial" w:hint="default"/>
                <w:sz w:val="18"/>
                <w:szCs w:val="18"/>
              </w:rPr>
            </w:pPr>
            <w:r>
              <w:rPr>
                <w:rFonts w:ascii="Arial"/>
                <w:spacing w:val="-1"/>
                <w:sz w:val="18"/>
              </w:rPr>
              <w:t>5.53%</w:t>
            </w:r>
          </w:p>
        </w:tc>
      </w:tr>
      <w:tr>
        <w:trPr>
          <w:trHeight w:val="35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3" w:right="0"/>
              <w:jc w:val="left"/>
              <w:rPr>
                <w:rFonts w:ascii="宋体" w:hAnsi="宋体" w:cs="宋体" w:eastAsia="宋体" w:hint="default"/>
                <w:sz w:val="18"/>
                <w:szCs w:val="18"/>
              </w:rPr>
            </w:pPr>
            <w:r>
              <w:rPr>
                <w:rFonts w:ascii="宋体" w:hAnsi="宋体" w:cs="宋体" w:eastAsia="宋体" w:hint="default"/>
                <w:sz w:val="18"/>
                <w:szCs w:val="18"/>
              </w:rPr>
              <w:t>包头苏宁房地产项目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Arial" w:hAnsi="Arial" w:cs="Arial" w:eastAsia="Arial" w:hint="default"/>
                <w:sz w:val="18"/>
                <w:szCs w:val="18"/>
              </w:rPr>
            </w:pPr>
            <w:r>
              <w:rPr>
                <w:rFonts w:ascii="Arial"/>
                <w:spacing w:val="-1"/>
                <w:sz w:val="18"/>
              </w:rPr>
              <w:t>4,002</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Arial" w:hAnsi="Arial" w:cs="Arial" w:eastAsia="Arial" w:hint="default"/>
                <w:sz w:val="18"/>
                <w:szCs w:val="18"/>
              </w:rPr>
            </w:pPr>
            <w:r>
              <w:rPr>
                <w:rFonts w:ascii="Arial"/>
                <w:spacing w:val="-1"/>
                <w:sz w:val="18"/>
              </w:rPr>
              <w:t>3,294</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98"/>
              <w:jc w:val="right"/>
              <w:rPr>
                <w:rFonts w:ascii="Arial" w:hAnsi="Arial" w:cs="Arial" w:eastAsia="Arial" w:hint="default"/>
                <w:sz w:val="18"/>
                <w:szCs w:val="18"/>
              </w:rPr>
            </w:pPr>
            <w:r>
              <w:rPr>
                <w:rFonts w:ascii="Arial"/>
                <w:spacing w:val="-1"/>
                <w:sz w:val="18"/>
              </w:rPr>
              <w:t>5.53%</w:t>
            </w:r>
          </w:p>
        </w:tc>
      </w:tr>
      <w:tr>
        <w:trPr>
          <w:trHeight w:val="35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3" w:right="0"/>
              <w:jc w:val="left"/>
              <w:rPr>
                <w:rFonts w:ascii="宋体" w:hAnsi="宋体" w:cs="宋体" w:eastAsia="宋体" w:hint="default"/>
                <w:sz w:val="18"/>
                <w:szCs w:val="18"/>
              </w:rPr>
            </w:pPr>
            <w:r>
              <w:rPr>
                <w:rFonts w:ascii="宋体" w:hAnsi="宋体" w:cs="宋体" w:eastAsia="宋体" w:hint="default"/>
                <w:sz w:val="18"/>
                <w:szCs w:val="18"/>
              </w:rPr>
              <w:t>济宁苏宁房地产项目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spacing w:val="-1"/>
                <w:sz w:val="18"/>
              </w:rPr>
              <w:t>3,954</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spacing w:val="-1"/>
                <w:sz w:val="18"/>
              </w:rPr>
              <w:t>2,784</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8"/>
              <w:jc w:val="right"/>
              <w:rPr>
                <w:rFonts w:ascii="Arial" w:hAnsi="Arial" w:cs="Arial" w:eastAsia="Arial" w:hint="default"/>
                <w:sz w:val="18"/>
                <w:szCs w:val="18"/>
              </w:rPr>
            </w:pPr>
            <w:r>
              <w:rPr>
                <w:rFonts w:ascii="Arial"/>
                <w:spacing w:val="-1"/>
                <w:sz w:val="18"/>
              </w:rPr>
              <w:t>5.53%</w:t>
            </w:r>
          </w:p>
        </w:tc>
      </w:tr>
      <w:tr>
        <w:trPr>
          <w:trHeight w:val="35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3" w:right="0"/>
              <w:jc w:val="left"/>
              <w:rPr>
                <w:rFonts w:ascii="宋体" w:hAnsi="宋体" w:cs="宋体" w:eastAsia="宋体" w:hint="default"/>
                <w:sz w:val="18"/>
                <w:szCs w:val="18"/>
              </w:rPr>
            </w:pPr>
            <w:r>
              <w:rPr>
                <w:rFonts w:ascii="宋体" w:hAnsi="宋体" w:cs="宋体" w:eastAsia="宋体" w:hint="default"/>
                <w:sz w:val="18"/>
                <w:szCs w:val="18"/>
              </w:rPr>
              <w:t>湖州苕溪苏宁房地产项目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spacing w:val="-1"/>
                <w:sz w:val="18"/>
              </w:rPr>
              <w:t>3,178</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w w:val="99"/>
                <w:sz w:val="18"/>
              </w:rPr>
              <w:t>-</w:t>
            </w:r>
            <w:r>
              <w:rPr>
                <w:rFonts w:ascii="Arial"/>
                <w:sz w:val="18"/>
              </w:rPr>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8"/>
              <w:jc w:val="right"/>
              <w:rPr>
                <w:rFonts w:ascii="Arial" w:hAnsi="Arial" w:cs="Arial" w:eastAsia="Arial" w:hint="default"/>
                <w:sz w:val="18"/>
                <w:szCs w:val="18"/>
              </w:rPr>
            </w:pPr>
            <w:r>
              <w:rPr>
                <w:rFonts w:ascii="Arial"/>
                <w:spacing w:val="-1"/>
                <w:sz w:val="18"/>
              </w:rPr>
              <w:t>5.53%</w:t>
            </w:r>
          </w:p>
        </w:tc>
      </w:tr>
      <w:tr>
        <w:trPr>
          <w:trHeight w:val="35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3" w:right="0"/>
              <w:jc w:val="left"/>
              <w:rPr>
                <w:rFonts w:ascii="宋体" w:hAnsi="宋体" w:cs="宋体" w:eastAsia="宋体" w:hint="default"/>
                <w:sz w:val="18"/>
                <w:szCs w:val="18"/>
              </w:rPr>
            </w:pPr>
            <w:r>
              <w:rPr>
                <w:rFonts w:ascii="宋体" w:hAnsi="宋体" w:cs="宋体" w:eastAsia="宋体" w:hint="default"/>
                <w:sz w:val="18"/>
                <w:szCs w:val="18"/>
              </w:rPr>
              <w:t>滁州苏宁房地产项目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Arial" w:hAnsi="Arial" w:cs="Arial" w:eastAsia="Arial" w:hint="default"/>
                <w:sz w:val="18"/>
                <w:szCs w:val="18"/>
              </w:rPr>
            </w:pPr>
            <w:r>
              <w:rPr>
                <w:rFonts w:ascii="Arial"/>
                <w:spacing w:val="-1"/>
                <w:sz w:val="18"/>
              </w:rPr>
              <w:t>2,058</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Arial" w:hAnsi="Arial" w:cs="Arial" w:eastAsia="Arial" w:hint="default"/>
                <w:sz w:val="18"/>
                <w:szCs w:val="18"/>
              </w:rPr>
            </w:pPr>
            <w:r>
              <w:rPr>
                <w:rFonts w:ascii="Arial"/>
                <w:spacing w:val="-1"/>
                <w:sz w:val="18"/>
              </w:rPr>
              <w:t>1,856</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98"/>
              <w:jc w:val="right"/>
              <w:rPr>
                <w:rFonts w:ascii="Arial" w:hAnsi="Arial" w:cs="Arial" w:eastAsia="Arial" w:hint="default"/>
                <w:sz w:val="18"/>
                <w:szCs w:val="18"/>
              </w:rPr>
            </w:pPr>
            <w:r>
              <w:rPr>
                <w:rFonts w:ascii="Arial"/>
                <w:spacing w:val="-1"/>
                <w:sz w:val="18"/>
              </w:rPr>
              <w:t>5.53%</w:t>
            </w:r>
          </w:p>
        </w:tc>
      </w:tr>
      <w:tr>
        <w:trPr>
          <w:trHeight w:val="329"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03" w:right="0"/>
              <w:jc w:val="left"/>
              <w:rPr>
                <w:rFonts w:ascii="宋体" w:hAnsi="宋体" w:cs="宋体" w:eastAsia="宋体" w:hint="default"/>
                <w:sz w:val="18"/>
                <w:szCs w:val="18"/>
              </w:rPr>
            </w:pPr>
            <w:r>
              <w:rPr>
                <w:rFonts w:ascii="宋体" w:hAnsi="宋体" w:cs="宋体" w:eastAsia="宋体" w:hint="default"/>
                <w:sz w:val="18"/>
                <w:szCs w:val="18"/>
              </w:rPr>
              <w:t>北京房山苏宁房地产项目</w:t>
            </w:r>
          </w:p>
        </w:tc>
        <w:tc>
          <w:tcPr>
            <w:tcW w:w="2686"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8"/>
              <w:jc w:val="right"/>
              <w:rPr>
                <w:rFonts w:ascii="Arial" w:hAnsi="Arial" w:cs="Arial" w:eastAsia="Arial" w:hint="default"/>
                <w:sz w:val="18"/>
                <w:szCs w:val="18"/>
              </w:rPr>
            </w:pPr>
            <w:r>
              <w:rPr>
                <w:rFonts w:ascii="Arial"/>
                <w:spacing w:val="-1"/>
                <w:w w:val="95"/>
                <w:sz w:val="18"/>
              </w:rPr>
              <w:t>816</w:t>
            </w:r>
            <w:r>
              <w:rPr>
                <w:rFonts w:ascii="Arial"/>
                <w:sz w:val="18"/>
              </w:rPr>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w w:val="99"/>
                <w:sz w:val="18"/>
              </w:rPr>
              <w:t>-</w:t>
            </w:r>
            <w:r>
              <w:rPr>
                <w:rFonts w:ascii="Arial"/>
                <w:sz w:val="18"/>
              </w:rPr>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8"/>
              <w:jc w:val="right"/>
              <w:rPr>
                <w:rFonts w:ascii="Arial" w:hAnsi="Arial" w:cs="Arial" w:eastAsia="Arial" w:hint="default"/>
                <w:sz w:val="18"/>
                <w:szCs w:val="18"/>
              </w:rPr>
            </w:pPr>
            <w:r>
              <w:rPr>
                <w:rFonts w:ascii="Arial"/>
                <w:spacing w:val="-1"/>
                <w:sz w:val="18"/>
              </w:rPr>
              <w:t>5.53%</w:t>
            </w:r>
          </w:p>
        </w:tc>
      </w:tr>
      <w:tr>
        <w:trPr>
          <w:trHeight w:val="37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
        </w:tc>
        <w:tc>
          <w:tcPr>
            <w:tcW w:w="26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7"/>
              <w:jc w:val="right"/>
              <w:rPr>
                <w:rFonts w:ascii="Arial" w:hAnsi="Arial" w:cs="Arial" w:eastAsia="Arial" w:hint="default"/>
                <w:sz w:val="18"/>
                <w:szCs w:val="18"/>
              </w:rPr>
            </w:pPr>
            <w:r>
              <w:rPr>
                <w:rFonts w:ascii="Arial"/>
                <w:spacing w:val="-1"/>
                <w:sz w:val="18"/>
              </w:rPr>
              <w:t>43,728</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8"/>
              <w:jc w:val="right"/>
              <w:rPr>
                <w:rFonts w:ascii="Arial" w:hAnsi="Arial" w:cs="Arial" w:eastAsia="Arial" w:hint="default"/>
                <w:sz w:val="18"/>
                <w:szCs w:val="18"/>
              </w:rPr>
            </w:pPr>
            <w:r>
              <w:rPr>
                <w:rFonts w:ascii="Arial"/>
                <w:spacing w:val="-1"/>
                <w:sz w:val="18"/>
              </w:rPr>
              <w:t>27,078</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98"/>
              <w:jc w:val="right"/>
              <w:rPr>
                <w:rFonts w:ascii="Arial" w:hAnsi="Arial" w:cs="Arial" w:eastAsia="Arial" w:hint="default"/>
                <w:sz w:val="18"/>
                <w:szCs w:val="18"/>
              </w:rPr>
            </w:pPr>
            <w:r>
              <w:rPr>
                <w:rFonts w:ascii="Arial"/>
                <w:spacing w:val="-1"/>
                <w:sz w:val="18"/>
              </w:rPr>
              <w:t>5.53%</w:t>
            </w:r>
          </w:p>
        </w:tc>
      </w:tr>
    </w:tbl>
    <w:p>
      <w:pPr>
        <w:spacing w:after="0" w:line="240" w:lineRule="auto"/>
        <w:jc w:val="right"/>
        <w:rPr>
          <w:rFonts w:ascii="Arial" w:hAnsi="Arial" w:cs="Arial" w:eastAsia="Arial" w:hint="default"/>
          <w:sz w:val="18"/>
          <w:szCs w:val="18"/>
        </w:rPr>
        <w:sectPr>
          <w:pgSz w:w="16840" w:h="11910" w:orient="landscape"/>
          <w:pgMar w:header="755" w:footer="915" w:top="1860" w:bottom="110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697"/>
        <w:gridCol w:w="2403"/>
        <w:gridCol w:w="2299"/>
        <w:gridCol w:w="1940"/>
        <w:gridCol w:w="232"/>
        <w:gridCol w:w="1211"/>
        <w:gridCol w:w="230"/>
        <w:gridCol w:w="1282"/>
        <w:gridCol w:w="230"/>
        <w:gridCol w:w="2274"/>
        <w:gridCol w:w="232"/>
        <w:gridCol w:w="2051"/>
      </w:tblGrid>
      <w:tr>
        <w:trPr>
          <w:trHeight w:val="495"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70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0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40"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
        </w:tc>
      </w:tr>
      <w:tr>
        <w:trPr>
          <w:trHeight w:val="747"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(9)</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3" w:right="0"/>
              <w:jc w:val="left"/>
              <w:rPr>
                <w:rFonts w:ascii="Arial" w:hAnsi="Arial" w:cs="Arial" w:eastAsia="Arial" w:hint="default"/>
                <w:sz w:val="24"/>
                <w:szCs w:val="24"/>
              </w:rPr>
            </w:pPr>
            <w:r>
              <w:rPr>
                <w:rFonts w:ascii="黑体" w:hAnsi="黑体" w:cs="黑体" w:eastAsia="黑体" w:hint="default"/>
                <w:sz w:val="24"/>
                <w:szCs w:val="24"/>
              </w:rPr>
              <w:t>存货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99"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
        </w:tc>
      </w:tr>
      <w:tr>
        <w:trPr>
          <w:trHeight w:val="762"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(f)</w:t>
            </w:r>
          </w:p>
        </w:tc>
        <w:tc>
          <w:tcPr>
            <w:tcW w:w="4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03" w:right="0"/>
              <w:jc w:val="left"/>
              <w:rPr>
                <w:rFonts w:ascii="宋体" w:hAnsi="宋体" w:cs="宋体" w:eastAsia="宋体" w:hint="default"/>
                <w:sz w:val="24"/>
                <w:szCs w:val="24"/>
              </w:rPr>
            </w:pPr>
            <w:r>
              <w:rPr>
                <w:rFonts w:ascii="宋体" w:hAnsi="宋体" w:cs="宋体" w:eastAsia="宋体" w:hint="default"/>
                <w:sz w:val="24"/>
                <w:szCs w:val="24"/>
              </w:rPr>
              <w:t>房地产开发产品分析如下：</w:t>
            </w:r>
          </w:p>
        </w:tc>
        <w:tc>
          <w:tcPr>
            <w:tcW w:w="1940"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
        </w:tc>
      </w:tr>
      <w:tr>
        <w:trPr>
          <w:trHeight w:val="720" w:hRule="exact"/>
        </w:trPr>
        <w:tc>
          <w:tcPr>
            <w:tcW w:w="697"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747"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3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3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本年销售</w:t>
            </w:r>
          </w:p>
        </w:tc>
        <w:tc>
          <w:tcPr>
            <w:tcW w:w="230"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本年其他减少</w:t>
            </w:r>
          </w:p>
        </w:tc>
        <w:tc>
          <w:tcPr>
            <w:tcW w:w="23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41" w:hRule="exact"/>
        </w:trPr>
        <w:tc>
          <w:tcPr>
            <w:tcW w:w="697"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汕头龙湖苏宁房地产项目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9"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spacing w:val="-1"/>
                <w:sz w:val="18"/>
              </w:rPr>
              <w:t>489,848</w:t>
            </w:r>
          </w:p>
        </w:tc>
        <w:tc>
          <w:tcPr>
            <w:tcW w:w="23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(243,723)</w:t>
            </w:r>
          </w:p>
        </w:tc>
        <w:tc>
          <w:tcPr>
            <w:tcW w:w="230"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246,125</w:t>
            </w:r>
          </w:p>
        </w:tc>
      </w:tr>
      <w:tr>
        <w:trPr>
          <w:trHeight w:val="356" w:hRule="exact"/>
        </w:trPr>
        <w:tc>
          <w:tcPr>
            <w:tcW w:w="697"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3" w:right="0"/>
              <w:jc w:val="left"/>
              <w:rPr>
                <w:rFonts w:ascii="宋体" w:hAnsi="宋体" w:cs="宋体" w:eastAsia="宋体" w:hint="default"/>
                <w:sz w:val="18"/>
                <w:szCs w:val="18"/>
              </w:rPr>
            </w:pPr>
            <w:r>
              <w:rPr>
                <w:rFonts w:ascii="宋体" w:hAnsi="宋体" w:cs="宋体" w:eastAsia="宋体" w:hint="default"/>
                <w:sz w:val="18"/>
                <w:szCs w:val="18"/>
              </w:rPr>
              <w:t>上海奉贤苏宁房地产项目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9"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1"/>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890,487</w:t>
            </w:r>
          </w:p>
        </w:tc>
        <w:tc>
          <w:tcPr>
            <w:tcW w:w="23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1"/>
              <w:jc w:val="right"/>
              <w:rPr>
                <w:rFonts w:ascii="Arial" w:hAnsi="Arial" w:cs="Arial" w:eastAsia="Arial" w:hint="default"/>
                <w:sz w:val="18"/>
                <w:szCs w:val="18"/>
              </w:rPr>
            </w:pPr>
            <w:r>
              <w:rPr>
                <w:rFonts w:ascii="Arial"/>
                <w:spacing w:val="-1"/>
                <w:sz w:val="18"/>
              </w:rPr>
              <w:t>(788,612)</w:t>
            </w:r>
          </w:p>
        </w:tc>
        <w:tc>
          <w:tcPr>
            <w:tcW w:w="230"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101,875</w:t>
            </w:r>
          </w:p>
        </w:tc>
      </w:tr>
      <w:tr>
        <w:trPr>
          <w:trHeight w:val="356" w:hRule="exact"/>
        </w:trPr>
        <w:tc>
          <w:tcPr>
            <w:tcW w:w="697"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3" w:right="0"/>
              <w:jc w:val="left"/>
              <w:rPr>
                <w:rFonts w:ascii="宋体" w:hAnsi="宋体" w:cs="宋体" w:eastAsia="宋体" w:hint="default"/>
                <w:sz w:val="18"/>
                <w:szCs w:val="18"/>
              </w:rPr>
            </w:pPr>
            <w:r>
              <w:rPr>
                <w:rFonts w:ascii="宋体" w:hAnsi="宋体" w:cs="宋体" w:eastAsia="宋体" w:hint="default"/>
                <w:sz w:val="18"/>
                <w:szCs w:val="18"/>
              </w:rPr>
              <w:t>湖州苕溪苏宁房地产项目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1"/>
              <w:jc w:val="right"/>
              <w:rPr>
                <w:rFonts w:ascii="Arial" w:hAnsi="Arial" w:cs="Arial" w:eastAsia="Arial" w:hint="default"/>
                <w:sz w:val="18"/>
                <w:szCs w:val="18"/>
              </w:rPr>
            </w:pPr>
            <w:r>
              <w:rPr>
                <w:rFonts w:ascii="Arial"/>
                <w:spacing w:val="-1"/>
                <w:sz w:val="18"/>
              </w:rPr>
              <w:t>174,107</w:t>
            </w:r>
          </w:p>
        </w:tc>
        <w:tc>
          <w:tcPr>
            <w:tcW w:w="23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spacing w:val="-1"/>
                <w:sz w:val="18"/>
              </w:rPr>
              <w:t>2,568</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0"/>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spacing w:val="-1"/>
                <w:sz w:val="18"/>
              </w:rPr>
              <w:t>(7,143)</w:t>
            </w:r>
          </w:p>
        </w:tc>
        <w:tc>
          <w:tcPr>
            <w:tcW w:w="23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169,532</w:t>
            </w:r>
          </w:p>
        </w:tc>
      </w:tr>
      <w:tr>
        <w:trPr>
          <w:trHeight w:val="330" w:hRule="exact"/>
        </w:trPr>
        <w:tc>
          <w:tcPr>
            <w:tcW w:w="697"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3" w:right="0"/>
              <w:jc w:val="left"/>
              <w:rPr>
                <w:rFonts w:ascii="宋体" w:hAnsi="宋体" w:cs="宋体" w:eastAsia="宋体" w:hint="default"/>
                <w:sz w:val="18"/>
                <w:szCs w:val="18"/>
              </w:rPr>
            </w:pPr>
            <w:r>
              <w:rPr>
                <w:rFonts w:ascii="宋体" w:hAnsi="宋体" w:cs="宋体" w:eastAsia="宋体" w:hint="default"/>
                <w:sz w:val="18"/>
                <w:szCs w:val="18"/>
              </w:rPr>
              <w:t>北京房山苏宁房地产项目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40"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32"/>
              <w:jc w:val="right"/>
              <w:rPr>
                <w:rFonts w:ascii="Arial" w:hAnsi="Arial" w:cs="Arial" w:eastAsia="Arial" w:hint="default"/>
                <w:sz w:val="18"/>
                <w:szCs w:val="18"/>
              </w:rPr>
            </w:pPr>
            <w:r>
              <w:rPr>
                <w:rFonts w:ascii="Arial"/>
                <w:spacing w:val="-1"/>
                <w:sz w:val="18"/>
              </w:rPr>
              <w:t>52,282</w:t>
            </w:r>
          </w:p>
        </w:tc>
        <w:tc>
          <w:tcPr>
            <w:tcW w:w="23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spacing w:val="-1"/>
                <w:sz w:val="18"/>
              </w:rPr>
              <w:t>7,845</w:t>
            </w:r>
          </w:p>
        </w:tc>
        <w:tc>
          <w:tcPr>
            <w:tcW w:w="23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7"/>
              <w:jc w:val="right"/>
              <w:rPr>
                <w:rFonts w:ascii="Arial" w:hAnsi="Arial" w:cs="Arial" w:eastAsia="Arial" w:hint="default"/>
                <w:sz w:val="18"/>
                <w:szCs w:val="18"/>
              </w:rPr>
            </w:pPr>
            <w:r>
              <w:rPr>
                <w:rFonts w:ascii="Arial"/>
                <w:spacing w:val="-1"/>
                <w:sz w:val="18"/>
              </w:rPr>
              <w:t>(4,083)</w:t>
            </w:r>
          </w:p>
        </w:tc>
        <w:tc>
          <w:tcPr>
            <w:tcW w:w="230"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spacing w:val="-1"/>
                <w:sz w:val="18"/>
              </w:rPr>
              <w:t>56,044</w:t>
            </w:r>
          </w:p>
        </w:tc>
      </w:tr>
      <w:tr>
        <w:trPr>
          <w:trHeight w:val="376" w:hRule="exact"/>
        </w:trPr>
        <w:tc>
          <w:tcPr>
            <w:tcW w:w="697"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131"/>
              <w:jc w:val="right"/>
              <w:rPr>
                <w:rFonts w:ascii="Arial" w:hAnsi="Arial" w:cs="Arial" w:eastAsia="Arial" w:hint="default"/>
                <w:sz w:val="18"/>
                <w:szCs w:val="18"/>
              </w:rPr>
            </w:pPr>
            <w:r>
              <w:rPr>
                <w:rFonts w:ascii="Arial"/>
                <w:spacing w:val="-1"/>
                <w:sz w:val="18"/>
              </w:rPr>
              <w:t>226,389</w:t>
            </w:r>
          </w:p>
        </w:tc>
        <w:tc>
          <w:tcPr>
            <w:tcW w:w="232"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106"/>
              <w:jc w:val="right"/>
              <w:rPr>
                <w:rFonts w:ascii="Arial" w:hAnsi="Arial" w:cs="Arial" w:eastAsia="Arial" w:hint="default"/>
                <w:sz w:val="18"/>
                <w:szCs w:val="18"/>
              </w:rPr>
            </w:pPr>
            <w:r>
              <w:rPr>
                <w:rFonts w:ascii="Arial"/>
                <w:spacing w:val="-1"/>
                <w:sz w:val="18"/>
              </w:rPr>
              <w:t>1,390,748</w:t>
            </w:r>
          </w:p>
        </w:tc>
        <w:tc>
          <w:tcPr>
            <w:tcW w:w="230"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107"/>
              <w:jc w:val="right"/>
              <w:rPr>
                <w:rFonts w:ascii="Arial" w:hAnsi="Arial" w:cs="Arial" w:eastAsia="Arial" w:hint="default"/>
                <w:sz w:val="18"/>
                <w:szCs w:val="18"/>
              </w:rPr>
            </w:pPr>
            <w:r>
              <w:rPr>
                <w:rFonts w:ascii="Arial"/>
                <w:spacing w:val="-1"/>
                <w:sz w:val="18"/>
              </w:rPr>
              <w:t>(1,036,418)</w:t>
            </w:r>
          </w:p>
        </w:tc>
        <w:tc>
          <w:tcPr>
            <w:tcW w:w="230" w:type="dxa"/>
            <w:tcBorders>
              <w:top w:val="nil" w:sz="6" w:space="0" w:color="auto"/>
              <w:left w:val="nil" w:sz="6" w:space="0" w:color="auto"/>
              <w:bottom w:val="nil" w:sz="6" w:space="0" w:color="auto"/>
              <w:right w:val="nil" w:sz="6" w:space="0" w:color="auto"/>
            </w:tcBorders>
          </w:tcPr>
          <w:p>
            <w:pPr/>
          </w:p>
        </w:tc>
        <w:tc>
          <w:tcPr>
            <w:tcW w:w="2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107"/>
              <w:jc w:val="right"/>
              <w:rPr>
                <w:rFonts w:ascii="Arial" w:hAnsi="Arial" w:cs="Arial" w:eastAsia="Arial" w:hint="default"/>
                <w:sz w:val="18"/>
                <w:szCs w:val="18"/>
              </w:rPr>
            </w:pPr>
            <w:r>
              <w:rPr>
                <w:rFonts w:ascii="Arial"/>
                <w:spacing w:val="-1"/>
                <w:sz w:val="18"/>
              </w:rPr>
              <w:t>(7,143)</w:t>
            </w:r>
          </w:p>
        </w:tc>
        <w:tc>
          <w:tcPr>
            <w:tcW w:w="232" w:type="dxa"/>
            <w:tcBorders>
              <w:top w:val="nil" w:sz="6" w:space="0" w:color="auto"/>
              <w:left w:val="nil" w:sz="6" w:space="0" w:color="auto"/>
              <w:bottom w:val="nil" w:sz="6" w:space="0" w:color="auto"/>
              <w:right w:val="nil" w:sz="6" w:space="0" w:color="auto"/>
            </w:tcBorders>
          </w:tcPr>
          <w:p>
            <w:pPr/>
          </w:p>
        </w:tc>
        <w:tc>
          <w:tcPr>
            <w:tcW w:w="205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106"/>
              <w:jc w:val="right"/>
              <w:rPr>
                <w:rFonts w:ascii="Arial" w:hAnsi="Arial" w:cs="Arial" w:eastAsia="Arial" w:hint="default"/>
                <w:sz w:val="18"/>
                <w:szCs w:val="18"/>
              </w:rPr>
            </w:pPr>
            <w:r>
              <w:rPr>
                <w:rFonts w:ascii="Arial"/>
                <w:spacing w:val="-1"/>
                <w:sz w:val="18"/>
              </w:rPr>
              <w:t>573,576</w:t>
            </w:r>
          </w:p>
        </w:tc>
      </w:tr>
    </w:tbl>
    <w:p>
      <w:pPr>
        <w:spacing w:line="240" w:lineRule="auto" w:before="10"/>
        <w:rPr>
          <w:rFonts w:ascii="Times New Roman" w:hAnsi="Times New Roman" w:cs="Times New Roman" w:eastAsia="Times New Roman" w:hint="default"/>
          <w:sz w:val="22"/>
          <w:szCs w:val="22"/>
        </w:rPr>
      </w:pPr>
    </w:p>
    <w:p>
      <w:pPr>
        <w:pStyle w:val="Heading3"/>
        <w:spacing w:line="240" w:lineRule="auto" w:before="26"/>
        <w:ind w:left="999" w:right="0"/>
        <w:jc w:val="left"/>
      </w:pPr>
      <w:r>
        <w:rPr/>
        <w:t>于</w:t>
      </w:r>
      <w:r>
        <w:rPr>
          <w:spacing w:val="-61"/>
        </w:rPr>
        <w:t> </w:t>
      </w:r>
      <w:r>
        <w:rPr>
          <w:rFonts w:ascii="Arial" w:hAnsi="Arial" w:cs="Arial" w:eastAsia="Arial" w:hint="default"/>
        </w:rPr>
        <w:t>2015</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日，本集团无房地产开发产品作为借款的抵押物</w:t>
      </w:r>
      <w:r>
        <w:rPr>
          <w:rFonts w:ascii="Arial" w:hAnsi="Arial" w:cs="Arial" w:eastAsia="Arial" w:hint="default"/>
        </w:rPr>
        <w:t>(2014</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日：无</w:t>
      </w:r>
      <w:r>
        <w:rPr>
          <w:rFonts w:ascii="Arial" w:hAnsi="Arial" w:cs="Arial" w:eastAsia="Arial" w:hint="default"/>
        </w:rPr>
        <w:t>)</w:t>
      </w:r>
      <w:r>
        <w:rPr/>
        <w:t>。</w:t>
      </w:r>
    </w:p>
    <w:p>
      <w:pPr>
        <w:spacing w:after="0" w:line="240" w:lineRule="auto"/>
        <w:jc w:val="left"/>
        <w:sectPr>
          <w:pgSz w:w="16840" w:h="11910" w:orient="landscape"/>
          <w:pgMar w:header="755" w:footer="915" w:top="1860" w:bottom="1100" w:left="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811"/>
        <w:gridCol w:w="4082"/>
        <w:gridCol w:w="1980"/>
        <w:gridCol w:w="2455"/>
      </w:tblGrid>
      <w:tr>
        <w:trPr>
          <w:trHeight w:val="416"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082" w:type="dxa"/>
            <w:tcBorders>
              <w:top w:val="nil" w:sz="6" w:space="0" w:color="auto"/>
              <w:left w:val="nil" w:sz="6" w:space="0" w:color="auto"/>
              <w:bottom w:val="nil" w:sz="6" w:space="0" w:color="auto"/>
              <w:right w:val="nil" w:sz="6" w:space="0" w:color="auto"/>
            </w:tcBorders>
          </w:tcPr>
          <w:p>
            <w:pPr>
              <w:pStyle w:val="TableParagraph"/>
              <w:spacing w:line="257" w:lineRule="exact"/>
              <w:ind w:left="18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8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
        </w:tc>
      </w:tr>
      <w:tr>
        <w:trPr>
          <w:trHeight w:val="585"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(10)</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3" w:right="0"/>
              <w:jc w:val="left"/>
              <w:rPr>
                <w:rFonts w:ascii="黑体" w:hAnsi="黑体" w:cs="黑体" w:eastAsia="黑体" w:hint="default"/>
                <w:sz w:val="24"/>
                <w:szCs w:val="24"/>
              </w:rPr>
            </w:pPr>
            <w:r>
              <w:rPr>
                <w:rFonts w:ascii="黑体" w:hAnsi="黑体" w:cs="黑体" w:eastAsia="黑体" w:hint="default"/>
                <w:sz w:val="24"/>
                <w:szCs w:val="24"/>
              </w:rPr>
              <w:t>其他流动资产</w:t>
            </w:r>
          </w:p>
        </w:tc>
        <w:tc>
          <w:tcPr>
            <w:tcW w:w="198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
        </w:tc>
      </w:tr>
      <w:tr>
        <w:trPr>
          <w:trHeight w:val="611" w:hRule="exact"/>
        </w:trPr>
        <w:tc>
          <w:tcPr>
            <w:tcW w:w="811" w:type="dxa"/>
            <w:tcBorders>
              <w:top w:val="nil" w:sz="6" w:space="0" w:color="auto"/>
              <w:left w:val="nil" w:sz="6" w:space="0" w:color="auto"/>
              <w:bottom w:val="nil" w:sz="6" w:space="0" w:color="auto"/>
              <w:right w:val="nil" w:sz="6" w:space="0" w:color="auto"/>
            </w:tcBorders>
          </w:tcPr>
          <w:p>
            <w:pPr/>
          </w:p>
        </w:tc>
        <w:tc>
          <w:tcPr>
            <w:tcW w:w="60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80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94" w:hRule="exact"/>
        </w:trPr>
        <w:tc>
          <w:tcPr>
            <w:tcW w:w="811"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3" w:right="0"/>
              <w:jc w:val="left"/>
              <w:rPr>
                <w:rFonts w:ascii="宋体" w:hAnsi="宋体" w:cs="宋体" w:eastAsia="宋体" w:hint="default"/>
                <w:sz w:val="24"/>
                <w:szCs w:val="24"/>
              </w:rPr>
            </w:pPr>
            <w:r>
              <w:rPr>
                <w:rFonts w:ascii="宋体" w:hAnsi="宋体" w:cs="宋体" w:eastAsia="宋体" w:hint="default"/>
                <w:sz w:val="24"/>
                <w:szCs w:val="24"/>
              </w:rPr>
              <w:t>预付房屋租赁费</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221"/>
              <w:jc w:val="right"/>
              <w:rPr>
                <w:rFonts w:ascii="Arial" w:hAnsi="Arial" w:cs="Arial" w:eastAsia="Arial" w:hint="default"/>
                <w:sz w:val="24"/>
                <w:szCs w:val="24"/>
              </w:rPr>
            </w:pPr>
            <w:r>
              <w:rPr>
                <w:rFonts w:ascii="Arial"/>
                <w:spacing w:val="-3"/>
                <w:sz w:val="24"/>
              </w:rPr>
              <w:t>1,576,112</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251"/>
              <w:jc w:val="right"/>
              <w:rPr>
                <w:rFonts w:ascii="Arial" w:hAnsi="Arial" w:cs="Arial" w:eastAsia="Arial" w:hint="default"/>
                <w:sz w:val="24"/>
                <w:szCs w:val="24"/>
              </w:rPr>
            </w:pPr>
            <w:r>
              <w:rPr>
                <w:rFonts w:ascii="Arial"/>
                <w:w w:val="95"/>
                <w:sz w:val="24"/>
              </w:rPr>
              <w:t>1,339,545</w:t>
            </w:r>
            <w:r>
              <w:rPr>
                <w:rFonts w:ascii="Arial"/>
                <w:sz w:val="24"/>
              </w:rPr>
            </w:r>
          </w:p>
        </w:tc>
      </w:tr>
      <w:tr>
        <w:trPr>
          <w:trHeight w:val="347" w:hRule="exact"/>
        </w:trPr>
        <w:tc>
          <w:tcPr>
            <w:tcW w:w="811"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Style w:val="TableParagraph"/>
              <w:spacing w:line="297" w:lineRule="exact"/>
              <w:ind w:left="183" w:right="0"/>
              <w:jc w:val="left"/>
              <w:rPr>
                <w:rFonts w:ascii="Arial" w:hAnsi="Arial" w:cs="Arial" w:eastAsia="Arial" w:hint="default"/>
                <w:sz w:val="24"/>
                <w:szCs w:val="24"/>
              </w:rPr>
            </w:pPr>
            <w:r>
              <w:rPr>
                <w:rFonts w:ascii="宋体" w:hAnsi="宋体" w:cs="宋体" w:eastAsia="宋体" w:hint="default"/>
                <w:sz w:val="24"/>
                <w:szCs w:val="24"/>
              </w:rPr>
              <w:t>可供出售金融资产</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(11))</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1"/>
              <w:jc w:val="right"/>
              <w:rPr>
                <w:rFonts w:ascii="Arial" w:hAnsi="Arial" w:cs="Arial" w:eastAsia="Arial" w:hint="default"/>
                <w:sz w:val="24"/>
                <w:szCs w:val="24"/>
              </w:rPr>
            </w:pPr>
            <w:r>
              <w:rPr>
                <w:rFonts w:ascii="Arial"/>
                <w:w w:val="95"/>
                <w:sz w:val="24"/>
              </w:rPr>
              <w:t>1,502,959</w:t>
            </w:r>
            <w:r>
              <w:rPr>
                <w:rFonts w:ascii="Arial"/>
                <w:sz w:val="24"/>
              </w:rPr>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24"/>
                <w:szCs w:val="24"/>
              </w:rPr>
            </w:pPr>
            <w:r>
              <w:rPr>
                <w:rFonts w:ascii="Arial"/>
                <w:spacing w:val="-1"/>
                <w:sz w:val="24"/>
              </w:rPr>
              <w:t>722,445</w:t>
            </w:r>
          </w:p>
        </w:tc>
      </w:tr>
      <w:tr>
        <w:trPr>
          <w:trHeight w:val="347" w:hRule="exact"/>
        </w:trPr>
        <w:tc>
          <w:tcPr>
            <w:tcW w:w="811"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Style w:val="TableParagraph"/>
              <w:spacing w:line="280" w:lineRule="exact"/>
              <w:ind w:left="183" w:right="0"/>
              <w:jc w:val="left"/>
              <w:rPr>
                <w:rFonts w:ascii="宋体" w:hAnsi="宋体" w:cs="宋体" w:eastAsia="宋体" w:hint="default"/>
                <w:sz w:val="24"/>
                <w:szCs w:val="24"/>
              </w:rPr>
            </w:pPr>
            <w:r>
              <w:rPr>
                <w:rFonts w:ascii="宋体" w:hAnsi="宋体" w:cs="宋体" w:eastAsia="宋体" w:hint="default"/>
                <w:sz w:val="24"/>
                <w:szCs w:val="24"/>
              </w:rPr>
              <w:t>待抵扣增值税进项税</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1"/>
              <w:jc w:val="right"/>
              <w:rPr>
                <w:rFonts w:ascii="Arial" w:hAnsi="Arial" w:cs="Arial" w:eastAsia="Arial" w:hint="default"/>
                <w:sz w:val="24"/>
                <w:szCs w:val="24"/>
              </w:rPr>
            </w:pPr>
            <w:r>
              <w:rPr>
                <w:rFonts w:ascii="Arial"/>
                <w:spacing w:val="-1"/>
                <w:sz w:val="24"/>
              </w:rPr>
              <w:t>387,878</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24"/>
                <w:szCs w:val="24"/>
              </w:rPr>
            </w:pPr>
            <w:r>
              <w:rPr>
                <w:rFonts w:ascii="Arial"/>
                <w:spacing w:val="-1"/>
                <w:sz w:val="24"/>
              </w:rPr>
              <w:t>498,861</w:t>
            </w:r>
          </w:p>
        </w:tc>
      </w:tr>
      <w:tr>
        <w:trPr>
          <w:trHeight w:val="347" w:hRule="exact"/>
        </w:trPr>
        <w:tc>
          <w:tcPr>
            <w:tcW w:w="811"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Style w:val="TableParagraph"/>
              <w:spacing w:line="280" w:lineRule="exact"/>
              <w:ind w:left="183" w:right="0"/>
              <w:jc w:val="left"/>
              <w:rPr>
                <w:rFonts w:ascii="宋体" w:hAnsi="宋体" w:cs="宋体" w:eastAsia="宋体" w:hint="default"/>
                <w:sz w:val="24"/>
                <w:szCs w:val="24"/>
              </w:rPr>
            </w:pPr>
            <w:r>
              <w:rPr>
                <w:rFonts w:ascii="宋体" w:hAnsi="宋体" w:cs="宋体" w:eastAsia="宋体" w:hint="default"/>
                <w:sz w:val="24"/>
                <w:szCs w:val="24"/>
              </w:rPr>
              <w:t>预缴所得税</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1"/>
              <w:jc w:val="right"/>
              <w:rPr>
                <w:rFonts w:ascii="Arial" w:hAnsi="Arial" w:cs="Arial" w:eastAsia="Arial" w:hint="default"/>
                <w:sz w:val="24"/>
                <w:szCs w:val="24"/>
              </w:rPr>
            </w:pPr>
            <w:r>
              <w:rPr>
                <w:rFonts w:ascii="Arial"/>
                <w:spacing w:val="-9"/>
                <w:sz w:val="24"/>
              </w:rPr>
              <w:t>111,511</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24"/>
                <w:szCs w:val="24"/>
              </w:rPr>
            </w:pPr>
            <w:r>
              <w:rPr>
                <w:rFonts w:ascii="Arial"/>
                <w:spacing w:val="-1"/>
                <w:sz w:val="24"/>
              </w:rPr>
              <w:t>61,232</w:t>
            </w:r>
          </w:p>
        </w:tc>
      </w:tr>
      <w:tr>
        <w:trPr>
          <w:trHeight w:val="347" w:hRule="exact"/>
        </w:trPr>
        <w:tc>
          <w:tcPr>
            <w:tcW w:w="811"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Style w:val="TableParagraph"/>
              <w:spacing w:line="280" w:lineRule="exact"/>
              <w:ind w:left="183" w:right="0"/>
              <w:jc w:val="left"/>
              <w:rPr>
                <w:rFonts w:ascii="宋体" w:hAnsi="宋体" w:cs="宋体" w:eastAsia="宋体" w:hint="default"/>
                <w:sz w:val="24"/>
                <w:szCs w:val="24"/>
              </w:rPr>
            </w:pPr>
            <w:r>
              <w:rPr>
                <w:rFonts w:ascii="宋体" w:hAnsi="宋体" w:cs="宋体" w:eastAsia="宋体" w:hint="default"/>
                <w:sz w:val="24"/>
                <w:szCs w:val="24"/>
              </w:rPr>
              <w:t>预缴土地增值税</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1"/>
              <w:jc w:val="right"/>
              <w:rPr>
                <w:rFonts w:ascii="Arial" w:hAnsi="Arial" w:cs="Arial" w:eastAsia="Arial" w:hint="default"/>
                <w:sz w:val="24"/>
                <w:szCs w:val="24"/>
              </w:rPr>
            </w:pPr>
            <w:r>
              <w:rPr>
                <w:rFonts w:ascii="Arial"/>
                <w:w w:val="95"/>
                <w:sz w:val="24"/>
              </w:rPr>
              <w:t>32,977</w:t>
            </w:r>
            <w:r>
              <w:rPr>
                <w:rFonts w:ascii="Arial"/>
                <w:sz w:val="24"/>
              </w:rPr>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24"/>
                <w:szCs w:val="24"/>
              </w:rPr>
            </w:pPr>
            <w:r>
              <w:rPr>
                <w:rFonts w:ascii="Arial"/>
                <w:w w:val="95"/>
                <w:sz w:val="24"/>
              </w:rPr>
              <w:t>32,894</w:t>
            </w:r>
            <w:r>
              <w:rPr>
                <w:rFonts w:ascii="Arial"/>
                <w:sz w:val="24"/>
              </w:rPr>
            </w:r>
          </w:p>
        </w:tc>
      </w:tr>
      <w:tr>
        <w:trPr>
          <w:trHeight w:val="347" w:hRule="exact"/>
        </w:trPr>
        <w:tc>
          <w:tcPr>
            <w:tcW w:w="811"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Style w:val="TableParagraph"/>
              <w:spacing w:line="280" w:lineRule="exact"/>
              <w:ind w:left="183" w:right="0"/>
              <w:jc w:val="left"/>
              <w:rPr>
                <w:rFonts w:ascii="宋体" w:hAnsi="宋体" w:cs="宋体" w:eastAsia="宋体" w:hint="default"/>
                <w:sz w:val="24"/>
                <w:szCs w:val="24"/>
              </w:rPr>
            </w:pPr>
            <w:r>
              <w:rPr>
                <w:rFonts w:ascii="宋体" w:hAnsi="宋体" w:cs="宋体" w:eastAsia="宋体" w:hint="default"/>
                <w:sz w:val="24"/>
                <w:szCs w:val="24"/>
              </w:rPr>
              <w:t>预缴营业税</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1"/>
              <w:jc w:val="right"/>
              <w:rPr>
                <w:rFonts w:ascii="Arial" w:hAnsi="Arial" w:cs="Arial" w:eastAsia="Arial" w:hint="default"/>
                <w:sz w:val="24"/>
                <w:szCs w:val="24"/>
              </w:rPr>
            </w:pPr>
            <w:r>
              <w:rPr>
                <w:rFonts w:ascii="Arial"/>
                <w:spacing w:val="-4"/>
                <w:sz w:val="24"/>
              </w:rPr>
              <w:t>7,117</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2"/>
              <w:jc w:val="right"/>
              <w:rPr>
                <w:rFonts w:ascii="Arial" w:hAnsi="Arial" w:cs="Arial" w:eastAsia="Arial" w:hint="default"/>
                <w:sz w:val="24"/>
                <w:szCs w:val="24"/>
              </w:rPr>
            </w:pPr>
            <w:r>
              <w:rPr>
                <w:rFonts w:ascii="Arial"/>
                <w:w w:val="95"/>
                <w:sz w:val="24"/>
              </w:rPr>
              <w:t>47,877</w:t>
            </w:r>
            <w:r>
              <w:rPr>
                <w:rFonts w:ascii="Arial"/>
                <w:sz w:val="24"/>
              </w:rPr>
            </w:r>
          </w:p>
        </w:tc>
      </w:tr>
      <w:tr>
        <w:trPr>
          <w:trHeight w:val="347" w:hRule="exact"/>
        </w:trPr>
        <w:tc>
          <w:tcPr>
            <w:tcW w:w="811"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Style w:val="TableParagraph"/>
              <w:spacing w:line="279" w:lineRule="exact"/>
              <w:ind w:left="183" w:right="0"/>
              <w:jc w:val="left"/>
              <w:rPr>
                <w:rFonts w:ascii="宋体" w:hAnsi="宋体" w:cs="宋体" w:eastAsia="宋体" w:hint="default"/>
                <w:sz w:val="24"/>
                <w:szCs w:val="24"/>
              </w:rPr>
            </w:pPr>
            <w:r>
              <w:rPr>
                <w:rFonts w:ascii="宋体" w:hAnsi="宋体" w:cs="宋体" w:eastAsia="宋体" w:hint="default"/>
                <w:sz w:val="24"/>
                <w:szCs w:val="24"/>
              </w:rPr>
              <w:t>预缴其他税费</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1"/>
              <w:jc w:val="right"/>
              <w:rPr>
                <w:rFonts w:ascii="Arial" w:hAnsi="Arial" w:cs="Arial" w:eastAsia="Arial" w:hint="default"/>
                <w:sz w:val="24"/>
                <w:szCs w:val="24"/>
              </w:rPr>
            </w:pPr>
            <w:r>
              <w:rPr>
                <w:rFonts w:ascii="Arial"/>
                <w:spacing w:val="-1"/>
                <w:w w:val="95"/>
                <w:sz w:val="24"/>
              </w:rPr>
              <w:t>854</w:t>
            </w:r>
            <w:r>
              <w:rPr>
                <w:rFonts w:ascii="Arial"/>
                <w:sz w:val="24"/>
              </w:rPr>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1"/>
              <w:jc w:val="right"/>
              <w:rPr>
                <w:rFonts w:ascii="Arial" w:hAnsi="Arial" w:cs="Arial" w:eastAsia="Arial" w:hint="default"/>
                <w:sz w:val="24"/>
                <w:szCs w:val="24"/>
              </w:rPr>
            </w:pPr>
            <w:r>
              <w:rPr>
                <w:rFonts w:ascii="Arial"/>
                <w:w w:val="95"/>
                <w:sz w:val="24"/>
              </w:rPr>
              <w:t>3,813</w:t>
            </w:r>
            <w:r>
              <w:rPr>
                <w:rFonts w:ascii="Arial"/>
                <w:sz w:val="24"/>
              </w:rPr>
            </w:r>
          </w:p>
        </w:tc>
      </w:tr>
      <w:tr>
        <w:trPr>
          <w:trHeight w:val="330" w:hRule="exact"/>
        </w:trPr>
        <w:tc>
          <w:tcPr>
            <w:tcW w:w="811"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Style w:val="TableParagraph"/>
              <w:tabs>
                <w:tab w:pos="3617" w:val="left" w:leader="none"/>
                <w:tab w:pos="4970" w:val="left" w:leader="none"/>
              </w:tabs>
              <w:spacing w:line="275" w:lineRule="exact"/>
              <w:ind w:left="183" w:right="-889"/>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80" w:type="dxa"/>
            <w:tcBorders>
              <w:top w:val="nil" w:sz="6" w:space="0" w:color="auto"/>
              <w:left w:val="nil" w:sz="6" w:space="0" w:color="auto"/>
              <w:bottom w:val="nil" w:sz="6" w:space="0" w:color="auto"/>
              <w:right w:val="nil" w:sz="6" w:space="0" w:color="auto"/>
            </w:tcBorders>
          </w:tcPr>
          <w:p>
            <w:pPr>
              <w:pStyle w:val="TableParagraph"/>
              <w:tabs>
                <w:tab w:pos="949" w:val="left" w:leader="none"/>
              </w:tabs>
              <w:spacing w:line="240" w:lineRule="auto" w:before="36"/>
              <w:ind w:right="139"/>
              <w:jc w:val="right"/>
              <w:rPr>
                <w:rFonts w:ascii="Arial" w:hAnsi="Arial" w:cs="Arial" w:eastAsia="Arial" w:hint="default"/>
                <w:sz w:val="24"/>
                <w:szCs w:val="24"/>
              </w:rPr>
            </w:pPr>
            <w:r>
              <w:rPr>
                <w:rFonts w:ascii="Arial"/>
                <w:w w:val="99"/>
                <w:sz w:val="24"/>
              </w:rPr>
            </w:r>
            <w:r>
              <w:rPr>
                <w:rFonts w:ascii="Arial"/>
                <w:spacing w:val="-1"/>
                <w:sz w:val="24"/>
                <w:u w:val="single" w:color="000000"/>
              </w:rPr>
              <w:t>105,340</w:t>
              <w:tab/>
            </w:r>
            <w:r>
              <w:rPr>
                <w:rFonts w:ascii="Arial"/>
                <w:spacing w:val="-1"/>
                <w:sz w:val="24"/>
              </w:rPr>
            </w:r>
          </w:p>
        </w:tc>
        <w:tc>
          <w:tcPr>
            <w:tcW w:w="2455" w:type="dxa"/>
            <w:tcBorders>
              <w:top w:val="nil" w:sz="6" w:space="0" w:color="auto"/>
              <w:left w:val="nil" w:sz="6" w:space="0" w:color="auto"/>
              <w:bottom w:val="nil" w:sz="6" w:space="0" w:color="auto"/>
              <w:right w:val="nil" w:sz="6" w:space="0" w:color="auto"/>
            </w:tcBorders>
          </w:tcPr>
          <w:p>
            <w:pPr>
              <w:pStyle w:val="TableParagraph"/>
              <w:tabs>
                <w:tab w:pos="1228" w:val="left" w:leader="none"/>
                <w:tab w:pos="2177" w:val="left" w:leader="none"/>
              </w:tabs>
              <w:spacing w:line="240" w:lineRule="auto" w:before="36"/>
              <w:ind w:right="16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100,735</w:t>
              <w:tab/>
            </w:r>
            <w:r>
              <w:rPr>
                <w:rFonts w:ascii="Arial"/>
                <w:spacing w:val="-1"/>
                <w:sz w:val="24"/>
              </w:rPr>
            </w:r>
          </w:p>
        </w:tc>
      </w:tr>
      <w:tr>
        <w:trPr>
          <w:trHeight w:val="263" w:hRule="exact"/>
        </w:trPr>
        <w:tc>
          <w:tcPr>
            <w:tcW w:w="811"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tabs>
                <w:tab w:pos="688" w:val="left" w:leader="none"/>
                <w:tab w:pos="1838" w:val="left" w:leader="none"/>
              </w:tabs>
              <w:spacing w:line="268" w:lineRule="exact"/>
              <w:ind w:left="-480" w:right="13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3,724,748</w:t>
            </w:r>
            <w:r>
              <w:rPr>
                <w:rFonts w:ascii="Arial"/>
                <w:sz w:val="24"/>
                <w:u w:val="thick" w:color="000000"/>
              </w:rPr>
              <w:tab/>
            </w:r>
            <w:r>
              <w:rPr>
                <w:rFonts w:ascii="Arial"/>
                <w:sz w:val="24"/>
              </w:rPr>
            </w:r>
          </w:p>
        </w:tc>
        <w:tc>
          <w:tcPr>
            <w:tcW w:w="2455" w:type="dxa"/>
            <w:tcBorders>
              <w:top w:val="nil" w:sz="6" w:space="0" w:color="auto"/>
              <w:left w:val="nil" w:sz="6" w:space="0" w:color="auto"/>
              <w:bottom w:val="nil" w:sz="6" w:space="0" w:color="auto"/>
              <w:right w:val="nil" w:sz="6" w:space="0" w:color="auto"/>
            </w:tcBorders>
          </w:tcPr>
          <w:p>
            <w:pPr>
              <w:pStyle w:val="TableParagraph"/>
              <w:tabs>
                <w:tab w:pos="1041" w:val="left" w:leader="none"/>
                <w:tab w:pos="2192" w:val="left" w:leader="none"/>
              </w:tabs>
              <w:spacing w:line="268" w:lineRule="exact"/>
              <w:ind w:right="16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2,807,402</w:t>
              <w:tab/>
            </w:r>
            <w:r>
              <w:rPr>
                <w:rFonts w:ascii="Arial"/>
                <w:spacing w:val="-1"/>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94"/>
        <w:gridCol w:w="4142"/>
        <w:gridCol w:w="1954"/>
        <w:gridCol w:w="2588"/>
      </w:tblGrid>
      <w:tr>
        <w:trPr>
          <w:trHeight w:val="422" w:hRule="exact"/>
        </w:trPr>
        <w:tc>
          <w:tcPr>
            <w:tcW w:w="79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pacing w:val="-5"/>
                <w:sz w:val="24"/>
              </w:rPr>
              <w:t>(11)</w:t>
            </w:r>
          </w:p>
        </w:tc>
        <w:tc>
          <w:tcPr>
            <w:tcW w:w="4142" w:type="dxa"/>
            <w:tcBorders>
              <w:top w:val="nil" w:sz="6" w:space="0" w:color="auto"/>
              <w:left w:val="nil" w:sz="6" w:space="0" w:color="auto"/>
              <w:bottom w:val="nil" w:sz="6" w:space="0" w:color="auto"/>
              <w:right w:val="nil" w:sz="6" w:space="0" w:color="auto"/>
            </w:tcBorders>
          </w:tcPr>
          <w:p>
            <w:pPr>
              <w:pStyle w:val="TableParagraph"/>
              <w:spacing w:line="247" w:lineRule="exact"/>
              <w:ind w:left="185" w:right="0"/>
              <w:jc w:val="left"/>
              <w:rPr>
                <w:rFonts w:ascii="黑体" w:hAnsi="黑体" w:cs="黑体" w:eastAsia="黑体" w:hint="default"/>
                <w:sz w:val="24"/>
                <w:szCs w:val="24"/>
              </w:rPr>
            </w:pPr>
            <w:r>
              <w:rPr>
                <w:rFonts w:ascii="黑体" w:hAnsi="黑体" w:cs="黑体" w:eastAsia="黑体" w:hint="default"/>
                <w:sz w:val="24"/>
                <w:szCs w:val="24"/>
              </w:rPr>
              <w:t>可供出售金融资产</w:t>
            </w:r>
          </w:p>
        </w:tc>
        <w:tc>
          <w:tcPr>
            <w:tcW w:w="1954"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
        </w:tc>
      </w:tr>
      <w:tr>
        <w:trPr>
          <w:trHeight w:val="593" w:hRule="exact"/>
        </w:trPr>
        <w:tc>
          <w:tcPr>
            <w:tcW w:w="794" w:type="dxa"/>
            <w:tcBorders>
              <w:top w:val="nil" w:sz="6" w:space="0" w:color="auto"/>
              <w:left w:val="nil" w:sz="6" w:space="0" w:color="auto"/>
              <w:bottom w:val="nil" w:sz="6" w:space="0" w:color="auto"/>
              <w:right w:val="nil" w:sz="6" w:space="0" w:color="auto"/>
            </w:tcBorders>
          </w:tcPr>
          <w:p>
            <w:pPr/>
          </w:p>
        </w:tc>
        <w:tc>
          <w:tcPr>
            <w:tcW w:w="60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828"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3" w:hRule="exact"/>
        </w:trPr>
        <w:tc>
          <w:tcPr>
            <w:tcW w:w="794" w:type="dxa"/>
            <w:tcBorders>
              <w:top w:val="nil" w:sz="6" w:space="0" w:color="auto"/>
              <w:left w:val="nil" w:sz="6" w:space="0" w:color="auto"/>
              <w:bottom w:val="nil" w:sz="6" w:space="0" w:color="auto"/>
              <w:right w:val="nil" w:sz="6" w:space="0" w:color="auto"/>
            </w:tcBorders>
          </w:tcPr>
          <w:p>
            <w:pPr/>
          </w:p>
        </w:tc>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3" w:right="0"/>
              <w:jc w:val="left"/>
              <w:rPr>
                <w:rFonts w:ascii="宋体" w:hAnsi="宋体" w:cs="宋体" w:eastAsia="宋体" w:hint="default"/>
                <w:sz w:val="24"/>
                <w:szCs w:val="24"/>
              </w:rPr>
            </w:pPr>
            <w:r>
              <w:rPr>
                <w:rFonts w:ascii="宋体" w:hAnsi="宋体" w:cs="宋体" w:eastAsia="宋体" w:hint="default"/>
                <w:sz w:val="24"/>
                <w:szCs w:val="24"/>
              </w:rPr>
              <w:t>以公允价值计量</w:t>
            </w:r>
          </w:p>
        </w:tc>
        <w:tc>
          <w:tcPr>
            <w:tcW w:w="1954"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
        </w:tc>
      </w:tr>
      <w:tr>
        <w:trPr>
          <w:trHeight w:val="326" w:hRule="exact"/>
        </w:trPr>
        <w:tc>
          <w:tcPr>
            <w:tcW w:w="794" w:type="dxa"/>
            <w:tcBorders>
              <w:top w:val="nil" w:sz="6" w:space="0" w:color="auto"/>
              <w:left w:val="nil" w:sz="6" w:space="0" w:color="auto"/>
              <w:bottom w:val="nil" w:sz="6" w:space="0" w:color="auto"/>
              <w:right w:val="nil" w:sz="6" w:space="0" w:color="auto"/>
            </w:tcBorders>
          </w:tcPr>
          <w:p>
            <w:pPr/>
          </w:p>
        </w:tc>
        <w:tc>
          <w:tcPr>
            <w:tcW w:w="4142" w:type="dxa"/>
            <w:tcBorders>
              <w:top w:val="nil" w:sz="6" w:space="0" w:color="auto"/>
              <w:left w:val="nil" w:sz="6" w:space="0" w:color="auto"/>
              <w:bottom w:val="nil" w:sz="6" w:space="0" w:color="auto"/>
              <w:right w:val="nil" w:sz="6" w:space="0" w:color="auto"/>
            </w:tcBorders>
          </w:tcPr>
          <w:p>
            <w:pPr>
              <w:pStyle w:val="TableParagraph"/>
              <w:spacing w:line="293" w:lineRule="exact"/>
              <w:ind w:left="203" w:right="0"/>
              <w:jc w:val="left"/>
              <w:rPr>
                <w:rFonts w:ascii="Arial" w:hAnsi="Arial" w:cs="Arial" w:eastAsia="Arial" w:hint="default"/>
                <w:sz w:val="24"/>
                <w:szCs w:val="24"/>
              </w:rPr>
            </w:pPr>
            <w:r>
              <w:rPr>
                <w:rFonts w:ascii="宋体" w:hAnsi="宋体" w:cs="宋体" w:eastAsia="宋体" w:hint="default"/>
                <w:sz w:val="24"/>
                <w:szCs w:val="24"/>
              </w:rPr>
              <w:t>―理财产品</w:t>
            </w:r>
            <w:r>
              <w:rPr>
                <w:rFonts w:ascii="Arial" w:hAnsi="Arial" w:cs="Arial" w:eastAsia="Arial" w:hint="default"/>
                <w:sz w:val="24"/>
                <w:szCs w:val="24"/>
              </w:rPr>
              <w:t>(i)</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0"/>
              <w:jc w:val="right"/>
              <w:rPr>
                <w:rFonts w:ascii="Arial" w:hAnsi="Arial" w:cs="Arial" w:eastAsia="Arial" w:hint="default"/>
                <w:sz w:val="24"/>
                <w:szCs w:val="24"/>
              </w:rPr>
            </w:pPr>
            <w:r>
              <w:rPr>
                <w:rFonts w:ascii="Arial"/>
                <w:w w:val="95"/>
                <w:sz w:val="24"/>
              </w:rPr>
              <w:t>2,425,438</w:t>
            </w:r>
            <w:r>
              <w:rPr>
                <w:rFonts w:ascii="Arial"/>
                <w:sz w:val="24"/>
              </w:rPr>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1"/>
              <w:jc w:val="right"/>
              <w:rPr>
                <w:rFonts w:ascii="Arial" w:hAnsi="Arial" w:cs="Arial" w:eastAsia="Arial" w:hint="default"/>
                <w:sz w:val="24"/>
                <w:szCs w:val="24"/>
              </w:rPr>
            </w:pPr>
            <w:r>
              <w:rPr>
                <w:rFonts w:ascii="Arial"/>
                <w:w w:val="95"/>
                <w:sz w:val="24"/>
              </w:rPr>
              <w:t>1,579,369</w:t>
            </w:r>
            <w:r>
              <w:rPr>
                <w:rFonts w:ascii="Arial"/>
                <w:sz w:val="24"/>
              </w:rPr>
            </w:r>
          </w:p>
        </w:tc>
      </w:tr>
      <w:tr>
        <w:trPr>
          <w:trHeight w:val="311" w:hRule="exact"/>
        </w:trPr>
        <w:tc>
          <w:tcPr>
            <w:tcW w:w="794" w:type="dxa"/>
            <w:tcBorders>
              <w:top w:val="nil" w:sz="6" w:space="0" w:color="auto"/>
              <w:left w:val="nil" w:sz="6" w:space="0" w:color="auto"/>
              <w:bottom w:val="nil" w:sz="6" w:space="0" w:color="auto"/>
              <w:right w:val="nil" w:sz="6" w:space="0" w:color="auto"/>
            </w:tcBorders>
          </w:tcPr>
          <w:p>
            <w:pPr/>
          </w:p>
        </w:tc>
        <w:tc>
          <w:tcPr>
            <w:tcW w:w="4142" w:type="dxa"/>
            <w:tcBorders>
              <w:top w:val="nil" w:sz="6" w:space="0" w:color="auto"/>
              <w:left w:val="nil" w:sz="6" w:space="0" w:color="auto"/>
              <w:bottom w:val="nil" w:sz="6" w:space="0" w:color="auto"/>
              <w:right w:val="nil" w:sz="6" w:space="0" w:color="auto"/>
            </w:tcBorders>
          </w:tcPr>
          <w:p>
            <w:pPr>
              <w:pStyle w:val="TableParagraph"/>
              <w:spacing w:line="262" w:lineRule="exact"/>
              <w:ind w:left="203"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1"/>
              <w:jc w:val="right"/>
              <w:rPr>
                <w:rFonts w:ascii="Arial" w:hAnsi="Arial" w:cs="Arial" w:eastAsia="Arial" w:hint="default"/>
                <w:sz w:val="24"/>
                <w:szCs w:val="24"/>
              </w:rPr>
            </w:pPr>
            <w:r>
              <w:rPr>
                <w:rFonts w:ascii="Arial"/>
                <w:spacing w:val="-1"/>
                <w:sz w:val="24"/>
              </w:rPr>
              <w:t>894,743</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2"/>
              <w:jc w:val="right"/>
              <w:rPr>
                <w:rFonts w:ascii="Arial" w:hAnsi="Arial" w:cs="Arial" w:eastAsia="Arial" w:hint="default"/>
                <w:sz w:val="24"/>
                <w:szCs w:val="24"/>
              </w:rPr>
            </w:pPr>
            <w:r>
              <w:rPr>
                <w:rFonts w:ascii="Arial"/>
                <w:spacing w:val="-1"/>
                <w:sz w:val="24"/>
              </w:rPr>
              <w:t>678,151</w:t>
            </w:r>
          </w:p>
        </w:tc>
      </w:tr>
      <w:tr>
        <w:trPr>
          <w:trHeight w:val="313" w:hRule="exact"/>
        </w:trPr>
        <w:tc>
          <w:tcPr>
            <w:tcW w:w="794" w:type="dxa"/>
            <w:tcBorders>
              <w:top w:val="nil" w:sz="6" w:space="0" w:color="auto"/>
              <w:left w:val="nil" w:sz="6" w:space="0" w:color="auto"/>
              <w:bottom w:val="nil" w:sz="6" w:space="0" w:color="auto"/>
              <w:right w:val="nil" w:sz="6" w:space="0" w:color="auto"/>
            </w:tcBorders>
          </w:tcPr>
          <w:p>
            <w:pPr/>
          </w:p>
        </w:tc>
        <w:tc>
          <w:tcPr>
            <w:tcW w:w="4142" w:type="dxa"/>
            <w:tcBorders>
              <w:top w:val="nil" w:sz="6" w:space="0" w:color="auto"/>
              <w:left w:val="nil" w:sz="6" w:space="0" w:color="auto"/>
              <w:bottom w:val="nil" w:sz="6" w:space="0" w:color="auto"/>
              <w:right w:val="nil" w:sz="6" w:space="0" w:color="auto"/>
            </w:tcBorders>
          </w:tcPr>
          <w:p>
            <w:pPr>
              <w:pStyle w:val="TableParagraph"/>
              <w:tabs>
                <w:tab w:pos="3622" w:val="left" w:leader="none"/>
                <w:tab w:pos="5443" w:val="left" w:leader="none"/>
              </w:tabs>
              <w:spacing w:line="259" w:lineRule="exact"/>
              <w:ind w:left="203" w:right="-1302"/>
              <w:jc w:val="left"/>
              <w:rPr>
                <w:rFonts w:ascii="Arial" w:hAnsi="Arial" w:cs="Arial" w:eastAsia="Arial" w:hint="default"/>
                <w:sz w:val="24"/>
                <w:szCs w:val="24"/>
              </w:rPr>
            </w:pPr>
            <w:r>
              <w:rPr>
                <w:rFonts w:ascii="宋体" w:hAnsi="宋体" w:cs="宋体" w:eastAsia="宋体" w:hint="default"/>
                <w:position w:val="2"/>
                <w:sz w:val="24"/>
                <w:szCs w:val="24"/>
              </w:rPr>
              <w:t>― 股票投资</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54"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19"/>
              <w:ind w:right="150"/>
              <w:jc w:val="right"/>
              <w:rPr>
                <w:rFonts w:ascii="Arial" w:hAnsi="Arial" w:cs="Arial" w:eastAsia="Arial" w:hint="default"/>
                <w:sz w:val="24"/>
                <w:szCs w:val="24"/>
              </w:rPr>
            </w:pPr>
            <w:r>
              <w:rPr>
                <w:rFonts w:ascii="Arial"/>
                <w:w w:val="99"/>
                <w:sz w:val="24"/>
              </w:rPr>
            </w:r>
            <w:r>
              <w:rPr>
                <w:rFonts w:ascii="Arial"/>
                <w:spacing w:val="-1"/>
                <w:sz w:val="24"/>
                <w:u w:val="single" w:color="000000"/>
              </w:rPr>
              <w:t>799</w:t>
              <w:tab/>
            </w:r>
            <w:r>
              <w:rPr>
                <w:rFonts w:ascii="Arial"/>
                <w:spacing w:val="-1"/>
                <w:sz w:val="24"/>
              </w:rPr>
            </w:r>
          </w:p>
        </w:tc>
        <w:tc>
          <w:tcPr>
            <w:tcW w:w="2588" w:type="dxa"/>
            <w:tcBorders>
              <w:top w:val="nil" w:sz="6" w:space="0" w:color="auto"/>
              <w:left w:val="nil" w:sz="6" w:space="0" w:color="auto"/>
              <w:bottom w:val="nil" w:sz="6" w:space="0" w:color="auto"/>
              <w:right w:val="nil" w:sz="6" w:space="0" w:color="auto"/>
            </w:tcBorders>
          </w:tcPr>
          <w:p>
            <w:pPr>
              <w:pStyle w:val="TableParagraph"/>
              <w:tabs>
                <w:tab w:pos="1729" w:val="left" w:leader="none"/>
                <w:tab w:pos="2210" w:val="left" w:leader="none"/>
              </w:tabs>
              <w:spacing w:line="240" w:lineRule="auto" w:before="19"/>
              <w:ind w:right="29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630</w:t>
              <w:tab/>
            </w:r>
            <w:r>
              <w:rPr>
                <w:rFonts w:ascii="Arial"/>
                <w:spacing w:val="-1"/>
                <w:sz w:val="24"/>
              </w:rPr>
            </w:r>
          </w:p>
        </w:tc>
      </w:tr>
      <w:tr>
        <w:trPr>
          <w:trHeight w:val="285" w:hRule="exact"/>
        </w:trPr>
        <w:tc>
          <w:tcPr>
            <w:tcW w:w="794" w:type="dxa"/>
            <w:tcBorders>
              <w:top w:val="nil" w:sz="6" w:space="0" w:color="auto"/>
              <w:left w:val="nil" w:sz="6" w:space="0" w:color="auto"/>
              <w:bottom w:val="nil" w:sz="6" w:space="0" w:color="auto"/>
              <w:right w:val="nil" w:sz="6" w:space="0" w:color="auto"/>
            </w:tcBorders>
          </w:tcPr>
          <w:p>
            <w:pPr/>
          </w:p>
        </w:tc>
        <w:tc>
          <w:tcPr>
            <w:tcW w:w="6096"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236"/>
              <w:jc w:val="right"/>
              <w:rPr>
                <w:rFonts w:ascii="Arial" w:hAnsi="Arial" w:cs="Arial" w:eastAsia="Arial" w:hint="default"/>
                <w:sz w:val="24"/>
                <w:szCs w:val="24"/>
              </w:rPr>
            </w:pPr>
            <w:r>
              <w:rPr>
                <w:rFonts w:ascii="Arial"/>
                <w:spacing w:val="-1"/>
                <w:sz w:val="24"/>
              </w:rPr>
              <w:t>3,320,980</w:t>
            </w:r>
            <w:r>
              <w:rPr>
                <w:rFonts w:ascii="Arial"/>
                <w:sz w:val="24"/>
              </w:rPr>
            </w:r>
          </w:p>
        </w:tc>
        <w:tc>
          <w:tcPr>
            <w:tcW w:w="2588" w:type="dxa"/>
            <w:tcBorders>
              <w:top w:val="nil" w:sz="6" w:space="0" w:color="auto"/>
              <w:left w:val="nil" w:sz="6" w:space="0" w:color="auto"/>
              <w:bottom w:val="nil" w:sz="6" w:space="0" w:color="auto"/>
              <w:right w:val="nil" w:sz="6" w:space="0" w:color="auto"/>
            </w:tcBorders>
          </w:tcPr>
          <w:p>
            <w:pPr>
              <w:pStyle w:val="TableParagraph"/>
              <w:spacing w:line="268" w:lineRule="exact"/>
              <w:ind w:right="372"/>
              <w:jc w:val="right"/>
              <w:rPr>
                <w:rFonts w:ascii="Arial" w:hAnsi="Arial" w:cs="Arial" w:eastAsia="Arial" w:hint="default"/>
                <w:sz w:val="24"/>
                <w:szCs w:val="24"/>
              </w:rPr>
            </w:pPr>
            <w:r>
              <w:rPr>
                <w:rFonts w:ascii="Arial"/>
                <w:w w:val="95"/>
                <w:sz w:val="24"/>
              </w:rPr>
              <w:t>2,258,150</w:t>
            </w:r>
            <w:r>
              <w:rPr>
                <w:rFonts w:ascii="Arial"/>
                <w:sz w:val="24"/>
              </w:rPr>
            </w:r>
          </w:p>
        </w:tc>
      </w:tr>
      <w:tr>
        <w:trPr>
          <w:trHeight w:val="297" w:hRule="exact"/>
        </w:trPr>
        <w:tc>
          <w:tcPr>
            <w:tcW w:w="794" w:type="dxa"/>
            <w:tcBorders>
              <w:top w:val="nil" w:sz="6" w:space="0" w:color="auto"/>
              <w:left w:val="nil" w:sz="6" w:space="0" w:color="auto"/>
              <w:bottom w:val="nil" w:sz="6" w:space="0" w:color="auto"/>
              <w:right w:val="nil" w:sz="6" w:space="0" w:color="auto"/>
            </w:tcBorders>
          </w:tcPr>
          <w:p>
            <w:pPr/>
          </w:p>
        </w:tc>
        <w:tc>
          <w:tcPr>
            <w:tcW w:w="4142" w:type="dxa"/>
            <w:tcBorders>
              <w:top w:val="nil" w:sz="6" w:space="0" w:color="auto"/>
              <w:left w:val="nil" w:sz="6" w:space="0" w:color="auto"/>
              <w:bottom w:val="nil" w:sz="6" w:space="0" w:color="auto"/>
              <w:right w:val="nil" w:sz="6" w:space="0" w:color="auto"/>
            </w:tcBorders>
          </w:tcPr>
          <w:p>
            <w:pPr>
              <w:pStyle w:val="TableParagraph"/>
              <w:spacing w:line="262" w:lineRule="exact"/>
              <w:ind w:left="203" w:right="0"/>
              <w:jc w:val="left"/>
              <w:rPr>
                <w:rFonts w:ascii="宋体" w:hAnsi="宋体" w:cs="宋体" w:eastAsia="宋体" w:hint="default"/>
                <w:sz w:val="24"/>
                <w:szCs w:val="24"/>
              </w:rPr>
            </w:pPr>
            <w:r>
              <w:rPr>
                <w:rFonts w:ascii="宋体" w:hAnsi="宋体" w:cs="宋体" w:eastAsia="宋体" w:hint="default"/>
                <w:sz w:val="24"/>
                <w:szCs w:val="24"/>
              </w:rPr>
              <w:t>以成本计量</w:t>
            </w:r>
          </w:p>
        </w:tc>
        <w:tc>
          <w:tcPr>
            <w:tcW w:w="1954"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
        </w:tc>
      </w:tr>
      <w:tr>
        <w:trPr>
          <w:trHeight w:val="327" w:hRule="exact"/>
        </w:trPr>
        <w:tc>
          <w:tcPr>
            <w:tcW w:w="794" w:type="dxa"/>
            <w:tcBorders>
              <w:top w:val="nil" w:sz="6" w:space="0" w:color="auto"/>
              <w:left w:val="nil" w:sz="6" w:space="0" w:color="auto"/>
              <w:bottom w:val="nil" w:sz="6" w:space="0" w:color="auto"/>
              <w:right w:val="nil" w:sz="6" w:space="0" w:color="auto"/>
            </w:tcBorders>
          </w:tcPr>
          <w:p>
            <w:pPr/>
          </w:p>
        </w:tc>
        <w:tc>
          <w:tcPr>
            <w:tcW w:w="4142" w:type="dxa"/>
            <w:tcBorders>
              <w:top w:val="nil" w:sz="6" w:space="0" w:color="auto"/>
              <w:left w:val="nil" w:sz="6" w:space="0" w:color="auto"/>
              <w:bottom w:val="nil" w:sz="6" w:space="0" w:color="auto"/>
              <w:right w:val="nil" w:sz="6" w:space="0" w:color="auto"/>
            </w:tcBorders>
          </w:tcPr>
          <w:p>
            <w:pPr>
              <w:pStyle w:val="TableParagraph"/>
              <w:tabs>
                <w:tab w:pos="3622" w:val="left" w:leader="none"/>
                <w:tab w:pos="5109" w:val="left" w:leader="none"/>
              </w:tabs>
              <w:spacing w:line="272" w:lineRule="exact"/>
              <w:ind w:left="203" w:right="-968"/>
              <w:jc w:val="left"/>
              <w:rPr>
                <w:rFonts w:ascii="Arial" w:hAnsi="Arial" w:cs="Arial" w:eastAsia="Arial" w:hint="default"/>
                <w:sz w:val="24"/>
                <w:szCs w:val="24"/>
              </w:rPr>
            </w:pPr>
            <w:r>
              <w:rPr>
                <w:rFonts w:ascii="宋体" w:hAnsi="宋体" w:cs="宋体" w:eastAsia="宋体" w:hint="default"/>
                <w:position w:val="2"/>
                <w:sz w:val="24"/>
                <w:szCs w:val="24"/>
              </w:rPr>
              <w:t>―可供出售权益工具</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54" w:type="dxa"/>
            <w:tcBorders>
              <w:top w:val="nil" w:sz="6" w:space="0" w:color="auto"/>
              <w:left w:val="nil" w:sz="6" w:space="0" w:color="auto"/>
              <w:bottom w:val="nil" w:sz="6" w:space="0" w:color="auto"/>
              <w:right w:val="nil" w:sz="6" w:space="0" w:color="auto"/>
            </w:tcBorders>
          </w:tcPr>
          <w:p>
            <w:pPr>
              <w:pStyle w:val="TableParagraph"/>
              <w:tabs>
                <w:tab w:pos="834" w:val="left" w:leader="none"/>
              </w:tabs>
              <w:spacing w:line="240" w:lineRule="auto" w:before="33"/>
              <w:ind w:right="150"/>
              <w:jc w:val="right"/>
              <w:rPr>
                <w:rFonts w:ascii="Arial" w:hAnsi="Arial" w:cs="Arial" w:eastAsia="Arial" w:hint="default"/>
                <w:sz w:val="24"/>
                <w:szCs w:val="24"/>
              </w:rPr>
            </w:pPr>
            <w:r>
              <w:rPr>
                <w:rFonts w:ascii="Arial"/>
                <w:w w:val="99"/>
                <w:sz w:val="24"/>
              </w:rPr>
            </w:r>
            <w:r>
              <w:rPr>
                <w:rFonts w:ascii="Arial"/>
                <w:spacing w:val="-1"/>
                <w:sz w:val="24"/>
                <w:u w:val="single" w:color="000000"/>
              </w:rPr>
              <w:t>18,879</w:t>
              <w:tab/>
            </w:r>
            <w:r>
              <w:rPr>
                <w:rFonts w:ascii="Arial"/>
                <w:spacing w:val="-1"/>
                <w:sz w:val="24"/>
              </w:rPr>
            </w:r>
          </w:p>
        </w:tc>
        <w:tc>
          <w:tcPr>
            <w:tcW w:w="2588" w:type="dxa"/>
            <w:tcBorders>
              <w:top w:val="nil" w:sz="6" w:space="0" w:color="auto"/>
              <w:left w:val="nil" w:sz="6" w:space="0" w:color="auto"/>
              <w:bottom w:val="nil" w:sz="6" w:space="0" w:color="auto"/>
              <w:right w:val="nil" w:sz="6" w:space="0" w:color="auto"/>
            </w:tcBorders>
          </w:tcPr>
          <w:p>
            <w:pPr>
              <w:pStyle w:val="TableParagraph"/>
              <w:tabs>
                <w:tab w:pos="1365" w:val="left" w:leader="none"/>
                <w:tab w:pos="2210" w:val="left" w:leader="none"/>
              </w:tabs>
              <w:spacing w:line="240" w:lineRule="auto" w:before="33"/>
              <w:ind w:right="29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13,800</w:t>
              <w:tab/>
            </w:r>
            <w:r>
              <w:rPr>
                <w:rFonts w:ascii="Arial"/>
                <w:spacing w:val="-1"/>
                <w:sz w:val="24"/>
              </w:rPr>
            </w:r>
          </w:p>
        </w:tc>
      </w:tr>
      <w:tr>
        <w:trPr>
          <w:trHeight w:val="285" w:hRule="exact"/>
        </w:trPr>
        <w:tc>
          <w:tcPr>
            <w:tcW w:w="794" w:type="dxa"/>
            <w:tcBorders>
              <w:top w:val="nil" w:sz="6" w:space="0" w:color="auto"/>
              <w:left w:val="nil" w:sz="6" w:space="0" w:color="auto"/>
              <w:bottom w:val="nil" w:sz="6" w:space="0" w:color="auto"/>
              <w:right w:val="nil" w:sz="6" w:space="0" w:color="auto"/>
            </w:tcBorders>
          </w:tcPr>
          <w:p>
            <w:pPr/>
          </w:p>
        </w:tc>
        <w:tc>
          <w:tcPr>
            <w:tcW w:w="6096"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251"/>
              <w:jc w:val="right"/>
              <w:rPr>
                <w:rFonts w:ascii="Arial" w:hAnsi="Arial" w:cs="Arial" w:eastAsia="Arial" w:hint="default"/>
                <w:sz w:val="24"/>
                <w:szCs w:val="24"/>
              </w:rPr>
            </w:pPr>
            <w:r>
              <w:rPr>
                <w:rFonts w:ascii="Arial"/>
                <w:spacing w:val="-1"/>
                <w:sz w:val="24"/>
              </w:rPr>
              <w:t>3,339,859</w:t>
            </w:r>
            <w:r>
              <w:rPr>
                <w:rFonts w:ascii="Arial"/>
                <w:sz w:val="24"/>
              </w:rPr>
            </w:r>
          </w:p>
        </w:tc>
        <w:tc>
          <w:tcPr>
            <w:tcW w:w="2588" w:type="dxa"/>
            <w:tcBorders>
              <w:top w:val="nil" w:sz="6" w:space="0" w:color="auto"/>
              <w:left w:val="nil" w:sz="6" w:space="0" w:color="auto"/>
              <w:bottom w:val="nil" w:sz="6" w:space="0" w:color="auto"/>
              <w:right w:val="nil" w:sz="6" w:space="0" w:color="auto"/>
            </w:tcBorders>
          </w:tcPr>
          <w:p>
            <w:pPr>
              <w:pStyle w:val="TableParagraph"/>
              <w:spacing w:line="268" w:lineRule="exact"/>
              <w:ind w:right="403"/>
              <w:jc w:val="right"/>
              <w:rPr>
                <w:rFonts w:ascii="Arial" w:hAnsi="Arial" w:cs="Arial" w:eastAsia="Arial" w:hint="default"/>
                <w:sz w:val="24"/>
                <w:szCs w:val="24"/>
              </w:rPr>
            </w:pPr>
            <w:r>
              <w:rPr>
                <w:rFonts w:ascii="Arial"/>
                <w:spacing w:val="-1"/>
                <w:sz w:val="24"/>
              </w:rPr>
              <w:t>2,271,950</w:t>
            </w:r>
            <w:r>
              <w:rPr>
                <w:rFonts w:ascii="Arial"/>
                <w:sz w:val="24"/>
              </w:rPr>
            </w:r>
          </w:p>
        </w:tc>
      </w:tr>
      <w:tr>
        <w:trPr>
          <w:trHeight w:val="312" w:hRule="exact"/>
        </w:trPr>
        <w:tc>
          <w:tcPr>
            <w:tcW w:w="794" w:type="dxa"/>
            <w:tcBorders>
              <w:top w:val="nil" w:sz="6" w:space="0" w:color="auto"/>
              <w:left w:val="nil" w:sz="6" w:space="0" w:color="auto"/>
              <w:bottom w:val="nil" w:sz="6" w:space="0" w:color="auto"/>
              <w:right w:val="nil" w:sz="6" w:space="0" w:color="auto"/>
            </w:tcBorders>
          </w:tcPr>
          <w:p>
            <w:pPr/>
          </w:p>
        </w:tc>
        <w:tc>
          <w:tcPr>
            <w:tcW w:w="4142" w:type="dxa"/>
            <w:tcBorders>
              <w:top w:val="nil" w:sz="6" w:space="0" w:color="auto"/>
              <w:left w:val="nil" w:sz="6" w:space="0" w:color="auto"/>
              <w:bottom w:val="nil" w:sz="6" w:space="0" w:color="auto"/>
              <w:right w:val="nil" w:sz="6" w:space="0" w:color="auto"/>
            </w:tcBorders>
          </w:tcPr>
          <w:p>
            <w:pPr>
              <w:pStyle w:val="TableParagraph"/>
              <w:tabs>
                <w:tab w:pos="3622" w:val="left" w:leader="none"/>
                <w:tab w:pos="5763" w:val="left" w:leader="none"/>
              </w:tabs>
              <w:spacing w:line="257" w:lineRule="exact"/>
              <w:ind w:left="203" w:right="-1622"/>
              <w:jc w:val="left"/>
              <w:rPr>
                <w:rFonts w:ascii="Arial" w:hAnsi="Arial" w:cs="Arial" w:eastAsia="Arial" w:hint="default"/>
                <w:sz w:val="24"/>
                <w:szCs w:val="24"/>
              </w:rPr>
            </w:pPr>
            <w:r>
              <w:rPr>
                <w:rFonts w:ascii="宋体" w:hAnsi="宋体" w:cs="宋体" w:eastAsia="宋体" w:hint="default"/>
                <w:position w:val="2"/>
                <w:sz w:val="24"/>
                <w:szCs w:val="24"/>
              </w:rPr>
              <w:t>减：减值准备</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54" w:type="dxa"/>
            <w:tcBorders>
              <w:top w:val="nil" w:sz="6" w:space="0" w:color="auto"/>
              <w:left w:val="nil" w:sz="6" w:space="0" w:color="auto"/>
              <w:bottom w:val="nil" w:sz="6" w:space="0" w:color="auto"/>
              <w:right w:val="nil" w:sz="6" w:space="0" w:color="auto"/>
            </w:tcBorders>
          </w:tcPr>
          <w:p>
            <w:pPr>
              <w:pStyle w:val="TableParagraph"/>
              <w:tabs>
                <w:tab w:pos="179" w:val="left" w:leader="none"/>
              </w:tabs>
              <w:spacing w:line="240" w:lineRule="auto" w:before="18"/>
              <w:ind w:right="150"/>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2588" w:type="dxa"/>
            <w:tcBorders>
              <w:top w:val="nil" w:sz="6" w:space="0" w:color="auto"/>
              <w:left w:val="nil" w:sz="6" w:space="0" w:color="auto"/>
              <w:bottom w:val="nil" w:sz="6" w:space="0" w:color="auto"/>
              <w:right w:val="nil" w:sz="6" w:space="0" w:color="auto"/>
            </w:tcBorders>
          </w:tcPr>
          <w:p>
            <w:pPr>
              <w:pStyle w:val="TableParagraph"/>
              <w:tabs>
                <w:tab w:pos="2019" w:val="left" w:leader="none"/>
                <w:tab w:pos="2210" w:val="left" w:leader="none"/>
              </w:tabs>
              <w:spacing w:line="240" w:lineRule="auto" w:before="18"/>
              <w:ind w:right="29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85" w:hRule="exact"/>
        </w:trPr>
        <w:tc>
          <w:tcPr>
            <w:tcW w:w="794" w:type="dxa"/>
            <w:tcBorders>
              <w:top w:val="nil" w:sz="6" w:space="0" w:color="auto"/>
              <w:left w:val="nil" w:sz="6" w:space="0" w:color="auto"/>
              <w:bottom w:val="nil" w:sz="6" w:space="0" w:color="auto"/>
              <w:right w:val="nil" w:sz="6" w:space="0" w:color="auto"/>
            </w:tcBorders>
          </w:tcPr>
          <w:p>
            <w:pPr/>
          </w:p>
        </w:tc>
        <w:tc>
          <w:tcPr>
            <w:tcW w:w="6096"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right="251"/>
              <w:jc w:val="right"/>
              <w:rPr>
                <w:rFonts w:ascii="Arial" w:hAnsi="Arial" w:cs="Arial" w:eastAsia="Arial" w:hint="default"/>
                <w:sz w:val="24"/>
                <w:szCs w:val="24"/>
              </w:rPr>
            </w:pPr>
            <w:r>
              <w:rPr>
                <w:rFonts w:ascii="Arial"/>
                <w:spacing w:val="-1"/>
                <w:sz w:val="24"/>
              </w:rPr>
              <w:t>3,339,859</w:t>
            </w:r>
            <w:r>
              <w:rPr>
                <w:rFonts w:ascii="Arial"/>
                <w:sz w:val="24"/>
              </w:rPr>
            </w:r>
          </w:p>
        </w:tc>
        <w:tc>
          <w:tcPr>
            <w:tcW w:w="2588" w:type="dxa"/>
            <w:tcBorders>
              <w:top w:val="nil" w:sz="6" w:space="0" w:color="auto"/>
              <w:left w:val="nil" w:sz="6" w:space="0" w:color="auto"/>
              <w:bottom w:val="nil" w:sz="6" w:space="0" w:color="auto"/>
              <w:right w:val="nil" w:sz="6" w:space="0" w:color="auto"/>
            </w:tcBorders>
          </w:tcPr>
          <w:p>
            <w:pPr>
              <w:pStyle w:val="TableParagraph"/>
              <w:spacing w:line="269" w:lineRule="exact"/>
              <w:ind w:right="372"/>
              <w:jc w:val="right"/>
              <w:rPr>
                <w:rFonts w:ascii="Arial" w:hAnsi="Arial" w:cs="Arial" w:eastAsia="Arial" w:hint="default"/>
                <w:sz w:val="24"/>
                <w:szCs w:val="24"/>
              </w:rPr>
            </w:pPr>
            <w:r>
              <w:rPr>
                <w:rFonts w:ascii="Arial"/>
                <w:w w:val="95"/>
                <w:sz w:val="24"/>
              </w:rPr>
              <w:t>2,271,950</w:t>
            </w:r>
            <w:r>
              <w:rPr>
                <w:rFonts w:ascii="Arial"/>
                <w:sz w:val="24"/>
              </w:rPr>
            </w:r>
          </w:p>
        </w:tc>
      </w:tr>
      <w:tr>
        <w:trPr>
          <w:trHeight w:val="623" w:hRule="exact"/>
        </w:trPr>
        <w:tc>
          <w:tcPr>
            <w:tcW w:w="794" w:type="dxa"/>
            <w:tcBorders>
              <w:top w:val="nil" w:sz="6" w:space="0" w:color="auto"/>
              <w:left w:val="nil" w:sz="6" w:space="0" w:color="auto"/>
              <w:bottom w:val="nil" w:sz="6" w:space="0" w:color="auto"/>
              <w:right w:val="nil" w:sz="6" w:space="0" w:color="auto"/>
            </w:tcBorders>
          </w:tcPr>
          <w:p>
            <w:pPr/>
          </w:p>
        </w:tc>
        <w:tc>
          <w:tcPr>
            <w:tcW w:w="4142" w:type="dxa"/>
            <w:tcBorders>
              <w:top w:val="nil" w:sz="6" w:space="0" w:color="auto"/>
              <w:left w:val="nil" w:sz="6" w:space="0" w:color="auto"/>
              <w:bottom w:val="nil" w:sz="6" w:space="0" w:color="auto"/>
              <w:right w:val="nil" w:sz="6" w:space="0" w:color="auto"/>
            </w:tcBorders>
          </w:tcPr>
          <w:p>
            <w:pPr>
              <w:pStyle w:val="TableParagraph"/>
              <w:spacing w:line="258" w:lineRule="exact"/>
              <w:ind w:left="203" w:right="-545"/>
              <w:jc w:val="left"/>
              <w:rPr>
                <w:rFonts w:ascii="宋体" w:hAnsi="宋体" w:cs="宋体" w:eastAsia="宋体" w:hint="default"/>
                <w:sz w:val="24"/>
                <w:szCs w:val="24"/>
              </w:rPr>
            </w:pPr>
            <w:r>
              <w:rPr>
                <w:rFonts w:ascii="宋体" w:hAnsi="宋体" w:cs="宋体" w:eastAsia="宋体" w:hint="default"/>
                <w:sz w:val="24"/>
                <w:szCs w:val="24"/>
              </w:rPr>
              <w:t>减：列示于其他流动资产的可供</w:t>
            </w:r>
          </w:p>
          <w:p>
            <w:pPr>
              <w:pStyle w:val="TableParagraph"/>
              <w:tabs>
                <w:tab w:pos="3622" w:val="left" w:leader="none"/>
                <w:tab w:pos="4687" w:val="left" w:leader="none"/>
              </w:tabs>
              <w:spacing w:line="327" w:lineRule="exact"/>
              <w:ind w:left="918" w:right="-545"/>
              <w:jc w:val="left"/>
              <w:rPr>
                <w:rFonts w:ascii="Arial" w:hAnsi="Arial" w:cs="Arial" w:eastAsia="Arial" w:hint="default"/>
                <w:sz w:val="24"/>
                <w:szCs w:val="24"/>
              </w:rPr>
            </w:pPr>
            <w:r>
              <w:rPr>
                <w:rFonts w:ascii="宋体" w:hAnsi="宋体" w:cs="宋体" w:eastAsia="宋体" w:hint="default"/>
                <w:position w:val="2"/>
                <w:sz w:val="24"/>
                <w:szCs w:val="24"/>
              </w:rPr>
              <w:t>出售金融资产</w:t>
            </w:r>
            <w:r>
              <w:rPr>
                <w:rFonts w:ascii="Arial" w:hAnsi="Arial" w:cs="Arial" w:eastAsia="Arial" w:hint="default"/>
                <w:position w:val="2"/>
                <w:sz w:val="24"/>
                <w:szCs w:val="24"/>
              </w:rPr>
              <w:t>(i)</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79"/>
              <w:jc w:val="right"/>
              <w:rPr>
                <w:rFonts w:ascii="Arial" w:hAnsi="Arial" w:cs="Arial" w:eastAsia="Arial" w:hint="default"/>
                <w:sz w:val="24"/>
                <w:szCs w:val="24"/>
              </w:rPr>
            </w:pPr>
            <w:r>
              <w:rPr>
                <w:rFonts w:ascii="Arial"/>
                <w:w w:val="99"/>
                <w:sz w:val="24"/>
              </w:rPr>
            </w:r>
            <w:r>
              <w:rPr>
                <w:rFonts w:ascii="Arial"/>
                <w:w w:val="95"/>
                <w:sz w:val="24"/>
                <w:u w:val="single" w:color="000000"/>
              </w:rPr>
              <w:t>(1,502,959)</w:t>
            </w:r>
            <w:r>
              <w:rPr>
                <w:rFonts w:ascii="Arial"/>
                <w:w w:val="95"/>
                <w:sz w:val="24"/>
              </w:rPr>
            </w:r>
            <w:r>
              <w:rPr>
                <w:rFonts w:ascii="Arial"/>
                <w:sz w:val="24"/>
              </w:rPr>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tabs>
                <w:tab w:pos="1142" w:val="left" w:leader="none"/>
              </w:tabs>
              <w:spacing w:line="240" w:lineRule="auto"/>
              <w:ind w:right="33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(722,445)</w:t>
            </w:r>
            <w:r>
              <w:rPr>
                <w:rFonts w:ascii="Arial"/>
                <w:spacing w:val="-1"/>
                <w:sz w:val="24"/>
              </w:rPr>
            </w:r>
          </w:p>
        </w:tc>
      </w:tr>
      <w:tr>
        <w:trPr>
          <w:trHeight w:val="438" w:hRule="exact"/>
        </w:trPr>
        <w:tc>
          <w:tcPr>
            <w:tcW w:w="794" w:type="dxa"/>
            <w:tcBorders>
              <w:top w:val="nil" w:sz="6" w:space="0" w:color="auto"/>
              <w:left w:val="nil" w:sz="6" w:space="0" w:color="auto"/>
              <w:bottom w:val="nil" w:sz="6" w:space="0" w:color="auto"/>
              <w:right w:val="nil" w:sz="6" w:space="0" w:color="auto"/>
            </w:tcBorders>
          </w:tcPr>
          <w:p>
            <w:pPr/>
          </w:p>
        </w:tc>
        <w:tc>
          <w:tcPr>
            <w:tcW w:w="6096" w:type="dxa"/>
            <w:gridSpan w:val="2"/>
            <w:tcBorders>
              <w:top w:val="nil" w:sz="6" w:space="0" w:color="auto"/>
              <w:left w:val="nil" w:sz="6" w:space="0" w:color="auto"/>
              <w:bottom w:val="nil" w:sz="6" w:space="0" w:color="auto"/>
              <w:right w:val="nil" w:sz="6" w:space="0" w:color="auto"/>
            </w:tcBorders>
          </w:tcPr>
          <w:p>
            <w:pPr>
              <w:pStyle w:val="TableParagraph"/>
              <w:tabs>
                <w:tab w:pos="4775" w:val="left" w:leader="none"/>
                <w:tab w:pos="5943" w:val="left" w:leader="none"/>
              </w:tabs>
              <w:spacing w:line="269" w:lineRule="exact"/>
              <w:ind w:left="362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1,836,900</w:t>
              <w:tab/>
            </w:r>
            <w:r>
              <w:rPr>
                <w:rFonts w:ascii="Arial"/>
                <w:sz w:val="24"/>
              </w:rPr>
            </w:r>
          </w:p>
        </w:tc>
        <w:tc>
          <w:tcPr>
            <w:tcW w:w="2588" w:type="dxa"/>
            <w:tcBorders>
              <w:top w:val="nil" w:sz="6" w:space="0" w:color="auto"/>
              <w:left w:val="nil" w:sz="6" w:space="0" w:color="auto"/>
              <w:bottom w:val="nil" w:sz="6" w:space="0" w:color="auto"/>
              <w:right w:val="nil" w:sz="6" w:space="0" w:color="auto"/>
            </w:tcBorders>
          </w:tcPr>
          <w:p>
            <w:pPr>
              <w:pStyle w:val="TableParagraph"/>
              <w:tabs>
                <w:tab w:pos="1045" w:val="left" w:leader="none"/>
                <w:tab w:pos="2210" w:val="left" w:leader="none"/>
              </w:tabs>
              <w:spacing w:line="269" w:lineRule="exact"/>
              <w:ind w:right="29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1,549,505</w:t>
              <w:tab/>
            </w:r>
            <w:r>
              <w:rPr>
                <w:rFonts w:ascii="Arial"/>
                <w:spacing w:val="-1"/>
                <w:sz w:val="24"/>
              </w:rPr>
            </w:r>
          </w:p>
        </w:tc>
      </w:tr>
      <w:tr>
        <w:trPr>
          <w:trHeight w:val="1037" w:hRule="exact"/>
        </w:trPr>
        <w:tc>
          <w:tcPr>
            <w:tcW w:w="794" w:type="dxa"/>
            <w:tcBorders>
              <w:top w:val="nil" w:sz="6" w:space="0" w:color="auto"/>
              <w:left w:val="nil" w:sz="6" w:space="0" w:color="auto"/>
              <w:bottom w:val="nil" w:sz="6" w:space="0" w:color="auto"/>
              <w:right w:val="nil" w:sz="6" w:space="0" w:color="auto"/>
            </w:tcBorders>
          </w:tcPr>
          <w:p>
            <w:pPr/>
          </w:p>
        </w:tc>
        <w:tc>
          <w:tcPr>
            <w:tcW w:w="8684"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00"/>
              <w:ind w:left="203" w:right="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于</w:t>
            </w:r>
            <w:r>
              <w:rPr>
                <w:rFonts w:ascii="宋体" w:hAnsi="宋体" w:cs="宋体" w:eastAsia="宋体" w:hint="default"/>
                <w:spacing w:val="-55"/>
                <w:sz w:val="24"/>
                <w:szCs w:val="24"/>
              </w:rPr>
              <w:t> </w:t>
            </w:r>
            <w:r>
              <w:rPr>
                <w:rFonts w:ascii="Arial" w:hAnsi="Arial" w:cs="Arial" w:eastAsia="Arial" w:hint="default"/>
                <w:sz w:val="24"/>
                <w:szCs w:val="24"/>
              </w:rPr>
              <w:t>2015</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日，本集团有多笔尚未到期的浮动收益型理财产品，其</w:t>
            </w:r>
          </w:p>
          <w:p>
            <w:pPr>
              <w:pStyle w:val="TableParagraph"/>
              <w:spacing w:line="312" w:lineRule="exact" w:before="20"/>
              <w:ind w:left="203" w:right="198"/>
              <w:jc w:val="left"/>
              <w:rPr>
                <w:rFonts w:ascii="宋体" w:hAnsi="宋体" w:cs="宋体" w:eastAsia="宋体" w:hint="default"/>
                <w:sz w:val="24"/>
                <w:szCs w:val="24"/>
              </w:rPr>
            </w:pPr>
            <w:r>
              <w:rPr>
                <w:rFonts w:ascii="宋体" w:hAnsi="宋体" w:cs="宋体" w:eastAsia="宋体" w:hint="default"/>
                <w:sz w:val="24"/>
                <w:szCs w:val="24"/>
              </w:rPr>
              <w:t>中约人民币</w:t>
            </w:r>
            <w:r>
              <w:rPr>
                <w:rFonts w:ascii="宋体" w:hAnsi="宋体" w:cs="宋体" w:eastAsia="宋体" w:hint="default"/>
                <w:spacing w:val="-69"/>
                <w:sz w:val="24"/>
                <w:szCs w:val="24"/>
              </w:rPr>
              <w:t> </w:t>
            </w:r>
            <w:r>
              <w:rPr>
                <w:rFonts w:ascii="Arial" w:hAnsi="Arial" w:cs="Arial" w:eastAsia="Arial" w:hint="default"/>
                <w:spacing w:val="-1"/>
                <w:w w:val="99"/>
                <w:sz w:val="24"/>
                <w:szCs w:val="24"/>
              </w:rPr>
              <w:t>15</w:t>
            </w:r>
            <w:r>
              <w:rPr>
                <w:rFonts w:ascii="Arial" w:hAnsi="Arial" w:cs="Arial" w:eastAsia="Arial" w:hint="default"/>
                <w:spacing w:val="-16"/>
                <w:w w:val="99"/>
                <w:sz w:val="24"/>
                <w:szCs w:val="24"/>
              </w:rPr>
              <w:t> </w:t>
            </w:r>
            <w:r>
              <w:rPr>
                <w:rFonts w:ascii="宋体" w:hAnsi="宋体" w:cs="宋体" w:eastAsia="宋体" w:hint="default"/>
                <w:spacing w:val="-1"/>
                <w:w w:val="99"/>
                <w:sz w:val="24"/>
                <w:szCs w:val="24"/>
              </w:rPr>
              <w:t>亿元将在一年内到期</w:t>
            </w:r>
            <w:r>
              <w:rPr>
                <w:rFonts w:ascii="Arial" w:hAnsi="Arial" w:cs="Arial" w:eastAsia="Arial" w:hint="default"/>
                <w:spacing w:val="-1"/>
                <w:w w:val="99"/>
                <w:sz w:val="24"/>
                <w:szCs w:val="24"/>
              </w:rPr>
              <w:t>(2014</w:t>
            </w:r>
            <w:r>
              <w:rPr>
                <w:rFonts w:ascii="Arial" w:hAnsi="Arial" w:cs="Arial" w:eastAsia="Arial" w:hint="default"/>
                <w:spacing w:val="-16"/>
                <w:w w:val="99"/>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spacing w:val="-1"/>
                <w:w w:val="99"/>
                <w:sz w:val="24"/>
                <w:szCs w:val="24"/>
              </w:rPr>
              <w:t>12</w:t>
            </w:r>
            <w:r>
              <w:rPr>
                <w:rFonts w:ascii="Arial" w:hAnsi="Arial" w:cs="Arial" w:eastAsia="Arial" w:hint="default"/>
                <w:spacing w:val="-16"/>
                <w:w w:val="99"/>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Arial" w:hAnsi="Arial" w:cs="Arial" w:eastAsia="Arial" w:hint="default"/>
                <w:spacing w:val="-1"/>
                <w:w w:val="99"/>
                <w:sz w:val="24"/>
                <w:szCs w:val="24"/>
              </w:rPr>
              <w:t>31</w:t>
            </w:r>
            <w:r>
              <w:rPr>
                <w:rFonts w:ascii="Arial" w:hAnsi="Arial" w:cs="Arial" w:eastAsia="Arial" w:hint="default"/>
                <w:spacing w:val="-18"/>
                <w:w w:val="99"/>
                <w:sz w:val="24"/>
                <w:szCs w:val="24"/>
              </w:rPr>
              <w:t> </w:t>
            </w:r>
            <w:r>
              <w:rPr>
                <w:rFonts w:ascii="宋体" w:hAnsi="宋体" w:cs="宋体" w:eastAsia="宋体" w:hint="default"/>
                <w:spacing w:val="-20"/>
                <w:sz w:val="24"/>
                <w:szCs w:val="24"/>
              </w:rPr>
              <w:t>日：约人民币</w:t>
            </w:r>
            <w:r>
              <w:rPr>
                <w:rFonts w:ascii="宋体" w:hAnsi="宋体" w:cs="宋体" w:eastAsia="宋体" w:hint="default"/>
                <w:spacing w:val="-69"/>
                <w:sz w:val="24"/>
                <w:szCs w:val="24"/>
              </w:rPr>
              <w:t> </w:t>
            </w:r>
            <w:r>
              <w:rPr>
                <w:rFonts w:ascii="Arial" w:hAnsi="Arial" w:cs="Arial" w:eastAsia="Arial" w:hint="default"/>
                <w:w w:val="99"/>
                <w:sz w:val="24"/>
                <w:szCs w:val="24"/>
              </w:rPr>
              <w:t>7.22</w:t>
            </w:r>
            <w:r>
              <w:rPr>
                <w:rFonts w:ascii="Arial" w:hAnsi="Arial" w:cs="Arial" w:eastAsia="Arial" w:hint="default"/>
                <w:spacing w:val="-16"/>
                <w:w w:val="99"/>
                <w:sz w:val="24"/>
                <w:szCs w:val="24"/>
              </w:rPr>
              <w:t> </w:t>
            </w:r>
            <w:r>
              <w:rPr>
                <w:rFonts w:ascii="宋体" w:hAnsi="宋体" w:cs="宋体" w:eastAsia="宋体" w:hint="default"/>
                <w:spacing w:val="-1"/>
                <w:sz w:val="24"/>
                <w:szCs w:val="24"/>
              </w:rPr>
              <w:t>亿元</w:t>
            </w:r>
            <w:r>
              <w:rPr>
                <w:rFonts w:ascii="Arial" w:hAnsi="Arial" w:cs="Arial" w:eastAsia="Arial" w:hint="default"/>
                <w:spacing w:val="-1"/>
                <w:sz w:val="24"/>
                <w:szCs w:val="24"/>
              </w:rPr>
              <w:t>)</w:t>
            </w:r>
            <w:r>
              <w:rPr>
                <w:rFonts w:ascii="宋体" w:hAnsi="宋体" w:cs="宋体" w:eastAsia="宋体" w:hint="default"/>
                <w:spacing w:val="-1"/>
                <w:sz w:val="24"/>
                <w:szCs w:val="24"/>
              </w:rPr>
              <w:t>，</w:t>
            </w:r>
            <w:r>
              <w:rPr>
                <w:rFonts w:ascii="宋体" w:hAnsi="宋体" w:cs="宋体" w:eastAsia="宋体" w:hint="default"/>
                <w:sz w:val="24"/>
                <w:szCs w:val="24"/>
              </w:rPr>
              <w:t> 账列其他流动资产；剩余理财产品无固定到期日，账列可供出售金融资产。</w:t>
            </w:r>
          </w:p>
        </w:tc>
      </w:tr>
    </w:tbl>
    <w:p>
      <w:pPr>
        <w:spacing w:after="0" w:line="312" w:lineRule="exact"/>
        <w:jc w:val="left"/>
        <w:rPr>
          <w:rFonts w:ascii="宋体" w:hAnsi="宋体" w:cs="宋体" w:eastAsia="宋体" w:hint="default"/>
          <w:sz w:val="24"/>
          <w:szCs w:val="24"/>
        </w:rPr>
        <w:sectPr>
          <w:headerReference w:type="default" r:id="rId43"/>
          <w:footerReference w:type="default" r:id="rId44"/>
          <w:pgSz w:w="11910" w:h="16840"/>
          <w:pgMar w:header="755" w:footer="914" w:top="1860" w:bottom="1100" w:left="1340" w:right="0"/>
          <w:pgNumType w:start="162"/>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770"/>
        <w:gridCol w:w="3754"/>
        <w:gridCol w:w="2230"/>
        <w:gridCol w:w="2498"/>
      </w:tblGrid>
      <w:tr>
        <w:trPr>
          <w:trHeight w:val="41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754" w:type="dxa"/>
            <w:tcBorders>
              <w:top w:val="nil" w:sz="6" w:space="0" w:color="auto"/>
              <w:left w:val="nil" w:sz="6" w:space="0" w:color="auto"/>
              <w:bottom w:val="nil" w:sz="6" w:space="0" w:color="auto"/>
              <w:right w:val="nil" w:sz="6" w:space="0" w:color="auto"/>
            </w:tcBorders>
          </w:tcPr>
          <w:p>
            <w:pPr>
              <w:pStyle w:val="TableParagraph"/>
              <w:spacing w:line="257" w:lineRule="exact"/>
              <w:ind w:left="16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3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588"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pacing w:val="-5"/>
                <w:sz w:val="24"/>
              </w:rPr>
              <w:t>(11)</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1" w:right="0"/>
              <w:jc w:val="left"/>
              <w:rPr>
                <w:rFonts w:ascii="Arial" w:hAnsi="Arial" w:cs="Arial" w:eastAsia="Arial" w:hint="default"/>
                <w:sz w:val="24"/>
                <w:szCs w:val="24"/>
              </w:rPr>
            </w:pPr>
            <w:r>
              <w:rPr>
                <w:rFonts w:ascii="黑体" w:hAnsi="黑体" w:cs="黑体" w:eastAsia="黑体" w:hint="default"/>
                <w:sz w:val="24"/>
                <w:szCs w:val="24"/>
              </w:rPr>
              <w:t>可供出售金融资产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3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585"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5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61" w:right="0"/>
              <w:jc w:val="left"/>
              <w:rPr>
                <w:rFonts w:ascii="宋体" w:hAnsi="宋体" w:cs="宋体" w:eastAsia="宋体" w:hint="default"/>
                <w:sz w:val="24"/>
                <w:szCs w:val="24"/>
              </w:rPr>
            </w:pPr>
            <w:r>
              <w:rPr>
                <w:rFonts w:ascii="宋体" w:hAnsi="宋体" w:cs="宋体" w:eastAsia="宋体" w:hint="default"/>
                <w:sz w:val="24"/>
                <w:szCs w:val="24"/>
              </w:rPr>
              <w:t>可供出售金融资产相关信息分析如下：</w:t>
            </w:r>
          </w:p>
        </w:tc>
        <w:tc>
          <w:tcPr>
            <w:tcW w:w="2498" w:type="dxa"/>
            <w:tcBorders>
              <w:top w:val="nil" w:sz="6" w:space="0" w:color="auto"/>
              <w:left w:val="nil" w:sz="6" w:space="0" w:color="auto"/>
              <w:bottom w:val="nil" w:sz="6" w:space="0" w:color="auto"/>
              <w:right w:val="nil" w:sz="6" w:space="0" w:color="auto"/>
            </w:tcBorders>
          </w:tcPr>
          <w:p>
            <w:pPr/>
          </w:p>
        </w:tc>
      </w:tr>
      <w:tr>
        <w:trPr>
          <w:trHeight w:val="587" w:hRule="exact"/>
        </w:trPr>
        <w:tc>
          <w:tcPr>
            <w:tcW w:w="770" w:type="dxa"/>
            <w:tcBorders>
              <w:top w:val="nil" w:sz="6" w:space="0" w:color="auto"/>
              <w:left w:val="nil" w:sz="6" w:space="0" w:color="auto"/>
              <w:bottom w:val="nil" w:sz="6" w:space="0" w:color="auto"/>
              <w:right w:val="nil" w:sz="6" w:space="0" w:color="auto"/>
            </w:tcBorders>
          </w:tcPr>
          <w:p>
            <w:pPr/>
          </w:p>
        </w:tc>
        <w:tc>
          <w:tcPr>
            <w:tcW w:w="5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161" w:right="0"/>
              <w:jc w:val="left"/>
              <w:rPr>
                <w:rFonts w:ascii="宋体" w:hAnsi="宋体" w:cs="宋体" w:eastAsia="宋体" w:hint="default"/>
                <w:sz w:val="24"/>
                <w:szCs w:val="24"/>
              </w:rPr>
            </w:pPr>
            <w:r>
              <w:rPr>
                <w:rFonts w:ascii="宋体" w:hAnsi="宋体" w:cs="宋体" w:eastAsia="宋体" w:hint="default"/>
                <w:sz w:val="24"/>
                <w:szCs w:val="24"/>
              </w:rPr>
              <w:t>以公允价值计量的可供出售金融资产：</w:t>
            </w:r>
          </w:p>
        </w:tc>
        <w:tc>
          <w:tcPr>
            <w:tcW w:w="2498" w:type="dxa"/>
            <w:tcBorders>
              <w:top w:val="nil" w:sz="6" w:space="0" w:color="auto"/>
              <w:left w:val="nil" w:sz="6" w:space="0" w:color="auto"/>
              <w:bottom w:val="nil" w:sz="6" w:space="0" w:color="auto"/>
              <w:right w:val="nil" w:sz="6" w:space="0" w:color="auto"/>
            </w:tcBorders>
          </w:tcPr>
          <w:p>
            <w:pPr/>
          </w:p>
        </w:tc>
      </w:tr>
      <w:tr>
        <w:trPr>
          <w:trHeight w:val="593"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0"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4"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1"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223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325"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75" w:lineRule="exact"/>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55" w:right="0"/>
              <w:jc w:val="left"/>
              <w:rPr>
                <w:rFonts w:ascii="Arial" w:hAnsi="Arial" w:cs="Arial" w:eastAsia="Arial" w:hint="default"/>
                <w:sz w:val="24"/>
                <w:szCs w:val="24"/>
              </w:rPr>
            </w:pPr>
            <w:r>
              <w:rPr>
                <w:rFonts w:ascii="Arial"/>
                <w:sz w:val="24"/>
              </w:rPr>
              <w:t>2,425,438</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1"/>
              <w:jc w:val="right"/>
              <w:rPr>
                <w:rFonts w:ascii="Arial" w:hAnsi="Arial" w:cs="Arial" w:eastAsia="Arial" w:hint="default"/>
                <w:sz w:val="24"/>
                <w:szCs w:val="24"/>
              </w:rPr>
            </w:pPr>
            <w:r>
              <w:rPr>
                <w:rFonts w:ascii="Arial"/>
                <w:w w:val="95"/>
                <w:sz w:val="24"/>
              </w:rPr>
              <w:t>1,579,369</w:t>
            </w:r>
            <w:r>
              <w:rPr>
                <w:rFonts w:ascii="Arial"/>
                <w:sz w:val="24"/>
              </w:rPr>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1"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55" w:right="0"/>
              <w:jc w:val="left"/>
              <w:rPr>
                <w:rFonts w:ascii="Arial" w:hAnsi="Arial" w:cs="Arial" w:eastAsia="Arial" w:hint="default"/>
                <w:sz w:val="24"/>
                <w:szCs w:val="24"/>
              </w:rPr>
            </w:pPr>
            <w:r>
              <w:rPr>
                <w:rFonts w:ascii="Arial"/>
                <w:sz w:val="24"/>
              </w:rPr>
              <w:t>2,422,000</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1"/>
              <w:jc w:val="right"/>
              <w:rPr>
                <w:rFonts w:ascii="Arial" w:hAnsi="Arial" w:cs="Arial" w:eastAsia="Arial" w:hint="default"/>
                <w:sz w:val="24"/>
                <w:szCs w:val="24"/>
              </w:rPr>
            </w:pPr>
            <w:r>
              <w:rPr>
                <w:rFonts w:ascii="Arial"/>
                <w:w w:val="95"/>
                <w:sz w:val="24"/>
              </w:rPr>
              <w:t>1,570,700</w:t>
            </w:r>
            <w:r>
              <w:rPr>
                <w:rFonts w:ascii="Arial"/>
                <w:sz w:val="24"/>
              </w:rPr>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24" w:right="0"/>
              <w:jc w:val="left"/>
              <w:rPr>
                <w:rFonts w:ascii="Arial" w:hAnsi="Arial" w:cs="Arial" w:eastAsia="Arial" w:hint="default"/>
                <w:sz w:val="24"/>
                <w:szCs w:val="24"/>
              </w:rPr>
            </w:pPr>
            <w:r>
              <w:rPr>
                <w:rFonts w:ascii="Arial"/>
                <w:sz w:val="24"/>
              </w:rPr>
              <w:t>3,438</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4"/>
                <w:szCs w:val="24"/>
              </w:rPr>
            </w:pPr>
            <w:r>
              <w:rPr>
                <w:rFonts w:ascii="Arial"/>
                <w:w w:val="95"/>
                <w:sz w:val="24"/>
              </w:rPr>
              <w:t>8,669</w:t>
            </w:r>
            <w:r>
              <w:rPr>
                <w:rFonts w:ascii="Arial"/>
                <w:sz w:val="24"/>
              </w:rPr>
            </w:r>
          </w:p>
        </w:tc>
      </w:tr>
      <w:tr>
        <w:trPr>
          <w:trHeight w:val="450"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—累计计提减值</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3"/>
              <w:jc w:val="right"/>
              <w:rPr>
                <w:rFonts w:ascii="Arial" w:hAnsi="Arial" w:cs="Arial" w:eastAsia="Arial" w:hint="default"/>
                <w:sz w:val="24"/>
                <w:szCs w:val="24"/>
              </w:rPr>
            </w:pPr>
            <w:r>
              <w:rPr>
                <w:rFonts w:ascii="Arial"/>
                <w:w w:val="99"/>
                <w:sz w:val="24"/>
              </w:rPr>
              <w:t>-</w:t>
            </w:r>
            <w:r>
              <w:rPr>
                <w:rFonts w:ascii="Arial"/>
                <w:sz w:val="24"/>
              </w:rPr>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1"/>
              <w:jc w:val="right"/>
              <w:rPr>
                <w:rFonts w:ascii="Arial" w:hAnsi="Arial" w:cs="Arial" w:eastAsia="Arial" w:hint="default"/>
                <w:sz w:val="24"/>
                <w:szCs w:val="24"/>
              </w:rPr>
            </w:pPr>
            <w:r>
              <w:rPr>
                <w:rFonts w:ascii="Arial"/>
                <w:w w:val="99"/>
                <w:sz w:val="24"/>
              </w:rPr>
              <w:t>-</w:t>
            </w:r>
            <w:r>
              <w:rPr>
                <w:rFonts w:ascii="Arial"/>
                <w:sz w:val="24"/>
              </w:rPr>
            </w:r>
          </w:p>
        </w:tc>
      </w:tr>
      <w:tr>
        <w:trPr>
          <w:trHeight w:val="435"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1"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223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324"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75" w:lineRule="exact"/>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52" w:right="0"/>
              <w:jc w:val="left"/>
              <w:rPr>
                <w:rFonts w:ascii="Arial" w:hAnsi="Arial" w:cs="Arial" w:eastAsia="Arial" w:hint="default"/>
                <w:sz w:val="24"/>
                <w:szCs w:val="24"/>
              </w:rPr>
            </w:pPr>
            <w:r>
              <w:rPr>
                <w:rFonts w:ascii="Arial"/>
                <w:sz w:val="24"/>
              </w:rPr>
              <w:t>894,743</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2"/>
              <w:jc w:val="right"/>
              <w:rPr>
                <w:rFonts w:ascii="Arial" w:hAnsi="Arial" w:cs="Arial" w:eastAsia="Arial" w:hint="default"/>
                <w:sz w:val="24"/>
                <w:szCs w:val="24"/>
              </w:rPr>
            </w:pPr>
            <w:r>
              <w:rPr>
                <w:rFonts w:ascii="Arial"/>
                <w:spacing w:val="-1"/>
                <w:sz w:val="24"/>
              </w:rPr>
              <w:t>678,151</w:t>
            </w:r>
          </w:p>
        </w:tc>
      </w:tr>
      <w:tr>
        <w:trPr>
          <w:trHeight w:val="312"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52" w:right="0"/>
              <w:jc w:val="left"/>
              <w:rPr>
                <w:rFonts w:ascii="Arial" w:hAnsi="Arial" w:cs="Arial" w:eastAsia="Arial" w:hint="default"/>
                <w:sz w:val="24"/>
                <w:szCs w:val="24"/>
              </w:rPr>
            </w:pPr>
            <w:r>
              <w:rPr>
                <w:rFonts w:ascii="Arial"/>
                <w:sz w:val="24"/>
              </w:rPr>
              <w:t>540,000</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2"/>
              <w:jc w:val="right"/>
              <w:rPr>
                <w:rFonts w:ascii="Arial" w:hAnsi="Arial" w:cs="Arial" w:eastAsia="Arial" w:hint="default"/>
                <w:sz w:val="24"/>
                <w:szCs w:val="24"/>
              </w:rPr>
            </w:pPr>
            <w:r>
              <w:rPr>
                <w:rFonts w:ascii="Arial"/>
                <w:spacing w:val="-1"/>
                <w:sz w:val="24"/>
              </w:rPr>
              <w:t>540,000</w:t>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42" w:right="0"/>
              <w:jc w:val="left"/>
              <w:rPr>
                <w:rFonts w:ascii="Arial" w:hAnsi="Arial" w:cs="Arial" w:eastAsia="Arial" w:hint="default"/>
                <w:sz w:val="24"/>
                <w:szCs w:val="24"/>
              </w:rPr>
            </w:pPr>
            <w:r>
              <w:rPr>
                <w:rFonts w:ascii="Arial"/>
                <w:sz w:val="24"/>
              </w:rPr>
              <w:t>354,743</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2"/>
              <w:jc w:val="right"/>
              <w:rPr>
                <w:rFonts w:ascii="Arial" w:hAnsi="Arial" w:cs="Arial" w:eastAsia="Arial" w:hint="default"/>
                <w:sz w:val="24"/>
                <w:szCs w:val="24"/>
              </w:rPr>
            </w:pPr>
            <w:r>
              <w:rPr>
                <w:rFonts w:ascii="Arial"/>
                <w:spacing w:val="-1"/>
                <w:sz w:val="24"/>
              </w:rPr>
              <w:t>138,151</w:t>
            </w:r>
          </w:p>
        </w:tc>
      </w:tr>
      <w:tr>
        <w:trPr>
          <w:trHeight w:val="449"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—累计计提减值</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7"/>
              <w:jc w:val="right"/>
              <w:rPr>
                <w:rFonts w:ascii="Arial" w:hAnsi="Arial" w:cs="Arial" w:eastAsia="Arial" w:hint="default"/>
                <w:sz w:val="24"/>
                <w:szCs w:val="24"/>
              </w:rPr>
            </w:pPr>
            <w:r>
              <w:rPr>
                <w:rFonts w:ascii="Arial"/>
                <w:w w:val="99"/>
                <w:sz w:val="24"/>
              </w:rPr>
              <w:t>-</w:t>
            </w:r>
            <w:r>
              <w:rPr>
                <w:rFonts w:ascii="Arial"/>
                <w:sz w:val="24"/>
              </w:rPr>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1"/>
              <w:jc w:val="right"/>
              <w:rPr>
                <w:rFonts w:ascii="Arial" w:hAnsi="Arial" w:cs="Arial" w:eastAsia="Arial" w:hint="default"/>
                <w:sz w:val="24"/>
                <w:szCs w:val="24"/>
              </w:rPr>
            </w:pPr>
            <w:r>
              <w:rPr>
                <w:rFonts w:ascii="Arial"/>
                <w:w w:val="99"/>
                <w:sz w:val="24"/>
              </w:rPr>
              <w:t>-</w:t>
            </w:r>
            <w:r>
              <w:rPr>
                <w:rFonts w:ascii="Arial"/>
                <w:sz w:val="24"/>
              </w:rPr>
            </w:r>
          </w:p>
        </w:tc>
      </w:tr>
      <w:tr>
        <w:trPr>
          <w:trHeight w:val="436"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1" w:right="0"/>
              <w:jc w:val="left"/>
              <w:rPr>
                <w:rFonts w:ascii="宋体" w:hAnsi="宋体" w:cs="宋体" w:eastAsia="宋体" w:hint="default"/>
                <w:sz w:val="24"/>
                <w:szCs w:val="24"/>
              </w:rPr>
            </w:pPr>
            <w:r>
              <w:rPr>
                <w:rFonts w:ascii="宋体" w:hAnsi="宋体" w:cs="宋体" w:eastAsia="宋体" w:hint="default"/>
                <w:sz w:val="24"/>
                <w:szCs w:val="24"/>
              </w:rPr>
              <w:t>股票投资</w:t>
            </w:r>
          </w:p>
        </w:tc>
        <w:tc>
          <w:tcPr>
            <w:tcW w:w="223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325"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76" w:lineRule="exact"/>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8"/>
              <w:jc w:val="right"/>
              <w:rPr>
                <w:rFonts w:ascii="Arial" w:hAnsi="Arial" w:cs="Arial" w:eastAsia="Arial" w:hint="default"/>
                <w:sz w:val="24"/>
                <w:szCs w:val="24"/>
              </w:rPr>
            </w:pPr>
            <w:r>
              <w:rPr>
                <w:rFonts w:ascii="Arial"/>
                <w:spacing w:val="-1"/>
                <w:w w:val="95"/>
                <w:sz w:val="24"/>
              </w:rPr>
              <w:t>799</w:t>
            </w:r>
            <w:r>
              <w:rPr>
                <w:rFonts w:ascii="Arial"/>
                <w:sz w:val="24"/>
              </w:rPr>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1"/>
              <w:jc w:val="right"/>
              <w:rPr>
                <w:rFonts w:ascii="Arial" w:hAnsi="Arial" w:cs="Arial" w:eastAsia="Arial" w:hint="default"/>
                <w:sz w:val="24"/>
                <w:szCs w:val="24"/>
              </w:rPr>
            </w:pPr>
            <w:r>
              <w:rPr>
                <w:rFonts w:ascii="Arial"/>
                <w:spacing w:val="-1"/>
                <w:w w:val="95"/>
                <w:sz w:val="24"/>
              </w:rPr>
              <w:t>630</w:t>
            </w:r>
            <w:r>
              <w:rPr>
                <w:rFonts w:ascii="Arial"/>
                <w:sz w:val="24"/>
              </w:rPr>
            </w:r>
          </w:p>
        </w:tc>
      </w:tr>
      <w:tr>
        <w:trPr>
          <w:trHeight w:val="312"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8"/>
              <w:jc w:val="right"/>
              <w:rPr>
                <w:rFonts w:ascii="Arial" w:hAnsi="Arial" w:cs="Arial" w:eastAsia="Arial" w:hint="default"/>
                <w:sz w:val="24"/>
                <w:szCs w:val="24"/>
              </w:rPr>
            </w:pPr>
            <w:r>
              <w:rPr>
                <w:rFonts w:ascii="Arial"/>
                <w:spacing w:val="-1"/>
                <w:w w:val="95"/>
                <w:sz w:val="24"/>
              </w:rPr>
              <w:t>801</w:t>
            </w:r>
            <w:r>
              <w:rPr>
                <w:rFonts w:ascii="Arial"/>
                <w:sz w:val="24"/>
              </w:rPr>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1"/>
              <w:jc w:val="right"/>
              <w:rPr>
                <w:rFonts w:ascii="Arial" w:hAnsi="Arial" w:cs="Arial" w:eastAsia="Arial" w:hint="default"/>
                <w:sz w:val="24"/>
                <w:szCs w:val="24"/>
              </w:rPr>
            </w:pPr>
            <w:r>
              <w:rPr>
                <w:rFonts w:ascii="Arial"/>
                <w:spacing w:val="-1"/>
                <w:w w:val="95"/>
                <w:sz w:val="24"/>
              </w:rPr>
              <w:t>801</w:t>
            </w:r>
            <w:r>
              <w:rPr>
                <w:rFonts w:ascii="Arial"/>
                <w:sz w:val="24"/>
              </w:rPr>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0"/>
              <w:jc w:val="right"/>
              <w:rPr>
                <w:rFonts w:ascii="Arial" w:hAnsi="Arial" w:cs="Arial" w:eastAsia="Arial" w:hint="default"/>
                <w:sz w:val="24"/>
                <w:szCs w:val="24"/>
              </w:rPr>
            </w:pPr>
            <w:r>
              <w:rPr>
                <w:rFonts w:ascii="Arial"/>
                <w:w w:val="95"/>
                <w:sz w:val="24"/>
              </w:rPr>
              <w:t>(2)</w:t>
            </w:r>
            <w:r>
              <w:rPr>
                <w:rFonts w:ascii="Arial"/>
                <w:sz w:val="24"/>
              </w:rPr>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(171)</w:t>
            </w:r>
            <w:r>
              <w:rPr>
                <w:rFonts w:ascii="Arial"/>
                <w:sz w:val="24"/>
              </w:rPr>
            </w:r>
          </w:p>
        </w:tc>
      </w:tr>
      <w:tr>
        <w:trPr>
          <w:trHeight w:val="449"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—累计计提减值</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7"/>
              <w:jc w:val="right"/>
              <w:rPr>
                <w:rFonts w:ascii="Arial" w:hAnsi="Arial" w:cs="Arial" w:eastAsia="Arial" w:hint="default"/>
                <w:sz w:val="24"/>
                <w:szCs w:val="24"/>
              </w:rPr>
            </w:pPr>
            <w:r>
              <w:rPr>
                <w:rFonts w:ascii="Arial"/>
                <w:w w:val="99"/>
                <w:sz w:val="24"/>
              </w:rPr>
              <w:t>-</w:t>
            </w:r>
            <w:r>
              <w:rPr>
                <w:rFonts w:ascii="Arial"/>
                <w:sz w:val="24"/>
              </w:rPr>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1"/>
              <w:jc w:val="right"/>
              <w:rPr>
                <w:rFonts w:ascii="Arial" w:hAnsi="Arial" w:cs="Arial" w:eastAsia="Arial" w:hint="default"/>
                <w:sz w:val="24"/>
                <w:szCs w:val="24"/>
              </w:rPr>
            </w:pPr>
            <w:r>
              <w:rPr>
                <w:rFonts w:ascii="Arial"/>
                <w:w w:val="99"/>
                <w:sz w:val="24"/>
              </w:rPr>
              <w:t>-</w:t>
            </w:r>
            <w:r>
              <w:rPr>
                <w:rFonts w:ascii="Arial"/>
                <w:sz w:val="24"/>
              </w:rPr>
            </w:r>
          </w:p>
        </w:tc>
      </w:tr>
      <w:tr>
        <w:trPr>
          <w:trHeight w:val="436"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23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325"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76" w:lineRule="exact"/>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52" w:right="0"/>
              <w:jc w:val="left"/>
              <w:rPr>
                <w:rFonts w:ascii="Arial" w:hAnsi="Arial" w:cs="Arial" w:eastAsia="Arial" w:hint="default"/>
                <w:sz w:val="24"/>
                <w:szCs w:val="24"/>
              </w:rPr>
            </w:pPr>
            <w:r>
              <w:rPr>
                <w:rFonts w:ascii="Arial"/>
                <w:sz w:val="24"/>
              </w:rPr>
              <w:t>3,320,980</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2"/>
              <w:jc w:val="right"/>
              <w:rPr>
                <w:rFonts w:ascii="Arial" w:hAnsi="Arial" w:cs="Arial" w:eastAsia="Arial" w:hint="default"/>
                <w:sz w:val="24"/>
                <w:szCs w:val="24"/>
              </w:rPr>
            </w:pPr>
            <w:r>
              <w:rPr>
                <w:rFonts w:ascii="Arial"/>
                <w:w w:val="95"/>
                <w:sz w:val="24"/>
              </w:rPr>
              <w:t>2,258,150</w:t>
            </w:r>
            <w:r>
              <w:rPr>
                <w:rFonts w:ascii="Arial"/>
                <w:sz w:val="24"/>
              </w:rPr>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52" w:right="0"/>
              <w:jc w:val="left"/>
              <w:rPr>
                <w:rFonts w:ascii="Arial" w:hAnsi="Arial" w:cs="Arial" w:eastAsia="Arial" w:hint="default"/>
                <w:sz w:val="24"/>
                <w:szCs w:val="24"/>
              </w:rPr>
            </w:pPr>
            <w:r>
              <w:rPr>
                <w:rFonts w:ascii="Arial"/>
                <w:sz w:val="24"/>
              </w:rPr>
              <w:t>2,962,801</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2"/>
              <w:jc w:val="right"/>
              <w:rPr>
                <w:rFonts w:ascii="Arial" w:hAnsi="Arial" w:cs="Arial" w:eastAsia="Arial" w:hint="default"/>
                <w:sz w:val="24"/>
                <w:szCs w:val="24"/>
              </w:rPr>
            </w:pPr>
            <w:r>
              <w:rPr>
                <w:rFonts w:ascii="Arial"/>
                <w:spacing w:val="-5"/>
                <w:sz w:val="24"/>
              </w:rPr>
              <w:t>2,111,501</w:t>
            </w:r>
          </w:p>
        </w:tc>
      </w:tr>
      <w:tr>
        <w:trPr>
          <w:trHeight w:val="312"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52" w:right="0"/>
              <w:jc w:val="left"/>
              <w:rPr>
                <w:rFonts w:ascii="Arial" w:hAnsi="Arial" w:cs="Arial" w:eastAsia="Arial" w:hint="default"/>
                <w:sz w:val="24"/>
                <w:szCs w:val="24"/>
              </w:rPr>
            </w:pPr>
            <w:r>
              <w:rPr>
                <w:rFonts w:ascii="Arial"/>
                <w:sz w:val="24"/>
              </w:rPr>
              <w:t>358,179</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2"/>
              <w:jc w:val="right"/>
              <w:rPr>
                <w:rFonts w:ascii="Arial" w:hAnsi="Arial" w:cs="Arial" w:eastAsia="Arial" w:hint="default"/>
                <w:sz w:val="24"/>
                <w:szCs w:val="24"/>
              </w:rPr>
            </w:pPr>
            <w:r>
              <w:rPr>
                <w:rFonts w:ascii="Arial"/>
                <w:spacing w:val="-1"/>
                <w:sz w:val="24"/>
              </w:rPr>
              <w:t>146,649</w:t>
            </w:r>
          </w:p>
        </w:tc>
      </w:tr>
      <w:tr>
        <w:trPr>
          <w:trHeight w:val="289" w:hRule="exact"/>
        </w:trPr>
        <w:tc>
          <w:tcPr>
            <w:tcW w:w="77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tabs>
                <w:tab w:pos="3495" w:val="left" w:leader="none"/>
                <w:tab w:pos="5694" w:val="left" w:leader="none"/>
              </w:tabs>
              <w:spacing w:line="257" w:lineRule="exact"/>
              <w:ind w:left="161" w:right="-1941"/>
              <w:jc w:val="left"/>
              <w:rPr>
                <w:rFonts w:ascii="Arial" w:hAnsi="Arial" w:cs="Arial" w:eastAsia="Arial" w:hint="default"/>
                <w:sz w:val="24"/>
                <w:szCs w:val="24"/>
              </w:rPr>
            </w:pPr>
            <w:r>
              <w:rPr>
                <w:rFonts w:ascii="宋体" w:hAnsi="宋体" w:cs="宋体" w:eastAsia="宋体" w:hint="default"/>
                <w:position w:val="2"/>
                <w:sz w:val="24"/>
                <w:szCs w:val="24"/>
              </w:rPr>
              <w:t>—累计计提减值</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230" w:type="dxa"/>
            <w:tcBorders>
              <w:top w:val="nil" w:sz="6" w:space="0" w:color="auto"/>
              <w:left w:val="nil" w:sz="6" w:space="0" w:color="auto"/>
              <w:bottom w:val="nil" w:sz="6" w:space="0" w:color="auto"/>
              <w:right w:val="nil" w:sz="6" w:space="0" w:color="auto"/>
            </w:tcBorders>
          </w:tcPr>
          <w:p>
            <w:pPr>
              <w:pStyle w:val="TableParagraph"/>
              <w:tabs>
                <w:tab w:pos="2393" w:val="left" w:leader="none"/>
              </w:tabs>
              <w:spacing w:line="240" w:lineRule="auto" w:before="18"/>
              <w:ind w:right="-2105"/>
              <w:jc w:val="right"/>
              <w:rPr>
                <w:rFonts w:ascii="Arial" w:hAnsi="Arial" w:cs="Arial" w:eastAsia="Arial" w:hint="default"/>
                <w:sz w:val="24"/>
                <w:szCs w:val="24"/>
              </w:rPr>
            </w:pPr>
            <w:r>
              <w:rPr>
                <w:rFonts w:ascii="Arial"/>
                <w:w w:val="99"/>
                <w:sz w:val="24"/>
              </w:rPr>
            </w:r>
            <w:r>
              <w:rPr>
                <w:rFonts w:ascii="Arial"/>
                <w:w w:val="95"/>
                <w:sz w:val="24"/>
                <w:u w:val="thick" w:color="000000"/>
              </w:rPr>
              <w:t>-</w:t>
            </w:r>
            <w:r>
              <w:rPr>
                <w:rFonts w:ascii="Arial"/>
                <w:spacing w:val="17"/>
                <w:w w:val="95"/>
                <w:sz w:val="24"/>
                <w:u w:val="thick" w:color="000000"/>
              </w:rPr>
              <w:t> </w:t>
            </w:r>
            <w:r>
              <w:rPr>
                <w:rFonts w:ascii="Arial"/>
                <w:spacing w:val="17"/>
                <w:w w:val="95"/>
                <w:sz w:val="24"/>
              </w:rPr>
            </w:r>
            <w:r>
              <w:rPr>
                <w:rFonts w:ascii="Arial"/>
                <w:spacing w:val="10"/>
                <w:w w:val="95"/>
                <w:sz w:val="24"/>
              </w:rPr>
              <w:t> </w:t>
            </w:r>
            <w:r>
              <w:rPr>
                <w:rFonts w:ascii="Arial"/>
                <w:spacing w:val="10"/>
                <w:w w:val="100"/>
                <w:sz w:val="24"/>
              </w:rPr>
            </w:r>
            <w:r>
              <w:rPr>
                <w:rFonts w:ascii="Arial"/>
                <w:w w:val="100"/>
                <w:sz w:val="24"/>
                <w:u w:val="thick" w:color="000000"/>
              </w:rPr>
              <w:t> </w:t>
            </w:r>
            <w:r>
              <w:rPr>
                <w:rFonts w:ascii="Arial"/>
                <w:sz w:val="24"/>
                <w:u w:val="thick" w:color="000000"/>
              </w:rPr>
              <w:tab/>
            </w:r>
            <w:r>
              <w:rPr>
                <w:rFonts w:ascii="Arial"/>
                <w:sz w:val="24"/>
              </w:rPr>
            </w:r>
          </w:p>
        </w:tc>
        <w:tc>
          <w:tcPr>
            <w:tcW w:w="2498" w:type="dxa"/>
            <w:tcBorders>
              <w:top w:val="nil" w:sz="6" w:space="0" w:color="auto"/>
              <w:left w:val="nil" w:sz="6" w:space="0" w:color="auto"/>
              <w:bottom w:val="nil" w:sz="6" w:space="0" w:color="auto"/>
              <w:right w:val="nil" w:sz="6" w:space="0" w:color="auto"/>
            </w:tcBorders>
          </w:tcPr>
          <w:p>
            <w:pPr>
              <w:pStyle w:val="TableParagraph"/>
              <w:tabs>
                <w:tab w:pos="220" w:val="left" w:leader="none"/>
              </w:tabs>
              <w:spacing w:line="240" w:lineRule="auto" w:before="18"/>
              <w:ind w:right="170"/>
              <w:jc w:val="right"/>
              <w:rPr>
                <w:rFonts w:ascii="Arial" w:hAnsi="Arial" w:cs="Arial" w:eastAsia="Arial" w:hint="default"/>
                <w:sz w:val="24"/>
                <w:szCs w:val="24"/>
              </w:rPr>
            </w:pPr>
            <w:r>
              <w:rPr>
                <w:rFonts w:ascii="Arial"/>
                <w:w w:val="99"/>
                <w:sz w:val="24"/>
              </w:rPr>
            </w:r>
            <w:r>
              <w:rPr>
                <w:rFonts w:ascii="Arial"/>
                <w:sz w:val="24"/>
                <w:u w:val="thick" w:color="000000"/>
              </w:rPr>
              <w:t>-</w:t>
              <w:tab/>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14"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before="100"/>
        <w:ind w:left="0" w:right="3402" w:firstLine="0"/>
        <w:jc w:val="right"/>
        <w:rPr>
          <w:rFonts w:ascii="Arial" w:hAnsi="Arial" w:cs="Arial" w:eastAsia="Arial" w:hint="default"/>
          <w:sz w:val="18"/>
          <w:szCs w:val="18"/>
        </w:rPr>
      </w:pPr>
      <w:r>
        <w:rPr/>
        <w:pict>
          <v:shape style="position:absolute;margin-left:76.279999pt;margin-top:-299.550598pt;width:453.95pt;height:568.550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2"/>
                    <w:gridCol w:w="2126"/>
                    <w:gridCol w:w="1132"/>
                    <w:gridCol w:w="142"/>
                    <w:gridCol w:w="709"/>
                    <w:gridCol w:w="142"/>
                    <w:gridCol w:w="709"/>
                    <w:gridCol w:w="141"/>
                    <w:gridCol w:w="1037"/>
                    <w:gridCol w:w="97"/>
                    <w:gridCol w:w="1277"/>
                    <w:gridCol w:w="796"/>
                  </w:tblGrid>
                  <w:tr>
                    <w:trPr>
                      <w:trHeight w:val="41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5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9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pacing w:val="-5"/>
                            <w:sz w:val="24"/>
                          </w:rPr>
                          <w:t>(11)</w:t>
                        </w:r>
                      </w:p>
                    </w:tc>
                    <w:tc>
                      <w:tcPr>
                        <w:tcW w:w="3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144" w:right="0"/>
                          <w:jc w:val="left"/>
                          <w:rPr>
                            <w:rFonts w:ascii="Arial" w:hAnsi="Arial" w:cs="Arial" w:eastAsia="Arial" w:hint="default"/>
                            <w:sz w:val="24"/>
                            <w:szCs w:val="24"/>
                          </w:rPr>
                        </w:pPr>
                        <w:r>
                          <w:rPr>
                            <w:rFonts w:ascii="黑体" w:hAnsi="黑体" w:cs="黑体" w:eastAsia="黑体" w:hint="default"/>
                            <w:sz w:val="24"/>
                            <w:szCs w:val="24"/>
                          </w:rPr>
                          <w:t>可供出售金融资产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9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496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7"/>
                          <w:ind w:left="144" w:right="0"/>
                          <w:jc w:val="left"/>
                          <w:rPr>
                            <w:rFonts w:ascii="宋体" w:hAnsi="宋体" w:cs="宋体" w:eastAsia="宋体" w:hint="default"/>
                            <w:sz w:val="24"/>
                            <w:szCs w:val="24"/>
                          </w:rPr>
                        </w:pPr>
                        <w:r>
                          <w:rPr>
                            <w:rFonts w:ascii="宋体" w:hAnsi="宋体" w:cs="宋体" w:eastAsia="宋体" w:hint="default"/>
                            <w:sz w:val="24"/>
                            <w:szCs w:val="24"/>
                          </w:rPr>
                          <w:t>可供出售金融资产相关信息分析如下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141"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9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r>
                  <w:tr>
                    <w:trPr>
                      <w:trHeight w:val="577" w:hRule="exact"/>
                    </w:trPr>
                    <w:tc>
                      <w:tcPr>
                        <w:tcW w:w="9078"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94"/>
                          <w:ind w:left="916" w:right="0"/>
                          <w:jc w:val="left"/>
                          <w:rPr>
                            <w:rFonts w:ascii="宋体" w:hAnsi="宋体" w:cs="宋体" w:eastAsia="宋体" w:hint="default"/>
                            <w:sz w:val="24"/>
                            <w:szCs w:val="24"/>
                          </w:rPr>
                        </w:pPr>
                        <w:r>
                          <w:rPr>
                            <w:rFonts w:ascii="宋体" w:hAnsi="宋体" w:cs="宋体" w:eastAsia="宋体" w:hint="default"/>
                            <w:sz w:val="24"/>
                            <w:szCs w:val="24"/>
                          </w:rPr>
                          <w:t>以成本计量的可供出售金融资产：</w:t>
                        </w:r>
                      </w:p>
                    </w:tc>
                  </w:tr>
                  <w:tr>
                    <w:trPr>
                      <w:trHeight w:val="924"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1" w:lineRule="exact" w:before="112"/>
                          <w:ind w:left="47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0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2"/>
                          <w:ind w:left="320" w:right="26"/>
                          <w:jc w:val="left"/>
                          <w:rPr>
                            <w:rFonts w:ascii="宋体" w:hAnsi="宋体" w:cs="宋体" w:eastAsia="宋体" w:hint="default"/>
                            <w:sz w:val="18"/>
                            <w:szCs w:val="18"/>
                          </w:rPr>
                        </w:pPr>
                        <w:r>
                          <w:rPr>
                            <w:rFonts w:ascii="宋体" w:hAnsi="宋体" w:cs="宋体" w:eastAsia="宋体" w:hint="default"/>
                            <w:sz w:val="18"/>
                            <w:szCs w:val="18"/>
                          </w:rPr>
                          <w:t>本年 增加</w:t>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2"/>
                          <w:ind w:left="320" w:right="26"/>
                          <w:jc w:val="left"/>
                          <w:rPr>
                            <w:rFonts w:ascii="宋体" w:hAnsi="宋体" w:cs="宋体" w:eastAsia="宋体" w:hint="default"/>
                            <w:sz w:val="18"/>
                            <w:szCs w:val="18"/>
                          </w:rPr>
                        </w:pPr>
                        <w:r>
                          <w:rPr>
                            <w:rFonts w:ascii="宋体" w:hAnsi="宋体" w:cs="宋体" w:eastAsia="宋体" w:hint="default"/>
                            <w:sz w:val="18"/>
                            <w:szCs w:val="18"/>
                          </w:rPr>
                          <w:t>本年 减少</w:t>
                        </w:r>
                      </w:p>
                    </w:tc>
                    <w:tc>
                      <w:tcPr>
                        <w:tcW w:w="1275"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1" w:lineRule="exact" w:before="112"/>
                          <w:ind w:left="62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5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77" w:type="dxa"/>
                        <w:tcBorders>
                          <w:top w:val="nil" w:sz="6" w:space="0" w:color="auto"/>
                          <w:left w:val="nil" w:sz="6" w:space="0" w:color="auto"/>
                          <w:bottom w:val="nil" w:sz="6" w:space="0" w:color="auto"/>
                          <w:right w:val="nil" w:sz="6" w:space="0" w:color="auto"/>
                        </w:tcBorders>
                      </w:tcPr>
                      <w:p>
                        <w:pPr>
                          <w:pStyle w:val="TableParagraph"/>
                          <w:spacing w:line="232" w:lineRule="exact" w:before="137"/>
                          <w:ind w:left="206" w:right="168"/>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35" w:lineRule="exact" w:before="112"/>
                          <w:ind w:left="47" w:right="0"/>
                          <w:jc w:val="left"/>
                          <w:rPr>
                            <w:rFonts w:ascii="宋体" w:hAnsi="宋体" w:cs="宋体" w:eastAsia="宋体" w:hint="default"/>
                            <w:sz w:val="18"/>
                            <w:szCs w:val="18"/>
                          </w:rPr>
                        </w:pPr>
                        <w:r>
                          <w:rPr>
                            <w:rFonts w:ascii="宋体" w:hAnsi="宋体" w:cs="宋体" w:eastAsia="宋体" w:hint="default"/>
                            <w:sz w:val="18"/>
                            <w:szCs w:val="18"/>
                          </w:rPr>
                          <w:t>本年现金</w:t>
                        </w:r>
                      </w:p>
                      <w:p>
                        <w:pPr>
                          <w:pStyle w:val="TableParagraph"/>
                          <w:spacing w:line="235" w:lineRule="exact"/>
                          <w:ind w:left="407" w:right="0"/>
                          <w:jc w:val="left"/>
                          <w:rPr>
                            <w:rFonts w:ascii="宋体" w:hAnsi="宋体" w:cs="宋体" w:eastAsia="宋体" w:hint="default"/>
                            <w:sz w:val="18"/>
                            <w:szCs w:val="18"/>
                          </w:rPr>
                        </w:pPr>
                        <w:r>
                          <w:rPr>
                            <w:rFonts w:ascii="宋体" w:hAnsi="宋体" w:cs="宋体" w:eastAsia="宋体" w:hint="default"/>
                            <w:sz w:val="18"/>
                            <w:szCs w:val="18"/>
                          </w:rPr>
                          <w:t>分红</w:t>
                        </w:r>
                      </w:p>
                    </w:tc>
                  </w:tr>
                  <w:tr>
                    <w:trPr>
                      <w:trHeight w:val="566"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34" w:lineRule="exact" w:before="70"/>
                          <w:ind w:left="1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13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9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r>
                  <w:tr>
                    <w:trPr>
                      <w:trHeight w:val="476"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06" w:lineRule="exact"/>
                          <w:ind w:right="214"/>
                          <w:jc w:val="center"/>
                          <w:rPr>
                            <w:rFonts w:ascii="宋体" w:hAnsi="宋体" w:cs="宋体" w:eastAsia="宋体" w:hint="default"/>
                            <w:sz w:val="18"/>
                            <w:szCs w:val="18"/>
                          </w:rPr>
                        </w:pPr>
                        <w:r>
                          <w:rPr>
                            <w:rFonts w:ascii="宋体" w:hAnsi="宋体" w:cs="宋体" w:eastAsia="宋体" w:hint="default"/>
                            <w:sz w:val="18"/>
                            <w:szCs w:val="18"/>
                          </w:rPr>
                          <w:t>苏宁润东股权投资管</w:t>
                        </w:r>
                      </w:p>
                      <w:p>
                        <w:pPr>
                          <w:pStyle w:val="TableParagraph"/>
                          <w:spacing w:line="235" w:lineRule="exact"/>
                          <w:ind w:right="213"/>
                          <w:jc w:val="center"/>
                          <w:rPr>
                            <w:rFonts w:ascii="宋体" w:hAnsi="宋体" w:cs="宋体" w:eastAsia="宋体" w:hint="default"/>
                            <w:sz w:val="18"/>
                            <w:szCs w:val="18"/>
                          </w:rPr>
                        </w:pPr>
                        <w:r>
                          <w:rPr>
                            <w:rFonts w:ascii="宋体" w:hAnsi="宋体" w:cs="宋体" w:eastAsia="宋体" w:hint="default"/>
                            <w:sz w:val="18"/>
                            <w:szCs w:val="18"/>
                          </w:rPr>
                          <w:t>理有限公司</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1,500</w:t>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2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left="796" w:right="0"/>
                          <w:jc w:val="left"/>
                          <w:rPr>
                            <w:rFonts w:ascii="Arial" w:hAnsi="Arial" w:cs="Arial" w:eastAsia="Arial" w:hint="default"/>
                            <w:sz w:val="18"/>
                            <w:szCs w:val="18"/>
                          </w:rPr>
                        </w:pPr>
                        <w:r>
                          <w:rPr>
                            <w:rFonts w:ascii="Arial"/>
                            <w:sz w:val="18"/>
                          </w:rPr>
                          <w:t>1,500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right="169"/>
                          <w:jc w:val="right"/>
                          <w:rPr>
                            <w:rFonts w:ascii="Arial" w:hAnsi="Arial" w:cs="Arial" w:eastAsia="Arial" w:hint="default"/>
                            <w:sz w:val="18"/>
                            <w:szCs w:val="18"/>
                          </w:rPr>
                        </w:pPr>
                        <w:r>
                          <w:rPr>
                            <w:rFonts w:ascii="Arial"/>
                            <w:spacing w:val="-1"/>
                            <w:w w:val="95"/>
                            <w:sz w:val="18"/>
                          </w:rPr>
                          <w:t>10%</w:t>
                        </w:r>
                        <w:r>
                          <w:rPr>
                            <w:rFonts w:ascii="Arial"/>
                            <w:sz w:val="18"/>
                          </w:rPr>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209"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197" w:lineRule="exact"/>
                          <w:ind w:left="144" w:right="0"/>
                          <w:jc w:val="left"/>
                          <w:rPr>
                            <w:rFonts w:ascii="Arial" w:hAnsi="Arial" w:cs="Arial" w:eastAsia="Arial" w:hint="default"/>
                            <w:sz w:val="18"/>
                            <w:szCs w:val="18"/>
                          </w:rPr>
                        </w:pPr>
                        <w:r>
                          <w:rPr>
                            <w:rFonts w:ascii="Arial"/>
                            <w:sz w:val="18"/>
                          </w:rPr>
                          <w:t>Kibou Found</w:t>
                        </w:r>
                        <w:r>
                          <w:rPr>
                            <w:rFonts w:ascii="Arial"/>
                            <w:spacing w:val="-2"/>
                            <w:sz w:val="18"/>
                          </w:rPr>
                          <w:t> </w:t>
                        </w:r>
                        <w:r>
                          <w:rPr>
                            <w:rFonts w:ascii="Arial"/>
                            <w:spacing w:val="-6"/>
                            <w:sz w:val="18"/>
                          </w:rPr>
                          <w:t>L.P.</w:t>
                        </w:r>
                      </w:p>
                    </w:tc>
                    <w:tc>
                      <w:tcPr>
                        <w:tcW w:w="1132" w:type="dxa"/>
                        <w:tcBorders>
                          <w:top w:val="nil" w:sz="6" w:space="0" w:color="auto"/>
                          <w:left w:val="nil" w:sz="6" w:space="0" w:color="auto"/>
                          <w:bottom w:val="nil" w:sz="6" w:space="0" w:color="auto"/>
                          <w:right w:val="nil" w:sz="6" w:space="0" w:color="auto"/>
                        </w:tcBorders>
                      </w:tcPr>
                      <w:p>
                        <w:pPr>
                          <w:pStyle w:val="TableParagraph"/>
                          <w:spacing w:line="197" w:lineRule="exact"/>
                          <w:ind w:right="2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197" w:lineRule="exact"/>
                          <w:ind w:right="29"/>
                          <w:jc w:val="right"/>
                          <w:rPr>
                            <w:rFonts w:ascii="Arial" w:hAnsi="Arial" w:cs="Arial" w:eastAsia="Arial" w:hint="default"/>
                            <w:sz w:val="18"/>
                            <w:szCs w:val="18"/>
                          </w:rPr>
                        </w:pPr>
                        <w:r>
                          <w:rPr>
                            <w:rFonts w:ascii="Arial"/>
                            <w:spacing w:val="-1"/>
                            <w:sz w:val="18"/>
                          </w:rPr>
                          <w:t>3,579</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197" w:lineRule="exact"/>
                          <w:ind w:right="26"/>
                          <w:jc w:val="right"/>
                          <w:rPr>
                            <w:rFonts w:ascii="Arial" w:hAnsi="Arial" w:cs="Arial" w:eastAsia="Arial" w:hint="default"/>
                            <w:sz w:val="18"/>
                            <w:szCs w:val="18"/>
                          </w:rPr>
                        </w:pPr>
                        <w:r>
                          <w:rPr>
                            <w:rFonts w:ascii="Arial"/>
                            <w:w w:val="99"/>
                            <w:sz w:val="18"/>
                          </w:rPr>
                          <w:t>-</w:t>
                        </w:r>
                        <w:r>
                          <w:rPr>
                            <w:rFonts w:ascii="Arial"/>
                            <w:sz w:val="18"/>
                          </w:rPr>
                        </w:r>
                      </w:p>
                    </w:tc>
                    <w:tc>
                      <w:tcPr>
                        <w:tcW w:w="1275" w:type="dxa"/>
                        <w:gridSpan w:val="3"/>
                        <w:tcBorders>
                          <w:top w:val="nil" w:sz="6" w:space="0" w:color="auto"/>
                          <w:left w:val="nil" w:sz="6" w:space="0" w:color="auto"/>
                          <w:bottom w:val="nil" w:sz="6" w:space="0" w:color="auto"/>
                          <w:right w:val="nil" w:sz="6" w:space="0" w:color="auto"/>
                        </w:tcBorders>
                      </w:tcPr>
                      <w:p>
                        <w:pPr>
                          <w:pStyle w:val="TableParagraph"/>
                          <w:spacing w:line="197" w:lineRule="exact"/>
                          <w:ind w:left="796" w:right="0"/>
                          <w:jc w:val="left"/>
                          <w:rPr>
                            <w:rFonts w:ascii="Arial" w:hAnsi="Arial" w:cs="Arial" w:eastAsia="Arial" w:hint="default"/>
                            <w:sz w:val="18"/>
                            <w:szCs w:val="18"/>
                          </w:rPr>
                        </w:pPr>
                        <w:r>
                          <w:rPr>
                            <w:rFonts w:ascii="Arial"/>
                            <w:sz w:val="18"/>
                          </w:rPr>
                          <w:t>3,579</w:t>
                        </w:r>
                      </w:p>
                    </w:tc>
                    <w:tc>
                      <w:tcPr>
                        <w:tcW w:w="1277" w:type="dxa"/>
                        <w:tcBorders>
                          <w:top w:val="nil" w:sz="6" w:space="0" w:color="auto"/>
                          <w:left w:val="nil" w:sz="6" w:space="0" w:color="auto"/>
                          <w:bottom w:val="nil" w:sz="6" w:space="0" w:color="auto"/>
                          <w:right w:val="nil" w:sz="6" w:space="0" w:color="auto"/>
                        </w:tcBorders>
                      </w:tcPr>
                      <w:p>
                        <w:pPr>
                          <w:pStyle w:val="TableParagraph"/>
                          <w:spacing w:line="197" w:lineRule="exact"/>
                          <w:ind w:right="169"/>
                          <w:jc w:val="right"/>
                          <w:rPr>
                            <w:rFonts w:ascii="Arial" w:hAnsi="Arial" w:cs="Arial" w:eastAsia="Arial" w:hint="default"/>
                            <w:sz w:val="18"/>
                            <w:szCs w:val="18"/>
                          </w:rPr>
                        </w:pPr>
                        <w:r>
                          <w:rPr>
                            <w:rFonts w:ascii="Arial"/>
                            <w:spacing w:val="-1"/>
                            <w:w w:val="95"/>
                            <w:sz w:val="18"/>
                          </w:rPr>
                          <w:t>10%</w:t>
                        </w:r>
                        <w:r>
                          <w:rPr>
                            <w:rFonts w:ascii="Arial"/>
                            <w:sz w:val="18"/>
                          </w:rPr>
                        </w:r>
                      </w:p>
                    </w:tc>
                    <w:tc>
                      <w:tcPr>
                        <w:tcW w:w="796" w:type="dxa"/>
                        <w:tcBorders>
                          <w:top w:val="nil" w:sz="6" w:space="0" w:color="auto"/>
                          <w:left w:val="nil" w:sz="6" w:space="0" w:color="auto"/>
                          <w:bottom w:val="nil" w:sz="6" w:space="0" w:color="auto"/>
                          <w:right w:val="nil" w:sz="6" w:space="0" w:color="auto"/>
                        </w:tcBorders>
                      </w:tcPr>
                      <w:p>
                        <w:pPr>
                          <w:pStyle w:val="TableParagraph"/>
                          <w:spacing w:line="197" w:lineRule="exact"/>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01" w:lineRule="exact"/>
                          <w:ind w:right="154"/>
                          <w:jc w:val="center"/>
                          <w:rPr>
                            <w:rFonts w:ascii="宋体" w:hAnsi="宋体" w:cs="宋体" w:eastAsia="宋体" w:hint="default"/>
                            <w:sz w:val="18"/>
                            <w:szCs w:val="18"/>
                          </w:rPr>
                        </w:pPr>
                        <w:r>
                          <w:rPr>
                            <w:rFonts w:ascii="宋体" w:hAnsi="宋体" w:cs="宋体" w:eastAsia="宋体" w:hint="default"/>
                            <w:sz w:val="18"/>
                            <w:szCs w:val="18"/>
                          </w:rPr>
                          <w:t>菱重家用空调系统</w:t>
                        </w:r>
                        <w:r>
                          <w:rPr>
                            <w:rFonts w:ascii="Arial" w:hAnsi="Arial" w:cs="Arial" w:eastAsia="Arial" w:hint="default"/>
                            <w:sz w:val="18"/>
                            <w:szCs w:val="18"/>
                          </w:rPr>
                          <w:t>(</w:t>
                        </w:r>
                        <w:r>
                          <w:rPr>
                            <w:rFonts w:ascii="宋体" w:hAnsi="宋体" w:cs="宋体" w:eastAsia="宋体" w:hint="default"/>
                            <w:sz w:val="18"/>
                            <w:szCs w:val="18"/>
                          </w:rPr>
                          <w:t>上</w:t>
                        </w:r>
                      </w:p>
                      <w:p>
                        <w:pPr>
                          <w:pStyle w:val="TableParagraph"/>
                          <w:spacing w:line="241" w:lineRule="exact"/>
                          <w:ind w:right="153"/>
                          <w:jc w:val="center"/>
                          <w:rPr>
                            <w:rFonts w:ascii="宋体" w:hAnsi="宋体" w:cs="宋体" w:eastAsia="宋体" w:hint="default"/>
                            <w:sz w:val="18"/>
                            <w:szCs w:val="18"/>
                          </w:rPr>
                        </w:pPr>
                        <w:r>
                          <w:rPr>
                            <w:rFonts w:ascii="宋体" w:hAnsi="宋体" w:cs="宋体" w:eastAsia="宋体" w:hint="default"/>
                            <w:sz w:val="18"/>
                            <w:szCs w:val="18"/>
                          </w:rPr>
                          <w:t>海</w:t>
                        </w:r>
                        <w:r>
                          <w:rPr>
                            <w:rFonts w:ascii="Arial" w:hAnsi="Arial" w:cs="Arial" w:eastAsia="Arial" w:hint="default"/>
                            <w:sz w:val="18"/>
                            <w:szCs w:val="18"/>
                          </w:rPr>
                          <w:t>)</w:t>
                        </w:r>
                        <w:r>
                          <w:rPr>
                            <w:rFonts w:ascii="宋体" w:hAnsi="宋体" w:cs="宋体" w:eastAsia="宋体" w:hint="default"/>
                            <w:sz w:val="18"/>
                            <w:szCs w:val="18"/>
                          </w:rPr>
                          <w:t>有限公司</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spacing w:val="-1"/>
                            <w:sz w:val="18"/>
                          </w:rPr>
                          <w:t>4,800</w:t>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2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left="796" w:right="0"/>
                          <w:jc w:val="left"/>
                          <w:rPr>
                            <w:rFonts w:ascii="Arial" w:hAnsi="Arial" w:cs="Arial" w:eastAsia="Arial" w:hint="default"/>
                            <w:sz w:val="18"/>
                            <w:szCs w:val="18"/>
                          </w:rPr>
                        </w:pPr>
                        <w:r>
                          <w:rPr>
                            <w:rFonts w:ascii="Arial"/>
                            <w:sz w:val="18"/>
                          </w:rPr>
                          <w:t>4,800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69"/>
                          <w:jc w:val="right"/>
                          <w:rPr>
                            <w:rFonts w:ascii="Arial" w:hAnsi="Arial" w:cs="Arial" w:eastAsia="Arial" w:hint="default"/>
                            <w:sz w:val="18"/>
                            <w:szCs w:val="18"/>
                          </w:rPr>
                        </w:pPr>
                        <w:r>
                          <w:rPr>
                            <w:rFonts w:ascii="Arial"/>
                            <w:spacing w:val="-1"/>
                            <w:w w:val="95"/>
                            <w:sz w:val="18"/>
                          </w:rPr>
                          <w:t>15%</w:t>
                        </w:r>
                        <w:r>
                          <w:rPr>
                            <w:rFonts w:ascii="Arial"/>
                            <w:sz w:val="18"/>
                          </w:rPr>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504"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195" w:lineRule="exact"/>
                          <w:ind w:left="144" w:right="0"/>
                          <w:jc w:val="left"/>
                          <w:rPr>
                            <w:rFonts w:ascii="宋体" w:hAnsi="宋体" w:cs="宋体" w:eastAsia="宋体" w:hint="default"/>
                            <w:sz w:val="18"/>
                            <w:szCs w:val="18"/>
                          </w:rPr>
                        </w:pPr>
                        <w:r>
                          <w:rPr>
                            <w:rFonts w:ascii="宋体" w:hAnsi="宋体" w:cs="宋体" w:eastAsia="宋体" w:hint="default"/>
                            <w:sz w:val="18"/>
                            <w:szCs w:val="18"/>
                          </w:rPr>
                          <w:t>北京通州国开村镇</w:t>
                        </w:r>
                      </w:p>
                      <w:p>
                        <w:pPr>
                          <w:pStyle w:val="TableParagraph"/>
                          <w:spacing w:line="234" w:lineRule="exact"/>
                          <w:ind w:left="505" w:right="0"/>
                          <w:jc w:val="left"/>
                          <w:rPr>
                            <w:rFonts w:ascii="宋体" w:hAnsi="宋体" w:cs="宋体" w:eastAsia="宋体" w:hint="default"/>
                            <w:sz w:val="18"/>
                            <w:szCs w:val="18"/>
                          </w:rPr>
                        </w:pPr>
                        <w:r>
                          <w:rPr>
                            <w:rFonts w:ascii="宋体" w:hAnsi="宋体" w:cs="宋体" w:eastAsia="宋体" w:hint="default"/>
                            <w:sz w:val="18"/>
                            <w:szCs w:val="18"/>
                          </w:rPr>
                          <w:t>银行股份有限公司</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tabs>
                            <w:tab w:pos="653" w:val="left" w:leader="none"/>
                          </w:tabs>
                          <w:spacing w:line="240" w:lineRule="auto"/>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9,000</w:t>
                        </w:r>
                        <w:r>
                          <w:rPr>
                            <w:rFonts w:ascii="Arial"/>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tabs>
                            <w:tab w:pos="620" w:val="left" w:leader="none"/>
                          </w:tabs>
                          <w:spacing w:line="240" w:lineRule="auto"/>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tabs>
                            <w:tab w:pos="620" w:val="left" w:leader="none"/>
                          </w:tabs>
                          <w:spacing w:line="240" w:lineRule="auto"/>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tabs>
                            <w:tab w:pos="795" w:val="left" w:leader="none"/>
                          </w:tabs>
                          <w:spacing w:line="240" w:lineRule="auto"/>
                          <w:ind w:left="14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9,000</w:t>
                        </w:r>
                        <w:r>
                          <w:rPr>
                            <w:rFonts w:ascii="Arial"/>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spacing w:line="240" w:lineRule="auto"/>
                          <w:ind w:right="169"/>
                          <w:jc w:val="right"/>
                          <w:rPr>
                            <w:rFonts w:ascii="Arial" w:hAnsi="Arial" w:cs="Arial" w:eastAsia="Arial" w:hint="default"/>
                            <w:sz w:val="18"/>
                            <w:szCs w:val="18"/>
                          </w:rPr>
                        </w:pPr>
                        <w:r>
                          <w:rPr>
                            <w:rFonts w:ascii="Arial"/>
                            <w:spacing w:val="-1"/>
                            <w:w w:val="95"/>
                            <w:sz w:val="18"/>
                          </w:rPr>
                          <w:t>9%</w:t>
                        </w:r>
                        <w:r>
                          <w:rPr>
                            <w:rFonts w:ascii="Arial"/>
                            <w:sz w:val="18"/>
                          </w:rPr>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1"/>
                            <w:szCs w:val="21"/>
                          </w:rPr>
                        </w:pPr>
                      </w:p>
                      <w:p>
                        <w:pPr>
                          <w:pStyle w:val="TableParagraph"/>
                          <w:tabs>
                            <w:tab w:pos="707" w:val="left" w:leader="none"/>
                          </w:tabs>
                          <w:spacing w:line="240" w:lineRule="auto"/>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87" w:hRule="exact"/>
                    </w:trPr>
                    <w:tc>
                      <w:tcPr>
                        <w:tcW w:w="772" w:type="dxa"/>
                        <w:tcBorders>
                          <w:top w:val="nil" w:sz="6" w:space="0" w:color="auto"/>
                          <w:left w:val="nil" w:sz="6" w:space="0" w:color="auto"/>
                          <w:bottom w:val="nil" w:sz="6" w:space="0" w:color="auto"/>
                          <w:right w:val="nil" w:sz="6" w:space="0" w:color="auto"/>
                        </w:tcBorders>
                      </w:tcPr>
                      <w:p>
                        <w:pPr/>
                      </w:p>
                    </w:tc>
                    <w:tc>
                      <w:tcPr>
                        <w:tcW w:w="3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spacing w:val="-1"/>
                            <w:sz w:val="18"/>
                          </w:rPr>
                          <w:t>13,800</w:t>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9"/>
                          <w:jc w:val="right"/>
                          <w:rPr>
                            <w:rFonts w:ascii="Arial" w:hAnsi="Arial" w:cs="Arial" w:eastAsia="Arial" w:hint="default"/>
                            <w:sz w:val="18"/>
                            <w:szCs w:val="18"/>
                          </w:rPr>
                        </w:pPr>
                        <w:r>
                          <w:rPr>
                            <w:rFonts w:ascii="Arial"/>
                            <w:spacing w:val="-1"/>
                            <w:sz w:val="18"/>
                          </w:rPr>
                          <w:t>5,079</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w w:val="99"/>
                            <w:sz w:val="18"/>
                          </w:rPr>
                          <w:t>-</w:t>
                        </w:r>
                        <w:r>
                          <w:rPr>
                            <w:rFonts w:ascii="Arial"/>
                            <w:sz w:val="18"/>
                          </w:rPr>
                        </w:r>
                      </w:p>
                    </w:tc>
                    <w:tc>
                      <w:tcPr>
                        <w:tcW w:w="12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695" w:right="0"/>
                          <w:jc w:val="left"/>
                          <w:rPr>
                            <w:rFonts w:ascii="Arial" w:hAnsi="Arial" w:cs="Arial" w:eastAsia="Arial" w:hint="default"/>
                            <w:sz w:val="18"/>
                            <w:szCs w:val="18"/>
                          </w:rPr>
                        </w:pPr>
                        <w:r>
                          <w:rPr>
                            <w:rFonts w:ascii="Arial"/>
                            <w:sz w:val="18"/>
                          </w:rPr>
                          <w:t>18,879</w:t>
                        </w:r>
                      </w:p>
                    </w:tc>
                    <w:tc>
                      <w:tcPr>
                        <w:tcW w:w="1277"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1162"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34" w:lineRule="exact" w:before="98"/>
                          <w:ind w:left="1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5"/>
                            <w:szCs w:val="15"/>
                          </w:rPr>
                        </w:pPr>
                      </w:p>
                      <w:p>
                        <w:pPr>
                          <w:pStyle w:val="TableParagraph"/>
                          <w:tabs>
                            <w:tab w:pos="1043" w:val="left" w:leader="none"/>
                          </w:tabs>
                          <w:spacing w:line="240" w:lineRule="auto"/>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5"/>
                            <w:szCs w:val="15"/>
                          </w:rPr>
                        </w:pPr>
                      </w:p>
                      <w:p>
                        <w:pPr>
                          <w:pStyle w:val="TableParagraph"/>
                          <w:tabs>
                            <w:tab w:pos="620" w:val="left" w:leader="none"/>
                          </w:tabs>
                          <w:spacing w:line="240" w:lineRule="auto"/>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5"/>
                            <w:szCs w:val="15"/>
                          </w:rPr>
                        </w:pPr>
                      </w:p>
                      <w:p>
                        <w:pPr>
                          <w:pStyle w:val="TableParagraph"/>
                          <w:tabs>
                            <w:tab w:pos="620" w:val="left" w:leader="none"/>
                          </w:tabs>
                          <w:spacing w:line="240" w:lineRule="auto"/>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1"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5"/>
                            <w:szCs w:val="15"/>
                          </w:rPr>
                        </w:pPr>
                      </w:p>
                      <w:p>
                        <w:pPr>
                          <w:pStyle w:val="TableParagraph"/>
                          <w:tabs>
                            <w:tab w:pos="1045" w:val="left" w:leader="none"/>
                          </w:tabs>
                          <w:spacing w:line="240" w:lineRule="auto"/>
                          <w:ind w:right="-9"/>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97"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5"/>
                            <w:szCs w:val="15"/>
                          </w:rPr>
                        </w:pPr>
                      </w:p>
                      <w:p>
                        <w:pPr>
                          <w:pStyle w:val="TableParagraph"/>
                          <w:tabs>
                            <w:tab w:pos="707" w:val="left" w:leader="none"/>
                          </w:tabs>
                          <w:spacing w:line="240" w:lineRule="auto"/>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297"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26"/>
                          <w:jc w:val="right"/>
                          <w:rPr>
                            <w:rFonts w:ascii="Arial" w:hAnsi="Arial" w:cs="Arial" w:eastAsia="Arial" w:hint="default"/>
                            <w:sz w:val="18"/>
                            <w:szCs w:val="18"/>
                          </w:rPr>
                        </w:pPr>
                        <w:r>
                          <w:rPr>
                            <w:rFonts w:ascii="Arial"/>
                            <w:spacing w:val="-1"/>
                            <w:sz w:val="18"/>
                          </w:rPr>
                          <w:t>13,800</w:t>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29"/>
                          <w:jc w:val="right"/>
                          <w:rPr>
                            <w:rFonts w:ascii="Arial" w:hAnsi="Arial" w:cs="Arial" w:eastAsia="Arial" w:hint="default"/>
                            <w:sz w:val="18"/>
                            <w:szCs w:val="18"/>
                          </w:rPr>
                        </w:pPr>
                        <w:r>
                          <w:rPr>
                            <w:rFonts w:ascii="Arial"/>
                            <w:spacing w:val="-1"/>
                            <w:sz w:val="18"/>
                          </w:rPr>
                          <w:t>5,079</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26"/>
                          <w:jc w:val="right"/>
                          <w:rPr>
                            <w:rFonts w:ascii="Arial" w:hAnsi="Arial" w:cs="Arial" w:eastAsia="Arial" w:hint="default"/>
                            <w:sz w:val="18"/>
                            <w:szCs w:val="18"/>
                          </w:rPr>
                        </w:pPr>
                        <w:r>
                          <w:rPr>
                            <w:rFonts w:ascii="Arial"/>
                            <w:w w:val="99"/>
                            <w:sz w:val="18"/>
                          </w:rPr>
                          <w:t>-</w:t>
                        </w:r>
                        <w:r>
                          <w:rPr>
                            <w:rFonts w:ascii="Arial"/>
                            <w:sz w:val="18"/>
                          </w:rPr>
                        </w:r>
                      </w:p>
                    </w:tc>
                    <w:tc>
                      <w:tcPr>
                        <w:tcW w:w="1275"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695" w:right="0"/>
                          <w:jc w:val="left"/>
                          <w:rPr>
                            <w:rFonts w:ascii="Arial" w:hAnsi="Arial" w:cs="Arial" w:eastAsia="Arial" w:hint="default"/>
                            <w:sz w:val="18"/>
                            <w:szCs w:val="18"/>
                          </w:rPr>
                        </w:pPr>
                        <w:r>
                          <w:rPr>
                            <w:rFonts w:ascii="Arial"/>
                            <w:sz w:val="18"/>
                          </w:rPr>
                          <w:t>18,879</w:t>
                        </w:r>
                      </w:p>
                    </w:tc>
                    <w:tc>
                      <w:tcPr>
                        <w:tcW w:w="1277" w:type="dxa"/>
                        <w:tcBorders>
                          <w:top w:val="nil" w:sz="6" w:space="0" w:color="auto"/>
                          <w:left w:val="nil" w:sz="6" w:space="0" w:color="auto"/>
                          <w:bottom w:val="nil" w:sz="6" w:space="0" w:color="auto"/>
                          <w:right w:val="nil" w:sz="6" w:space="0" w:color="auto"/>
                        </w:tcBorders>
                      </w:tcPr>
                      <w:p>
                        <w:pPr/>
                      </w:p>
                    </w:tc>
                    <w:tc>
                      <w:tcPr>
                        <w:tcW w:w="796"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1669"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8307"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2"/>
                            <w:szCs w:val="22"/>
                          </w:rPr>
                        </w:pPr>
                      </w:p>
                      <w:p>
                        <w:pPr>
                          <w:pStyle w:val="TableParagraph"/>
                          <w:spacing w:line="237" w:lineRule="auto"/>
                          <w:ind w:left="144" w:right="27"/>
                          <w:jc w:val="both"/>
                          <w:rPr>
                            <w:rFonts w:ascii="宋体" w:hAnsi="宋体" w:cs="宋体" w:eastAsia="宋体" w:hint="default"/>
                            <w:sz w:val="24"/>
                            <w:szCs w:val="24"/>
                          </w:rPr>
                        </w:pPr>
                        <w:r>
                          <w:rPr>
                            <w:rFonts w:ascii="宋体" w:hAnsi="宋体" w:cs="宋体" w:eastAsia="宋体" w:hint="default"/>
                            <w:spacing w:val="-1"/>
                            <w:sz w:val="24"/>
                            <w:szCs w:val="24"/>
                          </w:rPr>
                          <w:t>以成本计量的可供出售金融资产主要为本集团持有的非上市股权投资，这些投</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1"/>
                            <w:sz w:val="24"/>
                            <w:szCs w:val="24"/>
                          </w:rPr>
                          <w:t>资没有活跃市场报价，其公允价值合理估计数的变动区间较大，且各种用于确</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1"/>
                            <w:sz w:val="24"/>
                            <w:szCs w:val="24"/>
                          </w:rPr>
                          <w:t>定公允价值估计数的概率不能合理地确定，因此其公允价值不能可靠计量。本</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集团尚无处置这些投资的计划。</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(12)</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4" w:right="0"/>
                          <w:jc w:val="left"/>
                          <w:rPr>
                            <w:rFonts w:ascii="黑体" w:hAnsi="黑体" w:cs="黑体" w:eastAsia="黑体" w:hint="default"/>
                            <w:sz w:val="24"/>
                            <w:szCs w:val="24"/>
                          </w:rPr>
                        </w:pPr>
                        <w:r>
                          <w:rPr>
                            <w:rFonts w:ascii="黑体" w:hAnsi="黑体" w:cs="黑体" w:eastAsia="黑体" w:hint="default"/>
                            <w:sz w:val="24"/>
                            <w:szCs w:val="24"/>
                          </w:rPr>
                          <w:t>长期股权投资</w:t>
                        </w:r>
                      </w:p>
                    </w:tc>
                    <w:tc>
                      <w:tcPr>
                        <w:tcW w:w="113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9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r>
                  <w:tr>
                    <w:trPr>
                      <w:trHeight w:val="593"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287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9"/>
                          <w:ind w:left="52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1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4" w:right="0"/>
                          <w:jc w:val="left"/>
                          <w:rPr>
                            <w:rFonts w:ascii="Arial" w:hAnsi="Arial" w:cs="Arial" w:eastAsia="Arial" w:hint="default"/>
                            <w:sz w:val="24"/>
                            <w:szCs w:val="24"/>
                          </w:rPr>
                        </w:pPr>
                        <w:r>
                          <w:rPr>
                            <w:rFonts w:ascii="宋体" w:hAnsi="宋体" w:cs="宋体" w:eastAsia="宋体" w:hint="default"/>
                            <w:sz w:val="24"/>
                            <w:szCs w:val="24"/>
                          </w:rPr>
                          <w:t>合营企业</w:t>
                        </w:r>
                        <w:r>
                          <w:rPr>
                            <w:rFonts w:ascii="Arial" w:hAnsi="Arial" w:cs="Arial" w:eastAsia="Arial" w:hint="default"/>
                            <w:sz w:val="24"/>
                            <w:szCs w:val="24"/>
                          </w:rPr>
                          <w:t>(a)</w:t>
                        </w:r>
                      </w:p>
                    </w:tc>
                    <w:tc>
                      <w:tcPr>
                        <w:tcW w:w="113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4" w:right="0"/>
                          <w:jc w:val="left"/>
                          <w:rPr>
                            <w:rFonts w:ascii="Arial" w:hAnsi="Arial" w:cs="Arial" w:eastAsia="Arial" w:hint="default"/>
                            <w:sz w:val="24"/>
                            <w:szCs w:val="24"/>
                          </w:rPr>
                        </w:pPr>
                        <w:r>
                          <w:rPr>
                            <w:rFonts w:ascii="Arial"/>
                            <w:sz w:val="24"/>
                          </w:rPr>
                          <w:t>19,829</w:t>
                        </w:r>
                      </w:p>
                    </w:tc>
                    <w:tc>
                      <w:tcPr>
                        <w:tcW w:w="9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20" w:right="0"/>
                          <w:jc w:val="left"/>
                          <w:rPr>
                            <w:rFonts w:ascii="Arial" w:hAnsi="Arial" w:cs="Arial" w:eastAsia="Arial" w:hint="default"/>
                            <w:sz w:val="24"/>
                            <w:szCs w:val="24"/>
                          </w:rPr>
                        </w:pPr>
                        <w:r>
                          <w:rPr>
                            <w:rFonts w:ascii="Arial"/>
                            <w:w w:val="99"/>
                            <w:sz w:val="24"/>
                          </w:rPr>
                          <w:t>-</w:t>
                        </w:r>
                        <w:r>
                          <w:rPr>
                            <w:rFonts w:ascii="Arial"/>
                            <w:sz w:val="24"/>
                          </w:rPr>
                        </w:r>
                      </w:p>
                    </w:tc>
                  </w:tr>
                  <w:tr>
                    <w:trPr>
                      <w:trHeight w:val="317" w:hRule="exact"/>
                    </w:trPr>
                    <w:tc>
                      <w:tcPr>
                        <w:tcW w:w="77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79" w:lineRule="exact"/>
                          <w:ind w:left="144" w:right="0"/>
                          <w:jc w:val="left"/>
                          <w:rPr>
                            <w:rFonts w:ascii="Arial" w:hAnsi="Arial" w:cs="Arial" w:eastAsia="Arial" w:hint="default"/>
                            <w:sz w:val="24"/>
                            <w:szCs w:val="24"/>
                          </w:rPr>
                        </w:pPr>
                        <w:r>
                          <w:rPr>
                            <w:rFonts w:ascii="宋体" w:hAnsi="宋体" w:cs="宋体" w:eastAsia="宋体" w:hint="default"/>
                            <w:sz w:val="24"/>
                            <w:szCs w:val="24"/>
                          </w:rPr>
                          <w:t>联营企业</w:t>
                        </w:r>
                        <w:r>
                          <w:rPr>
                            <w:rFonts w:ascii="Arial" w:hAnsi="Arial" w:cs="Arial" w:eastAsia="Arial" w:hint="default"/>
                            <w:sz w:val="24"/>
                            <w:szCs w:val="24"/>
                          </w:rPr>
                          <w:t>(b)</w:t>
                        </w:r>
                      </w:p>
                    </w:tc>
                    <w:tc>
                      <w:tcPr>
                        <w:tcW w:w="113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20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9"/>
                          <w:ind w:left="872" w:right="0"/>
                          <w:jc w:val="left"/>
                          <w:rPr>
                            <w:rFonts w:ascii="Arial" w:hAnsi="Arial" w:cs="Arial" w:eastAsia="Arial" w:hint="default"/>
                            <w:sz w:val="24"/>
                            <w:szCs w:val="24"/>
                          </w:rPr>
                        </w:pPr>
                        <w:r>
                          <w:rPr>
                            <w:rFonts w:ascii="Arial"/>
                            <w:sz w:val="24"/>
                          </w:rPr>
                          <w:t>199,967</w:t>
                        </w:r>
                      </w:p>
                    </w:tc>
                    <w:tc>
                      <w:tcPr>
                        <w:tcW w:w="97" w:type="dxa"/>
                        <w:tcBorders>
                          <w:top w:val="nil" w:sz="6" w:space="0" w:color="auto"/>
                          <w:left w:val="nil" w:sz="6" w:space="0" w:color="auto"/>
                          <w:bottom w:val="nil" w:sz="6" w:space="0" w:color="auto"/>
                          <w:right w:val="nil" w:sz="6" w:space="0" w:color="auto"/>
                        </w:tcBorders>
                      </w:tcPr>
                      <w:p>
                        <w:pPr/>
                      </w:p>
                    </w:tc>
                    <w:tc>
                      <w:tcPr>
                        <w:tcW w:w="2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863" w:right="0"/>
                          <w:jc w:val="left"/>
                          <w:rPr>
                            <w:rFonts w:ascii="Arial" w:hAnsi="Arial" w:cs="Arial" w:eastAsia="Arial" w:hint="default"/>
                            <w:sz w:val="24"/>
                            <w:szCs w:val="24"/>
                          </w:rPr>
                        </w:pPr>
                        <w:r>
                          <w:rPr>
                            <w:rFonts w:ascii="Arial"/>
                            <w:sz w:val="24"/>
                          </w:rPr>
                          <w:t>1,346,853</w:t>
                        </w:r>
                      </w:p>
                    </w:tc>
                  </w:tr>
                  <w:tr>
                    <w:trPr>
                      <w:trHeight w:val="317" w:hRule="exact"/>
                    </w:trPr>
                    <w:tc>
                      <w:tcPr>
                        <w:tcW w:w="772" w:type="dxa"/>
                        <w:tcBorders>
                          <w:top w:val="nil" w:sz="6" w:space="0" w:color="auto"/>
                          <w:left w:val="nil" w:sz="6" w:space="0" w:color="auto"/>
                          <w:bottom w:val="nil" w:sz="6" w:space="0" w:color="auto"/>
                          <w:right w:val="nil" w:sz="6" w:space="0" w:color="auto"/>
                        </w:tcBorders>
                      </w:tcPr>
                      <w:p>
                        <w:pPr/>
                      </w:p>
                    </w:tc>
                    <w:tc>
                      <w:tcPr>
                        <w:tcW w:w="3258" w:type="dxa"/>
                        <w:gridSpan w:val="2"/>
                        <w:tcBorders>
                          <w:top w:val="nil" w:sz="6" w:space="0" w:color="auto"/>
                          <w:left w:val="nil" w:sz="6" w:space="0" w:color="auto"/>
                          <w:bottom w:val="nil" w:sz="6" w:space="0" w:color="auto"/>
                          <w:right w:val="nil" w:sz="6" w:space="0" w:color="auto"/>
                        </w:tcBorders>
                      </w:tcPr>
                      <w:p>
                        <w:pPr>
                          <w:pStyle w:val="TableParagraph"/>
                          <w:spacing w:line="267" w:lineRule="exact"/>
                          <w:ind w:left="144" w:right="0"/>
                          <w:jc w:val="left"/>
                          <w:rPr>
                            <w:rFonts w:ascii="宋体" w:hAnsi="宋体" w:cs="宋体" w:eastAsia="宋体" w:hint="default"/>
                            <w:sz w:val="24"/>
                            <w:szCs w:val="24"/>
                          </w:rPr>
                        </w:pPr>
                        <w:r>
                          <w:rPr>
                            <w:rFonts w:ascii="宋体" w:hAnsi="宋体" w:cs="宋体" w:eastAsia="宋体" w:hint="default"/>
                            <w:sz w:val="24"/>
                            <w:szCs w:val="24"/>
                          </w:rPr>
                          <w:t>减：长期股权投资减值准备</w:t>
                        </w:r>
                      </w:p>
                    </w:tc>
                    <w:tc>
                      <w:tcPr>
                        <w:tcW w:w="2879" w:type="dxa"/>
                        <w:gridSpan w:val="6"/>
                        <w:tcBorders>
                          <w:top w:val="nil" w:sz="6" w:space="0" w:color="auto"/>
                          <w:left w:val="nil" w:sz="6" w:space="0" w:color="auto"/>
                          <w:bottom w:val="nil" w:sz="6" w:space="0" w:color="auto"/>
                          <w:right w:val="nil" w:sz="6" w:space="0" w:color="auto"/>
                        </w:tcBorders>
                      </w:tcPr>
                      <w:p>
                        <w:pPr>
                          <w:pStyle w:val="TableParagraph"/>
                          <w:tabs>
                            <w:tab w:pos="2510" w:val="left" w:leader="none"/>
                            <w:tab w:pos="2682" w:val="left" w:leader="none"/>
                          </w:tabs>
                          <w:spacing w:line="240" w:lineRule="auto" w:before="23"/>
                          <w:ind w:left="23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2170" w:type="dxa"/>
                        <w:gridSpan w:val="3"/>
                        <w:tcBorders>
                          <w:top w:val="nil" w:sz="6" w:space="0" w:color="auto"/>
                          <w:left w:val="nil" w:sz="6" w:space="0" w:color="auto"/>
                          <w:bottom w:val="nil" w:sz="6" w:space="0" w:color="auto"/>
                          <w:right w:val="nil" w:sz="6" w:space="0" w:color="auto"/>
                        </w:tcBorders>
                      </w:tcPr>
                      <w:p>
                        <w:pPr>
                          <w:pStyle w:val="TableParagraph"/>
                          <w:tabs>
                            <w:tab w:pos="1907" w:val="left" w:leader="none"/>
                            <w:tab w:pos="2169" w:val="left" w:leader="none"/>
                          </w:tabs>
                          <w:spacing w:line="240" w:lineRule="auto" w:before="23"/>
                          <w:ind w:left="-3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64" w:hRule="exact"/>
                    </w:trPr>
                    <w:tc>
                      <w:tcPr>
                        <w:tcW w:w="772" w:type="dxa"/>
                        <w:tcBorders>
                          <w:top w:val="nil" w:sz="6" w:space="0" w:color="auto"/>
                          <w:left w:val="nil" w:sz="6" w:space="0" w:color="auto"/>
                          <w:bottom w:val="nil" w:sz="6" w:space="0" w:color="auto"/>
                          <w:right w:val="nil" w:sz="6" w:space="0" w:color="auto"/>
                        </w:tcBorders>
                      </w:tcPr>
                      <w:p>
                        <w:pPr/>
                      </w:p>
                    </w:tc>
                    <w:tc>
                      <w:tcPr>
                        <w:tcW w:w="3258" w:type="dxa"/>
                        <w:gridSpan w:val="2"/>
                        <w:tcBorders>
                          <w:top w:val="nil" w:sz="6" w:space="0" w:color="auto"/>
                          <w:left w:val="nil" w:sz="6" w:space="0" w:color="auto"/>
                          <w:bottom w:val="nil" w:sz="6" w:space="0" w:color="auto"/>
                          <w:right w:val="nil" w:sz="6" w:space="0" w:color="auto"/>
                        </w:tcBorders>
                      </w:tcPr>
                      <w:p>
                        <w:pPr/>
                      </w:p>
                    </w:tc>
                    <w:tc>
                      <w:tcPr>
                        <w:tcW w:w="2879" w:type="dxa"/>
                        <w:gridSpan w:val="6"/>
                        <w:tcBorders>
                          <w:top w:val="nil" w:sz="6" w:space="0" w:color="auto"/>
                          <w:left w:val="nil" w:sz="6" w:space="0" w:color="auto"/>
                          <w:bottom w:val="nil" w:sz="6" w:space="0" w:color="auto"/>
                          <w:right w:val="nil" w:sz="6" w:space="0" w:color="auto"/>
                        </w:tcBorders>
                      </w:tcPr>
                      <w:p>
                        <w:pPr>
                          <w:pStyle w:val="TableParagraph"/>
                          <w:tabs>
                            <w:tab w:pos="1723" w:val="left" w:leader="none"/>
                            <w:tab w:pos="2682" w:val="left" w:leader="none"/>
                          </w:tabs>
                          <w:spacing w:line="269" w:lineRule="exact"/>
                          <w:ind w:left="23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219,796</w:t>
                          <w:tab/>
                        </w:r>
                        <w:r>
                          <w:rPr>
                            <w:rFonts w:ascii="Arial"/>
                            <w:sz w:val="24"/>
                          </w:rPr>
                        </w:r>
                      </w:p>
                    </w:tc>
                    <w:tc>
                      <w:tcPr>
                        <w:tcW w:w="2170" w:type="dxa"/>
                        <w:gridSpan w:val="3"/>
                        <w:tcBorders>
                          <w:top w:val="nil" w:sz="6" w:space="0" w:color="auto"/>
                          <w:left w:val="nil" w:sz="6" w:space="0" w:color="auto"/>
                          <w:bottom w:val="nil" w:sz="6" w:space="0" w:color="auto"/>
                          <w:right w:val="nil" w:sz="6" w:space="0" w:color="auto"/>
                        </w:tcBorders>
                      </w:tcPr>
                      <w:p>
                        <w:pPr>
                          <w:pStyle w:val="TableParagraph"/>
                          <w:tabs>
                            <w:tab w:pos="1011" w:val="left" w:leader="none"/>
                            <w:tab w:pos="2169" w:val="left" w:leader="none"/>
                          </w:tabs>
                          <w:spacing w:line="269" w:lineRule="exact"/>
                          <w:ind w:left="-3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1,346,853</w:t>
                          <w:tab/>
                        </w:r>
                        <w:r>
                          <w:rPr>
                            <w:rFonts w:ascii="Arial"/>
                            <w:sz w:val="24"/>
                          </w:rPr>
                        </w:r>
                      </w:p>
                    </w:tc>
                  </w:tr>
                </w:tbl>
                <w:p>
                  <w:pPr/>
                </w:p>
              </w:txbxContent>
            </v:textbox>
            <w10:wrap type="none"/>
          </v:shape>
        </w:pict>
      </w:r>
      <w:r>
        <w:rPr>
          <w:rFonts w:ascii="Arial"/>
          <w:w w:val="99"/>
          <w:sz w:val="18"/>
        </w:rPr>
      </w:r>
      <w:r>
        <w:rPr>
          <w:rFonts w:ascii="Arial"/>
          <w:w w:val="99"/>
          <w:sz w:val="18"/>
          <w:u w:val="single" w:color="000000"/>
        </w:rPr>
        <w:t>-</w:t>
      </w:r>
      <w:r>
        <w:rPr>
          <w:rFonts w:ascii="Arial"/>
          <w:w w:val="99"/>
          <w:sz w:val="18"/>
        </w:rPr>
      </w:r>
      <w:r>
        <w:rPr>
          <w:rFonts w:ascii="Arial"/>
          <w:sz w:val="18"/>
        </w:rPr>
      </w:r>
    </w:p>
    <w:p>
      <w:pPr>
        <w:spacing w:after="0"/>
        <w:jc w:val="right"/>
        <w:rPr>
          <w:rFonts w:ascii="Arial" w:hAnsi="Arial" w:cs="Arial" w:eastAsia="Arial" w:hint="default"/>
          <w:sz w:val="18"/>
          <w:szCs w:val="18"/>
        </w:rPr>
        <w:sectPr>
          <w:pgSz w:w="11910" w:h="16840"/>
          <w:pgMar w:header="755" w:footer="914"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746"/>
        <w:gridCol w:w="2275"/>
        <w:gridCol w:w="1280"/>
        <w:gridCol w:w="1058"/>
        <w:gridCol w:w="140"/>
        <w:gridCol w:w="892"/>
        <w:gridCol w:w="1244"/>
        <w:gridCol w:w="1170"/>
        <w:gridCol w:w="764"/>
        <w:gridCol w:w="1283"/>
        <w:gridCol w:w="1102"/>
        <w:gridCol w:w="634"/>
        <w:gridCol w:w="1604"/>
        <w:gridCol w:w="1104"/>
      </w:tblGrid>
      <w:tr>
        <w:trPr>
          <w:trHeight w:val="496"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5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5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r>
      <w:tr>
        <w:trPr>
          <w:trHeight w:val="748"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9"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r>
      <w:tr>
        <w:trPr>
          <w:trHeight w:val="740"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9" w:right="0"/>
              <w:jc w:val="left"/>
              <w:rPr>
                <w:rFonts w:ascii="宋体" w:hAnsi="宋体" w:cs="宋体" w:eastAsia="宋体" w:hint="default"/>
                <w:sz w:val="24"/>
                <w:szCs w:val="24"/>
              </w:rPr>
            </w:pPr>
            <w:r>
              <w:rPr>
                <w:rFonts w:ascii="宋体" w:hAnsi="宋体" w:cs="宋体" w:eastAsia="宋体" w:hint="default"/>
                <w:sz w:val="24"/>
                <w:szCs w:val="24"/>
              </w:rPr>
              <w:t>合营企业</w:t>
            </w:r>
          </w:p>
        </w:tc>
        <w:tc>
          <w:tcPr>
            <w:tcW w:w="12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r>
      <w:tr>
        <w:trPr>
          <w:trHeight w:val="500" w:hRule="exact"/>
        </w:trPr>
        <w:tc>
          <w:tcPr>
            <w:tcW w:w="74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single" w:sz="4" w:space="0" w:color="000000"/>
              <w:right w:val="nil" w:sz="6" w:space="0" w:color="auto"/>
            </w:tcBorders>
          </w:tcPr>
          <w:p>
            <w:pPr/>
          </w:p>
        </w:tc>
        <w:tc>
          <w:tcPr>
            <w:tcW w:w="892" w:type="dxa"/>
            <w:tcBorders>
              <w:top w:val="nil" w:sz="6" w:space="0" w:color="auto"/>
              <w:left w:val="nil" w:sz="6" w:space="0" w:color="auto"/>
              <w:bottom w:val="single" w:sz="4" w:space="0" w:color="000000"/>
              <w:right w:val="nil" w:sz="6" w:space="0" w:color="auto"/>
            </w:tcBorders>
          </w:tcPr>
          <w:p>
            <w:pPr/>
          </w:p>
        </w:tc>
        <w:tc>
          <w:tcPr>
            <w:tcW w:w="1244" w:type="dxa"/>
            <w:tcBorders>
              <w:top w:val="nil" w:sz="6" w:space="0" w:color="auto"/>
              <w:left w:val="nil" w:sz="6" w:space="0" w:color="auto"/>
              <w:bottom w:val="single" w:sz="4" w:space="0" w:color="000000"/>
              <w:right w:val="nil" w:sz="6" w:space="0" w:color="auto"/>
            </w:tcBorders>
          </w:tcPr>
          <w:p>
            <w:pPr/>
          </w:p>
        </w:tc>
        <w:tc>
          <w:tcPr>
            <w:tcW w:w="193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283" w:type="dxa"/>
            <w:tcBorders>
              <w:top w:val="nil" w:sz="6" w:space="0" w:color="auto"/>
              <w:left w:val="nil" w:sz="6" w:space="0" w:color="auto"/>
              <w:bottom w:val="single" w:sz="4" w:space="0" w:color="000000"/>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
        </w:tc>
        <w:tc>
          <w:tcPr>
            <w:tcW w:w="634" w:type="dxa"/>
            <w:tcBorders>
              <w:top w:val="nil" w:sz="6" w:space="0" w:color="auto"/>
              <w:left w:val="nil" w:sz="6" w:space="0" w:color="auto"/>
              <w:bottom w:val="single" w:sz="4" w:space="0" w:color="000000"/>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r>
      <w:tr>
        <w:trPr>
          <w:trHeight w:val="299" w:hRule="exact"/>
        </w:trPr>
        <w:tc>
          <w:tcPr>
            <w:tcW w:w="746" w:type="dxa"/>
            <w:tcBorders>
              <w:top w:val="nil" w:sz="6" w:space="0" w:color="auto"/>
              <w:left w:val="nil" w:sz="6" w:space="0" w:color="auto"/>
              <w:bottom w:val="nil" w:sz="6" w:space="0" w:color="auto"/>
              <w:right w:val="nil" w:sz="6" w:space="0" w:color="auto"/>
            </w:tcBorders>
          </w:tcPr>
          <w:p>
            <w:pPr/>
          </w:p>
        </w:tc>
        <w:tc>
          <w:tcPr>
            <w:tcW w:w="3555" w:type="dxa"/>
            <w:gridSpan w:val="2"/>
            <w:vMerge w:val="restart"/>
            <w:tcBorders>
              <w:top w:val="nil" w:sz="6" w:space="0" w:color="auto"/>
              <w:left w:val="nil" w:sz="6" w:space="0" w:color="auto"/>
              <w:right w:val="nil" w:sz="6" w:space="0" w:color="auto"/>
            </w:tcBorders>
          </w:tcPr>
          <w:p>
            <w:pPr>
              <w:pStyle w:val="TableParagraph"/>
              <w:spacing w:line="240" w:lineRule="auto" w:before="16"/>
              <w:ind w:right="103"/>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right="103"/>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58" w:type="dxa"/>
            <w:tcBorders>
              <w:top w:val="single" w:sz="4" w:space="0" w:color="000000"/>
              <w:left w:val="nil" w:sz="6" w:space="0" w:color="auto"/>
              <w:bottom w:val="nil" w:sz="6" w:space="0" w:color="auto"/>
              <w:right w:val="nil" w:sz="6" w:space="0" w:color="auto"/>
            </w:tcBorders>
          </w:tcPr>
          <w:p>
            <w:pPr/>
          </w:p>
        </w:tc>
        <w:tc>
          <w:tcPr>
            <w:tcW w:w="140" w:type="dxa"/>
            <w:tcBorders>
              <w:top w:val="single" w:sz="4" w:space="0" w:color="000000"/>
              <w:left w:val="nil" w:sz="6" w:space="0" w:color="auto"/>
              <w:bottom w:val="nil" w:sz="6" w:space="0" w:color="auto"/>
              <w:right w:val="nil" w:sz="6" w:space="0" w:color="auto"/>
            </w:tcBorders>
          </w:tcPr>
          <w:p>
            <w:pPr/>
          </w:p>
        </w:tc>
        <w:tc>
          <w:tcPr>
            <w:tcW w:w="892" w:type="dxa"/>
            <w:tcBorders>
              <w:top w:val="single" w:sz="4" w:space="0" w:color="000000"/>
              <w:left w:val="nil" w:sz="6" w:space="0" w:color="auto"/>
              <w:bottom w:val="nil" w:sz="6" w:space="0" w:color="auto"/>
              <w:right w:val="nil" w:sz="6" w:space="0" w:color="auto"/>
            </w:tcBorders>
          </w:tcPr>
          <w:p>
            <w:pPr/>
          </w:p>
        </w:tc>
        <w:tc>
          <w:tcPr>
            <w:tcW w:w="1244" w:type="dxa"/>
            <w:vMerge w:val="restart"/>
            <w:tcBorders>
              <w:top w:val="single" w:sz="4" w:space="0" w:color="000000"/>
              <w:left w:val="nil" w:sz="6" w:space="0" w:color="auto"/>
              <w:right w:val="nil" w:sz="6" w:space="0" w:color="auto"/>
            </w:tcBorders>
          </w:tcPr>
          <w:p>
            <w:pPr>
              <w:pStyle w:val="TableParagraph"/>
              <w:spacing w:line="235" w:lineRule="exact" w:before="50"/>
              <w:ind w:left="50" w:right="0"/>
              <w:jc w:val="left"/>
              <w:rPr>
                <w:rFonts w:ascii="宋体" w:hAnsi="宋体" w:cs="宋体" w:eastAsia="宋体" w:hint="default"/>
                <w:sz w:val="18"/>
                <w:szCs w:val="18"/>
              </w:rPr>
            </w:pPr>
            <w:r>
              <w:rPr>
                <w:rFonts w:ascii="宋体" w:hAnsi="宋体" w:cs="宋体" w:eastAsia="宋体" w:hint="default"/>
                <w:sz w:val="18"/>
                <w:szCs w:val="18"/>
              </w:rPr>
              <w:t>按权益法调整</w:t>
            </w:r>
          </w:p>
          <w:p>
            <w:pPr>
              <w:pStyle w:val="TableParagraph"/>
              <w:spacing w:line="235" w:lineRule="exact"/>
              <w:ind w:left="410" w:right="0"/>
              <w:jc w:val="left"/>
              <w:rPr>
                <w:rFonts w:ascii="宋体" w:hAnsi="宋体" w:cs="宋体" w:eastAsia="宋体" w:hint="default"/>
                <w:sz w:val="18"/>
                <w:szCs w:val="18"/>
              </w:rPr>
            </w:pPr>
            <w:r>
              <w:rPr>
                <w:rFonts w:ascii="宋体" w:hAnsi="宋体" w:cs="宋体" w:eastAsia="宋体" w:hint="default"/>
                <w:sz w:val="18"/>
                <w:szCs w:val="18"/>
              </w:rPr>
              <w:t>的净损益</w:t>
            </w:r>
          </w:p>
        </w:tc>
        <w:tc>
          <w:tcPr>
            <w:tcW w:w="1170" w:type="dxa"/>
            <w:vMerge w:val="restart"/>
            <w:tcBorders>
              <w:top w:val="single" w:sz="4" w:space="0" w:color="000000"/>
              <w:left w:val="nil" w:sz="6" w:space="0" w:color="auto"/>
              <w:right w:val="nil" w:sz="6" w:space="0" w:color="auto"/>
            </w:tcBorders>
          </w:tcPr>
          <w:p>
            <w:pPr>
              <w:pStyle w:val="TableParagraph"/>
              <w:spacing w:line="235" w:lineRule="exact" w:before="50"/>
              <w:ind w:left="112" w:right="0"/>
              <w:jc w:val="left"/>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35" w:lineRule="exact"/>
              <w:ind w:left="472" w:right="0"/>
              <w:jc w:val="left"/>
              <w:rPr>
                <w:rFonts w:ascii="宋体" w:hAnsi="宋体" w:cs="宋体" w:eastAsia="宋体" w:hint="default"/>
                <w:sz w:val="18"/>
                <w:szCs w:val="18"/>
              </w:rPr>
            </w:pPr>
            <w:r>
              <w:rPr>
                <w:rFonts w:ascii="宋体" w:hAnsi="宋体" w:cs="宋体" w:eastAsia="宋体" w:hint="default"/>
                <w:sz w:val="18"/>
                <w:szCs w:val="18"/>
              </w:rPr>
              <w:t>益调整</w:t>
            </w:r>
          </w:p>
        </w:tc>
        <w:tc>
          <w:tcPr>
            <w:tcW w:w="764" w:type="dxa"/>
            <w:vMerge w:val="restart"/>
            <w:tcBorders>
              <w:top w:val="single" w:sz="4" w:space="0" w:color="000000"/>
              <w:left w:val="nil" w:sz="6" w:space="0" w:color="auto"/>
              <w:right w:val="nil" w:sz="6" w:space="0" w:color="auto"/>
            </w:tcBorders>
          </w:tcPr>
          <w:p>
            <w:pPr>
              <w:pStyle w:val="TableParagraph"/>
              <w:spacing w:line="278" w:lineRule="auto" w:before="11"/>
              <w:ind w:left="157" w:right="64"/>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283" w:type="dxa"/>
            <w:vMerge w:val="restart"/>
            <w:tcBorders>
              <w:top w:val="single" w:sz="4" w:space="0" w:color="000000"/>
              <w:left w:val="nil" w:sz="6" w:space="0" w:color="auto"/>
              <w:right w:val="nil" w:sz="6" w:space="0" w:color="auto"/>
            </w:tcBorders>
          </w:tcPr>
          <w:p>
            <w:pPr>
              <w:pStyle w:val="TableParagraph"/>
              <w:spacing w:line="240" w:lineRule="auto" w:before="50"/>
              <w:ind w:left="246" w:right="134" w:hanging="18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02" w:type="dxa"/>
            <w:vMerge w:val="restart"/>
            <w:tcBorders>
              <w:top w:val="single" w:sz="4" w:space="0" w:color="000000"/>
              <w:left w:val="nil" w:sz="6" w:space="0" w:color="auto"/>
              <w:right w:val="nil" w:sz="6" w:space="0" w:color="auto"/>
            </w:tcBorders>
          </w:tcPr>
          <w:p>
            <w:pPr>
              <w:pStyle w:val="TableParagraph"/>
              <w:spacing w:line="235" w:lineRule="exact" w:before="50"/>
              <w:ind w:left="136" w:right="0"/>
              <w:jc w:val="left"/>
              <w:rPr>
                <w:rFonts w:ascii="宋体" w:hAnsi="宋体" w:cs="宋体" w:eastAsia="宋体" w:hint="default"/>
                <w:sz w:val="18"/>
                <w:szCs w:val="18"/>
              </w:rPr>
            </w:pPr>
            <w:r>
              <w:rPr>
                <w:rFonts w:ascii="宋体" w:hAnsi="宋体" w:cs="宋体" w:eastAsia="宋体" w:hint="default"/>
                <w:sz w:val="18"/>
                <w:szCs w:val="18"/>
              </w:rPr>
              <w:t>计提减值</w:t>
            </w:r>
          </w:p>
          <w:p>
            <w:pPr>
              <w:pStyle w:val="TableParagraph"/>
              <w:spacing w:line="235" w:lineRule="exact"/>
              <w:ind w:left="49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63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604" w:type="dxa"/>
            <w:vMerge w:val="restart"/>
            <w:tcBorders>
              <w:top w:val="nil" w:sz="6" w:space="0" w:color="auto"/>
              <w:left w:val="nil" w:sz="6" w:space="0" w:color="auto"/>
              <w:right w:val="nil" w:sz="6" w:space="0" w:color="auto"/>
            </w:tcBorders>
          </w:tcPr>
          <w:p>
            <w:pPr>
              <w:pStyle w:val="TableParagraph"/>
              <w:spacing w:line="240" w:lineRule="auto" w:before="16"/>
              <w:ind w:left="62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35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04" w:type="dxa"/>
            <w:vMerge w:val="restart"/>
            <w:tcBorders>
              <w:top w:val="nil" w:sz="6" w:space="0" w:color="auto"/>
              <w:left w:val="nil" w:sz="6" w:space="0" w:color="auto"/>
              <w:right w:val="nil" w:sz="6" w:space="0" w:color="auto"/>
            </w:tcBorders>
          </w:tcPr>
          <w:p>
            <w:pPr>
              <w:pStyle w:val="TableParagraph"/>
              <w:spacing w:line="278" w:lineRule="auto" w:before="16"/>
              <w:ind w:left="356" w:right="25"/>
              <w:jc w:val="left"/>
              <w:rPr>
                <w:rFonts w:ascii="宋体" w:hAnsi="宋体" w:cs="宋体" w:eastAsia="宋体" w:hint="default"/>
                <w:sz w:val="18"/>
                <w:szCs w:val="18"/>
              </w:rPr>
            </w:pPr>
            <w:r>
              <w:rPr>
                <w:rFonts w:ascii="宋体" w:hAnsi="宋体" w:cs="宋体" w:eastAsia="宋体" w:hint="default"/>
                <w:sz w:val="18"/>
                <w:szCs w:val="18"/>
              </w:rPr>
              <w:t>减值准备 年末余额</w:t>
            </w:r>
          </w:p>
        </w:tc>
      </w:tr>
      <w:tr>
        <w:trPr>
          <w:trHeight w:val="474" w:hRule="exact"/>
        </w:trPr>
        <w:tc>
          <w:tcPr>
            <w:tcW w:w="746" w:type="dxa"/>
            <w:tcBorders>
              <w:top w:val="nil" w:sz="6" w:space="0" w:color="auto"/>
              <w:left w:val="nil" w:sz="6" w:space="0" w:color="auto"/>
              <w:bottom w:val="nil" w:sz="6" w:space="0" w:color="auto"/>
              <w:right w:val="nil" w:sz="6" w:space="0" w:color="auto"/>
            </w:tcBorders>
          </w:tcPr>
          <w:p>
            <w:pPr/>
          </w:p>
        </w:tc>
        <w:tc>
          <w:tcPr>
            <w:tcW w:w="3555" w:type="dxa"/>
            <w:gridSpan w:val="2"/>
            <w:vMerge/>
            <w:tcBorders>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27" w:lineRule="exact"/>
              <w:ind w:right="26"/>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14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Style w:val="TableParagraph"/>
              <w:spacing w:line="227" w:lineRule="exact"/>
              <w:ind w:right="50"/>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1244" w:type="dxa"/>
            <w:vMerge/>
            <w:tcBorders>
              <w:left w:val="nil" w:sz="6" w:space="0" w:color="auto"/>
              <w:bottom w:val="nil" w:sz="6" w:space="0" w:color="auto"/>
              <w:right w:val="nil" w:sz="6" w:space="0" w:color="auto"/>
            </w:tcBorders>
          </w:tcPr>
          <w:p>
            <w:pPr/>
          </w:p>
        </w:tc>
        <w:tc>
          <w:tcPr>
            <w:tcW w:w="1170" w:type="dxa"/>
            <w:vMerge/>
            <w:tcBorders>
              <w:left w:val="nil" w:sz="6" w:space="0" w:color="auto"/>
              <w:bottom w:val="nil" w:sz="6" w:space="0" w:color="auto"/>
              <w:right w:val="nil" w:sz="6" w:space="0" w:color="auto"/>
            </w:tcBorders>
          </w:tcPr>
          <w:p>
            <w:pPr/>
          </w:p>
        </w:tc>
        <w:tc>
          <w:tcPr>
            <w:tcW w:w="764" w:type="dxa"/>
            <w:vMerge/>
            <w:tcBorders>
              <w:left w:val="nil" w:sz="6" w:space="0" w:color="auto"/>
              <w:bottom w:val="nil" w:sz="6" w:space="0" w:color="auto"/>
              <w:right w:val="nil" w:sz="6" w:space="0" w:color="auto"/>
            </w:tcBorders>
          </w:tcPr>
          <w:p>
            <w:pPr/>
          </w:p>
        </w:tc>
        <w:tc>
          <w:tcPr>
            <w:tcW w:w="1283" w:type="dxa"/>
            <w:vMerge/>
            <w:tcBorders>
              <w:left w:val="nil" w:sz="6" w:space="0" w:color="auto"/>
              <w:bottom w:val="nil" w:sz="6" w:space="0" w:color="auto"/>
              <w:right w:val="nil" w:sz="6" w:space="0" w:color="auto"/>
            </w:tcBorders>
          </w:tcPr>
          <w:p>
            <w:pPr/>
          </w:p>
        </w:tc>
        <w:tc>
          <w:tcPr>
            <w:tcW w:w="1102" w:type="dxa"/>
            <w:vMerge/>
            <w:tcBorders>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604" w:type="dxa"/>
            <w:vMerge/>
            <w:tcBorders>
              <w:left w:val="nil" w:sz="6" w:space="0" w:color="auto"/>
              <w:bottom w:val="nil" w:sz="6" w:space="0" w:color="auto"/>
              <w:right w:val="nil" w:sz="6" w:space="0" w:color="auto"/>
            </w:tcBorders>
          </w:tcPr>
          <w:p>
            <w:pPr/>
          </w:p>
        </w:tc>
        <w:tc>
          <w:tcPr>
            <w:tcW w:w="1104" w:type="dxa"/>
            <w:vMerge/>
            <w:tcBorders>
              <w:left w:val="nil" w:sz="6" w:space="0" w:color="auto"/>
              <w:bottom w:val="nil" w:sz="6" w:space="0" w:color="auto"/>
              <w:right w:val="nil" w:sz="6" w:space="0" w:color="auto"/>
            </w:tcBorders>
          </w:tcPr>
          <w:p>
            <w:pPr/>
          </w:p>
        </w:tc>
      </w:tr>
      <w:tr>
        <w:trPr>
          <w:trHeight w:val="737" w:hRule="exact"/>
        </w:trPr>
        <w:tc>
          <w:tcPr>
            <w:tcW w:w="74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34" w:lineRule="exact"/>
              <w:ind w:left="318" w:right="23" w:hanging="200"/>
              <w:jc w:val="left"/>
              <w:rPr>
                <w:rFonts w:ascii="Arial" w:hAnsi="Arial" w:cs="Arial" w:eastAsia="Arial" w:hint="default"/>
                <w:sz w:val="18"/>
                <w:szCs w:val="18"/>
              </w:rPr>
            </w:pPr>
            <w:r>
              <w:rPr>
                <w:rFonts w:ascii="宋体" w:hAnsi="宋体" w:cs="宋体" w:eastAsia="宋体" w:hint="default"/>
                <w:sz w:val="18"/>
                <w:szCs w:val="18"/>
              </w:rPr>
              <w:t>苏宁金石</w:t>
            </w:r>
            <w:r>
              <w:rPr>
                <w:rFonts w:ascii="Arial" w:hAnsi="Arial" w:cs="Arial" w:eastAsia="Arial" w:hint="default"/>
                <w:sz w:val="18"/>
                <w:szCs w:val="18"/>
              </w:rPr>
              <w:t>(</w:t>
            </w:r>
            <w:r>
              <w:rPr>
                <w:rFonts w:ascii="宋体" w:hAnsi="宋体" w:cs="宋体" w:eastAsia="宋体" w:hint="default"/>
                <w:sz w:val="18"/>
                <w:szCs w:val="18"/>
              </w:rPr>
              <w:t>天津</w:t>
            </w:r>
            <w:r>
              <w:rPr>
                <w:rFonts w:ascii="Arial" w:hAnsi="Arial" w:cs="Arial" w:eastAsia="Arial" w:hint="default"/>
                <w:sz w:val="18"/>
                <w:szCs w:val="18"/>
              </w:rPr>
              <w:t>)</w:t>
            </w:r>
            <w:r>
              <w:rPr>
                <w:rFonts w:ascii="宋体" w:hAnsi="宋体" w:cs="宋体" w:eastAsia="宋体" w:hint="default"/>
                <w:sz w:val="18"/>
                <w:szCs w:val="18"/>
              </w:rPr>
              <w:t>基金管理有</w:t>
            </w:r>
            <w:r>
              <w:rPr>
                <w:rFonts w:ascii="宋体" w:hAnsi="宋体" w:cs="宋体" w:eastAsia="宋体" w:hint="default"/>
                <w:spacing w:val="-66"/>
                <w:sz w:val="18"/>
                <w:szCs w:val="18"/>
              </w:rPr>
              <w:t> </w:t>
            </w:r>
            <w:r>
              <w:rPr>
                <w:rFonts w:ascii="宋体" w:hAnsi="宋体" w:cs="宋体" w:eastAsia="宋体" w:hint="default"/>
                <w:sz w:val="18"/>
                <w:szCs w:val="18"/>
              </w:rPr>
              <w:t>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苏宁金石</w:t>
            </w:r>
            <w:r>
              <w:rPr>
                <w:rFonts w:ascii="Arial" w:hAnsi="Arial" w:cs="Arial" w:eastAsia="Arial" w:hint="default"/>
                <w:sz w:val="18"/>
                <w:szCs w:val="18"/>
              </w:rPr>
              <w:t>”</w:t>
            </w:r>
            <w:r>
              <w:rPr>
                <w:rFonts w:ascii="Arial" w:hAnsi="Arial" w:cs="Arial" w:eastAsia="Arial" w:hint="default"/>
                <w:sz w:val="18"/>
                <w:szCs w:val="18"/>
              </w:rPr>
              <w:t>)(i)</w:t>
            </w:r>
          </w:p>
        </w:tc>
        <w:tc>
          <w:tcPr>
            <w:tcW w:w="128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Arial" w:hAnsi="Arial" w:cs="Arial" w:eastAsia="Arial" w:hint="default"/>
                <w:sz w:val="18"/>
                <w:szCs w:val="18"/>
              </w:rPr>
            </w:pPr>
            <w:r>
              <w:rPr>
                <w:rFonts w:ascii="Arial"/>
                <w:w w:val="99"/>
                <w:sz w:val="18"/>
              </w:rPr>
              <w:t>-</w:t>
            </w:r>
            <w:r>
              <w:rPr>
                <w:rFonts w:ascii="Arial"/>
                <w:sz w:val="18"/>
              </w:rPr>
            </w:r>
          </w:p>
        </w:tc>
        <w:tc>
          <w:tcPr>
            <w:tcW w:w="1058"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52"/>
              <w:jc w:val="right"/>
              <w:rPr>
                <w:rFonts w:ascii="Arial" w:hAnsi="Arial" w:cs="Arial" w:eastAsia="Arial" w:hint="default"/>
                <w:sz w:val="18"/>
                <w:szCs w:val="18"/>
              </w:rPr>
            </w:pPr>
            <w:r>
              <w:rPr>
                <w:rFonts w:ascii="Arial"/>
                <w:spacing w:val="-1"/>
                <w:sz w:val="18"/>
              </w:rPr>
              <w:t>20,000</w:t>
            </w:r>
          </w:p>
        </w:tc>
        <w:tc>
          <w:tcPr>
            <w:tcW w:w="14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49"/>
              <w:jc w:val="right"/>
              <w:rPr>
                <w:rFonts w:ascii="Arial" w:hAnsi="Arial" w:cs="Arial" w:eastAsia="Arial" w:hint="default"/>
                <w:sz w:val="18"/>
                <w:szCs w:val="18"/>
              </w:rPr>
            </w:pPr>
            <w:r>
              <w:rPr>
                <w:rFonts w:ascii="Arial"/>
                <w:w w:val="99"/>
                <w:sz w:val="18"/>
              </w:rPr>
              <w:t>-</w:t>
            </w:r>
            <w:r>
              <w:rPr>
                <w:rFonts w:ascii="Arial"/>
                <w:sz w:val="18"/>
              </w:rPr>
            </w:r>
          </w:p>
        </w:tc>
        <w:tc>
          <w:tcPr>
            <w:tcW w:w="124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711" w:right="0"/>
              <w:jc w:val="left"/>
              <w:rPr>
                <w:rFonts w:ascii="Arial" w:hAnsi="Arial" w:cs="Arial" w:eastAsia="Arial" w:hint="default"/>
                <w:sz w:val="18"/>
                <w:szCs w:val="18"/>
              </w:rPr>
            </w:pPr>
            <w:r>
              <w:rPr>
                <w:rFonts w:ascii="Arial"/>
                <w:sz w:val="18"/>
              </w:rPr>
              <w:t>(171)</w:t>
            </w:r>
          </w:p>
        </w:tc>
        <w:tc>
          <w:tcPr>
            <w:tcW w:w="117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55"/>
              <w:jc w:val="right"/>
              <w:rPr>
                <w:rFonts w:ascii="Arial" w:hAnsi="Arial" w:cs="Arial" w:eastAsia="Arial" w:hint="default"/>
                <w:sz w:val="18"/>
                <w:szCs w:val="18"/>
              </w:rPr>
            </w:pPr>
            <w:r>
              <w:rPr>
                <w:rFonts w:ascii="Arial"/>
                <w:w w:val="99"/>
                <w:sz w:val="18"/>
              </w:rPr>
              <w:t>-</w:t>
            </w:r>
            <w:r>
              <w:rPr>
                <w:rFonts w:ascii="Arial"/>
                <w:sz w:val="18"/>
              </w:rPr>
            </w:r>
          </w:p>
        </w:tc>
        <w:tc>
          <w:tcPr>
            <w:tcW w:w="76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64"/>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4"/>
              <w:jc w:val="right"/>
              <w:rPr>
                <w:rFonts w:ascii="Arial" w:hAnsi="Arial" w:cs="Arial" w:eastAsia="Arial" w:hint="default"/>
                <w:sz w:val="18"/>
                <w:szCs w:val="18"/>
              </w:rPr>
            </w:pPr>
            <w:r>
              <w:rPr>
                <w:rFonts w:ascii="Arial"/>
                <w:w w:val="99"/>
                <w:sz w:val="18"/>
              </w:rPr>
              <w:t>-</w:t>
            </w:r>
            <w:r>
              <w:rPr>
                <w:rFonts w:ascii="Arial"/>
                <w:sz w:val="18"/>
              </w:rPr>
            </w:r>
          </w:p>
        </w:tc>
        <w:tc>
          <w:tcPr>
            <w:tcW w:w="110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43"/>
              <w:jc w:val="right"/>
              <w:rPr>
                <w:rFonts w:ascii="Arial" w:hAnsi="Arial" w:cs="Arial" w:eastAsia="Arial" w:hint="default"/>
                <w:sz w:val="18"/>
                <w:szCs w:val="18"/>
              </w:rPr>
            </w:pPr>
            <w:r>
              <w:rPr>
                <w:rFonts w:ascii="Arial"/>
                <w:w w:val="99"/>
                <w:sz w:val="18"/>
              </w:rPr>
              <w:t>-</w:t>
            </w:r>
            <w:r>
              <w:rPr>
                <w:rFonts w:ascii="Arial"/>
                <w:sz w:val="18"/>
              </w:rPr>
            </w:r>
          </w:p>
        </w:tc>
        <w:tc>
          <w:tcPr>
            <w:tcW w:w="63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67"/>
              <w:jc w:val="right"/>
              <w:rPr>
                <w:rFonts w:ascii="Arial" w:hAnsi="Arial" w:cs="Arial" w:eastAsia="Arial" w:hint="default"/>
                <w:sz w:val="18"/>
                <w:szCs w:val="18"/>
              </w:rPr>
            </w:pPr>
            <w:r>
              <w:rPr>
                <w:rFonts w:ascii="Arial"/>
                <w:w w:val="99"/>
                <w:sz w:val="18"/>
              </w:rPr>
              <w:t>-</w:t>
            </w:r>
            <w:r>
              <w:rPr>
                <w:rFonts w:ascii="Arial"/>
                <w:sz w:val="18"/>
              </w:rPr>
            </w:r>
          </w:p>
        </w:tc>
        <w:tc>
          <w:tcPr>
            <w:tcW w:w="160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697" w:right="0"/>
              <w:jc w:val="left"/>
              <w:rPr>
                <w:rFonts w:ascii="Arial" w:hAnsi="Arial" w:cs="Arial" w:eastAsia="Arial" w:hint="default"/>
                <w:sz w:val="18"/>
                <w:szCs w:val="18"/>
              </w:rPr>
            </w:pPr>
            <w:r>
              <w:rPr>
                <w:rFonts w:ascii="Arial"/>
                <w:sz w:val="18"/>
              </w:rPr>
              <w:t>19,829</w:t>
            </w:r>
          </w:p>
        </w:tc>
        <w:tc>
          <w:tcPr>
            <w:tcW w:w="110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1258" w:hRule="exact"/>
        </w:trPr>
        <w:tc>
          <w:tcPr>
            <w:tcW w:w="746" w:type="dxa"/>
            <w:tcBorders>
              <w:top w:val="nil" w:sz="6" w:space="0" w:color="auto"/>
              <w:left w:val="nil" w:sz="6" w:space="0" w:color="auto"/>
              <w:bottom w:val="nil" w:sz="6" w:space="0" w:color="auto"/>
              <w:right w:val="nil" w:sz="6" w:space="0" w:color="auto"/>
            </w:tcBorders>
          </w:tcPr>
          <w:p>
            <w:pPr/>
          </w:p>
        </w:tc>
        <w:tc>
          <w:tcPr>
            <w:tcW w:w="14551"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322" w:lineRule="exact"/>
              <w:ind w:left="119" w:right="0"/>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21"/>
                <w:sz w:val="24"/>
                <w:szCs w:val="24"/>
              </w:rPr>
              <w:t> </w:t>
            </w:r>
            <w:r>
              <w:rPr>
                <w:rFonts w:ascii="宋体" w:hAnsi="宋体" w:cs="宋体" w:eastAsia="宋体" w:hint="default"/>
                <w:sz w:val="24"/>
                <w:szCs w:val="24"/>
              </w:rPr>
              <w:t>于</w:t>
            </w:r>
            <w:r>
              <w:rPr>
                <w:rFonts w:ascii="宋体" w:hAnsi="宋体" w:cs="宋体" w:eastAsia="宋体" w:hint="default"/>
                <w:spacing w:val="-49"/>
                <w:sz w:val="24"/>
                <w:szCs w:val="24"/>
              </w:rPr>
              <w:t> </w:t>
            </w:r>
            <w:r>
              <w:rPr>
                <w:rFonts w:ascii="Arial" w:hAnsi="Arial" w:cs="Arial" w:eastAsia="Arial" w:hint="default"/>
                <w:sz w:val="24"/>
                <w:szCs w:val="24"/>
              </w:rPr>
              <w:t>2015</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7</w:t>
            </w:r>
            <w:r>
              <w:rPr>
                <w:rFonts w:ascii="Arial" w:hAnsi="Arial" w:cs="Arial" w:eastAsia="Arial" w:hint="default"/>
                <w:spacing w:val="4"/>
                <w:sz w:val="24"/>
                <w:szCs w:val="24"/>
              </w:rPr>
              <w:t> </w:t>
            </w:r>
            <w:r>
              <w:rPr>
                <w:rFonts w:ascii="宋体" w:hAnsi="宋体" w:cs="宋体" w:eastAsia="宋体" w:hint="default"/>
                <w:sz w:val="24"/>
                <w:szCs w:val="24"/>
              </w:rPr>
              <w:t>月，本集团参与出资设立苏宁金石，本集团认缴出资人民币</w:t>
            </w:r>
            <w:r>
              <w:rPr>
                <w:rFonts w:ascii="宋体" w:hAnsi="宋体" w:cs="宋体" w:eastAsia="宋体" w:hint="default"/>
                <w:spacing w:val="-49"/>
                <w:sz w:val="24"/>
                <w:szCs w:val="24"/>
              </w:rPr>
              <w:t> </w:t>
            </w:r>
            <w:r>
              <w:rPr>
                <w:rFonts w:ascii="Arial" w:hAnsi="Arial" w:cs="Arial" w:eastAsia="Arial" w:hint="default"/>
                <w:sz w:val="24"/>
                <w:szCs w:val="24"/>
              </w:rPr>
              <w:t>2,000</w:t>
            </w:r>
            <w:r>
              <w:rPr>
                <w:rFonts w:ascii="Arial" w:hAnsi="Arial" w:cs="Arial" w:eastAsia="Arial" w:hint="default"/>
                <w:spacing w:val="4"/>
                <w:sz w:val="24"/>
                <w:szCs w:val="24"/>
              </w:rPr>
              <w:t> </w:t>
            </w:r>
            <w:r>
              <w:rPr>
                <w:rFonts w:ascii="宋体" w:hAnsi="宋体" w:cs="宋体" w:eastAsia="宋体" w:hint="default"/>
                <w:sz w:val="24"/>
                <w:szCs w:val="24"/>
              </w:rPr>
              <w:t>万元，占注册资本总额的</w:t>
            </w:r>
            <w:r>
              <w:rPr>
                <w:rFonts w:ascii="宋体" w:hAnsi="宋体" w:cs="宋体" w:eastAsia="宋体" w:hint="default"/>
                <w:spacing w:val="-49"/>
                <w:sz w:val="24"/>
                <w:szCs w:val="24"/>
              </w:rPr>
              <w:t> </w:t>
            </w:r>
            <w:r>
              <w:rPr>
                <w:rFonts w:ascii="Arial" w:hAnsi="Arial" w:cs="Arial" w:eastAsia="Arial" w:hint="default"/>
                <w:sz w:val="24"/>
                <w:szCs w:val="24"/>
              </w:rPr>
              <w:t>40%</w:t>
            </w:r>
            <w:r>
              <w:rPr>
                <w:rFonts w:ascii="宋体" w:hAnsi="宋体" w:cs="宋体" w:eastAsia="宋体" w:hint="default"/>
                <w:sz w:val="24"/>
                <w:szCs w:val="24"/>
              </w:rPr>
              <w:t>。同时，本集团在苏宁</w:t>
            </w:r>
          </w:p>
          <w:p>
            <w:pPr>
              <w:pStyle w:val="TableParagraph"/>
              <w:spacing w:line="322" w:lineRule="exact"/>
              <w:ind w:left="119" w:right="0"/>
              <w:jc w:val="left"/>
              <w:rPr>
                <w:rFonts w:ascii="宋体" w:hAnsi="宋体" w:cs="宋体" w:eastAsia="宋体" w:hint="default"/>
                <w:sz w:val="24"/>
                <w:szCs w:val="24"/>
              </w:rPr>
            </w:pPr>
            <w:r>
              <w:rPr>
                <w:rFonts w:ascii="宋体" w:hAnsi="宋体" w:cs="宋体" w:eastAsia="宋体" w:hint="default"/>
                <w:sz w:val="24"/>
                <w:szCs w:val="24"/>
              </w:rPr>
              <w:t>金石四名董事组成的董事会中占有两个董事席位。截至</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日止，本集团已完成全部认缴资本的支付。</w:t>
            </w:r>
          </w:p>
        </w:tc>
      </w:tr>
      <w:tr>
        <w:trPr>
          <w:trHeight w:val="501" w:hRule="exact"/>
        </w:trPr>
        <w:tc>
          <w:tcPr>
            <w:tcW w:w="746" w:type="dxa"/>
            <w:tcBorders>
              <w:top w:val="nil" w:sz="6" w:space="0" w:color="auto"/>
              <w:left w:val="nil" w:sz="6" w:space="0" w:color="auto"/>
              <w:bottom w:val="nil" w:sz="6" w:space="0" w:color="auto"/>
              <w:right w:val="nil" w:sz="6" w:space="0" w:color="auto"/>
            </w:tcBorders>
          </w:tcPr>
          <w:p>
            <w:pPr/>
          </w:p>
        </w:tc>
        <w:tc>
          <w:tcPr>
            <w:tcW w:w="461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4"/>
              <w:ind w:left="119"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在合营企业中的权益相关信息见附注六</w:t>
            </w:r>
            <w:r>
              <w:rPr>
                <w:rFonts w:ascii="Times New Roman" w:hAnsi="Times New Roman" w:cs="Times New Roman" w:eastAsia="Times New Roman" w:hint="default"/>
                <w:sz w:val="24"/>
                <w:szCs w:val="24"/>
              </w:rPr>
              <w:t>(</w:t>
            </w:r>
            <w:r>
              <w:rPr>
                <w:rFonts w:ascii="Arial" w:hAnsi="Arial" w:cs="Arial" w:eastAsia="Arial" w:hint="default"/>
                <w:sz w:val="24"/>
                <w:szCs w:val="24"/>
              </w:rPr>
              <w:t>2</w:t>
            </w:r>
            <w:r>
              <w:rPr>
                <w:rFonts w:ascii="Times New Roman" w:hAnsi="Times New Roman" w:cs="Times New Roman" w:eastAsia="Times New Roman" w:hint="default"/>
                <w:sz w:val="24"/>
                <w:szCs w:val="24"/>
              </w:rPr>
              <w:t>)</w:t>
            </w:r>
          </w:p>
        </w:tc>
        <w:tc>
          <w:tcPr>
            <w:tcW w:w="14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21" w:right="0"/>
              <w:jc w:val="left"/>
              <w:rPr>
                <w:rFonts w:ascii="宋体" w:hAnsi="宋体" w:cs="宋体" w:eastAsia="宋体" w:hint="default"/>
                <w:sz w:val="24"/>
                <w:szCs w:val="24"/>
              </w:rPr>
            </w:pPr>
            <w:r>
              <w:rPr>
                <w:rFonts w:ascii="宋体" w:hAnsi="宋体" w:cs="宋体" w:eastAsia="宋体" w:hint="default"/>
                <w:sz w:val="24"/>
                <w:szCs w:val="24"/>
              </w:rPr>
              <w:t>。</w:t>
            </w:r>
          </w:p>
        </w:tc>
        <w:tc>
          <w:tcPr>
            <w:tcW w:w="892"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45"/>
          <w:footerReference w:type="default" r:id="rId46"/>
          <w:pgSz w:w="16840" w:h="11910" w:orient="landscape"/>
          <w:pgMar w:header="1187" w:footer="915" w:top="2280" w:bottom="1100" w:left="1020" w:right="0"/>
          <w:pgNumType w:start="16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746"/>
        <w:gridCol w:w="2281"/>
        <w:gridCol w:w="1274"/>
        <w:gridCol w:w="1058"/>
        <w:gridCol w:w="140"/>
        <w:gridCol w:w="1131"/>
        <w:gridCol w:w="1134"/>
        <w:gridCol w:w="1132"/>
        <w:gridCol w:w="689"/>
        <w:gridCol w:w="113"/>
        <w:gridCol w:w="1271"/>
        <w:gridCol w:w="1146"/>
        <w:gridCol w:w="662"/>
        <w:gridCol w:w="1205"/>
        <w:gridCol w:w="1321"/>
      </w:tblGrid>
      <w:tr>
        <w:trPr>
          <w:trHeight w:val="416"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5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5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r>
      <w:tr>
        <w:trPr>
          <w:trHeight w:val="587"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(12)</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r>
      <w:tr>
        <w:trPr>
          <w:trHeight w:val="580"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127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r>
      <w:tr>
        <w:trPr>
          <w:trHeight w:val="381" w:hRule="exact"/>
        </w:trPr>
        <w:tc>
          <w:tcPr>
            <w:tcW w:w="746"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single" w:sz="4" w:space="0" w:color="000000"/>
              <w:right w:val="nil" w:sz="6" w:space="0" w:color="auto"/>
            </w:tcBorders>
          </w:tcPr>
          <w:p>
            <w:pPr/>
          </w:p>
        </w:tc>
        <w:tc>
          <w:tcPr>
            <w:tcW w:w="1131"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
        </w:tc>
        <w:tc>
          <w:tcPr>
            <w:tcW w:w="182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3"/>
              <w:ind w:left="234"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13" w:type="dxa"/>
            <w:tcBorders>
              <w:top w:val="nil" w:sz="6" w:space="0" w:color="auto"/>
              <w:left w:val="nil" w:sz="6" w:space="0" w:color="auto"/>
              <w:bottom w:val="single" w:sz="4" w:space="0" w:color="000000"/>
              <w:right w:val="nil" w:sz="6" w:space="0" w:color="auto"/>
            </w:tcBorders>
          </w:tcPr>
          <w:p>
            <w:pPr/>
          </w:p>
        </w:tc>
        <w:tc>
          <w:tcPr>
            <w:tcW w:w="1271" w:type="dxa"/>
            <w:tcBorders>
              <w:top w:val="nil" w:sz="6" w:space="0" w:color="auto"/>
              <w:left w:val="nil" w:sz="6" w:space="0" w:color="auto"/>
              <w:bottom w:val="single" w:sz="4" w:space="0" w:color="000000"/>
              <w:right w:val="nil" w:sz="6" w:space="0" w:color="auto"/>
            </w:tcBorders>
          </w:tcPr>
          <w:p>
            <w:pPr/>
          </w:p>
        </w:tc>
        <w:tc>
          <w:tcPr>
            <w:tcW w:w="1146" w:type="dxa"/>
            <w:tcBorders>
              <w:top w:val="nil" w:sz="6" w:space="0" w:color="auto"/>
              <w:left w:val="nil" w:sz="6" w:space="0" w:color="auto"/>
              <w:bottom w:val="single" w:sz="4" w:space="0" w:color="000000"/>
              <w:right w:val="nil" w:sz="6" w:space="0" w:color="auto"/>
            </w:tcBorders>
          </w:tcPr>
          <w:p>
            <w:pPr/>
          </w:p>
        </w:tc>
        <w:tc>
          <w:tcPr>
            <w:tcW w:w="662" w:type="dxa"/>
            <w:tcBorders>
              <w:top w:val="nil" w:sz="6" w:space="0" w:color="auto"/>
              <w:left w:val="nil" w:sz="6" w:space="0" w:color="auto"/>
              <w:bottom w:val="single" w:sz="4" w:space="0" w:color="000000"/>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r>
      <w:tr>
        <w:trPr>
          <w:trHeight w:val="237" w:hRule="exact"/>
        </w:trPr>
        <w:tc>
          <w:tcPr>
            <w:tcW w:w="746" w:type="dxa"/>
            <w:tcBorders>
              <w:top w:val="nil" w:sz="6" w:space="0" w:color="auto"/>
              <w:left w:val="nil" w:sz="6" w:space="0" w:color="auto"/>
              <w:bottom w:val="nil" w:sz="6" w:space="0" w:color="auto"/>
              <w:right w:val="nil" w:sz="6" w:space="0" w:color="auto"/>
            </w:tcBorders>
          </w:tcPr>
          <w:p>
            <w:pPr/>
          </w:p>
        </w:tc>
        <w:tc>
          <w:tcPr>
            <w:tcW w:w="2281" w:type="dxa"/>
            <w:vMerge w:val="restart"/>
            <w:tcBorders>
              <w:top w:val="nil" w:sz="6" w:space="0" w:color="auto"/>
              <w:left w:val="nil" w:sz="6" w:space="0" w:color="auto"/>
              <w:right w:val="nil" w:sz="6" w:space="0" w:color="auto"/>
            </w:tcBorders>
          </w:tcPr>
          <w:p>
            <w:pPr/>
          </w:p>
        </w:tc>
        <w:tc>
          <w:tcPr>
            <w:tcW w:w="1274" w:type="dxa"/>
            <w:vMerge w:val="restart"/>
            <w:tcBorders>
              <w:top w:val="nil" w:sz="6" w:space="0" w:color="auto"/>
              <w:left w:val="nil" w:sz="6" w:space="0" w:color="auto"/>
              <w:right w:val="nil" w:sz="6" w:space="0" w:color="auto"/>
            </w:tcBorders>
          </w:tcPr>
          <w:p>
            <w:pPr>
              <w:pStyle w:val="TableParagraph"/>
              <w:spacing w:line="216" w:lineRule="exact"/>
              <w:ind w:left="54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27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58" w:type="dxa"/>
            <w:tcBorders>
              <w:top w:val="single" w:sz="4" w:space="0" w:color="000000"/>
              <w:left w:val="nil" w:sz="6" w:space="0" w:color="auto"/>
              <w:bottom w:val="nil" w:sz="6" w:space="0" w:color="auto"/>
              <w:right w:val="nil" w:sz="6" w:space="0" w:color="auto"/>
            </w:tcBorders>
          </w:tcPr>
          <w:p>
            <w:pPr/>
          </w:p>
        </w:tc>
        <w:tc>
          <w:tcPr>
            <w:tcW w:w="140" w:type="dxa"/>
            <w:tcBorders>
              <w:top w:val="single" w:sz="4" w:space="0" w:color="000000"/>
              <w:left w:val="nil" w:sz="6" w:space="0" w:color="auto"/>
              <w:bottom w:val="nil" w:sz="6" w:space="0" w:color="auto"/>
              <w:right w:val="nil" w:sz="6" w:space="0" w:color="auto"/>
            </w:tcBorders>
          </w:tcPr>
          <w:p>
            <w:pPr/>
          </w:p>
        </w:tc>
        <w:tc>
          <w:tcPr>
            <w:tcW w:w="1131" w:type="dxa"/>
            <w:tcBorders>
              <w:top w:val="single" w:sz="4" w:space="0" w:color="000000"/>
              <w:left w:val="nil" w:sz="6" w:space="0" w:color="auto"/>
              <w:bottom w:val="nil" w:sz="6" w:space="0" w:color="auto"/>
              <w:right w:val="nil" w:sz="6" w:space="0" w:color="auto"/>
            </w:tcBorders>
          </w:tcPr>
          <w:p>
            <w:pPr/>
          </w:p>
        </w:tc>
        <w:tc>
          <w:tcPr>
            <w:tcW w:w="1134" w:type="dxa"/>
            <w:vMerge w:val="restart"/>
            <w:tcBorders>
              <w:top w:val="single" w:sz="4" w:space="0" w:color="000000"/>
              <w:left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按权益法调</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整的净损益</w:t>
            </w:r>
          </w:p>
        </w:tc>
        <w:tc>
          <w:tcPr>
            <w:tcW w:w="1132" w:type="dxa"/>
            <w:vMerge w:val="restart"/>
            <w:tcBorders>
              <w:top w:val="single" w:sz="4" w:space="0" w:color="000000"/>
              <w:left w:val="nil" w:sz="6" w:space="0" w:color="auto"/>
              <w:right w:val="nil" w:sz="6" w:space="0" w:color="auto"/>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35" w:lineRule="exact"/>
              <w:ind w:left="470" w:right="0"/>
              <w:jc w:val="left"/>
              <w:rPr>
                <w:rFonts w:ascii="宋体" w:hAnsi="宋体" w:cs="宋体" w:eastAsia="宋体" w:hint="default"/>
                <w:sz w:val="18"/>
                <w:szCs w:val="18"/>
              </w:rPr>
            </w:pPr>
            <w:r>
              <w:rPr>
                <w:rFonts w:ascii="宋体" w:hAnsi="宋体" w:cs="宋体" w:eastAsia="宋体" w:hint="default"/>
                <w:sz w:val="18"/>
                <w:szCs w:val="18"/>
              </w:rPr>
              <w:t>益调整</w:t>
            </w:r>
          </w:p>
        </w:tc>
        <w:tc>
          <w:tcPr>
            <w:tcW w:w="689" w:type="dxa"/>
            <w:vMerge w:val="restart"/>
            <w:tcBorders>
              <w:top w:val="single" w:sz="4" w:space="0" w:color="000000"/>
              <w:left w:val="nil" w:sz="6" w:space="0" w:color="auto"/>
              <w:right w:val="nil" w:sz="6" w:space="0" w:color="auto"/>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113" w:type="dxa"/>
            <w:vMerge w:val="restart"/>
            <w:tcBorders>
              <w:top w:val="single" w:sz="4" w:space="0" w:color="000000"/>
              <w:left w:val="nil" w:sz="6" w:space="0" w:color="auto"/>
              <w:right w:val="nil" w:sz="6" w:space="0" w:color="auto"/>
            </w:tcBorders>
          </w:tcPr>
          <w:p>
            <w:pPr/>
          </w:p>
        </w:tc>
        <w:tc>
          <w:tcPr>
            <w:tcW w:w="1271" w:type="dxa"/>
            <w:vMerge w:val="restart"/>
            <w:tcBorders>
              <w:top w:val="single" w:sz="4" w:space="0" w:color="000000"/>
              <w:left w:val="nil" w:sz="6" w:space="0" w:color="auto"/>
              <w:right w:val="nil" w:sz="6" w:space="0" w:color="auto"/>
            </w:tcBorders>
          </w:tcPr>
          <w:p>
            <w:pPr>
              <w:pStyle w:val="TableParagraph"/>
              <w:spacing w:line="205" w:lineRule="exact"/>
              <w:ind w:left="219" w:right="0" w:hanging="180"/>
              <w:jc w:val="left"/>
              <w:rPr>
                <w:rFonts w:ascii="宋体" w:hAnsi="宋体" w:cs="宋体" w:eastAsia="宋体" w:hint="default"/>
                <w:sz w:val="18"/>
                <w:szCs w:val="18"/>
              </w:rPr>
            </w:pPr>
            <w:r>
              <w:rPr>
                <w:rFonts w:ascii="宋体" w:hAnsi="宋体" w:cs="宋体" w:eastAsia="宋体" w:hint="default"/>
                <w:sz w:val="18"/>
                <w:szCs w:val="18"/>
              </w:rPr>
              <w:t>宣告发放现金</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1146" w:type="dxa"/>
            <w:vMerge w:val="restart"/>
            <w:tcBorders>
              <w:top w:val="single" w:sz="4" w:space="0" w:color="000000"/>
              <w:left w:val="nil" w:sz="6" w:space="0" w:color="auto"/>
              <w:right w:val="nil" w:sz="6" w:space="0" w:color="auto"/>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计提减值</w:t>
            </w:r>
          </w:p>
          <w:p>
            <w:pPr>
              <w:pStyle w:val="TableParagraph"/>
              <w:spacing w:line="235" w:lineRule="exact"/>
              <w:ind w:left="5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662" w:type="dxa"/>
            <w:tcBorders>
              <w:top w:val="single" w:sz="4" w:space="0" w:color="000000"/>
              <w:left w:val="nil" w:sz="6" w:space="0" w:color="auto"/>
              <w:bottom w:val="nil" w:sz="6" w:space="0" w:color="auto"/>
              <w:right w:val="nil" w:sz="6" w:space="0" w:color="auto"/>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val="restart"/>
            <w:tcBorders>
              <w:top w:val="nil" w:sz="6" w:space="0" w:color="auto"/>
              <w:left w:val="nil" w:sz="6" w:space="0" w:color="auto"/>
              <w:right w:val="nil" w:sz="6" w:space="0" w:color="auto"/>
            </w:tcBorders>
          </w:tcPr>
          <w:p>
            <w:pPr>
              <w:pStyle w:val="TableParagraph"/>
              <w:spacing w:line="216" w:lineRule="exact"/>
              <w:ind w:left="55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28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21" w:type="dxa"/>
            <w:vMerge w:val="restart"/>
            <w:tcBorders>
              <w:top w:val="nil" w:sz="6" w:space="0" w:color="auto"/>
              <w:left w:val="nil" w:sz="6" w:space="0" w:color="auto"/>
              <w:right w:val="nil" w:sz="6" w:space="0" w:color="auto"/>
            </w:tcBorders>
          </w:tcPr>
          <w:p>
            <w:pPr>
              <w:pStyle w:val="TableParagraph"/>
              <w:spacing w:line="209" w:lineRule="exact"/>
              <w:ind w:left="567"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56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76" w:hRule="exact"/>
        </w:trPr>
        <w:tc>
          <w:tcPr>
            <w:tcW w:w="746" w:type="dxa"/>
            <w:tcBorders>
              <w:top w:val="nil" w:sz="6" w:space="0" w:color="auto"/>
              <w:left w:val="nil" w:sz="6" w:space="0" w:color="auto"/>
              <w:bottom w:val="nil" w:sz="6" w:space="0" w:color="auto"/>
              <w:right w:val="nil" w:sz="6" w:space="0" w:color="auto"/>
            </w:tcBorders>
          </w:tcPr>
          <w:p>
            <w:pPr/>
          </w:p>
        </w:tc>
        <w:tc>
          <w:tcPr>
            <w:tcW w:w="2281" w:type="dxa"/>
            <w:vMerge/>
            <w:tcBorders>
              <w:left w:val="nil" w:sz="6" w:space="0" w:color="auto"/>
              <w:bottom w:val="nil" w:sz="6" w:space="0" w:color="auto"/>
              <w:right w:val="nil" w:sz="6" w:space="0" w:color="auto"/>
            </w:tcBorders>
          </w:tcPr>
          <w:p>
            <w:pPr/>
          </w:p>
        </w:tc>
        <w:tc>
          <w:tcPr>
            <w:tcW w:w="1274" w:type="dxa"/>
            <w:vMerge/>
            <w:tcBorders>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07" w:lineRule="exact"/>
              <w:ind w:left="30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07" w:lineRule="exact"/>
              <w:ind w:right="12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1134" w:type="dxa"/>
            <w:vMerge/>
            <w:tcBorders>
              <w:left w:val="nil" w:sz="6" w:space="0" w:color="auto"/>
              <w:bottom w:val="nil" w:sz="6" w:space="0" w:color="auto"/>
              <w:right w:val="nil" w:sz="6" w:space="0" w:color="auto"/>
            </w:tcBorders>
          </w:tcPr>
          <w:p>
            <w:pPr/>
          </w:p>
        </w:tc>
        <w:tc>
          <w:tcPr>
            <w:tcW w:w="1132" w:type="dxa"/>
            <w:vMerge/>
            <w:tcBorders>
              <w:left w:val="nil" w:sz="6" w:space="0" w:color="auto"/>
              <w:bottom w:val="nil" w:sz="6" w:space="0" w:color="auto"/>
              <w:right w:val="nil" w:sz="6" w:space="0" w:color="auto"/>
            </w:tcBorders>
          </w:tcPr>
          <w:p>
            <w:pPr/>
          </w:p>
        </w:tc>
        <w:tc>
          <w:tcPr>
            <w:tcW w:w="689" w:type="dxa"/>
            <w:vMerge/>
            <w:tcBorders>
              <w:left w:val="nil" w:sz="6" w:space="0" w:color="auto"/>
              <w:bottom w:val="nil" w:sz="6" w:space="0" w:color="auto"/>
              <w:right w:val="nil" w:sz="6" w:space="0" w:color="auto"/>
            </w:tcBorders>
          </w:tcPr>
          <w:p>
            <w:pPr/>
          </w:p>
        </w:tc>
        <w:tc>
          <w:tcPr>
            <w:tcW w:w="113" w:type="dxa"/>
            <w:vMerge/>
            <w:tcBorders>
              <w:left w:val="nil" w:sz="6" w:space="0" w:color="auto"/>
              <w:bottom w:val="nil" w:sz="6" w:space="0" w:color="auto"/>
              <w:right w:val="nil" w:sz="6" w:space="0" w:color="auto"/>
            </w:tcBorders>
          </w:tcPr>
          <w:p>
            <w:pPr/>
          </w:p>
        </w:tc>
        <w:tc>
          <w:tcPr>
            <w:tcW w:w="1271" w:type="dxa"/>
            <w:vMerge/>
            <w:tcBorders>
              <w:left w:val="nil" w:sz="6" w:space="0" w:color="auto"/>
              <w:bottom w:val="nil" w:sz="6" w:space="0" w:color="auto"/>
              <w:right w:val="nil" w:sz="6" w:space="0" w:color="auto"/>
            </w:tcBorders>
          </w:tcPr>
          <w:p>
            <w:pPr/>
          </w:p>
        </w:tc>
        <w:tc>
          <w:tcPr>
            <w:tcW w:w="1146" w:type="dxa"/>
            <w:vMerge/>
            <w:tcBorders>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205" w:type="dxa"/>
            <w:vMerge/>
            <w:tcBorders>
              <w:left w:val="nil" w:sz="6" w:space="0" w:color="auto"/>
              <w:bottom w:val="nil" w:sz="6" w:space="0" w:color="auto"/>
              <w:right w:val="nil" w:sz="6" w:space="0" w:color="auto"/>
            </w:tcBorders>
          </w:tcPr>
          <w:p>
            <w:pPr/>
          </w:p>
        </w:tc>
        <w:tc>
          <w:tcPr>
            <w:tcW w:w="1321" w:type="dxa"/>
            <w:vMerge/>
            <w:tcBorders>
              <w:left w:val="nil" w:sz="6" w:space="0" w:color="auto"/>
              <w:bottom w:val="nil" w:sz="6" w:space="0" w:color="auto"/>
              <w:right w:val="nil" w:sz="6" w:space="0" w:color="auto"/>
            </w:tcBorders>
          </w:tcPr>
          <w:p>
            <w:pPr/>
          </w:p>
        </w:tc>
      </w:tr>
      <w:tr>
        <w:trPr>
          <w:trHeight w:val="611" w:hRule="exact"/>
        </w:trPr>
        <w:tc>
          <w:tcPr>
            <w:tcW w:w="746"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Style w:val="TableParagraph"/>
              <w:spacing w:line="235" w:lineRule="exact" w:before="104"/>
              <w:ind w:left="119" w:right="0"/>
              <w:jc w:val="left"/>
              <w:rPr>
                <w:rFonts w:ascii="宋体" w:hAnsi="宋体" w:cs="宋体" w:eastAsia="宋体" w:hint="default"/>
                <w:sz w:val="18"/>
                <w:szCs w:val="18"/>
              </w:rPr>
            </w:pPr>
            <w:r>
              <w:rPr>
                <w:rFonts w:ascii="宋体" w:hAnsi="宋体" w:cs="宋体" w:eastAsia="宋体" w:hint="default"/>
                <w:spacing w:val="18"/>
                <w:sz w:val="18"/>
                <w:szCs w:val="18"/>
              </w:rPr>
              <w:t>苏宁</w:t>
            </w:r>
            <w:r>
              <w:rPr>
                <w:rFonts w:ascii="宋体" w:hAnsi="宋体" w:cs="宋体" w:eastAsia="宋体" w:hint="default"/>
                <w:spacing w:val="-54"/>
                <w:sz w:val="18"/>
                <w:szCs w:val="18"/>
              </w:rPr>
              <w:t> </w:t>
            </w:r>
            <w:r>
              <w:rPr>
                <w:rFonts w:ascii="宋体" w:hAnsi="宋体" w:cs="宋体" w:eastAsia="宋体" w:hint="default"/>
                <w:sz w:val="18"/>
                <w:szCs w:val="18"/>
              </w:rPr>
              <w:t>消</w:t>
            </w:r>
            <w:r>
              <w:rPr>
                <w:rFonts w:ascii="宋体" w:hAnsi="宋体" w:cs="宋体" w:eastAsia="宋体" w:hint="default"/>
                <w:spacing w:val="-55"/>
                <w:sz w:val="18"/>
                <w:szCs w:val="18"/>
              </w:rPr>
              <w:t> </w:t>
            </w:r>
            <w:r>
              <w:rPr>
                <w:rFonts w:ascii="宋体" w:hAnsi="宋体" w:cs="宋体" w:eastAsia="宋体" w:hint="default"/>
                <w:sz w:val="18"/>
                <w:szCs w:val="18"/>
              </w:rPr>
              <w:t>费</w:t>
            </w:r>
            <w:r>
              <w:rPr>
                <w:rFonts w:ascii="宋体" w:hAnsi="宋体" w:cs="宋体" w:eastAsia="宋体" w:hint="default"/>
                <w:spacing w:val="-55"/>
                <w:sz w:val="18"/>
                <w:szCs w:val="18"/>
              </w:rPr>
              <w:t> </w:t>
            </w:r>
            <w:r>
              <w:rPr>
                <w:rFonts w:ascii="宋体" w:hAnsi="宋体" w:cs="宋体" w:eastAsia="宋体" w:hint="default"/>
                <w:sz w:val="18"/>
                <w:szCs w:val="18"/>
              </w:rPr>
              <w:t>金</w:t>
            </w:r>
            <w:r>
              <w:rPr>
                <w:rFonts w:ascii="宋体" w:hAnsi="宋体" w:cs="宋体" w:eastAsia="宋体" w:hint="default"/>
                <w:spacing w:val="-53"/>
                <w:sz w:val="18"/>
                <w:szCs w:val="18"/>
              </w:rPr>
              <w:t> </w:t>
            </w:r>
            <w:r>
              <w:rPr>
                <w:rFonts w:ascii="宋体" w:hAnsi="宋体" w:cs="宋体" w:eastAsia="宋体" w:hint="default"/>
                <w:sz w:val="18"/>
                <w:szCs w:val="18"/>
              </w:rPr>
              <w:t>融</w:t>
            </w:r>
            <w:r>
              <w:rPr>
                <w:rFonts w:ascii="宋体" w:hAnsi="宋体" w:cs="宋体" w:eastAsia="宋体" w:hint="default"/>
                <w:spacing w:val="-54"/>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pacing w:val="18"/>
                <w:sz w:val="18"/>
                <w:szCs w:val="18"/>
              </w:rPr>
              <w:t>公司</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8" w:lineRule="exact"/>
              <w:ind w:left="318" w:right="0"/>
              <w:jc w:val="left"/>
              <w:rPr>
                <w:rFonts w:ascii="Arial" w:hAnsi="Arial" w:cs="Arial" w:eastAsia="Arial" w:hint="default"/>
                <w:sz w:val="18"/>
                <w:szCs w:val="18"/>
              </w:rPr>
            </w:pPr>
            <w:r>
              <w:rPr>
                <w:rFonts w:ascii="Arial" w:hAnsi="Arial" w:cs="Arial" w:eastAsia="Arial" w:hint="default"/>
                <w:sz w:val="18"/>
                <w:szCs w:val="18"/>
              </w:rPr>
              <w:t>(i)</w:t>
            </w:r>
            <w:r>
              <w:rPr>
                <w:rFonts w:ascii="Arial" w:hAnsi="Arial" w:cs="Arial" w:eastAsia="Arial" w:hint="default"/>
                <w:sz w:val="18"/>
                <w:szCs w:val="18"/>
              </w:rPr>
              <w:t>(“</w:t>
            </w:r>
            <w:r>
              <w:rPr>
                <w:rFonts w:ascii="宋体" w:hAnsi="宋体" w:cs="宋体" w:eastAsia="宋体" w:hint="default"/>
                <w:sz w:val="18"/>
                <w:szCs w:val="18"/>
              </w:rPr>
              <w:t>苏宁消费金融</w:t>
            </w:r>
            <w:r>
              <w:rPr>
                <w:rFonts w:ascii="Arial" w:hAnsi="Arial" w:cs="Arial" w:eastAsia="Arial" w:hint="default"/>
                <w:sz w:val="18"/>
                <w:szCs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w:hAnsi="Arial" w:cs="Arial" w:eastAsia="Arial" w:hint="default"/>
                <w:sz w:val="18"/>
                <w:szCs w:val="18"/>
              </w:rPr>
            </w:pPr>
            <w:r>
              <w:rPr>
                <w:rFonts w:ascii="Arial"/>
                <w:w w:val="99"/>
                <w:sz w:val="18"/>
              </w:rPr>
              <w:t>-</w:t>
            </w:r>
            <w:r>
              <w:rPr>
                <w:rFonts w:ascii="Arial"/>
                <w:sz w:val="18"/>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55" w:right="0"/>
              <w:jc w:val="left"/>
              <w:rPr>
                <w:rFonts w:ascii="Arial" w:hAnsi="Arial" w:cs="Arial" w:eastAsia="Arial" w:hint="default"/>
                <w:sz w:val="18"/>
                <w:szCs w:val="18"/>
              </w:rPr>
            </w:pPr>
            <w:r>
              <w:rPr>
                <w:rFonts w:ascii="Arial"/>
                <w:sz w:val="18"/>
              </w:rPr>
              <w:t>147,000</w:t>
            </w: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2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Arial" w:hAnsi="Arial" w:cs="Arial" w:eastAsia="Arial" w:hint="default"/>
                <w:sz w:val="18"/>
                <w:szCs w:val="18"/>
              </w:rPr>
            </w:pPr>
            <w:r>
              <w:rPr>
                <w:rFonts w:ascii="Arial"/>
                <w:spacing w:val="-1"/>
                <w:sz w:val="18"/>
              </w:rPr>
              <w:t>(30,227)</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49"/>
              <w:jc w:val="right"/>
              <w:rPr>
                <w:rFonts w:ascii="Arial" w:hAnsi="Arial" w:cs="Arial" w:eastAsia="Arial" w:hint="default"/>
                <w:sz w:val="18"/>
                <w:szCs w:val="18"/>
              </w:rPr>
            </w:pPr>
            <w:r>
              <w:rPr>
                <w:rFonts w:ascii="Arial"/>
                <w:w w:val="99"/>
                <w:sz w:val="18"/>
              </w:rPr>
              <w:t>-</w:t>
            </w:r>
            <w:r>
              <w:rPr>
                <w:rFonts w:ascii="Arial"/>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536" w:right="0"/>
              <w:jc w:val="center"/>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66"/>
              <w:jc w:val="right"/>
              <w:rPr>
                <w:rFonts w:ascii="Arial" w:hAnsi="Arial" w:cs="Arial" w:eastAsia="Arial" w:hint="default"/>
                <w:sz w:val="18"/>
                <w:szCs w:val="18"/>
              </w:rPr>
            </w:pPr>
            <w:r>
              <w:rPr>
                <w:rFonts w:ascii="Arial"/>
                <w:w w:val="99"/>
                <w:sz w:val="18"/>
              </w:rPr>
              <w:t>-</w:t>
            </w:r>
            <w:r>
              <w:rPr>
                <w:rFonts w:ascii="Arial"/>
                <w:sz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spacing w:val="-3"/>
                <w:sz w:val="18"/>
              </w:rPr>
              <w:t>116,773</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488" w:hRule="exact"/>
        </w:trPr>
        <w:tc>
          <w:tcPr>
            <w:tcW w:w="746"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Style w:val="TableParagraph"/>
              <w:spacing w:line="201" w:lineRule="exact"/>
              <w:ind w:left="119" w:right="0"/>
              <w:jc w:val="left"/>
              <w:rPr>
                <w:rFonts w:ascii="宋体" w:hAnsi="宋体" w:cs="宋体" w:eastAsia="宋体" w:hint="default"/>
                <w:sz w:val="18"/>
                <w:szCs w:val="18"/>
              </w:rPr>
            </w:pPr>
            <w:r>
              <w:rPr>
                <w:rFonts w:ascii="宋体" w:hAnsi="宋体" w:cs="宋体" w:eastAsia="宋体" w:hint="default"/>
                <w:spacing w:val="15"/>
                <w:sz w:val="18"/>
                <w:szCs w:val="18"/>
              </w:rPr>
              <w:t>锤子科技</w:t>
            </w:r>
            <w:r>
              <w:rPr>
                <w:rFonts w:ascii="Arial" w:hAnsi="Arial" w:cs="Arial" w:eastAsia="Arial" w:hint="default"/>
                <w:spacing w:val="15"/>
                <w:sz w:val="18"/>
                <w:szCs w:val="18"/>
              </w:rPr>
              <w:t>(</w:t>
            </w:r>
            <w:r>
              <w:rPr>
                <w:rFonts w:ascii="Arial" w:hAnsi="Arial" w:cs="Arial" w:eastAsia="Arial" w:hint="default"/>
                <w:spacing w:val="-30"/>
                <w:sz w:val="18"/>
                <w:szCs w:val="18"/>
              </w:rPr>
              <w:t> </w:t>
            </w:r>
            <w:r>
              <w:rPr>
                <w:rFonts w:ascii="宋体" w:hAnsi="宋体" w:cs="宋体" w:eastAsia="宋体" w:hint="default"/>
                <w:spacing w:val="12"/>
                <w:sz w:val="18"/>
                <w:szCs w:val="18"/>
              </w:rPr>
              <w:t>北京</w:t>
            </w:r>
            <w:r>
              <w:rPr>
                <w:rFonts w:ascii="Arial" w:hAnsi="Arial" w:cs="Arial" w:eastAsia="Arial" w:hint="default"/>
                <w:spacing w:val="12"/>
                <w:sz w:val="18"/>
                <w:szCs w:val="18"/>
              </w:rPr>
              <w:t>)</w:t>
            </w:r>
            <w:r>
              <w:rPr>
                <w:rFonts w:ascii="Arial" w:hAnsi="Arial" w:cs="Arial" w:eastAsia="Arial" w:hint="default"/>
                <w:spacing w:val="-30"/>
                <w:sz w:val="18"/>
                <w:szCs w:val="18"/>
              </w:rPr>
              <w:t> </w:t>
            </w:r>
            <w:r>
              <w:rPr>
                <w:rFonts w:ascii="宋体" w:hAnsi="宋体" w:cs="宋体" w:eastAsia="宋体" w:hint="default"/>
                <w:spacing w:val="13"/>
                <w:sz w:val="18"/>
                <w:szCs w:val="18"/>
              </w:rPr>
              <w:t>有限公司</w:t>
            </w:r>
          </w:p>
          <w:p>
            <w:pPr>
              <w:pStyle w:val="TableParagraph"/>
              <w:spacing w:line="241" w:lineRule="exact"/>
              <w:ind w:left="318" w:right="0"/>
              <w:jc w:val="left"/>
              <w:rPr>
                <w:rFonts w:ascii="Arial" w:hAnsi="Arial" w:cs="Arial" w:eastAsia="Arial" w:hint="default"/>
                <w:sz w:val="18"/>
                <w:szCs w:val="18"/>
              </w:rPr>
            </w:pPr>
            <w:r>
              <w:rPr>
                <w:rFonts w:ascii="Arial" w:hAnsi="Arial" w:cs="Arial" w:eastAsia="Arial" w:hint="default"/>
                <w:sz w:val="18"/>
                <w:szCs w:val="18"/>
              </w:rPr>
              <w:t>(ii)(</w:t>
            </w:r>
            <w:r>
              <w:rPr>
                <w:rFonts w:ascii="Arial" w:hAnsi="Arial" w:cs="Arial" w:eastAsia="Arial" w:hint="default"/>
                <w:sz w:val="18"/>
                <w:szCs w:val="18"/>
              </w:rPr>
              <w:t>“</w:t>
            </w:r>
            <w:r>
              <w:rPr>
                <w:rFonts w:ascii="宋体" w:hAnsi="宋体" w:cs="宋体" w:eastAsia="宋体" w:hint="default"/>
                <w:sz w:val="18"/>
                <w:szCs w:val="18"/>
              </w:rPr>
              <w:t>锤子科技</w:t>
            </w:r>
            <w:r>
              <w:rPr>
                <w:rFonts w:ascii="Arial" w:hAnsi="Arial" w:cs="Arial" w:eastAsia="Arial" w:hint="default"/>
                <w:sz w:val="18"/>
                <w:szCs w:val="18"/>
              </w:rPr>
              <w:t>”</w:t>
            </w:r>
            <w:r>
              <w:rPr>
                <w:rFonts w:ascii="Arial" w:hAnsi="Arial" w:cs="Arial" w:eastAsia="Arial" w:hint="default"/>
                <w:sz w:val="18"/>
                <w:szCs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w w:val="99"/>
                <w:sz w:val="18"/>
              </w:rPr>
              <w:t>-</w:t>
            </w:r>
            <w:r>
              <w:rPr>
                <w:rFonts w:ascii="Arial"/>
                <w:sz w:val="18"/>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1"/>
              <w:jc w:val="right"/>
              <w:rPr>
                <w:rFonts w:ascii="Arial" w:hAnsi="Arial" w:cs="Arial" w:eastAsia="Arial" w:hint="default"/>
                <w:sz w:val="18"/>
                <w:szCs w:val="18"/>
              </w:rPr>
            </w:pPr>
            <w:r>
              <w:rPr>
                <w:rFonts w:ascii="Arial"/>
                <w:spacing w:val="-1"/>
                <w:sz w:val="18"/>
              </w:rPr>
              <w:t>50,000</w:t>
            </w: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9"/>
              <w:jc w:val="right"/>
              <w:rPr>
                <w:rFonts w:ascii="Arial" w:hAnsi="Arial" w:cs="Arial" w:eastAsia="Arial" w:hint="default"/>
                <w:sz w:val="18"/>
                <w:szCs w:val="18"/>
              </w:rPr>
            </w:pPr>
            <w:r>
              <w:rPr>
                <w:rFonts w:ascii="Arial"/>
                <w:spacing w:val="-1"/>
                <w:sz w:val="18"/>
              </w:rPr>
              <w:t>(4,672)</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49"/>
              <w:jc w:val="right"/>
              <w:rPr>
                <w:rFonts w:ascii="Arial" w:hAnsi="Arial" w:cs="Arial" w:eastAsia="Arial" w:hint="default"/>
                <w:sz w:val="18"/>
                <w:szCs w:val="18"/>
              </w:rPr>
            </w:pPr>
            <w:r>
              <w:rPr>
                <w:rFonts w:ascii="Arial"/>
                <w:w w:val="99"/>
                <w:sz w:val="18"/>
              </w:rPr>
              <w:t>-</w:t>
            </w:r>
            <w:r>
              <w:rPr>
                <w:rFonts w:ascii="Arial"/>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36" w:right="0"/>
              <w:jc w:val="center"/>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6"/>
              <w:jc w:val="right"/>
              <w:rPr>
                <w:rFonts w:ascii="Arial" w:hAnsi="Arial" w:cs="Arial" w:eastAsia="Arial" w:hint="default"/>
                <w:sz w:val="18"/>
                <w:szCs w:val="18"/>
              </w:rPr>
            </w:pPr>
            <w:r>
              <w:rPr>
                <w:rFonts w:ascii="Arial"/>
                <w:w w:val="99"/>
                <w:sz w:val="18"/>
              </w:rPr>
              <w:t>-</w:t>
            </w:r>
            <w:r>
              <w:rPr>
                <w:rFonts w:ascii="Arial"/>
                <w:sz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spacing w:val="-1"/>
                <w:sz w:val="18"/>
              </w:rPr>
              <w:t>45,328</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253" w:hRule="exact"/>
        </w:trPr>
        <w:tc>
          <w:tcPr>
            <w:tcW w:w="746"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Style w:val="TableParagraph"/>
              <w:spacing w:line="230" w:lineRule="exact"/>
              <w:ind w:left="119" w:right="0"/>
              <w:jc w:val="left"/>
              <w:rPr>
                <w:rFonts w:ascii="Arial" w:hAnsi="Arial" w:cs="Arial" w:eastAsia="Arial" w:hint="default"/>
                <w:sz w:val="18"/>
                <w:szCs w:val="18"/>
              </w:rPr>
            </w:pPr>
            <w:r>
              <w:rPr>
                <w:rFonts w:ascii="宋体" w:hAnsi="宋体" w:cs="宋体" w:eastAsia="宋体" w:hint="default"/>
                <w:sz w:val="18"/>
                <w:szCs w:val="18"/>
              </w:rPr>
              <w:t>丸悦香港有限公司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丸悦</w:t>
            </w:r>
            <w:r>
              <w:rPr>
                <w:rFonts w:ascii="Arial" w:hAnsi="Arial" w:cs="Arial" w:eastAsia="Arial" w:hint="default"/>
                <w:sz w:val="18"/>
                <w:szCs w:val="18"/>
              </w:rPr>
              <w:t>”</w:t>
            </w:r>
            <w:r>
              <w:rPr>
                <w:rFonts w:ascii="Arial" w:hAnsi="Arial" w:cs="Arial" w:eastAsia="Arial" w:hint="default"/>
                <w:sz w:val="18"/>
                <w:szCs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3"/>
              <w:jc w:val="right"/>
              <w:rPr>
                <w:rFonts w:ascii="Arial" w:hAnsi="Arial" w:cs="Arial" w:eastAsia="Arial" w:hint="default"/>
                <w:sz w:val="18"/>
                <w:szCs w:val="18"/>
              </w:rPr>
            </w:pPr>
            <w:r>
              <w:rPr>
                <w:rFonts w:ascii="Arial"/>
                <w:spacing w:val="-1"/>
                <w:sz w:val="18"/>
              </w:rPr>
              <w:t>34,071</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(5,035)</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spacing w:val="-1"/>
                <w:sz w:val="18"/>
              </w:rPr>
              <w:t>(932)</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6" w:right="0"/>
              <w:jc w:val="center"/>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9"/>
                <w:sz w:val="18"/>
              </w:rPr>
              <w:t>-</w:t>
            </w:r>
            <w:r>
              <w:rPr>
                <w:rFonts w:ascii="Arial"/>
                <w:sz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28,104</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414" w:hRule="exact"/>
        </w:trPr>
        <w:tc>
          <w:tcPr>
            <w:tcW w:w="746"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ind w:left="318" w:right="33" w:hanging="200"/>
              <w:jc w:val="left"/>
              <w:rPr>
                <w:rFonts w:ascii="Arial" w:hAnsi="Arial" w:cs="Arial" w:eastAsia="Arial" w:hint="default"/>
                <w:sz w:val="18"/>
                <w:szCs w:val="18"/>
              </w:rPr>
            </w:pPr>
            <w:r>
              <w:rPr>
                <w:rFonts w:ascii="Arial" w:hAnsi="Arial" w:cs="Arial" w:eastAsia="Arial" w:hint="default"/>
                <w:sz w:val="18"/>
                <w:szCs w:val="18"/>
              </w:rPr>
              <w:t>Onward J Bridge Co.,</w:t>
            </w:r>
            <w:r>
              <w:rPr>
                <w:rFonts w:ascii="Arial" w:hAnsi="Arial" w:cs="Arial" w:eastAsia="Arial" w:hint="default"/>
                <w:spacing w:val="1"/>
                <w:sz w:val="18"/>
                <w:szCs w:val="18"/>
              </w:rPr>
              <w:t> </w:t>
            </w:r>
            <w:r>
              <w:rPr>
                <w:rFonts w:ascii="Arial" w:hAnsi="Arial" w:cs="Arial" w:eastAsia="Arial" w:hint="default"/>
                <w:sz w:val="18"/>
                <w:szCs w:val="18"/>
              </w:rPr>
              <w:t>Ltd.</w:t>
            </w:r>
            <w:r>
              <w:rPr>
                <w:rFonts w:ascii="Arial" w:hAnsi="Arial" w:cs="Arial" w:eastAsia="Arial" w:hint="default"/>
                <w:w w:val="100"/>
                <w:sz w:val="18"/>
                <w:szCs w:val="18"/>
              </w:rPr>
              <w:t> </w:t>
            </w:r>
            <w:r>
              <w:rPr>
                <w:rFonts w:ascii="Arial" w:hAnsi="Arial" w:cs="Arial" w:eastAsia="Arial" w:hint="default"/>
                <w:sz w:val="18"/>
                <w:szCs w:val="18"/>
              </w:rPr>
              <w:t>(</w:t>
            </w:r>
            <w:r>
              <w:rPr>
                <w:rFonts w:ascii="Arial" w:hAnsi="Arial" w:cs="Arial" w:eastAsia="Arial" w:hint="default"/>
                <w:sz w:val="18"/>
                <w:szCs w:val="18"/>
              </w:rPr>
              <w:t>“Onward J</w:t>
            </w:r>
            <w:r>
              <w:rPr>
                <w:rFonts w:ascii="Arial" w:hAnsi="Arial" w:cs="Arial" w:eastAsia="Arial" w:hint="default"/>
                <w:spacing w:val="-6"/>
                <w:sz w:val="18"/>
                <w:szCs w:val="18"/>
              </w:rPr>
              <w:t> </w:t>
            </w:r>
            <w:r>
              <w:rPr>
                <w:rFonts w:ascii="Arial" w:hAnsi="Arial" w:cs="Arial" w:eastAsia="Arial" w:hint="default"/>
                <w:sz w:val="18"/>
                <w:szCs w:val="18"/>
              </w:rPr>
              <w:t>Bridge”</w:t>
            </w:r>
            <w:r>
              <w:rPr>
                <w:rFonts w:ascii="Arial" w:hAnsi="Arial" w:cs="Arial" w:eastAsia="Arial" w:hint="default"/>
                <w:sz w:val="18"/>
                <w:szCs w:val="18"/>
              </w:rPr>
              <w:t>)(iii)</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w:hAnsi="Arial" w:cs="Arial" w:eastAsia="Arial" w:hint="default"/>
                <w:sz w:val="18"/>
                <w:szCs w:val="18"/>
              </w:rPr>
            </w:pPr>
            <w:r>
              <w:rPr>
                <w:rFonts w:ascii="Arial"/>
                <w:w w:val="99"/>
                <w:sz w:val="18"/>
              </w:rPr>
              <w:t>-</w:t>
            </w:r>
            <w:r>
              <w:rPr>
                <w:rFonts w:ascii="Arial"/>
                <w:sz w:val="18"/>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Arial" w:hAnsi="Arial" w:cs="Arial" w:eastAsia="Arial" w:hint="default"/>
                <w:sz w:val="18"/>
                <w:szCs w:val="18"/>
              </w:rPr>
            </w:pPr>
            <w:r>
              <w:rPr>
                <w:rFonts w:ascii="Arial"/>
                <w:spacing w:val="-1"/>
                <w:sz w:val="18"/>
              </w:rPr>
              <w:t>10,560</w:t>
            </w: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9"/>
              <w:jc w:val="right"/>
              <w:rPr>
                <w:rFonts w:ascii="Arial" w:hAnsi="Arial" w:cs="Arial" w:eastAsia="Arial" w:hint="default"/>
                <w:sz w:val="18"/>
                <w:szCs w:val="18"/>
              </w:rPr>
            </w:pPr>
            <w:r>
              <w:rPr>
                <w:rFonts w:ascii="Arial"/>
                <w:spacing w:val="-1"/>
                <w:sz w:val="18"/>
              </w:rPr>
              <w:t>(1,216)</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49"/>
              <w:jc w:val="right"/>
              <w:rPr>
                <w:rFonts w:ascii="Arial" w:hAnsi="Arial" w:cs="Arial" w:eastAsia="Arial" w:hint="default"/>
                <w:sz w:val="18"/>
                <w:szCs w:val="18"/>
              </w:rPr>
            </w:pPr>
            <w:r>
              <w:rPr>
                <w:rFonts w:ascii="Arial"/>
                <w:w w:val="99"/>
                <w:sz w:val="18"/>
              </w:rPr>
              <w:t>-</w:t>
            </w:r>
            <w:r>
              <w:rPr>
                <w:rFonts w:ascii="Arial"/>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36" w:right="0"/>
              <w:jc w:val="center"/>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66"/>
              <w:jc w:val="right"/>
              <w:rPr>
                <w:rFonts w:ascii="Arial" w:hAnsi="Arial" w:cs="Arial" w:eastAsia="Arial" w:hint="default"/>
                <w:sz w:val="18"/>
                <w:szCs w:val="18"/>
              </w:rPr>
            </w:pPr>
            <w:r>
              <w:rPr>
                <w:rFonts w:ascii="Arial"/>
                <w:w w:val="99"/>
                <w:sz w:val="18"/>
              </w:rPr>
              <w:t>-</w:t>
            </w:r>
            <w:r>
              <w:rPr>
                <w:rFonts w:ascii="Arial"/>
                <w:sz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1"/>
                <w:sz w:val="18"/>
              </w:rPr>
              <w:t>9,344</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449" w:hRule="exact"/>
        </w:trPr>
        <w:tc>
          <w:tcPr>
            <w:tcW w:w="746"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Style w:val="TableParagraph"/>
              <w:tabs>
                <w:tab w:pos="860" w:val="left" w:leader="none"/>
                <w:tab w:pos="1403" w:val="left" w:leader="none"/>
                <w:tab w:pos="1945" w:val="left" w:leader="none"/>
              </w:tabs>
              <w:spacing w:line="240" w:lineRule="auto"/>
              <w:ind w:left="318" w:right="33" w:hanging="200"/>
              <w:jc w:val="left"/>
              <w:rPr>
                <w:rFonts w:ascii="Arial" w:hAnsi="Arial" w:cs="Arial" w:eastAsia="Arial" w:hint="default"/>
                <w:sz w:val="18"/>
                <w:szCs w:val="18"/>
              </w:rPr>
            </w:pPr>
            <w:r>
              <w:rPr>
                <w:rFonts w:ascii="Arial" w:hAnsi="Arial" w:cs="Arial" w:eastAsia="Arial" w:hint="default"/>
                <w:spacing w:val="-1"/>
                <w:sz w:val="18"/>
                <w:szCs w:val="18"/>
              </w:rPr>
              <w:t>Hearts</w:t>
              <w:tab/>
            </w:r>
            <w:r>
              <w:rPr>
                <w:rFonts w:ascii="Arial" w:hAnsi="Arial" w:cs="Arial" w:eastAsia="Arial" w:hint="default"/>
                <w:w w:val="95"/>
                <w:sz w:val="18"/>
                <w:szCs w:val="18"/>
              </w:rPr>
              <w:t>Hire</w:t>
              <w:tab/>
            </w:r>
            <w:r>
              <w:rPr>
                <w:rFonts w:ascii="Arial" w:hAnsi="Arial" w:cs="Arial" w:eastAsia="Arial" w:hint="default"/>
                <w:spacing w:val="-1"/>
                <w:sz w:val="18"/>
                <w:szCs w:val="18"/>
              </w:rPr>
              <w:t>Co.,</w:t>
              <w:tab/>
              <w:t>Ltd.</w:t>
            </w:r>
            <w:r>
              <w:rPr>
                <w:rFonts w:ascii="Arial" w:hAnsi="Arial" w:cs="Arial" w:eastAsia="Arial" w:hint="default"/>
                <w:spacing w:val="-47"/>
                <w:sz w:val="18"/>
                <w:szCs w:val="18"/>
              </w:rPr>
              <w:t> </w:t>
            </w:r>
            <w:r>
              <w:rPr>
                <w:rFonts w:ascii="Arial" w:hAnsi="Arial" w:cs="Arial" w:eastAsia="Arial" w:hint="default"/>
                <w:spacing w:val="-47"/>
                <w:sz w:val="18"/>
                <w:szCs w:val="18"/>
              </w:rPr>
            </w:r>
            <w:r>
              <w:rPr>
                <w:rFonts w:ascii="Arial" w:hAnsi="Arial" w:cs="Arial" w:eastAsia="Arial" w:hint="default"/>
                <w:sz w:val="18"/>
                <w:szCs w:val="18"/>
              </w:rPr>
              <w:t>(“Hearts Hire”</w:t>
            </w:r>
            <w:r>
              <w:rPr>
                <w:rFonts w:ascii="Arial" w:hAnsi="Arial" w:cs="Arial" w:eastAsia="Arial" w:hint="default"/>
                <w:sz w:val="18"/>
                <w:szCs w:val="18"/>
              </w:rPr>
              <w:t>)</w:t>
            </w:r>
            <w:r>
              <w:rPr>
                <w:rFonts w:ascii="Arial" w:hAnsi="Arial" w:cs="Arial" w:eastAsia="Arial" w:hint="default"/>
                <w:spacing w:val="-2"/>
                <w:sz w:val="18"/>
                <w:szCs w:val="18"/>
              </w:rPr>
              <w:t> </w:t>
            </w:r>
            <w:r>
              <w:rPr>
                <w:rFonts w:ascii="Arial" w:hAnsi="Arial" w:cs="Arial" w:eastAsia="Arial" w:hint="default"/>
                <w:sz w:val="18"/>
                <w:szCs w:val="18"/>
              </w:rPr>
              <w:t>(iv)</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w:hAnsi="Arial" w:cs="Arial" w:eastAsia="Arial" w:hint="default"/>
                <w:sz w:val="18"/>
                <w:szCs w:val="18"/>
              </w:rPr>
            </w:pPr>
            <w:r>
              <w:rPr>
                <w:rFonts w:ascii="Arial"/>
                <w:w w:val="99"/>
                <w:sz w:val="18"/>
              </w:rPr>
              <w:t>-</w:t>
            </w:r>
            <w:r>
              <w:rPr>
                <w:rFonts w:ascii="Arial"/>
                <w:sz w:val="18"/>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53"/>
              <w:jc w:val="right"/>
              <w:rPr>
                <w:rFonts w:ascii="Arial" w:hAnsi="Arial" w:cs="Arial" w:eastAsia="Arial" w:hint="default"/>
                <w:sz w:val="18"/>
                <w:szCs w:val="18"/>
              </w:rPr>
            </w:pPr>
            <w:r>
              <w:rPr>
                <w:rFonts w:ascii="Arial"/>
                <w:spacing w:val="-1"/>
                <w:w w:val="95"/>
                <w:sz w:val="18"/>
              </w:rPr>
              <w:t>574</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2"/>
              <w:jc w:val="right"/>
              <w:rPr>
                <w:rFonts w:ascii="Arial" w:hAnsi="Arial" w:cs="Arial" w:eastAsia="Arial" w:hint="default"/>
                <w:sz w:val="18"/>
                <w:szCs w:val="18"/>
              </w:rPr>
            </w:pPr>
            <w:r>
              <w:rPr>
                <w:rFonts w:ascii="Arial"/>
                <w:spacing w:val="-1"/>
                <w:sz w:val="18"/>
              </w:rPr>
              <w:t>(94)</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9"/>
              <w:jc w:val="right"/>
              <w:rPr>
                <w:rFonts w:ascii="Arial" w:hAnsi="Arial" w:cs="Arial" w:eastAsia="Arial" w:hint="default"/>
                <w:sz w:val="18"/>
                <w:szCs w:val="18"/>
              </w:rPr>
            </w:pPr>
            <w:r>
              <w:rPr>
                <w:rFonts w:ascii="Arial"/>
                <w:spacing w:val="-1"/>
                <w:sz w:val="18"/>
              </w:rPr>
              <w:t>(62)</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49"/>
              <w:jc w:val="right"/>
              <w:rPr>
                <w:rFonts w:ascii="Arial" w:hAnsi="Arial" w:cs="Arial" w:eastAsia="Arial" w:hint="default"/>
                <w:sz w:val="18"/>
                <w:szCs w:val="18"/>
              </w:rPr>
            </w:pPr>
            <w:r>
              <w:rPr>
                <w:rFonts w:ascii="Arial"/>
                <w:w w:val="99"/>
                <w:sz w:val="18"/>
              </w:rPr>
              <w:t>-</w:t>
            </w:r>
            <w:r>
              <w:rPr>
                <w:rFonts w:ascii="Arial"/>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36" w:right="0"/>
              <w:jc w:val="center"/>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66"/>
              <w:jc w:val="right"/>
              <w:rPr>
                <w:rFonts w:ascii="Arial" w:hAnsi="Arial" w:cs="Arial" w:eastAsia="Arial" w:hint="default"/>
                <w:sz w:val="18"/>
                <w:szCs w:val="18"/>
              </w:rPr>
            </w:pPr>
            <w:r>
              <w:rPr>
                <w:rFonts w:ascii="Arial"/>
                <w:w w:val="99"/>
                <w:sz w:val="18"/>
              </w:rPr>
              <w:t>-</w:t>
            </w:r>
            <w:r>
              <w:rPr>
                <w:rFonts w:ascii="Arial"/>
                <w:sz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Arial" w:hAnsi="Arial" w:cs="Arial" w:eastAsia="Arial" w:hint="default"/>
                <w:sz w:val="18"/>
                <w:szCs w:val="18"/>
              </w:rPr>
            </w:pPr>
            <w:r>
              <w:rPr>
                <w:rFonts w:ascii="Arial"/>
                <w:spacing w:val="-1"/>
                <w:w w:val="95"/>
                <w:sz w:val="18"/>
              </w:rPr>
              <w:t>418</w:t>
            </w:r>
            <w:r>
              <w:rPr>
                <w:rFonts w:ascii="Arial"/>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281" w:hRule="exact"/>
        </w:trPr>
        <w:tc>
          <w:tcPr>
            <w:tcW w:w="746"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9" w:right="0"/>
              <w:jc w:val="left"/>
              <w:rPr>
                <w:rFonts w:ascii="Arial" w:hAnsi="Arial" w:cs="Arial" w:eastAsia="Arial" w:hint="default"/>
                <w:sz w:val="18"/>
                <w:szCs w:val="18"/>
              </w:rPr>
            </w:pPr>
            <w:r>
              <w:rPr>
                <w:rFonts w:ascii="Arial"/>
                <w:sz w:val="18"/>
              </w:rPr>
              <w:t>PPTV(v)</w:t>
            </w:r>
          </w:p>
        </w:tc>
        <w:tc>
          <w:tcPr>
            <w:tcW w:w="1274"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25"/>
              <w:ind w:left="-7" w:right="10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1,312,782</w:t>
            </w:r>
            <w:r>
              <w:rPr>
                <w:rFonts w:ascii="Arial"/>
                <w:spacing w:val="-1"/>
                <w:sz w:val="18"/>
              </w:rPr>
            </w:r>
          </w:p>
        </w:tc>
        <w:tc>
          <w:tcPr>
            <w:tcW w:w="1058" w:type="dxa"/>
            <w:tcBorders>
              <w:top w:val="nil" w:sz="6" w:space="0" w:color="auto"/>
              <w:left w:val="nil" w:sz="6" w:space="0" w:color="auto"/>
              <w:bottom w:val="nil" w:sz="6" w:space="0" w:color="auto"/>
              <w:right w:val="nil" w:sz="6" w:space="0" w:color="auto"/>
            </w:tcBorders>
          </w:tcPr>
          <w:p>
            <w:pPr>
              <w:pStyle w:val="TableParagraph"/>
              <w:tabs>
                <w:tab w:pos="944" w:val="left" w:leader="none"/>
                <w:tab w:pos="1058" w:val="left" w:leader="none"/>
              </w:tabs>
              <w:spacing w:line="240" w:lineRule="auto" w:before="2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3"/>
                <w:sz w:val="18"/>
                <w:u w:val="single" w:color="000000"/>
              </w:rPr>
              <w:t> </w:t>
            </w:r>
            <w:r>
              <w:rPr>
                <w:rFonts w:ascii="Arial"/>
                <w:spacing w:val="-1"/>
                <w:sz w:val="18"/>
                <w:u w:val="single" w:color="000000"/>
              </w:rPr>
              <w:t>(1,312,782)</w:t>
            </w:r>
            <w:r>
              <w:rPr>
                <w:rFonts w:ascii="Arial"/>
                <w:spacing w:val="-1"/>
                <w:sz w:val="18"/>
              </w:rPr>
            </w:r>
          </w:p>
        </w:tc>
        <w:tc>
          <w:tcPr>
            <w:tcW w:w="1134" w:type="dxa"/>
            <w:tcBorders>
              <w:top w:val="nil" w:sz="6" w:space="0" w:color="auto"/>
              <w:left w:val="nil" w:sz="6" w:space="0" w:color="auto"/>
              <w:bottom w:val="nil" w:sz="6" w:space="0" w:color="auto"/>
              <w:right w:val="nil" w:sz="6" w:space="0" w:color="auto"/>
            </w:tcBorders>
          </w:tcPr>
          <w:p>
            <w:pPr>
              <w:pStyle w:val="TableParagraph"/>
              <w:tabs>
                <w:tab w:pos="963" w:val="left" w:leader="none"/>
              </w:tabs>
              <w:spacing w:line="240" w:lineRule="auto" w:before="25"/>
              <w:ind w:left="-13" w:right="10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2" w:type="dxa"/>
            <w:tcBorders>
              <w:top w:val="nil" w:sz="6" w:space="0" w:color="auto"/>
              <w:left w:val="nil" w:sz="6" w:space="0" w:color="auto"/>
              <w:bottom w:val="nil" w:sz="6" w:space="0" w:color="auto"/>
              <w:right w:val="nil" w:sz="6" w:space="0" w:color="auto"/>
            </w:tcBorders>
          </w:tcPr>
          <w:p>
            <w:pPr>
              <w:pStyle w:val="TableParagraph"/>
              <w:tabs>
                <w:tab w:pos="947" w:val="left" w:leader="none"/>
              </w:tabs>
              <w:spacing w:line="240" w:lineRule="auto" w:before="25"/>
              <w:ind w:right="1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689" w:type="dxa"/>
            <w:tcBorders>
              <w:top w:val="nil" w:sz="6" w:space="0" w:color="auto"/>
              <w:left w:val="nil" w:sz="6" w:space="0" w:color="auto"/>
              <w:bottom w:val="nil" w:sz="6" w:space="0" w:color="auto"/>
              <w:right w:val="nil" w:sz="6" w:space="0" w:color="auto"/>
            </w:tcBorders>
          </w:tcPr>
          <w:p>
            <w:pPr>
              <w:pStyle w:val="TableParagraph"/>
              <w:tabs>
                <w:tab w:pos="601" w:val="left" w:leader="none"/>
              </w:tabs>
              <w:spacing w:line="240" w:lineRule="auto" w:before="25"/>
              <w:ind w:left="-11"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tabs>
                <w:tab w:pos="1059" w:val="left" w:leader="none"/>
              </w:tabs>
              <w:spacing w:line="240" w:lineRule="auto" w:before="25"/>
              <w:ind w:right="1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46" w:type="dxa"/>
            <w:tcBorders>
              <w:top w:val="nil" w:sz="6" w:space="0" w:color="auto"/>
              <w:left w:val="nil" w:sz="6" w:space="0" w:color="auto"/>
              <w:bottom w:val="nil" w:sz="6" w:space="0" w:color="auto"/>
              <w:right w:val="nil" w:sz="6" w:space="0" w:color="auto"/>
            </w:tcBorders>
          </w:tcPr>
          <w:p>
            <w:pPr>
              <w:pStyle w:val="TableParagraph"/>
              <w:tabs>
                <w:tab w:pos="811" w:val="left" w:leader="none"/>
                <w:tab w:pos="1679" w:val="left" w:leader="none"/>
              </w:tabs>
              <w:spacing w:line="240" w:lineRule="auto" w:before="25"/>
              <w:ind w:left="-40" w:right="-534"/>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 </w:t>
            </w:r>
            <w:r>
              <w:rPr>
                <w:rFonts w:ascii="Arial"/>
                <w:spacing w:val="11"/>
                <w:sz w:val="18"/>
              </w:rPr>
              <w:t> </w:t>
            </w:r>
            <w:r>
              <w:rPr>
                <w:rFonts w:ascii="Arial"/>
                <w:spacing w:val="11"/>
                <w:w w:val="100"/>
                <w:sz w:val="18"/>
              </w:rPr>
            </w:r>
            <w:r>
              <w:rPr>
                <w:rFonts w:ascii="Arial"/>
                <w:w w:val="100"/>
                <w:sz w:val="18"/>
                <w:u w:val="single" w:color="000000"/>
              </w:rPr>
              <w:t> </w:t>
            </w:r>
            <w:r>
              <w:rPr>
                <w:rFonts w:ascii="Arial"/>
                <w:sz w:val="18"/>
                <w:u w:val="single" w:color="000000"/>
              </w:rPr>
              <w:tab/>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tabs>
                <w:tab w:pos="128" w:val="left" w:leader="none"/>
              </w:tabs>
              <w:spacing w:line="240" w:lineRule="auto" w:before="25"/>
              <w:ind w:right="0"/>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1205" w:type="dxa"/>
            <w:tcBorders>
              <w:top w:val="nil" w:sz="6" w:space="0" w:color="auto"/>
              <w:left w:val="nil" w:sz="6" w:space="0" w:color="auto"/>
              <w:bottom w:val="nil" w:sz="6" w:space="0" w:color="auto"/>
              <w:right w:val="nil" w:sz="6" w:space="0" w:color="auto"/>
            </w:tcBorders>
          </w:tcPr>
          <w:p>
            <w:pPr>
              <w:pStyle w:val="TableParagraph"/>
              <w:tabs>
                <w:tab w:pos="1033" w:val="left" w:leader="none"/>
              </w:tabs>
              <w:spacing w:line="240" w:lineRule="auto" w:before="25"/>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21" w:type="dxa"/>
            <w:tcBorders>
              <w:top w:val="nil" w:sz="6" w:space="0" w:color="auto"/>
              <w:left w:val="nil" w:sz="6" w:space="0" w:color="auto"/>
              <w:bottom w:val="nil" w:sz="6" w:space="0" w:color="auto"/>
              <w:right w:val="nil" w:sz="6" w:space="0" w:color="auto"/>
            </w:tcBorders>
          </w:tcPr>
          <w:p>
            <w:pPr>
              <w:pStyle w:val="TableParagraph"/>
              <w:tabs>
                <w:tab w:pos="1045" w:val="left" w:leader="none"/>
                <w:tab w:pos="1220" w:val="left" w:leader="none"/>
              </w:tabs>
              <w:spacing w:line="240" w:lineRule="auto" w:before="25"/>
              <w:ind w:right="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54" w:hRule="exact"/>
        </w:trPr>
        <w:tc>
          <w:tcPr>
            <w:tcW w:w="746" w:type="dxa"/>
            <w:tcBorders>
              <w:top w:val="nil" w:sz="6" w:space="0" w:color="auto"/>
              <w:left w:val="nil" w:sz="6" w:space="0" w:color="auto"/>
              <w:bottom w:val="nil" w:sz="6" w:space="0" w:color="auto"/>
              <w:right w:val="nil" w:sz="6" w:space="0" w:color="auto"/>
            </w:tcBorders>
          </w:tcPr>
          <w:p>
            <w:pPr/>
          </w:p>
        </w:tc>
        <w:tc>
          <w:tcPr>
            <w:tcW w:w="35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02"/>
              <w:jc w:val="right"/>
              <w:rPr>
                <w:rFonts w:ascii="Arial" w:hAnsi="Arial" w:cs="Arial" w:eastAsia="Arial" w:hint="default"/>
                <w:sz w:val="18"/>
                <w:szCs w:val="18"/>
              </w:rPr>
            </w:pPr>
            <w:r>
              <w:rPr>
                <w:rFonts w:ascii="Arial"/>
                <w:spacing w:val="-1"/>
                <w:sz w:val="18"/>
              </w:rPr>
              <w:t>1,346,853</w:t>
            </w:r>
          </w:p>
        </w:tc>
        <w:tc>
          <w:tcPr>
            <w:tcW w:w="105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353" w:right="0"/>
              <w:jc w:val="left"/>
              <w:rPr>
                <w:rFonts w:ascii="Arial" w:hAnsi="Arial" w:cs="Arial" w:eastAsia="Arial" w:hint="default"/>
                <w:sz w:val="18"/>
                <w:szCs w:val="18"/>
              </w:rPr>
            </w:pPr>
            <w:r>
              <w:rPr>
                <w:rFonts w:ascii="Arial"/>
                <w:sz w:val="18"/>
              </w:rPr>
              <w:t>208,134</w:t>
            </w:r>
          </w:p>
        </w:tc>
        <w:tc>
          <w:tcPr>
            <w:tcW w:w="14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22"/>
              <w:jc w:val="right"/>
              <w:rPr>
                <w:rFonts w:ascii="Arial" w:hAnsi="Arial" w:cs="Arial" w:eastAsia="Arial" w:hint="default"/>
                <w:sz w:val="18"/>
                <w:szCs w:val="18"/>
              </w:rPr>
            </w:pPr>
            <w:r>
              <w:rPr>
                <w:rFonts w:ascii="Arial"/>
                <w:spacing w:val="-1"/>
                <w:sz w:val="18"/>
              </w:rPr>
              <w:t>(1,312,876)</w:t>
            </w: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9"/>
              <w:jc w:val="right"/>
              <w:rPr>
                <w:rFonts w:ascii="Arial" w:hAnsi="Arial" w:cs="Arial" w:eastAsia="Arial" w:hint="default"/>
                <w:sz w:val="18"/>
                <w:szCs w:val="18"/>
              </w:rPr>
            </w:pPr>
            <w:r>
              <w:rPr>
                <w:rFonts w:ascii="Arial"/>
                <w:spacing w:val="-1"/>
                <w:sz w:val="18"/>
              </w:rPr>
              <w:t>(41,212)</w:t>
            </w:r>
          </w:p>
        </w:tc>
        <w:tc>
          <w:tcPr>
            <w:tcW w:w="113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20"/>
              <w:jc w:val="right"/>
              <w:rPr>
                <w:rFonts w:ascii="Arial" w:hAnsi="Arial" w:cs="Arial" w:eastAsia="Arial" w:hint="default"/>
                <w:sz w:val="18"/>
                <w:szCs w:val="18"/>
              </w:rPr>
            </w:pPr>
            <w:r>
              <w:rPr>
                <w:rFonts w:ascii="Arial"/>
                <w:spacing w:val="-1"/>
                <w:sz w:val="18"/>
              </w:rPr>
              <w:t>(932)</w:t>
            </w:r>
          </w:p>
        </w:tc>
        <w:tc>
          <w:tcPr>
            <w:tcW w:w="68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5"/>
              <w:jc w:val="right"/>
              <w:rPr>
                <w:rFonts w:ascii="Arial" w:hAnsi="Arial" w:cs="Arial" w:eastAsia="Arial" w:hint="default"/>
                <w:sz w:val="18"/>
                <w:szCs w:val="18"/>
              </w:rPr>
            </w:pPr>
            <w:r>
              <w:rPr>
                <w:rFonts w:ascii="Arial"/>
                <w:w w:val="99"/>
                <w:sz w:val="18"/>
              </w:rPr>
              <w:t>-</w:t>
            </w:r>
            <w:r>
              <w:rPr>
                <w:rFonts w:ascii="Arial"/>
                <w:sz w:val="18"/>
              </w:rPr>
            </w:r>
          </w:p>
        </w:tc>
        <w:tc>
          <w:tcPr>
            <w:tcW w:w="11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49"/>
              <w:jc w:val="right"/>
              <w:rPr>
                <w:rFonts w:ascii="Arial" w:hAnsi="Arial" w:cs="Arial" w:eastAsia="Arial" w:hint="default"/>
                <w:sz w:val="18"/>
                <w:szCs w:val="18"/>
              </w:rPr>
            </w:pPr>
            <w:r>
              <w:rPr>
                <w:rFonts w:ascii="Arial"/>
                <w:w w:val="99"/>
                <w:sz w:val="18"/>
              </w:rPr>
              <w:t>-</w:t>
            </w:r>
            <w:r>
              <w:rPr>
                <w:rFonts w:ascii="Arial"/>
                <w:sz w:val="18"/>
              </w:rPr>
            </w:r>
          </w:p>
        </w:tc>
        <w:tc>
          <w:tcPr>
            <w:tcW w:w="114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536" w:right="0"/>
              <w:jc w:val="center"/>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66"/>
              <w:jc w:val="right"/>
              <w:rPr>
                <w:rFonts w:ascii="Arial" w:hAnsi="Arial" w:cs="Arial" w:eastAsia="Arial" w:hint="default"/>
                <w:sz w:val="18"/>
                <w:szCs w:val="18"/>
              </w:rPr>
            </w:pPr>
            <w:r>
              <w:rPr>
                <w:rFonts w:ascii="Arial"/>
                <w:w w:val="99"/>
                <w:sz w:val="18"/>
              </w:rPr>
              <w:t>-</w:t>
            </w:r>
            <w:r>
              <w:rPr>
                <w:rFonts w:ascii="Arial"/>
                <w:sz w:val="18"/>
              </w:rPr>
            </w:r>
          </w:p>
        </w:tc>
        <w:tc>
          <w:tcPr>
            <w:tcW w:w="120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spacing w:val="-1"/>
                <w:sz w:val="18"/>
              </w:rPr>
              <w:t>199,967</w:t>
            </w:r>
          </w:p>
        </w:tc>
        <w:tc>
          <w:tcPr>
            <w:tcW w:w="132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1165" w:hRule="exact"/>
        </w:trPr>
        <w:tc>
          <w:tcPr>
            <w:tcW w:w="746" w:type="dxa"/>
            <w:tcBorders>
              <w:top w:val="nil" w:sz="6" w:space="0" w:color="auto"/>
              <w:left w:val="nil" w:sz="6" w:space="0" w:color="auto"/>
              <w:bottom w:val="nil" w:sz="6" w:space="0" w:color="auto"/>
              <w:right w:val="nil" w:sz="6" w:space="0" w:color="auto"/>
            </w:tcBorders>
          </w:tcPr>
          <w:p>
            <w:pPr/>
          </w:p>
        </w:tc>
        <w:tc>
          <w:tcPr>
            <w:tcW w:w="14557" w:type="dxa"/>
            <w:gridSpan w:val="1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0" w:lineRule="exact"/>
              <w:ind w:left="119" w:right="-1"/>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9"/>
                <w:sz w:val="24"/>
                <w:szCs w:val="24"/>
              </w:rPr>
              <w:t> </w:t>
            </w: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z w:val="24"/>
                <w:szCs w:val="24"/>
              </w:rPr>
              <w:t>2015</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5</w:t>
            </w:r>
            <w:r>
              <w:rPr>
                <w:rFonts w:ascii="Arial" w:hAnsi="Arial" w:cs="Arial" w:eastAsia="Arial" w:hint="default"/>
                <w:spacing w:val="-4"/>
                <w:sz w:val="24"/>
                <w:szCs w:val="24"/>
              </w:rPr>
              <w:t> </w:t>
            </w:r>
            <w:r>
              <w:rPr>
                <w:rFonts w:ascii="宋体" w:hAnsi="宋体" w:cs="宋体" w:eastAsia="宋体" w:hint="default"/>
                <w:spacing w:val="-4"/>
                <w:sz w:val="24"/>
                <w:szCs w:val="24"/>
              </w:rPr>
              <w:t>月，本集团参与出资设立苏宁消费金融，本集团认缴出资人民币</w:t>
            </w:r>
            <w:r>
              <w:rPr>
                <w:rFonts w:ascii="宋体" w:hAnsi="宋体" w:cs="宋体" w:eastAsia="宋体" w:hint="default"/>
                <w:spacing w:val="-57"/>
                <w:sz w:val="24"/>
                <w:szCs w:val="24"/>
              </w:rPr>
              <w:t> </w:t>
            </w:r>
            <w:r>
              <w:rPr>
                <w:rFonts w:ascii="Arial" w:hAnsi="Arial" w:cs="Arial" w:eastAsia="Arial" w:hint="default"/>
                <w:sz w:val="24"/>
                <w:szCs w:val="24"/>
              </w:rPr>
              <w:t>1.47</w:t>
            </w:r>
            <w:r>
              <w:rPr>
                <w:rFonts w:ascii="Arial" w:hAnsi="Arial" w:cs="Arial" w:eastAsia="Arial" w:hint="default"/>
                <w:spacing w:val="-4"/>
                <w:sz w:val="24"/>
                <w:szCs w:val="24"/>
              </w:rPr>
              <w:t> </w:t>
            </w:r>
            <w:r>
              <w:rPr>
                <w:rFonts w:ascii="宋体" w:hAnsi="宋体" w:cs="宋体" w:eastAsia="宋体" w:hint="default"/>
                <w:spacing w:val="-3"/>
                <w:sz w:val="24"/>
                <w:szCs w:val="24"/>
              </w:rPr>
              <w:t>亿元，占苏宁消费金融注册资本总额的</w:t>
            </w:r>
            <w:r>
              <w:rPr>
                <w:rFonts w:ascii="宋体" w:hAnsi="宋体" w:cs="宋体" w:eastAsia="宋体" w:hint="default"/>
                <w:spacing w:val="-57"/>
                <w:sz w:val="24"/>
                <w:szCs w:val="24"/>
              </w:rPr>
              <w:t> </w:t>
            </w:r>
            <w:r>
              <w:rPr>
                <w:rFonts w:ascii="Arial" w:hAnsi="Arial" w:cs="Arial" w:eastAsia="Arial" w:hint="default"/>
                <w:spacing w:val="-7"/>
                <w:sz w:val="24"/>
                <w:szCs w:val="24"/>
              </w:rPr>
              <w:t>49%</w:t>
            </w:r>
            <w:r>
              <w:rPr>
                <w:rFonts w:ascii="宋体" w:hAnsi="宋体" w:cs="宋体" w:eastAsia="宋体" w:hint="default"/>
                <w:spacing w:val="-7"/>
                <w:sz w:val="24"/>
                <w:szCs w:val="24"/>
              </w:rPr>
              <w:t>。同时，</w:t>
            </w:r>
            <w:r>
              <w:rPr>
                <w:rFonts w:ascii="宋体" w:hAnsi="宋体" w:cs="宋体" w:eastAsia="宋体" w:hint="default"/>
                <w:sz w:val="24"/>
                <w:szCs w:val="24"/>
              </w:rPr>
              <w:t> 本集团在苏宁消费金融五名董事组成的董事会中占有两个董事席位。截至</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日止，本集团已完成全部认缴资本的支付。</w:t>
            </w:r>
          </w:p>
        </w:tc>
      </w:tr>
    </w:tbl>
    <w:p>
      <w:pPr>
        <w:spacing w:after="0" w:line="310" w:lineRule="exact"/>
        <w:jc w:val="left"/>
        <w:rPr>
          <w:rFonts w:ascii="宋体" w:hAnsi="宋体" w:cs="宋体" w:eastAsia="宋体" w:hint="default"/>
          <w:sz w:val="24"/>
          <w:szCs w:val="24"/>
        </w:rPr>
        <w:sectPr>
          <w:pgSz w:w="16840" w:h="11910" w:orient="landscape"/>
          <w:pgMar w:header="1187" w:footer="915" w:top="2280" w:bottom="1100" w:left="1020" w:right="0"/>
        </w:sectPr>
      </w:pPr>
    </w:p>
    <w:p>
      <w:pPr>
        <w:pStyle w:val="Heading3"/>
        <w:spacing w:line="310" w:lineRule="exact" w:before="45"/>
        <w:ind w:left="940" w:right="7567"/>
        <w:jc w:val="left"/>
        <w:rPr>
          <w:rFonts w:ascii="黑体" w:hAnsi="黑体" w:cs="黑体" w:eastAsia="黑体" w:hint="default"/>
        </w:rPr>
      </w:pPr>
      <w:r>
        <w:rPr>
          <w:rFonts w:ascii="黑体" w:hAnsi="黑体" w:cs="黑体" w:eastAsia="黑体" w:hint="default"/>
        </w:rPr>
        <w:t>苏宁云商集团股份有限公司 财务报表附注</w:t>
      </w:r>
    </w:p>
    <w:p>
      <w:pPr>
        <w:pStyle w:val="Heading3"/>
        <w:spacing w:line="295" w:lineRule="exact"/>
        <w:ind w:left="939" w:right="7567"/>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w:t>
      </w:r>
    </w:p>
    <w:p>
      <w:pPr>
        <w:spacing w:line="243" w:lineRule="exact" w:before="0"/>
        <w:ind w:left="939"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957"/>
        <w:gridCol w:w="8913"/>
      </w:tblGrid>
      <w:tr>
        <w:trPr>
          <w:trHeight w:val="41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913" w:type="dxa"/>
            <w:tcBorders>
              <w:top w:val="nil" w:sz="6" w:space="0" w:color="auto"/>
              <w:left w:val="nil" w:sz="6" w:space="0" w:color="auto"/>
              <w:bottom w:val="nil" w:sz="6" w:space="0" w:color="auto"/>
              <w:right w:val="nil" w:sz="6" w:space="0" w:color="auto"/>
            </w:tcBorders>
          </w:tcPr>
          <w:p>
            <w:pPr>
              <w:pStyle w:val="TableParagraph"/>
              <w:spacing w:line="257" w:lineRule="exact"/>
              <w:ind w:left="33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(12)</w:t>
            </w:r>
          </w:p>
        </w:tc>
        <w:tc>
          <w:tcPr>
            <w:tcW w:w="891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30"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891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30" w:right="0"/>
              <w:jc w:val="left"/>
              <w:rPr>
                <w:rFonts w:ascii="Arial" w:hAnsi="Arial" w:cs="Arial" w:eastAsia="Arial" w:hint="default"/>
                <w:sz w:val="24"/>
                <w:szCs w:val="24"/>
              </w:rPr>
            </w:pPr>
            <w:r>
              <w:rPr>
                <w:rFonts w:ascii="宋体" w:hAnsi="宋体" w:cs="宋体" w:eastAsia="宋体" w:hint="default"/>
                <w:sz w:val="24"/>
                <w:szCs w:val="24"/>
              </w:rPr>
              <w:t>联营企业</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515" w:hRule="exact"/>
        </w:trPr>
        <w:tc>
          <w:tcPr>
            <w:tcW w:w="9870" w:type="dxa"/>
            <w:gridSpan w:val="2"/>
            <w:tcBorders>
              <w:top w:val="nil" w:sz="6" w:space="0" w:color="auto"/>
              <w:left w:val="nil" w:sz="6" w:space="0" w:color="auto"/>
              <w:bottom w:val="nil" w:sz="6" w:space="0" w:color="auto"/>
              <w:right w:val="nil" w:sz="6" w:space="0" w:color="auto"/>
            </w:tcBorders>
          </w:tcPr>
          <w:p>
            <w:pPr>
              <w:pStyle w:val="TableParagraph"/>
              <w:spacing w:line="225" w:lineRule="auto" w:before="111"/>
              <w:ind w:left="807" w:right="215"/>
              <w:jc w:val="both"/>
              <w:rPr>
                <w:rFonts w:ascii="宋体" w:hAnsi="宋体" w:cs="宋体" w:eastAsia="宋体" w:hint="default"/>
                <w:sz w:val="24"/>
                <w:szCs w:val="24"/>
              </w:rPr>
            </w:pPr>
            <w:r>
              <w:rPr>
                <w:rFonts w:ascii="Arial" w:hAnsi="Arial" w:cs="Arial" w:eastAsia="Arial" w:hint="default"/>
                <w:w w:val="99"/>
                <w:sz w:val="24"/>
                <w:szCs w:val="24"/>
              </w:rPr>
              <w:t>(ii)</w:t>
            </w:r>
            <w:r>
              <w:rPr>
                <w:rFonts w:ascii="Arial" w:hAnsi="Arial" w:cs="Arial" w:eastAsia="Arial" w:hint="default"/>
                <w:spacing w:val="-20"/>
                <w:w w:val="99"/>
                <w:sz w:val="24"/>
                <w:szCs w:val="24"/>
              </w:rPr>
              <w:t> </w:t>
            </w:r>
            <w:r>
              <w:rPr>
                <w:rFonts w:ascii="宋体" w:hAnsi="宋体" w:cs="宋体" w:eastAsia="宋体" w:hint="default"/>
                <w:sz w:val="24"/>
                <w:szCs w:val="24"/>
              </w:rPr>
              <w:t>于</w:t>
            </w:r>
            <w:r>
              <w:rPr>
                <w:rFonts w:ascii="宋体" w:hAnsi="宋体" w:cs="宋体" w:eastAsia="宋体" w:hint="default"/>
                <w:spacing w:val="-58"/>
                <w:sz w:val="24"/>
                <w:szCs w:val="24"/>
              </w:rPr>
              <w:t> </w:t>
            </w:r>
            <w:r>
              <w:rPr>
                <w:rFonts w:ascii="Arial" w:hAnsi="Arial" w:cs="Arial" w:eastAsia="Arial" w:hint="default"/>
                <w:spacing w:val="-1"/>
                <w:w w:val="99"/>
                <w:sz w:val="24"/>
                <w:szCs w:val="24"/>
              </w:rPr>
              <w:t>2015</w:t>
            </w:r>
            <w:r>
              <w:rPr>
                <w:rFonts w:ascii="Arial" w:hAnsi="Arial" w:cs="Arial" w:eastAsia="Arial" w:hint="default"/>
                <w:spacing w:val="-5"/>
                <w:w w:val="99"/>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w w:val="99"/>
                <w:sz w:val="24"/>
                <w:szCs w:val="24"/>
              </w:rPr>
              <w:t>6</w:t>
            </w:r>
            <w:r>
              <w:rPr>
                <w:rFonts w:ascii="Arial" w:hAnsi="Arial" w:cs="Arial" w:eastAsia="Arial" w:hint="default"/>
                <w:spacing w:val="-5"/>
                <w:w w:val="99"/>
                <w:sz w:val="24"/>
                <w:szCs w:val="24"/>
              </w:rPr>
              <w:t> </w:t>
            </w:r>
            <w:r>
              <w:rPr>
                <w:rFonts w:ascii="宋体" w:hAnsi="宋体" w:cs="宋体" w:eastAsia="宋体" w:hint="default"/>
                <w:spacing w:val="-9"/>
                <w:sz w:val="24"/>
                <w:szCs w:val="24"/>
              </w:rPr>
              <w:t>月，本集团收购锤子科技部分股权，本集团支付收购价款人民币</w:t>
            </w:r>
            <w:r>
              <w:rPr>
                <w:rFonts w:ascii="宋体" w:hAnsi="宋体" w:cs="宋体" w:eastAsia="宋体" w:hint="default"/>
                <w:spacing w:val="-58"/>
                <w:sz w:val="24"/>
                <w:szCs w:val="24"/>
              </w:rPr>
              <w:t> </w:t>
            </w:r>
            <w:r>
              <w:rPr>
                <w:rFonts w:ascii="Arial" w:hAnsi="Arial" w:cs="Arial" w:eastAsia="Arial" w:hint="default"/>
                <w:w w:val="99"/>
                <w:sz w:val="24"/>
                <w:szCs w:val="24"/>
              </w:rPr>
              <w:t>5,000 </w:t>
            </w:r>
            <w:r>
              <w:rPr>
                <w:rFonts w:ascii="宋体" w:hAnsi="宋体" w:cs="宋体" w:eastAsia="宋体" w:hint="default"/>
                <w:spacing w:val="-2"/>
                <w:sz w:val="24"/>
                <w:szCs w:val="24"/>
              </w:rPr>
              <w:t>万元，占锤子科技注册资本总额的</w:t>
            </w:r>
            <w:r>
              <w:rPr>
                <w:rFonts w:ascii="宋体" w:hAnsi="宋体" w:cs="宋体" w:eastAsia="宋体" w:hint="default"/>
                <w:spacing w:val="-45"/>
                <w:sz w:val="24"/>
                <w:szCs w:val="24"/>
              </w:rPr>
              <w:t> </w:t>
            </w:r>
            <w:r>
              <w:rPr>
                <w:rFonts w:ascii="Arial" w:hAnsi="Arial" w:cs="Arial" w:eastAsia="Arial" w:hint="default"/>
                <w:spacing w:val="-2"/>
                <w:sz w:val="24"/>
                <w:szCs w:val="24"/>
              </w:rPr>
              <w:t>1.89%</w:t>
            </w:r>
            <w:r>
              <w:rPr>
                <w:rFonts w:ascii="宋体" w:hAnsi="宋体" w:cs="宋体" w:eastAsia="宋体" w:hint="default"/>
                <w:spacing w:val="-2"/>
                <w:sz w:val="24"/>
                <w:szCs w:val="24"/>
              </w:rPr>
              <w:t>。同时，本集团在锤子科技十三名董事组成</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的董事会中占有一个董事席位。截至</w:t>
            </w:r>
            <w:r>
              <w:rPr>
                <w:rFonts w:ascii="宋体" w:hAnsi="宋体" w:cs="宋体" w:eastAsia="宋体" w:hint="default"/>
                <w:spacing w:val="-65"/>
                <w:sz w:val="24"/>
                <w:szCs w:val="24"/>
              </w:rPr>
              <w:t> </w:t>
            </w:r>
            <w:r>
              <w:rPr>
                <w:rFonts w:ascii="Arial" w:hAnsi="Arial" w:cs="Arial" w:eastAsia="Arial" w:hint="default"/>
                <w:sz w:val="24"/>
                <w:szCs w:val="24"/>
              </w:rPr>
              <w:t>2015</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31</w:t>
            </w:r>
            <w:r>
              <w:rPr>
                <w:rFonts w:ascii="Arial" w:hAnsi="Arial" w:cs="Arial" w:eastAsia="Arial" w:hint="default"/>
                <w:spacing w:val="-12"/>
                <w:sz w:val="24"/>
                <w:szCs w:val="24"/>
              </w:rPr>
              <w:t> </w:t>
            </w:r>
            <w:r>
              <w:rPr>
                <w:rFonts w:ascii="宋体" w:hAnsi="宋体" w:cs="宋体" w:eastAsia="宋体" w:hint="default"/>
                <w:sz w:val="24"/>
                <w:szCs w:val="24"/>
              </w:rPr>
              <w:t>日止，本集团已完成全部股权 收购价款的支付。</w:t>
            </w:r>
          </w:p>
        </w:tc>
      </w:tr>
      <w:tr>
        <w:trPr>
          <w:trHeight w:val="1215" w:hRule="exact"/>
        </w:trPr>
        <w:tc>
          <w:tcPr>
            <w:tcW w:w="9870" w:type="dxa"/>
            <w:gridSpan w:val="2"/>
            <w:tcBorders>
              <w:top w:val="nil" w:sz="6" w:space="0" w:color="auto"/>
              <w:left w:val="nil" w:sz="6" w:space="0" w:color="auto"/>
              <w:bottom w:val="nil" w:sz="6" w:space="0" w:color="auto"/>
              <w:right w:val="nil" w:sz="6" w:space="0" w:color="auto"/>
            </w:tcBorders>
          </w:tcPr>
          <w:p>
            <w:pPr>
              <w:pStyle w:val="TableParagraph"/>
              <w:spacing w:line="225" w:lineRule="auto" w:before="116"/>
              <w:ind w:left="807" w:right="217"/>
              <w:jc w:val="both"/>
              <w:rPr>
                <w:rFonts w:ascii="宋体" w:hAnsi="宋体" w:cs="宋体" w:eastAsia="宋体" w:hint="default"/>
                <w:sz w:val="24"/>
                <w:szCs w:val="24"/>
              </w:rPr>
            </w:pPr>
            <w:r>
              <w:rPr>
                <w:rFonts w:ascii="Arial" w:hAnsi="Arial" w:cs="Arial" w:eastAsia="Arial" w:hint="default"/>
                <w:spacing w:val="-1"/>
                <w:w w:val="99"/>
                <w:sz w:val="24"/>
                <w:szCs w:val="24"/>
              </w:rPr>
              <w:t>(iii)</w:t>
            </w:r>
            <w:r>
              <w:rPr>
                <w:rFonts w:ascii="宋体" w:hAnsi="宋体" w:cs="宋体" w:eastAsia="宋体" w:hint="default"/>
                <w:spacing w:val="-1"/>
                <w:w w:val="99"/>
                <w:sz w:val="24"/>
                <w:szCs w:val="24"/>
              </w:rPr>
              <w:t>于</w:t>
            </w:r>
            <w:r>
              <w:rPr>
                <w:rFonts w:ascii="宋体" w:hAnsi="宋体" w:cs="宋体" w:eastAsia="宋体" w:hint="default"/>
                <w:spacing w:val="-61"/>
                <w:w w:val="99"/>
                <w:sz w:val="24"/>
                <w:szCs w:val="24"/>
              </w:rPr>
              <w:t> </w:t>
            </w:r>
            <w:r>
              <w:rPr>
                <w:rFonts w:ascii="Arial" w:hAnsi="Arial" w:cs="Arial" w:eastAsia="Arial" w:hint="default"/>
                <w:spacing w:val="-1"/>
                <w:w w:val="99"/>
                <w:sz w:val="24"/>
                <w:szCs w:val="24"/>
              </w:rPr>
              <w:t>2015</w:t>
            </w:r>
            <w:r>
              <w:rPr>
                <w:rFonts w:ascii="Arial" w:hAnsi="Arial" w:cs="Arial" w:eastAsia="Arial" w:hint="default"/>
                <w:spacing w:val="-6"/>
                <w:w w:val="9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w w:val="99"/>
                <w:sz w:val="24"/>
                <w:szCs w:val="24"/>
              </w:rPr>
              <w:t>9</w:t>
            </w:r>
            <w:r>
              <w:rPr>
                <w:rFonts w:ascii="Arial" w:hAnsi="Arial" w:cs="Arial" w:eastAsia="Arial" w:hint="default"/>
                <w:spacing w:val="-8"/>
                <w:w w:val="99"/>
                <w:sz w:val="24"/>
                <w:szCs w:val="24"/>
              </w:rPr>
              <w:t> </w:t>
            </w:r>
            <w:r>
              <w:rPr>
                <w:rFonts w:ascii="宋体" w:hAnsi="宋体" w:cs="宋体" w:eastAsia="宋体" w:hint="default"/>
                <w:spacing w:val="-12"/>
                <w:sz w:val="24"/>
                <w:szCs w:val="24"/>
              </w:rPr>
              <w:t>月，本集团参与出资设立</w:t>
            </w:r>
            <w:r>
              <w:rPr>
                <w:rFonts w:ascii="宋体" w:hAnsi="宋体" w:cs="宋体" w:eastAsia="宋体" w:hint="default"/>
                <w:spacing w:val="-61"/>
                <w:sz w:val="24"/>
                <w:szCs w:val="24"/>
              </w:rPr>
              <w:t> </w:t>
            </w:r>
            <w:r>
              <w:rPr>
                <w:rFonts w:ascii="Arial" w:hAnsi="Arial" w:cs="Arial" w:eastAsia="Arial" w:hint="default"/>
                <w:spacing w:val="-1"/>
                <w:w w:val="99"/>
                <w:sz w:val="24"/>
                <w:szCs w:val="24"/>
              </w:rPr>
              <w:t>Onward</w:t>
            </w:r>
            <w:r>
              <w:rPr>
                <w:rFonts w:ascii="Arial" w:hAnsi="Arial" w:cs="Arial" w:eastAsia="Arial" w:hint="default"/>
                <w:spacing w:val="-4"/>
                <w:w w:val="99"/>
                <w:sz w:val="24"/>
                <w:szCs w:val="24"/>
              </w:rPr>
              <w:t> </w:t>
            </w:r>
            <w:r>
              <w:rPr>
                <w:rFonts w:ascii="Arial" w:hAnsi="Arial" w:cs="Arial" w:eastAsia="Arial" w:hint="default"/>
                <w:sz w:val="24"/>
                <w:szCs w:val="24"/>
              </w:rPr>
              <w:t>J</w:t>
            </w:r>
            <w:r>
              <w:rPr>
                <w:rFonts w:ascii="Arial" w:hAnsi="Arial" w:cs="Arial" w:eastAsia="Arial" w:hint="default"/>
                <w:spacing w:val="-4"/>
                <w:sz w:val="24"/>
                <w:szCs w:val="24"/>
              </w:rPr>
              <w:t> </w:t>
            </w:r>
            <w:r>
              <w:rPr>
                <w:rFonts w:ascii="Arial" w:hAnsi="Arial" w:cs="Arial" w:eastAsia="Arial" w:hint="default"/>
                <w:spacing w:val="-8"/>
                <w:w w:val="99"/>
                <w:sz w:val="24"/>
                <w:szCs w:val="24"/>
              </w:rPr>
              <w:t>Bridge</w:t>
            </w:r>
            <w:r>
              <w:rPr>
                <w:rFonts w:ascii="宋体" w:hAnsi="宋体" w:cs="宋体" w:eastAsia="宋体" w:hint="default"/>
                <w:spacing w:val="-8"/>
                <w:w w:val="99"/>
                <w:sz w:val="24"/>
                <w:szCs w:val="24"/>
              </w:rPr>
              <w:t>，本集团认缴出资日元</w:t>
            </w:r>
            <w:r>
              <w:rPr>
                <w:rFonts w:ascii="宋体" w:hAnsi="宋体" w:cs="宋体" w:eastAsia="宋体" w:hint="default"/>
                <w:spacing w:val="-61"/>
                <w:w w:val="99"/>
                <w:sz w:val="24"/>
                <w:szCs w:val="24"/>
              </w:rPr>
              <w:t> </w:t>
            </w:r>
            <w:r>
              <w:rPr>
                <w:rFonts w:ascii="Arial" w:hAnsi="Arial" w:cs="Arial" w:eastAsia="Arial" w:hint="default"/>
                <w:spacing w:val="-1"/>
                <w:w w:val="99"/>
                <w:sz w:val="24"/>
                <w:szCs w:val="24"/>
              </w:rPr>
              <w:t>1.96</w:t>
            </w:r>
            <w:r>
              <w:rPr>
                <w:rFonts w:ascii="Arial" w:hAnsi="Arial" w:cs="Arial" w:eastAsia="Arial" w:hint="default"/>
                <w:spacing w:val="-1"/>
                <w:w w:val="99"/>
                <w:sz w:val="24"/>
                <w:szCs w:val="24"/>
              </w:rPr>
              <w:t> </w:t>
            </w:r>
            <w:r>
              <w:rPr>
                <w:rFonts w:ascii="宋体" w:hAnsi="宋体" w:cs="宋体" w:eastAsia="宋体" w:hint="default"/>
                <w:sz w:val="24"/>
                <w:szCs w:val="24"/>
              </w:rPr>
              <w:t>亿元，折合约人民币 </w:t>
            </w:r>
            <w:r>
              <w:rPr>
                <w:rFonts w:ascii="Arial" w:hAnsi="Arial" w:cs="Arial" w:eastAsia="Arial" w:hint="default"/>
                <w:sz w:val="24"/>
                <w:szCs w:val="24"/>
              </w:rPr>
              <w:t>1,056 </w:t>
            </w:r>
            <w:r>
              <w:rPr>
                <w:rFonts w:ascii="宋体" w:hAnsi="宋体" w:cs="宋体" w:eastAsia="宋体" w:hint="default"/>
                <w:sz w:val="24"/>
                <w:szCs w:val="24"/>
              </w:rPr>
              <w:t>万元，占 </w:t>
            </w:r>
            <w:r>
              <w:rPr>
                <w:rFonts w:ascii="Arial" w:hAnsi="Arial" w:cs="Arial" w:eastAsia="Arial" w:hint="default"/>
                <w:sz w:val="24"/>
                <w:szCs w:val="24"/>
              </w:rPr>
              <w:t>Onward J Bridge </w:t>
            </w:r>
            <w:r>
              <w:rPr>
                <w:rFonts w:ascii="宋体" w:hAnsi="宋体" w:cs="宋体" w:eastAsia="宋体" w:hint="default"/>
                <w:sz w:val="24"/>
                <w:szCs w:val="24"/>
              </w:rPr>
              <w:t>注册资本总额的</w:t>
            </w:r>
            <w:r>
              <w:rPr>
                <w:rFonts w:ascii="宋体" w:hAnsi="宋体" w:cs="宋体" w:eastAsia="宋体" w:hint="default"/>
                <w:spacing w:val="-44"/>
                <w:sz w:val="24"/>
                <w:szCs w:val="24"/>
              </w:rPr>
              <w:t> </w:t>
            </w:r>
            <w:r>
              <w:rPr>
                <w:rFonts w:ascii="Arial" w:hAnsi="Arial" w:cs="Arial" w:eastAsia="Arial" w:hint="default"/>
                <w:sz w:val="24"/>
                <w:szCs w:val="24"/>
              </w:rPr>
              <w:t>49%</w:t>
            </w:r>
            <w:r>
              <w:rPr>
                <w:rFonts w:ascii="宋体" w:hAnsi="宋体" w:cs="宋体" w:eastAsia="宋体" w:hint="default"/>
                <w:sz w:val="24"/>
                <w:szCs w:val="24"/>
              </w:rPr>
              <w:t>。截至 </w:t>
            </w: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日止，本集团已完成全部认缴资本的支付。</w:t>
            </w:r>
          </w:p>
        </w:tc>
      </w:tr>
      <w:tr>
        <w:trPr>
          <w:trHeight w:val="1210" w:hRule="exact"/>
        </w:trPr>
        <w:tc>
          <w:tcPr>
            <w:tcW w:w="9870" w:type="dxa"/>
            <w:gridSpan w:val="2"/>
            <w:tcBorders>
              <w:top w:val="nil" w:sz="6" w:space="0" w:color="auto"/>
              <w:left w:val="nil" w:sz="6" w:space="0" w:color="auto"/>
              <w:bottom w:val="nil" w:sz="6" w:space="0" w:color="auto"/>
              <w:right w:val="nil" w:sz="6" w:space="0" w:color="auto"/>
            </w:tcBorders>
          </w:tcPr>
          <w:p>
            <w:pPr>
              <w:pStyle w:val="TableParagraph"/>
              <w:spacing w:line="225" w:lineRule="auto" w:before="110"/>
              <w:ind w:left="807" w:right="198"/>
              <w:jc w:val="both"/>
              <w:rPr>
                <w:rFonts w:ascii="宋体" w:hAnsi="宋体" w:cs="宋体" w:eastAsia="宋体" w:hint="default"/>
                <w:sz w:val="24"/>
                <w:szCs w:val="24"/>
              </w:rPr>
            </w:pPr>
            <w:r>
              <w:rPr>
                <w:rFonts w:ascii="Arial" w:hAnsi="Arial" w:cs="Arial" w:eastAsia="Arial" w:hint="default"/>
                <w:sz w:val="24"/>
                <w:szCs w:val="24"/>
              </w:rPr>
              <w:t>(iv)</w:t>
            </w:r>
            <w:r>
              <w:rPr>
                <w:rFonts w:ascii="宋体" w:hAnsi="宋体" w:cs="宋体" w:eastAsia="宋体" w:hint="default"/>
                <w:sz w:val="24"/>
                <w:szCs w:val="24"/>
              </w:rPr>
              <w:t>于 </w:t>
            </w:r>
            <w:r>
              <w:rPr>
                <w:rFonts w:ascii="Arial" w:hAnsi="Arial" w:cs="Arial" w:eastAsia="Arial" w:hint="default"/>
                <w:sz w:val="24"/>
                <w:szCs w:val="24"/>
              </w:rPr>
              <w:t>2015 </w:t>
            </w:r>
            <w:r>
              <w:rPr>
                <w:rFonts w:ascii="宋体" w:hAnsi="宋体" w:cs="宋体" w:eastAsia="宋体" w:hint="default"/>
                <w:sz w:val="24"/>
                <w:szCs w:val="24"/>
              </w:rPr>
              <w:t>年 </w:t>
            </w:r>
            <w:r>
              <w:rPr>
                <w:rFonts w:ascii="Arial" w:hAnsi="Arial" w:cs="Arial" w:eastAsia="Arial" w:hint="default"/>
                <w:sz w:val="24"/>
                <w:szCs w:val="24"/>
              </w:rPr>
              <w:t>9 </w:t>
            </w:r>
            <w:r>
              <w:rPr>
                <w:rFonts w:ascii="宋体" w:hAnsi="宋体" w:cs="宋体" w:eastAsia="宋体" w:hint="default"/>
                <w:sz w:val="24"/>
                <w:szCs w:val="24"/>
              </w:rPr>
              <w:t>月，本集团以约 </w:t>
            </w:r>
            <w:r>
              <w:rPr>
                <w:rFonts w:ascii="Arial" w:hAnsi="Arial" w:cs="Arial" w:eastAsia="Arial" w:hint="default"/>
                <w:sz w:val="24"/>
                <w:szCs w:val="24"/>
              </w:rPr>
              <w:t>1,050 </w:t>
            </w:r>
            <w:r>
              <w:rPr>
                <w:rFonts w:ascii="宋体" w:hAnsi="宋体" w:cs="宋体" w:eastAsia="宋体" w:hint="default"/>
                <w:sz w:val="24"/>
                <w:szCs w:val="24"/>
              </w:rPr>
              <w:t>万日元的价款</w:t>
            </w:r>
            <w:r>
              <w:rPr>
                <w:rFonts w:ascii="Arial" w:hAnsi="Arial" w:cs="Arial" w:eastAsia="Arial" w:hint="default"/>
                <w:sz w:val="24"/>
                <w:szCs w:val="24"/>
              </w:rPr>
              <w:t>(</w:t>
            </w:r>
            <w:r>
              <w:rPr>
                <w:rFonts w:ascii="宋体" w:hAnsi="宋体" w:cs="宋体" w:eastAsia="宋体" w:hint="default"/>
                <w:sz w:val="24"/>
                <w:szCs w:val="24"/>
              </w:rPr>
              <w:t>折合人民币约 </w:t>
            </w:r>
            <w:r>
              <w:rPr>
                <w:rFonts w:ascii="Arial" w:hAnsi="Arial" w:cs="Arial" w:eastAsia="Arial" w:hint="default"/>
                <w:sz w:val="24"/>
                <w:szCs w:val="24"/>
              </w:rPr>
              <w:t>57</w:t>
            </w:r>
            <w:r>
              <w:rPr>
                <w:rFonts w:ascii="Arial" w:hAnsi="Arial" w:cs="Arial" w:eastAsia="Arial" w:hint="default"/>
                <w:spacing w:val="61"/>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收购 </w:t>
            </w:r>
            <w:r>
              <w:rPr>
                <w:rFonts w:ascii="Arial" w:hAnsi="Arial" w:cs="Arial" w:eastAsia="Arial" w:hint="default"/>
                <w:sz w:val="24"/>
                <w:szCs w:val="24"/>
              </w:rPr>
              <w:t>Hearts</w:t>
            </w:r>
            <w:r>
              <w:rPr>
                <w:rFonts w:ascii="Arial" w:hAnsi="Arial" w:cs="Arial" w:eastAsia="Arial" w:hint="default"/>
                <w:spacing w:val="-1"/>
                <w:sz w:val="24"/>
                <w:szCs w:val="24"/>
              </w:rPr>
              <w:t> </w:t>
            </w:r>
            <w:r>
              <w:rPr>
                <w:rFonts w:ascii="Arial" w:hAnsi="Arial" w:cs="Arial" w:eastAsia="Arial" w:hint="default"/>
                <w:sz w:val="24"/>
                <w:szCs w:val="24"/>
              </w:rPr>
              <w:t>Hire</w:t>
            </w:r>
            <w:r>
              <w:rPr>
                <w:rFonts w:ascii="Arial" w:hAnsi="Arial" w:cs="Arial" w:eastAsia="Arial" w:hint="default"/>
                <w:spacing w:val="-1"/>
                <w:sz w:val="24"/>
                <w:szCs w:val="24"/>
              </w:rPr>
              <w:t> </w:t>
            </w:r>
            <w:r>
              <w:rPr>
                <w:rFonts w:ascii="Arial" w:hAnsi="Arial" w:cs="Arial" w:eastAsia="Arial" w:hint="default"/>
                <w:sz w:val="24"/>
                <w:szCs w:val="24"/>
              </w:rPr>
              <w:t>47.37%</w:t>
            </w:r>
            <w:r>
              <w:rPr>
                <w:rFonts w:ascii="宋体" w:hAnsi="宋体" w:cs="宋体" w:eastAsia="宋体" w:hint="default"/>
                <w:sz w:val="24"/>
                <w:szCs w:val="24"/>
              </w:rPr>
              <w:t>的股权。于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月，本集团出售</w:t>
            </w:r>
            <w:r>
              <w:rPr>
                <w:rFonts w:ascii="宋体" w:hAnsi="宋体" w:cs="宋体" w:eastAsia="宋体" w:hint="default"/>
                <w:spacing w:val="-61"/>
                <w:sz w:val="24"/>
                <w:szCs w:val="24"/>
              </w:rPr>
              <w:t> </w:t>
            </w:r>
            <w:r>
              <w:rPr>
                <w:rFonts w:ascii="Arial" w:hAnsi="Arial" w:cs="Arial" w:eastAsia="Arial" w:hint="default"/>
                <w:sz w:val="24"/>
                <w:szCs w:val="24"/>
              </w:rPr>
              <w:t>Hearts</w:t>
            </w:r>
            <w:r>
              <w:rPr>
                <w:rFonts w:ascii="Arial" w:hAnsi="Arial" w:cs="Arial" w:eastAsia="Arial" w:hint="default"/>
                <w:spacing w:val="-1"/>
                <w:sz w:val="24"/>
                <w:szCs w:val="24"/>
              </w:rPr>
              <w:t> </w:t>
            </w:r>
            <w:r>
              <w:rPr>
                <w:rFonts w:ascii="Arial" w:hAnsi="Arial" w:cs="Arial" w:eastAsia="Arial" w:hint="default"/>
                <w:sz w:val="24"/>
                <w:szCs w:val="24"/>
              </w:rPr>
              <w:t>Hire</w:t>
            </w:r>
            <w:r>
              <w:rPr>
                <w:rFonts w:ascii="Arial" w:hAnsi="Arial" w:cs="Arial" w:eastAsia="Arial" w:hint="default"/>
                <w:spacing w:val="-1"/>
                <w:sz w:val="24"/>
                <w:szCs w:val="24"/>
              </w:rPr>
              <w:t> </w:t>
            </w:r>
            <w:r>
              <w:rPr>
                <w:rFonts w:ascii="Arial" w:hAnsi="Arial" w:cs="Arial" w:eastAsia="Arial" w:hint="default"/>
                <w:sz w:val="24"/>
                <w:szCs w:val="24"/>
              </w:rPr>
              <w:t>7.9%</w:t>
            </w:r>
            <w:r>
              <w:rPr>
                <w:rFonts w:ascii="宋体" w:hAnsi="宋体" w:cs="宋体" w:eastAsia="宋体" w:hint="default"/>
                <w:sz w:val="24"/>
                <w:szCs w:val="24"/>
              </w:rPr>
              <w:t>股权。 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日，本集团持有</w:t>
            </w:r>
            <w:r>
              <w:rPr>
                <w:rFonts w:ascii="宋体" w:hAnsi="宋体" w:cs="宋体" w:eastAsia="宋体" w:hint="default"/>
                <w:spacing w:val="-61"/>
                <w:sz w:val="24"/>
                <w:szCs w:val="24"/>
              </w:rPr>
              <w:t> </w:t>
            </w:r>
            <w:r>
              <w:rPr>
                <w:rFonts w:ascii="Arial" w:hAnsi="Arial" w:cs="Arial" w:eastAsia="Arial" w:hint="default"/>
                <w:sz w:val="24"/>
                <w:szCs w:val="24"/>
              </w:rPr>
              <w:t>Hearts Hire 39.47%</w:t>
            </w:r>
            <w:r>
              <w:rPr>
                <w:rFonts w:ascii="宋体" w:hAnsi="宋体" w:cs="宋体" w:eastAsia="宋体" w:hint="default"/>
                <w:sz w:val="24"/>
                <w:szCs w:val="24"/>
              </w:rPr>
              <w:t>的股权。</w:t>
            </w:r>
          </w:p>
        </w:tc>
      </w:tr>
      <w:tr>
        <w:trPr>
          <w:trHeight w:val="1832" w:hRule="exact"/>
        </w:trPr>
        <w:tc>
          <w:tcPr>
            <w:tcW w:w="9870" w:type="dxa"/>
            <w:gridSpan w:val="2"/>
            <w:tcBorders>
              <w:top w:val="nil" w:sz="6" w:space="0" w:color="auto"/>
              <w:left w:val="nil" w:sz="6" w:space="0" w:color="auto"/>
              <w:bottom w:val="nil" w:sz="6" w:space="0" w:color="auto"/>
              <w:right w:val="nil" w:sz="6" w:space="0" w:color="auto"/>
            </w:tcBorders>
          </w:tcPr>
          <w:p>
            <w:pPr>
              <w:pStyle w:val="TableParagraph"/>
              <w:spacing w:line="225" w:lineRule="auto" w:before="110"/>
              <w:ind w:left="807" w:right="217"/>
              <w:jc w:val="both"/>
              <w:rPr>
                <w:rFonts w:ascii="宋体" w:hAnsi="宋体" w:cs="宋体" w:eastAsia="宋体" w:hint="default"/>
                <w:sz w:val="24"/>
                <w:szCs w:val="24"/>
              </w:rPr>
            </w:pPr>
            <w:r>
              <w:rPr>
                <w:rFonts w:ascii="Arial" w:hAnsi="Arial" w:cs="Arial" w:eastAsia="Arial" w:hint="default"/>
                <w:sz w:val="24"/>
                <w:szCs w:val="24"/>
              </w:rPr>
              <w:t>(v)</w:t>
            </w:r>
            <w:r>
              <w:rPr>
                <w:rFonts w:ascii="Arial" w:hAnsi="Arial" w:cs="Arial" w:eastAsia="Arial" w:hint="default"/>
                <w:spacing w:val="21"/>
                <w:sz w:val="24"/>
                <w:szCs w:val="24"/>
              </w:rPr>
              <w:t> </w:t>
            </w:r>
            <w:r>
              <w:rPr>
                <w:rFonts w:ascii="宋体" w:hAnsi="宋体" w:cs="宋体" w:eastAsia="宋体" w:hint="default"/>
                <w:sz w:val="24"/>
                <w:szCs w:val="24"/>
              </w:rPr>
              <w:t>于</w:t>
            </w:r>
            <w:r>
              <w:rPr>
                <w:rFonts w:ascii="宋体" w:hAnsi="宋体" w:cs="宋体" w:eastAsia="宋体" w:hint="default"/>
                <w:spacing w:val="-51"/>
                <w:sz w:val="24"/>
                <w:szCs w:val="24"/>
              </w:rPr>
              <w:t> </w:t>
            </w:r>
            <w:r>
              <w:rPr>
                <w:rFonts w:ascii="Arial" w:hAnsi="Arial" w:cs="Arial" w:eastAsia="Arial" w:hint="default"/>
                <w:sz w:val="24"/>
                <w:szCs w:val="24"/>
              </w:rPr>
              <w:t>2014</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日，本集团持有</w:t>
            </w:r>
            <w:r>
              <w:rPr>
                <w:rFonts w:ascii="宋体" w:hAnsi="宋体" w:cs="宋体" w:eastAsia="宋体" w:hint="default"/>
                <w:spacing w:val="-51"/>
                <w:sz w:val="24"/>
                <w:szCs w:val="24"/>
              </w:rPr>
              <w:t> </w:t>
            </w:r>
            <w:r>
              <w:rPr>
                <w:rFonts w:ascii="Arial" w:hAnsi="Arial" w:cs="Arial" w:eastAsia="Arial" w:hint="default"/>
                <w:sz w:val="24"/>
                <w:szCs w:val="24"/>
              </w:rPr>
              <w:t>PPTV</w:t>
            </w:r>
            <w:r>
              <w:rPr>
                <w:rFonts w:ascii="Arial" w:hAnsi="Arial" w:cs="Arial" w:eastAsia="Arial" w:hint="default"/>
                <w:spacing w:val="50"/>
                <w:sz w:val="24"/>
                <w:szCs w:val="24"/>
              </w:rPr>
              <w:t> </w:t>
            </w:r>
            <w:r>
              <w:rPr>
                <w:rFonts w:ascii="Arial" w:hAnsi="Arial" w:cs="Arial" w:eastAsia="Arial" w:hint="default"/>
                <w:sz w:val="24"/>
                <w:szCs w:val="24"/>
              </w:rPr>
              <w:t>46.8%</w:t>
            </w:r>
            <w:r>
              <w:rPr>
                <w:rFonts w:ascii="宋体" w:hAnsi="宋体" w:cs="宋体" w:eastAsia="宋体" w:hint="default"/>
                <w:sz w:val="24"/>
                <w:szCs w:val="24"/>
              </w:rPr>
              <w:t>的股权。于</w:t>
            </w:r>
            <w:r>
              <w:rPr>
                <w:rFonts w:ascii="宋体" w:hAnsi="宋体" w:cs="宋体" w:eastAsia="宋体" w:hint="default"/>
                <w:spacing w:val="-51"/>
                <w:sz w:val="24"/>
                <w:szCs w:val="24"/>
              </w:rPr>
              <w:t> </w:t>
            </w:r>
            <w:r>
              <w:rPr>
                <w:rFonts w:ascii="Arial" w:hAnsi="Arial" w:cs="Arial" w:eastAsia="Arial" w:hint="default"/>
                <w:sz w:val="24"/>
                <w:szCs w:val="24"/>
              </w:rPr>
              <w:t>2014</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pacing w:val="-10"/>
                <w:sz w:val="24"/>
                <w:szCs w:val="24"/>
              </w:rPr>
              <w:t>11</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12</w:t>
            </w:r>
            <w:r>
              <w:rPr>
                <w:rFonts w:ascii="Arial" w:hAnsi="Arial" w:cs="Arial" w:eastAsia="Arial" w:hint="default"/>
                <w:spacing w:val="-1"/>
                <w:w w:val="99"/>
                <w:sz w:val="24"/>
                <w:szCs w:val="24"/>
              </w:rPr>
              <w:t> </w:t>
            </w:r>
            <w:r>
              <w:rPr>
                <w:rFonts w:ascii="宋体" w:hAnsi="宋体" w:cs="宋体" w:eastAsia="宋体" w:hint="default"/>
                <w:sz w:val="24"/>
                <w:szCs w:val="24"/>
              </w:rPr>
              <w:t>日，本集团与 </w:t>
            </w:r>
            <w:r>
              <w:rPr>
                <w:rFonts w:ascii="Arial" w:hAnsi="Arial" w:cs="Arial" w:eastAsia="Arial" w:hint="default"/>
                <w:spacing w:val="-1"/>
                <w:w w:val="100"/>
                <w:sz w:val="24"/>
                <w:szCs w:val="24"/>
              </w:rPr>
              <w:t>PPTV</w:t>
            </w:r>
            <w:r>
              <w:rPr>
                <w:rFonts w:ascii="Arial" w:hAnsi="Arial" w:cs="Arial" w:eastAsia="Arial" w:hint="default"/>
                <w:w w:val="100"/>
                <w:sz w:val="24"/>
                <w:szCs w:val="24"/>
              </w:rPr>
              <w:t> </w:t>
            </w:r>
            <w:r>
              <w:rPr>
                <w:rFonts w:ascii="宋体" w:hAnsi="宋体" w:cs="宋体" w:eastAsia="宋体" w:hint="default"/>
                <w:spacing w:val="-5"/>
                <w:w w:val="100"/>
                <w:sz w:val="24"/>
                <w:szCs w:val="24"/>
              </w:rPr>
              <w:t>两位原始股东签订《股权收购协议》，继续收购其持有的</w:t>
            </w:r>
            <w:r>
              <w:rPr>
                <w:rFonts w:ascii="宋体" w:hAnsi="宋体" w:cs="宋体" w:eastAsia="宋体" w:hint="default"/>
                <w:spacing w:val="-26"/>
                <w:w w:val="100"/>
                <w:sz w:val="24"/>
                <w:szCs w:val="24"/>
              </w:rPr>
              <w:t> </w:t>
            </w:r>
            <w:r>
              <w:rPr>
                <w:rFonts w:ascii="Arial" w:hAnsi="Arial" w:cs="Arial" w:eastAsia="Arial" w:hint="default"/>
                <w:spacing w:val="-1"/>
                <w:w w:val="100"/>
                <w:sz w:val="24"/>
                <w:szCs w:val="24"/>
              </w:rPr>
              <w:t>PPTV</w:t>
            </w:r>
            <w:r>
              <w:rPr>
                <w:rFonts w:ascii="Arial" w:hAnsi="Arial" w:cs="Arial" w:eastAsia="Arial" w:hint="default"/>
                <w:w w:val="100"/>
                <w:sz w:val="24"/>
                <w:szCs w:val="24"/>
              </w:rPr>
              <w:t> </w:t>
            </w:r>
            <w:r>
              <w:rPr>
                <w:rFonts w:ascii="Arial" w:hAnsi="Arial" w:cs="Arial" w:eastAsia="Arial" w:hint="default"/>
                <w:spacing w:val="-11"/>
                <w:w w:val="99"/>
                <w:sz w:val="24"/>
                <w:szCs w:val="24"/>
              </w:rPr>
              <w:t>21.28%</w:t>
            </w:r>
            <w:r>
              <w:rPr>
                <w:rFonts w:ascii="宋体" w:hAnsi="宋体" w:cs="宋体" w:eastAsia="宋体" w:hint="default"/>
                <w:spacing w:val="-11"/>
                <w:w w:val="99"/>
                <w:sz w:val="24"/>
                <w:szCs w:val="24"/>
              </w:rPr>
              <w:t>的股权。于</w:t>
            </w:r>
            <w:r>
              <w:rPr>
                <w:rFonts w:ascii="宋体" w:hAnsi="宋体" w:cs="宋体" w:eastAsia="宋体" w:hint="default"/>
                <w:spacing w:val="-72"/>
                <w:w w:val="99"/>
                <w:sz w:val="24"/>
                <w:szCs w:val="24"/>
              </w:rPr>
              <w:t> </w:t>
            </w:r>
            <w:r>
              <w:rPr>
                <w:rFonts w:ascii="Arial" w:hAnsi="Arial" w:cs="Arial" w:eastAsia="Arial" w:hint="default"/>
                <w:w w:val="99"/>
                <w:sz w:val="24"/>
                <w:szCs w:val="24"/>
              </w:rPr>
              <w:t>2015</w:t>
            </w:r>
            <w:r>
              <w:rPr>
                <w:rFonts w:ascii="Arial" w:hAnsi="Arial" w:cs="Arial" w:eastAsia="Arial" w:hint="default"/>
                <w:spacing w:val="-19"/>
                <w:w w:val="99"/>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Arial" w:hAnsi="Arial" w:cs="Arial" w:eastAsia="Arial" w:hint="default"/>
                <w:w w:val="99"/>
                <w:sz w:val="24"/>
                <w:szCs w:val="24"/>
              </w:rPr>
              <w:t>1</w:t>
            </w:r>
            <w:r>
              <w:rPr>
                <w:rFonts w:ascii="Arial" w:hAnsi="Arial" w:cs="Arial" w:eastAsia="Arial" w:hint="default"/>
                <w:spacing w:val="-19"/>
                <w:w w:val="99"/>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Arial" w:hAnsi="Arial" w:cs="Arial" w:eastAsia="Arial" w:hint="default"/>
                <w:w w:val="99"/>
                <w:sz w:val="24"/>
                <w:szCs w:val="24"/>
              </w:rPr>
              <w:t>5</w:t>
            </w:r>
            <w:r>
              <w:rPr>
                <w:rFonts w:ascii="Arial" w:hAnsi="Arial" w:cs="Arial" w:eastAsia="Arial" w:hint="default"/>
                <w:spacing w:val="-19"/>
                <w:w w:val="99"/>
                <w:sz w:val="24"/>
                <w:szCs w:val="24"/>
              </w:rPr>
              <w:t> </w:t>
            </w:r>
            <w:r>
              <w:rPr>
                <w:rFonts w:ascii="宋体" w:hAnsi="宋体" w:cs="宋体" w:eastAsia="宋体" w:hint="default"/>
                <w:spacing w:val="-15"/>
                <w:sz w:val="24"/>
                <w:szCs w:val="24"/>
              </w:rPr>
              <w:t>日，该交易交割完成，本集团共计持有</w:t>
            </w:r>
            <w:r>
              <w:rPr>
                <w:rFonts w:ascii="宋体" w:hAnsi="宋体" w:cs="宋体" w:eastAsia="宋体" w:hint="default"/>
                <w:spacing w:val="-72"/>
                <w:sz w:val="24"/>
                <w:szCs w:val="24"/>
              </w:rPr>
              <w:t> </w:t>
            </w:r>
            <w:r>
              <w:rPr>
                <w:rFonts w:ascii="Arial" w:hAnsi="Arial" w:cs="Arial" w:eastAsia="Arial" w:hint="default"/>
                <w:sz w:val="24"/>
                <w:szCs w:val="24"/>
              </w:rPr>
              <w:t>PPTV</w:t>
            </w:r>
            <w:r>
              <w:rPr>
                <w:rFonts w:ascii="Arial" w:hAnsi="Arial" w:cs="Arial" w:eastAsia="Arial" w:hint="default"/>
                <w:spacing w:val="-5"/>
                <w:sz w:val="24"/>
                <w:szCs w:val="24"/>
              </w:rPr>
              <w:t> </w:t>
            </w:r>
            <w:r>
              <w:rPr>
                <w:rFonts w:ascii="Arial" w:hAnsi="Arial" w:cs="Arial" w:eastAsia="Arial" w:hint="default"/>
                <w:spacing w:val="-1"/>
                <w:w w:val="99"/>
                <w:sz w:val="24"/>
                <w:szCs w:val="24"/>
              </w:rPr>
              <w:t>68.08%</w:t>
            </w:r>
            <w:r>
              <w:rPr>
                <w:rFonts w:ascii="Arial" w:hAnsi="Arial" w:cs="Arial" w:eastAsia="Arial" w:hint="default"/>
                <w:w w:val="99"/>
                <w:sz w:val="24"/>
                <w:szCs w:val="24"/>
              </w:rPr>
              <w:t> </w:t>
            </w:r>
            <w:r>
              <w:rPr>
                <w:rFonts w:ascii="宋体" w:hAnsi="宋体" w:cs="宋体" w:eastAsia="宋体" w:hint="default"/>
                <w:spacing w:val="-7"/>
                <w:sz w:val="24"/>
                <w:szCs w:val="24"/>
              </w:rPr>
              <w:t>的股权，完成对</w:t>
            </w:r>
            <w:r>
              <w:rPr>
                <w:rFonts w:ascii="宋体" w:hAnsi="宋体" w:cs="宋体" w:eastAsia="宋体" w:hint="default"/>
                <w:spacing w:val="-58"/>
                <w:sz w:val="24"/>
                <w:szCs w:val="24"/>
              </w:rPr>
              <w:t> </w:t>
            </w:r>
            <w:r>
              <w:rPr>
                <w:rFonts w:ascii="Arial" w:hAnsi="Arial" w:cs="Arial" w:eastAsia="Arial" w:hint="default"/>
                <w:sz w:val="24"/>
                <w:szCs w:val="24"/>
              </w:rPr>
              <w:t>PPTV</w:t>
            </w:r>
            <w:r>
              <w:rPr>
                <w:rFonts w:ascii="Arial" w:hAnsi="Arial" w:cs="Arial" w:eastAsia="Arial" w:hint="default"/>
                <w:spacing w:val="-5"/>
                <w:sz w:val="24"/>
                <w:szCs w:val="24"/>
              </w:rPr>
              <w:t> </w:t>
            </w:r>
            <w:r>
              <w:rPr>
                <w:rFonts w:ascii="宋体" w:hAnsi="宋体" w:cs="宋体" w:eastAsia="宋体" w:hint="default"/>
                <w:spacing w:val="-3"/>
                <w:sz w:val="24"/>
                <w:szCs w:val="24"/>
              </w:rPr>
              <w:t>分步实现非同一控制下企业合并，将对</w:t>
            </w:r>
            <w:r>
              <w:rPr>
                <w:rFonts w:ascii="宋体" w:hAnsi="宋体" w:cs="宋体" w:eastAsia="宋体" w:hint="default"/>
                <w:spacing w:val="-58"/>
                <w:sz w:val="24"/>
                <w:szCs w:val="24"/>
              </w:rPr>
              <w:t> </w:t>
            </w:r>
            <w:r>
              <w:rPr>
                <w:rFonts w:ascii="Arial" w:hAnsi="Arial" w:cs="Arial" w:eastAsia="Arial" w:hint="default"/>
                <w:sz w:val="24"/>
                <w:szCs w:val="24"/>
              </w:rPr>
              <w:t>PPTV</w:t>
            </w:r>
            <w:r>
              <w:rPr>
                <w:rFonts w:ascii="Arial" w:hAnsi="Arial" w:cs="Arial" w:eastAsia="Arial" w:hint="default"/>
                <w:spacing w:val="-5"/>
                <w:sz w:val="24"/>
                <w:szCs w:val="24"/>
              </w:rPr>
              <w:t> </w:t>
            </w:r>
            <w:r>
              <w:rPr>
                <w:rFonts w:ascii="宋体" w:hAnsi="宋体" w:cs="宋体" w:eastAsia="宋体" w:hint="default"/>
                <w:sz w:val="24"/>
                <w:szCs w:val="24"/>
              </w:rPr>
              <w:t>的长期股权投资 由联营企业转入子公司核算</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(1)(a))</w:t>
            </w:r>
            <w:r>
              <w:rPr>
                <w:rFonts w:ascii="宋体" w:hAnsi="宋体" w:cs="宋体" w:eastAsia="宋体" w:hint="default"/>
                <w:sz w:val="24"/>
                <w:szCs w:val="24"/>
              </w:rPr>
              <w:t>。</w:t>
            </w:r>
          </w:p>
        </w:tc>
      </w:tr>
      <w:tr>
        <w:trPr>
          <w:trHeight w:val="421" w:hRule="exact"/>
        </w:trPr>
        <w:tc>
          <w:tcPr>
            <w:tcW w:w="98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807" w:right="0"/>
              <w:jc w:val="left"/>
              <w:rPr>
                <w:rFonts w:ascii="宋体" w:hAnsi="宋体" w:cs="宋体" w:eastAsia="宋体" w:hint="default"/>
                <w:sz w:val="24"/>
                <w:szCs w:val="24"/>
              </w:rPr>
            </w:pPr>
            <w:r>
              <w:rPr>
                <w:rFonts w:ascii="宋体" w:hAnsi="宋体" w:cs="宋体" w:eastAsia="宋体" w:hint="default"/>
                <w:sz w:val="24"/>
                <w:szCs w:val="24"/>
              </w:rPr>
              <w:t>在联营企业中的权益相关信息见附注六</w:t>
            </w:r>
            <w:r>
              <w:rPr>
                <w:rFonts w:ascii="Times New Roman" w:hAnsi="Times New Roman" w:cs="Times New Roman" w:eastAsia="Times New Roman" w:hint="default"/>
                <w:sz w:val="24"/>
                <w:szCs w:val="24"/>
              </w:rPr>
              <w:t>(</w:t>
            </w:r>
            <w:r>
              <w:rPr>
                <w:rFonts w:ascii="Arial" w:hAnsi="Arial" w:cs="Arial" w:eastAsia="Arial" w:hint="default"/>
                <w:sz w:val="24"/>
                <w:szCs w:val="24"/>
              </w:rPr>
              <w:t>2</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18"/>
          <w:szCs w:val="18"/>
        </w:rPr>
      </w:pPr>
    </w:p>
    <w:p>
      <w:pPr>
        <w:spacing w:before="0"/>
        <w:ind w:left="0" w:right="717" w:firstLine="0"/>
        <w:jc w:val="right"/>
        <w:rPr>
          <w:rFonts w:ascii="Times New Roman" w:hAnsi="Times New Roman" w:cs="Times New Roman" w:eastAsia="Times New Roman" w:hint="default"/>
          <w:sz w:val="18"/>
          <w:szCs w:val="18"/>
        </w:rPr>
      </w:pPr>
      <w:r>
        <w:rPr>
          <w:rFonts w:ascii="Times New Roman"/>
          <w:sz w:val="18"/>
        </w:rPr>
        <w:t>167</w:t>
      </w:r>
    </w:p>
    <w:p>
      <w:pPr>
        <w:spacing w:after="0"/>
        <w:jc w:val="right"/>
        <w:rPr>
          <w:rFonts w:ascii="Times New Roman" w:hAnsi="Times New Roman" w:cs="Times New Roman" w:eastAsia="Times New Roman" w:hint="default"/>
          <w:sz w:val="18"/>
          <w:szCs w:val="18"/>
        </w:rPr>
        <w:sectPr>
          <w:headerReference w:type="default" r:id="rId47"/>
          <w:footerReference w:type="default" r:id="rId48"/>
          <w:pgSz w:w="11910" w:h="16840"/>
          <w:pgMar w:header="0" w:footer="570" w:top="1080" w:bottom="760" w:left="500" w:right="0"/>
        </w:sectPr>
      </w:pPr>
    </w:p>
    <w:p>
      <w:pPr>
        <w:pStyle w:val="Heading3"/>
        <w:spacing w:line="310" w:lineRule="exact" w:before="33"/>
        <w:ind w:left="349" w:right="7278"/>
        <w:jc w:val="left"/>
        <w:rPr>
          <w:rFonts w:ascii="黑体" w:hAnsi="黑体" w:cs="黑体" w:eastAsia="黑体" w:hint="default"/>
        </w:rPr>
      </w:pPr>
      <w:r>
        <w:rPr>
          <w:rFonts w:ascii="黑体" w:hAnsi="黑体" w:cs="黑体" w:eastAsia="黑体" w:hint="default"/>
        </w:rPr>
        <w:t>苏宁云商集团股份有限公司 财务报表附注</w:t>
      </w:r>
    </w:p>
    <w:p>
      <w:pPr>
        <w:pStyle w:val="Heading3"/>
        <w:spacing w:line="295" w:lineRule="exact"/>
        <w:ind w:left="349" w:right="7278"/>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w:t>
      </w:r>
    </w:p>
    <w:p>
      <w:pPr>
        <w:spacing w:line="243" w:lineRule="exact" w:before="0"/>
        <w:ind w:left="349"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4"/>
        <w:rPr>
          <w:rFonts w:ascii="Arial" w:hAnsi="Arial" w:cs="Arial" w:eastAsia="Arial"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738"/>
        <w:gridCol w:w="1620"/>
        <w:gridCol w:w="1573"/>
        <w:gridCol w:w="1564"/>
        <w:gridCol w:w="1347"/>
        <w:gridCol w:w="1613"/>
        <w:gridCol w:w="1278"/>
      </w:tblGrid>
      <w:tr>
        <w:trPr>
          <w:trHeight w:val="49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41" w:right="0"/>
              <w:jc w:val="center"/>
              <w:rPr>
                <w:rFonts w:ascii="黑体" w:hAnsi="黑体" w:cs="黑体" w:eastAsia="黑体" w:hint="default"/>
                <w:sz w:val="24"/>
                <w:szCs w:val="24"/>
              </w:rPr>
            </w:pPr>
            <w:r>
              <w:rPr>
                <w:rFonts w:ascii="黑体" w:hAnsi="黑体" w:cs="黑体" w:eastAsia="黑体" w:hint="default"/>
                <w:sz w:val="24"/>
                <w:szCs w:val="24"/>
              </w:rPr>
              <w:t>四</w:t>
            </w:r>
          </w:p>
        </w:tc>
        <w:tc>
          <w:tcPr>
            <w:tcW w:w="319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r>
      <w:tr>
        <w:trPr>
          <w:trHeight w:val="741"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89" w:right="0"/>
              <w:jc w:val="center"/>
              <w:rPr>
                <w:rFonts w:ascii="Arial" w:hAnsi="Arial" w:cs="Arial" w:eastAsia="Arial" w:hint="default"/>
                <w:sz w:val="24"/>
                <w:szCs w:val="24"/>
              </w:rPr>
            </w:pPr>
            <w:r>
              <w:rPr>
                <w:rFonts w:ascii="Arial"/>
                <w:sz w:val="24"/>
              </w:rPr>
              <w:t>(13)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08" w:right="0"/>
              <w:jc w:val="left"/>
              <w:rPr>
                <w:rFonts w:ascii="黑体" w:hAnsi="黑体" w:cs="黑体" w:eastAsia="黑体" w:hint="default"/>
                <w:sz w:val="24"/>
                <w:szCs w:val="24"/>
              </w:rPr>
            </w:pPr>
            <w:r>
              <w:rPr>
                <w:rFonts w:ascii="黑体" w:hAnsi="黑体" w:cs="黑体" w:eastAsia="黑体" w:hint="default"/>
                <w:sz w:val="24"/>
                <w:szCs w:val="24"/>
              </w:rPr>
              <w:t>投资性房地产</w:t>
            </w:r>
          </w:p>
        </w:tc>
        <w:tc>
          <w:tcPr>
            <w:tcW w:w="1573"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r>
      <w:tr>
        <w:trPr>
          <w:trHeight w:val="927" w:hRule="exact"/>
        </w:trPr>
        <w:tc>
          <w:tcPr>
            <w:tcW w:w="73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60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3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本年转入</w:t>
            </w:r>
          </w:p>
          <w:p>
            <w:pPr>
              <w:pStyle w:val="TableParagraph"/>
              <w:spacing w:line="240" w:lineRule="auto" w:before="37"/>
              <w:ind w:left="294"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(14))</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558" w:right="0"/>
              <w:jc w:val="left"/>
              <w:rPr>
                <w:rFonts w:ascii="宋体" w:hAnsi="宋体" w:cs="宋体" w:eastAsia="宋体" w:hint="default"/>
                <w:sz w:val="18"/>
                <w:szCs w:val="18"/>
              </w:rPr>
            </w:pPr>
            <w:r>
              <w:rPr>
                <w:rFonts w:ascii="宋体" w:hAnsi="宋体" w:cs="宋体" w:eastAsia="宋体" w:hint="default"/>
                <w:sz w:val="18"/>
                <w:szCs w:val="18"/>
              </w:rPr>
              <w:t>本年转出</w:t>
            </w:r>
          </w:p>
          <w:p>
            <w:pPr>
              <w:pStyle w:val="TableParagraph"/>
              <w:spacing w:line="240" w:lineRule="auto" w:before="37"/>
              <w:ind w:left="298"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(14))</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54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27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8" w:hRule="exact"/>
        </w:trPr>
        <w:tc>
          <w:tcPr>
            <w:tcW w:w="73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原价合计</w:t>
            </w:r>
          </w:p>
        </w:tc>
        <w:tc>
          <w:tcPr>
            <w:tcW w:w="157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339"/>
              <w:jc w:val="right"/>
              <w:rPr>
                <w:rFonts w:ascii="Arial" w:hAnsi="Arial" w:cs="Arial" w:eastAsia="Arial" w:hint="default"/>
                <w:sz w:val="18"/>
                <w:szCs w:val="18"/>
              </w:rPr>
            </w:pPr>
            <w:r>
              <w:rPr>
                <w:rFonts w:ascii="Arial"/>
                <w:spacing w:val="-1"/>
                <w:sz w:val="18"/>
              </w:rPr>
              <w:t>1,155,927</w:t>
            </w: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287"/>
              <w:jc w:val="right"/>
              <w:rPr>
                <w:rFonts w:ascii="Arial" w:hAnsi="Arial" w:cs="Arial" w:eastAsia="Arial" w:hint="default"/>
                <w:sz w:val="18"/>
                <w:szCs w:val="18"/>
              </w:rPr>
            </w:pPr>
            <w:r>
              <w:rPr>
                <w:rFonts w:ascii="Arial"/>
                <w:spacing w:val="-1"/>
                <w:sz w:val="18"/>
              </w:rPr>
              <w:t>916,717</w:t>
            </w:r>
          </w:p>
        </w:tc>
        <w:tc>
          <w:tcPr>
            <w:tcW w:w="134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330"/>
              <w:jc w:val="right"/>
              <w:rPr>
                <w:rFonts w:ascii="Arial" w:hAnsi="Arial" w:cs="Arial" w:eastAsia="Arial" w:hint="default"/>
                <w:sz w:val="18"/>
                <w:szCs w:val="18"/>
              </w:rPr>
            </w:pPr>
            <w:r>
              <w:rPr>
                <w:rFonts w:ascii="Arial"/>
                <w:w w:val="99"/>
                <w:sz w:val="18"/>
              </w:rPr>
              <w:t>-</w:t>
            </w:r>
            <w:r>
              <w:rPr>
                <w:rFonts w:ascii="Arial"/>
                <w:sz w:val="18"/>
              </w:rPr>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272"/>
              <w:jc w:val="right"/>
              <w:rPr>
                <w:rFonts w:ascii="Arial" w:hAnsi="Arial" w:cs="Arial" w:eastAsia="Arial" w:hint="default"/>
                <w:sz w:val="18"/>
                <w:szCs w:val="18"/>
              </w:rPr>
            </w:pPr>
            <w:r>
              <w:rPr>
                <w:rFonts w:ascii="Arial"/>
                <w:spacing w:val="-1"/>
                <w:sz w:val="18"/>
              </w:rPr>
              <w:t>(322,018)</w:t>
            </w:r>
          </w:p>
        </w:tc>
        <w:tc>
          <w:tcPr>
            <w:tcW w:w="127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1,750,626</w:t>
            </w:r>
          </w:p>
        </w:tc>
      </w:tr>
      <w:tr>
        <w:trPr>
          <w:trHeight w:val="323" w:hRule="exact"/>
        </w:trPr>
        <w:tc>
          <w:tcPr>
            <w:tcW w:w="738" w:type="dxa"/>
            <w:tcBorders>
              <w:top w:val="nil" w:sz="6" w:space="0" w:color="auto"/>
              <w:left w:val="nil" w:sz="6" w:space="0" w:color="auto"/>
              <w:bottom w:val="nil" w:sz="6" w:space="0" w:color="auto"/>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339"/>
              <w:jc w:val="right"/>
              <w:rPr>
                <w:rFonts w:ascii="Arial" w:hAnsi="Arial" w:cs="Arial" w:eastAsia="Arial" w:hint="default"/>
                <w:sz w:val="18"/>
                <w:szCs w:val="18"/>
              </w:rPr>
            </w:pPr>
            <w:r>
              <w:rPr>
                <w:rFonts w:ascii="Arial"/>
                <w:spacing w:val="-1"/>
                <w:sz w:val="18"/>
              </w:rPr>
              <w:t>1,155,927</w:t>
            </w:r>
          </w:p>
        </w:tc>
        <w:tc>
          <w:tcPr>
            <w:tcW w:w="156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287"/>
              <w:jc w:val="right"/>
              <w:rPr>
                <w:rFonts w:ascii="Arial" w:hAnsi="Arial" w:cs="Arial" w:eastAsia="Arial" w:hint="default"/>
                <w:sz w:val="18"/>
                <w:szCs w:val="18"/>
              </w:rPr>
            </w:pPr>
            <w:r>
              <w:rPr>
                <w:rFonts w:ascii="Arial"/>
                <w:spacing w:val="-1"/>
                <w:sz w:val="18"/>
              </w:rPr>
              <w:t>916,717</w:t>
            </w:r>
          </w:p>
        </w:tc>
        <w:tc>
          <w:tcPr>
            <w:tcW w:w="134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330"/>
              <w:jc w:val="right"/>
              <w:rPr>
                <w:rFonts w:ascii="Arial" w:hAnsi="Arial" w:cs="Arial" w:eastAsia="Arial" w:hint="default"/>
                <w:sz w:val="18"/>
                <w:szCs w:val="18"/>
              </w:rPr>
            </w:pPr>
            <w:r>
              <w:rPr>
                <w:rFonts w:ascii="Arial"/>
                <w:w w:val="99"/>
                <w:sz w:val="18"/>
              </w:rPr>
              <w:t>-</w:t>
            </w:r>
            <w:r>
              <w:rPr>
                <w:rFonts w:ascii="Arial"/>
                <w:sz w:val="18"/>
              </w:rPr>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272"/>
              <w:jc w:val="right"/>
              <w:rPr>
                <w:rFonts w:ascii="Arial" w:hAnsi="Arial" w:cs="Arial" w:eastAsia="Arial" w:hint="default"/>
                <w:sz w:val="18"/>
                <w:szCs w:val="18"/>
              </w:rPr>
            </w:pPr>
            <w:r>
              <w:rPr>
                <w:rFonts w:ascii="Arial"/>
                <w:spacing w:val="-1"/>
                <w:sz w:val="18"/>
              </w:rPr>
              <w:t>(322,018)</w:t>
            </w:r>
          </w:p>
        </w:tc>
        <w:tc>
          <w:tcPr>
            <w:tcW w:w="1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8"/>
                <w:szCs w:val="18"/>
              </w:rPr>
            </w:pPr>
            <w:r>
              <w:rPr>
                <w:rFonts w:ascii="Arial"/>
                <w:spacing w:val="-1"/>
                <w:sz w:val="18"/>
              </w:rPr>
              <w:t>1,750,626</w:t>
            </w:r>
          </w:p>
        </w:tc>
      </w:tr>
      <w:tr>
        <w:trPr>
          <w:trHeight w:val="620" w:hRule="exact"/>
        </w:trPr>
        <w:tc>
          <w:tcPr>
            <w:tcW w:w="738"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Arial" w:hAnsi="Arial" w:cs="Arial" w:eastAsia="Arial" w:hint="default"/>
                <w:sz w:val="26"/>
                <w:szCs w:val="2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292"/>
              <w:jc w:val="right"/>
              <w:rPr>
                <w:rFonts w:ascii="Arial" w:hAnsi="Arial" w:cs="Arial" w:eastAsia="Arial" w:hint="default"/>
                <w:sz w:val="18"/>
                <w:szCs w:val="18"/>
              </w:rPr>
            </w:pPr>
            <w:r>
              <w:rPr>
                <w:rFonts w:ascii="Arial"/>
                <w:spacing w:val="-1"/>
                <w:sz w:val="18"/>
              </w:rPr>
              <w:t>(141,870)</w:t>
            </w:r>
          </w:p>
        </w:tc>
        <w:tc>
          <w:tcPr>
            <w:tcW w:w="15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225"/>
              <w:jc w:val="right"/>
              <w:rPr>
                <w:rFonts w:ascii="Arial" w:hAnsi="Arial" w:cs="Arial" w:eastAsia="Arial" w:hint="default"/>
                <w:sz w:val="18"/>
                <w:szCs w:val="18"/>
              </w:rPr>
            </w:pPr>
            <w:r>
              <w:rPr>
                <w:rFonts w:ascii="Arial"/>
                <w:spacing w:val="-1"/>
                <w:sz w:val="18"/>
              </w:rPr>
              <w:t>(47,780)</w:t>
            </w:r>
          </w:p>
        </w:tc>
        <w:tc>
          <w:tcPr>
            <w:tcW w:w="134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296"/>
              <w:jc w:val="right"/>
              <w:rPr>
                <w:rFonts w:ascii="Arial" w:hAnsi="Arial" w:cs="Arial" w:eastAsia="Arial" w:hint="default"/>
                <w:sz w:val="18"/>
                <w:szCs w:val="18"/>
              </w:rPr>
            </w:pPr>
            <w:r>
              <w:rPr>
                <w:rFonts w:ascii="Arial"/>
                <w:spacing w:val="-1"/>
                <w:sz w:val="18"/>
              </w:rPr>
              <w:t>(44,250)</w:t>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333"/>
              <w:jc w:val="right"/>
              <w:rPr>
                <w:rFonts w:ascii="Arial" w:hAnsi="Arial" w:cs="Arial" w:eastAsia="Arial" w:hint="default"/>
                <w:sz w:val="18"/>
                <w:szCs w:val="18"/>
              </w:rPr>
            </w:pPr>
            <w:r>
              <w:rPr>
                <w:rFonts w:ascii="Arial"/>
                <w:spacing w:val="-1"/>
                <w:sz w:val="18"/>
              </w:rPr>
              <w:t>69,950</w:t>
            </w:r>
          </w:p>
        </w:tc>
        <w:tc>
          <w:tcPr>
            <w:tcW w:w="127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45"/>
              <w:jc w:val="right"/>
              <w:rPr>
                <w:rFonts w:ascii="Arial" w:hAnsi="Arial" w:cs="Arial" w:eastAsia="Arial" w:hint="default"/>
                <w:sz w:val="18"/>
                <w:szCs w:val="18"/>
              </w:rPr>
            </w:pPr>
            <w:r>
              <w:rPr>
                <w:rFonts w:ascii="Arial"/>
                <w:spacing w:val="-1"/>
                <w:sz w:val="18"/>
              </w:rPr>
              <w:t>(163,950)</w:t>
            </w:r>
          </w:p>
        </w:tc>
      </w:tr>
      <w:tr>
        <w:trPr>
          <w:trHeight w:val="324" w:hRule="exact"/>
        </w:trPr>
        <w:tc>
          <w:tcPr>
            <w:tcW w:w="738" w:type="dxa"/>
            <w:tcBorders>
              <w:top w:val="nil" w:sz="6" w:space="0" w:color="auto"/>
              <w:left w:val="nil" w:sz="6" w:space="0" w:color="auto"/>
              <w:bottom w:val="nil" w:sz="6" w:space="0" w:color="auto"/>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292"/>
              <w:jc w:val="right"/>
              <w:rPr>
                <w:rFonts w:ascii="Arial" w:hAnsi="Arial" w:cs="Arial" w:eastAsia="Arial" w:hint="default"/>
                <w:sz w:val="18"/>
                <w:szCs w:val="18"/>
              </w:rPr>
            </w:pPr>
            <w:r>
              <w:rPr>
                <w:rFonts w:ascii="Arial"/>
                <w:spacing w:val="-1"/>
                <w:sz w:val="18"/>
              </w:rPr>
              <w:t>(141,870)</w:t>
            </w:r>
          </w:p>
        </w:tc>
        <w:tc>
          <w:tcPr>
            <w:tcW w:w="156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225"/>
              <w:jc w:val="right"/>
              <w:rPr>
                <w:rFonts w:ascii="Arial" w:hAnsi="Arial" w:cs="Arial" w:eastAsia="Arial" w:hint="default"/>
                <w:sz w:val="18"/>
                <w:szCs w:val="18"/>
              </w:rPr>
            </w:pPr>
            <w:r>
              <w:rPr>
                <w:rFonts w:ascii="Arial"/>
                <w:spacing w:val="-1"/>
                <w:sz w:val="18"/>
              </w:rPr>
              <w:t>(47,780)</w:t>
            </w:r>
          </w:p>
        </w:tc>
        <w:tc>
          <w:tcPr>
            <w:tcW w:w="1347"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296"/>
              <w:jc w:val="right"/>
              <w:rPr>
                <w:rFonts w:ascii="Arial" w:hAnsi="Arial" w:cs="Arial" w:eastAsia="Arial" w:hint="default"/>
                <w:sz w:val="18"/>
                <w:szCs w:val="18"/>
              </w:rPr>
            </w:pPr>
            <w:r>
              <w:rPr>
                <w:rFonts w:ascii="Arial"/>
                <w:spacing w:val="-1"/>
                <w:sz w:val="18"/>
              </w:rPr>
              <w:t>(44,250)</w:t>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33"/>
              <w:jc w:val="right"/>
              <w:rPr>
                <w:rFonts w:ascii="Arial" w:hAnsi="Arial" w:cs="Arial" w:eastAsia="Arial" w:hint="default"/>
                <w:sz w:val="18"/>
                <w:szCs w:val="18"/>
              </w:rPr>
            </w:pPr>
            <w:r>
              <w:rPr>
                <w:rFonts w:ascii="Arial"/>
                <w:spacing w:val="-1"/>
                <w:sz w:val="18"/>
              </w:rPr>
              <w:t>69,950</w:t>
            </w:r>
          </w:p>
        </w:tc>
        <w:tc>
          <w:tcPr>
            <w:tcW w:w="1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40"/>
              <w:jc w:val="right"/>
              <w:rPr>
                <w:rFonts w:ascii="Arial" w:hAnsi="Arial" w:cs="Arial" w:eastAsia="Arial" w:hint="default"/>
                <w:sz w:val="18"/>
                <w:szCs w:val="18"/>
              </w:rPr>
            </w:pPr>
            <w:r>
              <w:rPr>
                <w:rFonts w:ascii="Arial"/>
                <w:spacing w:val="-1"/>
                <w:sz w:val="18"/>
              </w:rPr>
              <w:t>(163,950)</w:t>
            </w:r>
          </w:p>
        </w:tc>
      </w:tr>
      <w:tr>
        <w:trPr>
          <w:trHeight w:val="653" w:hRule="exact"/>
        </w:trPr>
        <w:tc>
          <w:tcPr>
            <w:tcW w:w="738"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Arial" w:hAnsi="Arial" w:cs="Arial" w:eastAsia="Arial"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账面净值合计</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right="339"/>
              <w:jc w:val="right"/>
              <w:rPr>
                <w:rFonts w:ascii="Arial" w:hAnsi="Arial" w:cs="Arial" w:eastAsia="Arial" w:hint="default"/>
                <w:sz w:val="18"/>
                <w:szCs w:val="18"/>
              </w:rPr>
            </w:pPr>
            <w:r>
              <w:rPr>
                <w:rFonts w:ascii="Arial"/>
                <w:spacing w:val="-1"/>
                <w:sz w:val="18"/>
              </w:rPr>
              <w:t>1,014,057</w:t>
            </w:r>
          </w:p>
        </w:tc>
        <w:tc>
          <w:tcPr>
            <w:tcW w:w="15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right="287"/>
              <w:jc w:val="right"/>
              <w:rPr>
                <w:rFonts w:ascii="Arial" w:hAnsi="Arial" w:cs="Arial" w:eastAsia="Arial" w:hint="default"/>
                <w:sz w:val="18"/>
                <w:szCs w:val="18"/>
              </w:rPr>
            </w:pPr>
            <w:r>
              <w:rPr>
                <w:rFonts w:ascii="Arial"/>
                <w:w w:val="99"/>
                <w:sz w:val="18"/>
              </w:rPr>
              <w:t>-</w:t>
            </w:r>
            <w:r>
              <w:rPr>
                <w:rFonts w:ascii="Arial"/>
                <w:sz w:val="18"/>
              </w:rPr>
            </w:r>
          </w:p>
        </w:tc>
        <w:tc>
          <w:tcPr>
            <w:tcW w:w="134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right="330"/>
              <w:jc w:val="right"/>
              <w:rPr>
                <w:rFonts w:ascii="Arial" w:hAnsi="Arial" w:cs="Arial" w:eastAsia="Arial" w:hint="default"/>
                <w:sz w:val="18"/>
                <w:szCs w:val="18"/>
              </w:rPr>
            </w:pPr>
            <w:r>
              <w:rPr>
                <w:rFonts w:ascii="Arial"/>
                <w:w w:val="99"/>
                <w:sz w:val="18"/>
              </w:rPr>
              <w:t>-</w:t>
            </w:r>
            <w:r>
              <w:rPr>
                <w:rFonts w:ascii="Arial"/>
                <w:sz w:val="18"/>
              </w:rPr>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right="332"/>
              <w:jc w:val="right"/>
              <w:rPr>
                <w:rFonts w:ascii="Arial" w:hAnsi="Arial" w:cs="Arial" w:eastAsia="Arial" w:hint="default"/>
                <w:sz w:val="18"/>
                <w:szCs w:val="18"/>
              </w:rPr>
            </w:pPr>
            <w:r>
              <w:rPr>
                <w:rFonts w:ascii="Arial"/>
                <w:w w:val="99"/>
                <w:sz w:val="18"/>
              </w:rPr>
              <w:t>-</w:t>
            </w:r>
            <w:r>
              <w:rPr>
                <w:rFonts w:ascii="Arial"/>
                <w:sz w:val="18"/>
              </w:rPr>
            </w:r>
          </w:p>
        </w:tc>
        <w:tc>
          <w:tcPr>
            <w:tcW w:w="127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1,586,676</w:t>
            </w:r>
          </w:p>
        </w:tc>
      </w:tr>
      <w:tr>
        <w:trPr>
          <w:trHeight w:val="366" w:hRule="exact"/>
        </w:trPr>
        <w:tc>
          <w:tcPr>
            <w:tcW w:w="738" w:type="dxa"/>
            <w:tcBorders>
              <w:top w:val="nil" w:sz="6" w:space="0" w:color="auto"/>
              <w:left w:val="nil" w:sz="6" w:space="0" w:color="auto"/>
              <w:bottom w:val="nil" w:sz="6" w:space="0" w:color="auto"/>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339"/>
              <w:jc w:val="right"/>
              <w:rPr>
                <w:rFonts w:ascii="Arial" w:hAnsi="Arial" w:cs="Arial" w:eastAsia="Arial" w:hint="default"/>
                <w:sz w:val="18"/>
                <w:szCs w:val="18"/>
              </w:rPr>
            </w:pPr>
            <w:r>
              <w:rPr>
                <w:rFonts w:ascii="Arial"/>
                <w:spacing w:val="-1"/>
                <w:sz w:val="18"/>
              </w:rPr>
              <w:t>1,014,057</w:t>
            </w:r>
          </w:p>
        </w:tc>
        <w:tc>
          <w:tcPr>
            <w:tcW w:w="1564"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287"/>
              <w:jc w:val="right"/>
              <w:rPr>
                <w:rFonts w:ascii="Arial" w:hAnsi="Arial" w:cs="Arial" w:eastAsia="Arial" w:hint="default"/>
                <w:sz w:val="18"/>
                <w:szCs w:val="18"/>
              </w:rPr>
            </w:pPr>
            <w:r>
              <w:rPr>
                <w:rFonts w:ascii="Arial"/>
                <w:w w:val="99"/>
                <w:sz w:val="18"/>
              </w:rPr>
              <w:t>-</w:t>
            </w:r>
            <w:r>
              <w:rPr>
                <w:rFonts w:ascii="Arial"/>
                <w:sz w:val="18"/>
              </w:rPr>
            </w:r>
          </w:p>
        </w:tc>
        <w:tc>
          <w:tcPr>
            <w:tcW w:w="1347"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330"/>
              <w:jc w:val="right"/>
              <w:rPr>
                <w:rFonts w:ascii="Arial" w:hAnsi="Arial" w:cs="Arial" w:eastAsia="Arial" w:hint="default"/>
                <w:sz w:val="18"/>
                <w:szCs w:val="18"/>
              </w:rPr>
            </w:pPr>
            <w:r>
              <w:rPr>
                <w:rFonts w:ascii="Arial"/>
                <w:w w:val="99"/>
                <w:sz w:val="18"/>
              </w:rPr>
              <w:t>-</w:t>
            </w:r>
            <w:r>
              <w:rPr>
                <w:rFonts w:ascii="Arial"/>
                <w:sz w:val="18"/>
              </w:rPr>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332"/>
              <w:jc w:val="right"/>
              <w:rPr>
                <w:rFonts w:ascii="Arial" w:hAnsi="Arial" w:cs="Arial" w:eastAsia="Arial" w:hint="default"/>
                <w:sz w:val="18"/>
                <w:szCs w:val="18"/>
              </w:rPr>
            </w:pPr>
            <w:r>
              <w:rPr>
                <w:rFonts w:ascii="Arial"/>
                <w:w w:val="99"/>
                <w:sz w:val="18"/>
              </w:rPr>
              <w:t>-</w:t>
            </w:r>
            <w:r>
              <w:rPr>
                <w:rFonts w:ascii="Arial"/>
                <w:sz w:val="18"/>
              </w:rPr>
            </w:r>
          </w:p>
        </w:tc>
        <w:tc>
          <w:tcPr>
            <w:tcW w:w="1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101"/>
              <w:jc w:val="right"/>
              <w:rPr>
                <w:rFonts w:ascii="Arial" w:hAnsi="Arial" w:cs="Arial" w:eastAsia="Arial" w:hint="default"/>
                <w:sz w:val="18"/>
                <w:szCs w:val="18"/>
              </w:rPr>
            </w:pPr>
            <w:r>
              <w:rPr>
                <w:rFonts w:ascii="Arial"/>
                <w:spacing w:val="-1"/>
                <w:sz w:val="18"/>
              </w:rPr>
              <w:t>1,586,676</w:t>
            </w:r>
          </w:p>
        </w:tc>
      </w:tr>
      <w:tr>
        <w:trPr>
          <w:trHeight w:val="1143" w:hRule="exact"/>
        </w:trPr>
        <w:tc>
          <w:tcPr>
            <w:tcW w:w="738" w:type="dxa"/>
            <w:tcBorders>
              <w:top w:val="nil" w:sz="6" w:space="0" w:color="auto"/>
              <w:left w:val="nil" w:sz="6" w:space="0" w:color="auto"/>
              <w:bottom w:val="nil" w:sz="6" w:space="0" w:color="auto"/>
              <w:right w:val="nil" w:sz="6" w:space="0" w:color="auto"/>
            </w:tcBorders>
          </w:tcPr>
          <w:p>
            <w:pPr/>
          </w:p>
        </w:tc>
        <w:tc>
          <w:tcPr>
            <w:tcW w:w="8996"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5"/>
                <w:szCs w:val="25"/>
              </w:rPr>
            </w:pPr>
          </w:p>
          <w:p>
            <w:pPr>
              <w:pStyle w:val="TableParagraph"/>
              <w:spacing w:line="321" w:lineRule="exact"/>
              <w:ind w:left="108" w:right="0"/>
              <w:jc w:val="left"/>
              <w:rPr>
                <w:rFonts w:ascii="宋体" w:hAnsi="宋体" w:cs="宋体" w:eastAsia="宋体" w:hint="default"/>
                <w:sz w:val="24"/>
                <w:szCs w:val="24"/>
              </w:rPr>
            </w:pPr>
            <w:r>
              <w:rPr>
                <w:rFonts w:ascii="Arial" w:hAnsi="Arial" w:cs="Arial" w:eastAsia="Arial" w:hint="default"/>
                <w:sz w:val="24"/>
                <w:szCs w:val="24"/>
              </w:rPr>
              <w:t>2015 </w:t>
            </w:r>
            <w:r>
              <w:rPr>
                <w:rFonts w:ascii="宋体" w:hAnsi="宋体" w:cs="宋体" w:eastAsia="宋体" w:hint="default"/>
                <w:sz w:val="24"/>
                <w:szCs w:val="24"/>
              </w:rPr>
              <w:t>年度投资性房地产计提折旧金额约为人民币 </w:t>
            </w:r>
            <w:r>
              <w:rPr>
                <w:rFonts w:ascii="Arial" w:hAnsi="Arial" w:cs="Arial" w:eastAsia="Arial" w:hint="default"/>
                <w:sz w:val="24"/>
                <w:szCs w:val="24"/>
              </w:rPr>
              <w:t>4,425 </w:t>
            </w:r>
            <w:r>
              <w:rPr>
                <w:rFonts w:ascii="宋体" w:hAnsi="宋体" w:cs="宋体" w:eastAsia="宋体" w:hint="default"/>
                <w:sz w:val="24"/>
                <w:szCs w:val="24"/>
              </w:rPr>
              <w:t>万元</w:t>
            </w:r>
            <w:r>
              <w:rPr>
                <w:rFonts w:ascii="Arial" w:hAnsi="Arial" w:cs="Arial" w:eastAsia="Arial" w:hint="default"/>
                <w:sz w:val="24"/>
                <w:szCs w:val="24"/>
              </w:rPr>
              <w:t>(2014</w:t>
            </w:r>
            <w:r>
              <w:rPr>
                <w:rFonts w:ascii="Arial" w:hAnsi="Arial" w:cs="Arial" w:eastAsia="Arial" w:hint="default"/>
                <w:spacing w:val="-16"/>
                <w:sz w:val="24"/>
                <w:szCs w:val="24"/>
              </w:rPr>
              <w:t> </w:t>
            </w:r>
            <w:r>
              <w:rPr>
                <w:rFonts w:ascii="宋体" w:hAnsi="宋体" w:cs="宋体" w:eastAsia="宋体" w:hint="default"/>
                <w:sz w:val="24"/>
                <w:szCs w:val="24"/>
              </w:rPr>
              <w:t>年度：约人民币</w:t>
            </w:r>
          </w:p>
          <w:p>
            <w:pPr>
              <w:pStyle w:val="TableParagraph"/>
              <w:spacing w:line="321" w:lineRule="exact"/>
              <w:ind w:left="108" w:right="0"/>
              <w:jc w:val="left"/>
              <w:rPr>
                <w:rFonts w:ascii="宋体" w:hAnsi="宋体" w:cs="宋体" w:eastAsia="宋体" w:hint="default"/>
                <w:sz w:val="24"/>
                <w:szCs w:val="24"/>
              </w:rPr>
            </w:pPr>
            <w:r>
              <w:rPr>
                <w:rFonts w:ascii="Arial" w:hAnsi="Arial" w:cs="Arial" w:eastAsia="Arial" w:hint="default"/>
                <w:sz w:val="24"/>
                <w:szCs w:val="24"/>
              </w:rPr>
              <w:t>2,367</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305" w:hRule="exact"/>
        </w:trPr>
        <w:tc>
          <w:tcPr>
            <w:tcW w:w="738" w:type="dxa"/>
            <w:tcBorders>
              <w:top w:val="nil" w:sz="6" w:space="0" w:color="auto"/>
              <w:left w:val="nil" w:sz="6" w:space="0" w:color="auto"/>
              <w:bottom w:val="nil" w:sz="6" w:space="0" w:color="auto"/>
              <w:right w:val="nil" w:sz="6" w:space="0" w:color="auto"/>
            </w:tcBorders>
          </w:tcPr>
          <w:p>
            <w:pPr/>
          </w:p>
        </w:tc>
        <w:tc>
          <w:tcPr>
            <w:tcW w:w="8996" w:type="dxa"/>
            <w:gridSpan w:val="6"/>
            <w:tcBorders>
              <w:top w:val="nil" w:sz="6" w:space="0" w:color="auto"/>
              <w:left w:val="nil" w:sz="6" w:space="0" w:color="auto"/>
              <w:bottom w:val="nil" w:sz="6" w:space="0" w:color="auto"/>
              <w:right w:val="nil" w:sz="6" w:space="0" w:color="auto"/>
            </w:tcBorders>
          </w:tcPr>
          <w:p>
            <w:pPr>
              <w:pStyle w:val="TableParagraph"/>
              <w:spacing w:line="232" w:lineRule="auto" w:before="147"/>
              <w:ind w:left="108" w:right="105"/>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9"/>
                <w:sz w:val="24"/>
                <w:szCs w:val="24"/>
              </w:rPr>
              <w:t> </w:t>
            </w:r>
            <w:r>
              <w:rPr>
                <w:rFonts w:ascii="Arial" w:hAnsi="Arial" w:cs="Arial" w:eastAsia="Arial" w:hint="default"/>
                <w:sz w:val="24"/>
                <w:szCs w:val="24"/>
              </w:rPr>
              <w:t>2015</w:t>
            </w:r>
            <w:r>
              <w:rPr>
                <w:rFonts w:ascii="Arial" w:hAnsi="Arial" w:cs="Arial" w:eastAsia="Arial" w:hint="default"/>
                <w:spacing w:val="4"/>
                <w:sz w:val="24"/>
                <w:szCs w:val="24"/>
              </w:rPr>
              <w:t> </w:t>
            </w:r>
            <w:r>
              <w:rPr>
                <w:rFonts w:ascii="宋体" w:hAnsi="宋体" w:cs="宋体" w:eastAsia="宋体" w:hint="default"/>
                <w:sz w:val="24"/>
                <w:szCs w:val="24"/>
              </w:rPr>
              <w:t>年度，本集团将账面价值约为人民币</w:t>
            </w:r>
            <w:r>
              <w:rPr>
                <w:rFonts w:ascii="宋体" w:hAnsi="宋体" w:cs="宋体" w:eastAsia="宋体" w:hint="default"/>
                <w:spacing w:val="-49"/>
                <w:sz w:val="24"/>
                <w:szCs w:val="24"/>
              </w:rPr>
              <w:t> </w:t>
            </w:r>
            <w:r>
              <w:rPr>
                <w:rFonts w:ascii="Arial" w:hAnsi="Arial" w:cs="Arial" w:eastAsia="Arial" w:hint="default"/>
                <w:sz w:val="24"/>
                <w:szCs w:val="24"/>
              </w:rPr>
              <w:t>2.52</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49"/>
                <w:sz w:val="24"/>
                <w:szCs w:val="24"/>
              </w:rPr>
              <w:t> </w:t>
            </w:r>
            <w:r>
              <w:rPr>
                <w:rFonts w:ascii="Arial" w:hAnsi="Arial" w:cs="Arial" w:eastAsia="Arial" w:hint="default"/>
                <w:sz w:val="24"/>
                <w:szCs w:val="24"/>
              </w:rPr>
              <w:t>3.22</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 </w:t>
            </w:r>
            <w:r>
              <w:rPr>
                <w:rFonts w:ascii="宋体" w:hAnsi="宋体" w:cs="宋体" w:eastAsia="宋体" w:hint="default"/>
                <w:spacing w:val="-3"/>
                <w:sz w:val="24"/>
                <w:szCs w:val="24"/>
              </w:rPr>
              <w:t>的房屋及建筑物改为自用，自改变用途之日起，将相应的投资性房地产转换为固定资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产核算。</w:t>
            </w:r>
          </w:p>
        </w:tc>
      </w:tr>
      <w:tr>
        <w:trPr>
          <w:trHeight w:val="1311" w:hRule="exact"/>
        </w:trPr>
        <w:tc>
          <w:tcPr>
            <w:tcW w:w="738" w:type="dxa"/>
            <w:tcBorders>
              <w:top w:val="nil" w:sz="6" w:space="0" w:color="auto"/>
              <w:left w:val="nil" w:sz="6" w:space="0" w:color="auto"/>
              <w:bottom w:val="nil" w:sz="6" w:space="0" w:color="auto"/>
              <w:right w:val="nil" w:sz="6" w:space="0" w:color="auto"/>
            </w:tcBorders>
          </w:tcPr>
          <w:p>
            <w:pPr/>
          </w:p>
        </w:tc>
        <w:tc>
          <w:tcPr>
            <w:tcW w:w="8996" w:type="dxa"/>
            <w:gridSpan w:val="6"/>
            <w:tcBorders>
              <w:top w:val="nil" w:sz="6" w:space="0" w:color="auto"/>
              <w:left w:val="nil" w:sz="6" w:space="0" w:color="auto"/>
              <w:bottom w:val="nil" w:sz="6" w:space="0" w:color="auto"/>
              <w:right w:val="nil" w:sz="6" w:space="0" w:color="auto"/>
            </w:tcBorders>
          </w:tcPr>
          <w:p>
            <w:pPr>
              <w:pStyle w:val="TableParagraph"/>
              <w:spacing w:line="232" w:lineRule="auto" w:before="163"/>
              <w:ind w:left="108" w:right="105"/>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9"/>
                <w:sz w:val="24"/>
                <w:szCs w:val="24"/>
              </w:rPr>
              <w:t> </w:t>
            </w:r>
            <w:r>
              <w:rPr>
                <w:rFonts w:ascii="Arial" w:hAnsi="Arial" w:cs="Arial" w:eastAsia="Arial" w:hint="default"/>
                <w:sz w:val="24"/>
                <w:szCs w:val="24"/>
              </w:rPr>
              <w:t>2015</w:t>
            </w:r>
            <w:r>
              <w:rPr>
                <w:rFonts w:ascii="Arial" w:hAnsi="Arial" w:cs="Arial" w:eastAsia="Arial" w:hint="default"/>
                <w:spacing w:val="4"/>
                <w:sz w:val="24"/>
                <w:szCs w:val="24"/>
              </w:rPr>
              <w:t> </w:t>
            </w:r>
            <w:r>
              <w:rPr>
                <w:rFonts w:ascii="宋体" w:hAnsi="宋体" w:cs="宋体" w:eastAsia="宋体" w:hint="default"/>
                <w:sz w:val="24"/>
                <w:szCs w:val="24"/>
              </w:rPr>
              <w:t>年度，本集团将账面价值约为人民币</w:t>
            </w:r>
            <w:r>
              <w:rPr>
                <w:rFonts w:ascii="宋体" w:hAnsi="宋体" w:cs="宋体" w:eastAsia="宋体" w:hint="default"/>
                <w:spacing w:val="-49"/>
                <w:sz w:val="24"/>
                <w:szCs w:val="24"/>
              </w:rPr>
              <w:t> </w:t>
            </w:r>
            <w:r>
              <w:rPr>
                <w:rFonts w:ascii="Arial" w:hAnsi="Arial" w:cs="Arial" w:eastAsia="Arial" w:hint="default"/>
                <w:sz w:val="24"/>
                <w:szCs w:val="24"/>
              </w:rPr>
              <w:t>8.69</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49"/>
                <w:sz w:val="24"/>
                <w:szCs w:val="24"/>
              </w:rPr>
              <w:t> </w:t>
            </w:r>
            <w:r>
              <w:rPr>
                <w:rFonts w:ascii="Arial" w:hAnsi="Arial" w:cs="Arial" w:eastAsia="Arial" w:hint="default"/>
                <w:sz w:val="24"/>
                <w:szCs w:val="24"/>
              </w:rPr>
              <w:t>9.17</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 </w:t>
            </w:r>
            <w:r>
              <w:rPr>
                <w:rFonts w:ascii="宋体" w:hAnsi="宋体" w:cs="宋体" w:eastAsia="宋体" w:hint="default"/>
                <w:spacing w:val="-3"/>
                <w:sz w:val="24"/>
                <w:szCs w:val="24"/>
              </w:rPr>
              <w:t>的房屋及建筑物改为出租，自改变用途之日起，将相应的固定资产转换为投资性房地</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产核算。</w:t>
            </w:r>
          </w:p>
        </w:tc>
      </w:tr>
      <w:tr>
        <w:trPr>
          <w:trHeight w:val="782" w:hRule="exact"/>
        </w:trPr>
        <w:tc>
          <w:tcPr>
            <w:tcW w:w="738" w:type="dxa"/>
            <w:tcBorders>
              <w:top w:val="nil" w:sz="6" w:space="0" w:color="auto"/>
              <w:left w:val="nil" w:sz="6" w:space="0" w:color="auto"/>
              <w:bottom w:val="nil" w:sz="6" w:space="0" w:color="auto"/>
              <w:right w:val="nil" w:sz="6" w:space="0" w:color="auto"/>
            </w:tcBorders>
          </w:tcPr>
          <w:p>
            <w:pPr/>
          </w:p>
        </w:tc>
        <w:tc>
          <w:tcPr>
            <w:tcW w:w="8996" w:type="dxa"/>
            <w:gridSpan w:val="6"/>
            <w:tcBorders>
              <w:top w:val="nil" w:sz="6" w:space="0" w:color="auto"/>
              <w:left w:val="nil" w:sz="6" w:space="0" w:color="auto"/>
              <w:bottom w:val="nil" w:sz="6" w:space="0" w:color="auto"/>
              <w:right w:val="nil" w:sz="6" w:space="0" w:color="auto"/>
            </w:tcBorders>
          </w:tcPr>
          <w:p>
            <w:pPr>
              <w:pStyle w:val="TableParagraph"/>
              <w:spacing w:line="321" w:lineRule="exact" w:before="145"/>
              <w:ind w:left="108"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44"/>
                <w:sz w:val="24"/>
                <w:szCs w:val="24"/>
              </w:rPr>
              <w:t> </w:t>
            </w: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日，本集团账面价值约人民币</w:t>
            </w:r>
            <w:r>
              <w:rPr>
                <w:rFonts w:ascii="宋体" w:hAnsi="宋体" w:cs="宋体" w:eastAsia="宋体" w:hint="default"/>
                <w:spacing w:val="-44"/>
                <w:sz w:val="24"/>
                <w:szCs w:val="24"/>
              </w:rPr>
              <w:t> </w:t>
            </w:r>
            <w:r>
              <w:rPr>
                <w:rFonts w:ascii="Arial" w:hAnsi="Arial" w:cs="Arial" w:eastAsia="Arial" w:hint="default"/>
                <w:sz w:val="24"/>
                <w:szCs w:val="24"/>
              </w:rPr>
              <w:t>2.22</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44"/>
                <w:sz w:val="24"/>
                <w:szCs w:val="24"/>
              </w:rPr>
              <w:t> </w:t>
            </w:r>
            <w:r>
              <w:rPr>
                <w:rFonts w:ascii="Arial" w:hAnsi="Arial" w:cs="Arial" w:eastAsia="Arial" w:hint="default"/>
                <w:sz w:val="24"/>
                <w:szCs w:val="24"/>
              </w:rPr>
              <w:t>2.24</w:t>
            </w:r>
          </w:p>
          <w:p>
            <w:pPr>
              <w:pStyle w:val="TableParagraph"/>
              <w:spacing w:line="321" w:lineRule="exact"/>
              <w:ind w:left="108"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的投资性房地产未办妥房产权证。</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4"/>
          <w:szCs w:val="24"/>
        </w:rPr>
      </w:pPr>
    </w:p>
    <w:p>
      <w:pPr>
        <w:spacing w:before="76"/>
        <w:ind w:left="0" w:right="1437" w:firstLine="0"/>
        <w:jc w:val="right"/>
        <w:rPr>
          <w:rFonts w:ascii="Times New Roman" w:hAnsi="Times New Roman" w:cs="Times New Roman" w:eastAsia="Times New Roman" w:hint="default"/>
          <w:sz w:val="18"/>
          <w:szCs w:val="18"/>
        </w:rPr>
      </w:pPr>
      <w:r>
        <w:rPr>
          <w:rFonts w:ascii="Times New Roman"/>
          <w:sz w:val="18"/>
        </w:rPr>
        <w:t>168</w:t>
      </w:r>
    </w:p>
    <w:p>
      <w:pPr>
        <w:spacing w:after="0"/>
        <w:jc w:val="right"/>
        <w:rPr>
          <w:rFonts w:ascii="Times New Roman" w:hAnsi="Times New Roman" w:cs="Times New Roman" w:eastAsia="Times New Roman" w:hint="default"/>
          <w:sz w:val="18"/>
          <w:szCs w:val="18"/>
        </w:rPr>
        <w:sectPr>
          <w:headerReference w:type="default" r:id="rId49"/>
          <w:footerReference w:type="default" r:id="rId50"/>
          <w:pgSz w:w="11910" w:h="16840"/>
          <w:pgMar w:header="0" w:footer="570" w:top="660" w:bottom="760" w:left="138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806"/>
        <w:gridCol w:w="3271"/>
        <w:gridCol w:w="1575"/>
        <w:gridCol w:w="1571"/>
        <w:gridCol w:w="1788"/>
        <w:gridCol w:w="1717"/>
        <w:gridCol w:w="1486"/>
        <w:gridCol w:w="1496"/>
      </w:tblGrid>
      <w:tr>
        <w:trPr>
          <w:trHeight w:val="391"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71"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7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531"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Arial" w:hAnsi="Arial" w:cs="Arial" w:eastAsia="Arial" w:hint="default"/>
                <w:sz w:val="24"/>
                <w:szCs w:val="24"/>
              </w:rPr>
            </w:pPr>
            <w:r>
              <w:rPr>
                <w:rFonts w:ascii="Arial"/>
                <w:sz w:val="24"/>
              </w:rPr>
              <w:t>(14)</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8" w:right="0"/>
              <w:jc w:val="left"/>
              <w:rPr>
                <w:rFonts w:ascii="黑体" w:hAnsi="黑体" w:cs="黑体" w:eastAsia="黑体" w:hint="default"/>
                <w:sz w:val="24"/>
                <w:szCs w:val="24"/>
              </w:rPr>
            </w:pPr>
            <w:r>
              <w:rPr>
                <w:rFonts w:ascii="黑体" w:hAnsi="黑体" w:cs="黑体" w:eastAsia="黑体" w:hint="default"/>
                <w:sz w:val="24"/>
                <w:szCs w:val="24"/>
              </w:rPr>
              <w:t>固定资产</w:t>
            </w:r>
          </w:p>
        </w:tc>
        <w:tc>
          <w:tcPr>
            <w:tcW w:w="157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56" w:hRule="exact"/>
        </w:trPr>
        <w:tc>
          <w:tcPr>
            <w:tcW w:w="806"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7"/>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7"/>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1"/>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244" w:hRule="exact"/>
        </w:trPr>
        <w:tc>
          <w:tcPr>
            <w:tcW w:w="806"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single" w:sz="4" w:space="0" w:color="000000"/>
              <w:right w:val="nil" w:sz="6" w:space="0" w:color="auto"/>
            </w:tcBorders>
          </w:tcPr>
          <w:p>
            <w:pPr>
              <w:pStyle w:val="TableParagraph"/>
              <w:spacing w:line="212" w:lineRule="exact"/>
              <w:ind w:left="108" w:right="0"/>
              <w:jc w:val="left"/>
              <w:rPr>
                <w:rFonts w:ascii="宋体" w:hAnsi="宋体" w:cs="宋体" w:eastAsia="宋体" w:hint="default"/>
                <w:sz w:val="18"/>
                <w:szCs w:val="18"/>
              </w:rPr>
            </w:pPr>
            <w:r>
              <w:rPr>
                <w:rFonts w:ascii="宋体" w:hAnsi="宋体" w:cs="宋体" w:eastAsia="宋体" w:hint="default"/>
                <w:sz w:val="18"/>
                <w:szCs w:val="18"/>
              </w:rPr>
              <w:t>原价</w:t>
            </w:r>
          </w:p>
        </w:tc>
        <w:tc>
          <w:tcPr>
            <w:tcW w:w="1575" w:type="dxa"/>
            <w:tcBorders>
              <w:top w:val="nil" w:sz="6" w:space="0" w:color="auto"/>
              <w:left w:val="nil" w:sz="6" w:space="0" w:color="auto"/>
              <w:bottom w:val="single" w:sz="4" w:space="0" w:color="000000"/>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
        </w:tc>
        <w:tc>
          <w:tcPr>
            <w:tcW w:w="1717" w:type="dxa"/>
            <w:tcBorders>
              <w:top w:val="nil" w:sz="6" w:space="0" w:color="auto"/>
              <w:left w:val="nil" w:sz="6" w:space="0" w:color="auto"/>
              <w:bottom w:val="single" w:sz="4" w:space="0" w:color="000000"/>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
        </w:tc>
      </w:tr>
      <w:tr>
        <w:trPr>
          <w:trHeight w:val="254"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single" w:sz="4" w:space="0" w:color="000000"/>
              <w:left w:val="single" w:sz="4" w:space="0" w:color="000000"/>
              <w:bottom w:val="nil" w:sz="6" w:space="0" w:color="auto"/>
              <w:right w:val="nil" w:sz="6" w:space="0" w:color="auto"/>
            </w:tcBorders>
          </w:tcPr>
          <w:p>
            <w:pPr>
              <w:pStyle w:val="TableParagraph"/>
              <w:spacing w:line="219" w:lineRule="exact"/>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21" w:right="0"/>
              <w:jc w:val="left"/>
              <w:rPr>
                <w:rFonts w:ascii="Arial" w:hAnsi="Arial" w:cs="Arial" w:eastAsia="Arial" w:hint="default"/>
                <w:sz w:val="18"/>
                <w:szCs w:val="18"/>
              </w:rPr>
            </w:pPr>
            <w:r>
              <w:rPr>
                <w:rFonts w:ascii="Arial"/>
                <w:sz w:val="18"/>
              </w:rPr>
              <w:t>12,073,737</w:t>
            </w: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411" w:right="0"/>
              <w:jc w:val="left"/>
              <w:rPr>
                <w:rFonts w:ascii="Arial" w:hAnsi="Arial" w:cs="Arial" w:eastAsia="Arial" w:hint="default"/>
                <w:sz w:val="18"/>
                <w:szCs w:val="18"/>
              </w:rPr>
            </w:pPr>
            <w:r>
              <w:rPr>
                <w:rFonts w:ascii="Arial"/>
                <w:sz w:val="18"/>
              </w:rPr>
              <w:t>255,983</w:t>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564" w:right="0"/>
              <w:jc w:val="left"/>
              <w:rPr>
                <w:rFonts w:ascii="Arial" w:hAnsi="Arial" w:cs="Arial" w:eastAsia="Arial" w:hint="default"/>
                <w:sz w:val="18"/>
                <w:szCs w:val="18"/>
              </w:rPr>
            </w:pPr>
            <w:r>
              <w:rPr>
                <w:rFonts w:ascii="Arial"/>
                <w:sz w:val="18"/>
              </w:rPr>
              <w:t>196,434</w:t>
            </w:r>
          </w:p>
        </w:tc>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330"/>
              <w:jc w:val="right"/>
              <w:rPr>
                <w:rFonts w:ascii="Arial" w:hAnsi="Arial" w:cs="Arial" w:eastAsia="Arial" w:hint="default"/>
                <w:sz w:val="18"/>
                <w:szCs w:val="18"/>
              </w:rPr>
            </w:pPr>
            <w:r>
              <w:rPr>
                <w:rFonts w:ascii="Arial"/>
                <w:spacing w:val="-1"/>
                <w:sz w:val="18"/>
              </w:rPr>
              <w:t>1,491,870</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485"/>
              <w:jc w:val="right"/>
              <w:rPr>
                <w:rFonts w:ascii="Arial" w:hAnsi="Arial" w:cs="Arial" w:eastAsia="Arial" w:hint="default"/>
                <w:sz w:val="18"/>
                <w:szCs w:val="18"/>
              </w:rPr>
            </w:pPr>
            <w:r>
              <w:rPr>
                <w:rFonts w:ascii="Arial"/>
                <w:spacing w:val="-1"/>
                <w:sz w:val="18"/>
              </w:rPr>
              <w:t>828,033</w:t>
            </w:r>
          </w:p>
        </w:tc>
        <w:tc>
          <w:tcPr>
            <w:tcW w:w="1496"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418" w:right="0"/>
              <w:jc w:val="left"/>
              <w:rPr>
                <w:rFonts w:ascii="Arial" w:hAnsi="Arial" w:cs="Arial" w:eastAsia="Arial" w:hint="default"/>
                <w:sz w:val="18"/>
                <w:szCs w:val="18"/>
              </w:rPr>
            </w:pPr>
            <w:r>
              <w:rPr>
                <w:rFonts w:ascii="Arial"/>
                <w:sz w:val="18"/>
              </w:rPr>
              <w:t>14,846,057</w:t>
            </w:r>
          </w:p>
        </w:tc>
      </w:tr>
      <w:tr>
        <w:trPr>
          <w:trHeight w:val="232"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7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single" w:sz="4" w:space="0" w:color="000000"/>
            </w:tcBorders>
          </w:tcPr>
          <w:p>
            <w:pPr/>
          </w:p>
        </w:tc>
      </w:tr>
      <w:tr>
        <w:trPr>
          <w:trHeight w:val="254"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1" w:lineRule="exact"/>
              <w:ind w:left="30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71" w:right="0"/>
              <w:jc w:val="left"/>
              <w:rPr>
                <w:rFonts w:ascii="Arial" w:hAnsi="Arial" w:cs="Arial" w:eastAsia="Arial" w:hint="default"/>
                <w:sz w:val="18"/>
                <w:szCs w:val="18"/>
              </w:rPr>
            </w:pPr>
            <w:r>
              <w:rPr>
                <w:rFonts w:ascii="Arial"/>
                <w:sz w:val="18"/>
              </w:rPr>
              <w:t>132,431</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27" w:right="0"/>
              <w:jc w:val="left"/>
              <w:rPr>
                <w:rFonts w:ascii="Arial" w:hAnsi="Arial" w:cs="Arial" w:eastAsia="Arial" w:hint="default"/>
                <w:sz w:val="18"/>
                <w:szCs w:val="18"/>
              </w:rPr>
            </w:pPr>
            <w:r>
              <w:rPr>
                <w:rFonts w:ascii="Arial"/>
                <w:spacing w:val="-3"/>
                <w:sz w:val="18"/>
              </w:rPr>
              <w:t>112,017</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45" w:right="0"/>
              <w:jc w:val="left"/>
              <w:rPr>
                <w:rFonts w:ascii="Arial" w:hAnsi="Arial" w:cs="Arial" w:eastAsia="Arial" w:hint="default"/>
                <w:sz w:val="18"/>
                <w:szCs w:val="18"/>
              </w:rPr>
            </w:pPr>
            <w:r>
              <w:rPr>
                <w:rFonts w:ascii="Arial"/>
                <w:sz w:val="18"/>
              </w:rPr>
              <w:t>12,632</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23"/>
              <w:jc w:val="right"/>
              <w:rPr>
                <w:rFonts w:ascii="Arial" w:hAnsi="Arial" w:cs="Arial" w:eastAsia="Arial" w:hint="default"/>
                <w:sz w:val="18"/>
                <w:szCs w:val="18"/>
              </w:rPr>
            </w:pPr>
            <w:r>
              <w:rPr>
                <w:rFonts w:ascii="Arial"/>
                <w:spacing w:val="-1"/>
                <w:sz w:val="18"/>
              </w:rPr>
              <w:t>270,320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85"/>
              <w:jc w:val="right"/>
              <w:rPr>
                <w:rFonts w:ascii="Arial" w:hAnsi="Arial" w:cs="Arial" w:eastAsia="Arial" w:hint="default"/>
                <w:sz w:val="18"/>
                <w:szCs w:val="18"/>
              </w:rPr>
            </w:pPr>
            <w:r>
              <w:rPr>
                <w:rFonts w:ascii="Arial"/>
                <w:spacing w:val="-1"/>
                <w:sz w:val="18"/>
              </w:rPr>
              <w:t>144,505</w:t>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right="168"/>
              <w:jc w:val="right"/>
              <w:rPr>
                <w:rFonts w:ascii="Arial" w:hAnsi="Arial" w:cs="Arial" w:eastAsia="Arial" w:hint="default"/>
                <w:sz w:val="18"/>
                <w:szCs w:val="18"/>
              </w:rPr>
            </w:pPr>
            <w:r>
              <w:rPr>
                <w:rFonts w:ascii="Arial"/>
                <w:spacing w:val="-1"/>
                <w:sz w:val="18"/>
              </w:rPr>
              <w:t>671,905</w:t>
            </w:r>
          </w:p>
        </w:tc>
      </w:tr>
      <w:tr>
        <w:trPr>
          <w:trHeight w:val="244"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4" w:lineRule="exact"/>
              <w:ind w:left="301" w:right="0"/>
              <w:jc w:val="left"/>
              <w:rPr>
                <w:rFonts w:ascii="Arial" w:hAnsi="Arial" w:cs="Arial" w:eastAsia="Arial" w:hint="default"/>
                <w:sz w:val="18"/>
                <w:szCs w:val="18"/>
              </w:rPr>
            </w:pPr>
            <w:r>
              <w:rPr>
                <w:rFonts w:ascii="宋体" w:hAnsi="宋体" w:cs="宋体" w:eastAsia="宋体" w:hint="default"/>
                <w:sz w:val="18"/>
                <w:szCs w:val="18"/>
              </w:rPr>
              <w:t>投资性房地产转入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(13))</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1" w:right="0"/>
              <w:jc w:val="left"/>
              <w:rPr>
                <w:rFonts w:ascii="Arial" w:hAnsi="Arial" w:cs="Arial" w:eastAsia="Arial" w:hint="default"/>
                <w:sz w:val="18"/>
                <w:szCs w:val="18"/>
              </w:rPr>
            </w:pPr>
            <w:r>
              <w:rPr>
                <w:rFonts w:ascii="Arial"/>
                <w:sz w:val="18"/>
              </w:rPr>
              <w:t>322,018</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5"/>
              <w:jc w:val="right"/>
              <w:rPr>
                <w:rFonts w:ascii="Arial" w:hAnsi="Arial" w:cs="Arial" w:eastAsia="Arial" w:hint="default"/>
                <w:sz w:val="18"/>
                <w:szCs w:val="18"/>
              </w:rPr>
            </w:pPr>
            <w:r>
              <w:rPr>
                <w:rFonts w:ascii="Arial"/>
                <w:w w:val="99"/>
                <w:sz w:val="18"/>
              </w:rPr>
              <w:t>-</w:t>
            </w:r>
            <w:r>
              <w:rPr>
                <w:rFonts w:ascii="Arial"/>
                <w:sz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1"/>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4"/>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86"/>
              <w:jc w:val="right"/>
              <w:rPr>
                <w:rFonts w:ascii="Arial" w:hAnsi="Arial" w:cs="Arial" w:eastAsia="Arial" w:hint="default"/>
                <w:sz w:val="18"/>
                <w:szCs w:val="18"/>
              </w:rPr>
            </w:pPr>
            <w:r>
              <w:rPr>
                <w:rFonts w:ascii="Arial"/>
                <w:w w:val="99"/>
                <w:sz w:val="18"/>
              </w:rPr>
              <w:t>-</w:t>
            </w:r>
            <w:r>
              <w:rPr>
                <w:rFonts w:ascii="Arial"/>
                <w:sz w:val="18"/>
              </w:rPr>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right="168"/>
              <w:jc w:val="right"/>
              <w:rPr>
                <w:rFonts w:ascii="Arial" w:hAnsi="Arial" w:cs="Arial" w:eastAsia="Arial" w:hint="default"/>
                <w:sz w:val="18"/>
                <w:szCs w:val="18"/>
              </w:rPr>
            </w:pPr>
            <w:r>
              <w:rPr>
                <w:rFonts w:ascii="Arial"/>
                <w:spacing w:val="-1"/>
                <w:sz w:val="18"/>
              </w:rPr>
              <w:t>322,018</w:t>
            </w:r>
          </w:p>
        </w:tc>
      </w:tr>
      <w:tr>
        <w:trPr>
          <w:trHeight w:val="239"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4" w:lineRule="exact"/>
              <w:ind w:left="301" w:right="0"/>
              <w:jc w:val="left"/>
              <w:rPr>
                <w:rFonts w:ascii="Arial" w:hAnsi="Arial" w:cs="Arial" w:eastAsia="Arial" w:hint="default"/>
                <w:sz w:val="18"/>
                <w:szCs w:val="18"/>
              </w:rPr>
            </w:pPr>
            <w:r>
              <w:rPr>
                <w:rFonts w:ascii="宋体" w:hAnsi="宋体" w:cs="宋体" w:eastAsia="宋体" w:hint="default"/>
                <w:sz w:val="18"/>
                <w:szCs w:val="18"/>
              </w:rPr>
              <w:t>在建工程转入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21" w:right="0"/>
              <w:jc w:val="left"/>
              <w:rPr>
                <w:rFonts w:ascii="Arial" w:hAnsi="Arial" w:cs="Arial" w:eastAsia="Arial" w:hint="default"/>
                <w:sz w:val="18"/>
                <w:szCs w:val="18"/>
              </w:rPr>
            </w:pPr>
            <w:r>
              <w:rPr>
                <w:rFonts w:ascii="Arial"/>
                <w:sz w:val="18"/>
              </w:rPr>
              <w:t>3,659,871</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5"/>
              <w:jc w:val="right"/>
              <w:rPr>
                <w:rFonts w:ascii="Arial" w:hAnsi="Arial" w:cs="Arial" w:eastAsia="Arial" w:hint="default"/>
                <w:sz w:val="18"/>
                <w:szCs w:val="18"/>
              </w:rPr>
            </w:pPr>
            <w:r>
              <w:rPr>
                <w:rFonts w:ascii="Arial"/>
                <w:w w:val="99"/>
                <w:sz w:val="18"/>
              </w:rPr>
              <w:t>-</w:t>
            </w:r>
            <w:r>
              <w:rPr>
                <w:rFonts w:ascii="Arial"/>
                <w:sz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1"/>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4"/>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86"/>
              <w:jc w:val="right"/>
              <w:rPr>
                <w:rFonts w:ascii="Arial" w:hAnsi="Arial" w:cs="Arial" w:eastAsia="Arial" w:hint="default"/>
                <w:sz w:val="18"/>
                <w:szCs w:val="18"/>
              </w:rPr>
            </w:pPr>
            <w:r>
              <w:rPr>
                <w:rFonts w:ascii="Arial"/>
                <w:w w:val="99"/>
                <w:sz w:val="18"/>
              </w:rPr>
              <w:t>-</w:t>
            </w:r>
            <w:r>
              <w:rPr>
                <w:rFonts w:ascii="Arial"/>
                <w:sz w:val="18"/>
              </w:rPr>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520" w:right="0"/>
              <w:jc w:val="left"/>
              <w:rPr>
                <w:rFonts w:ascii="Arial" w:hAnsi="Arial" w:cs="Arial" w:eastAsia="Arial" w:hint="default"/>
                <w:sz w:val="18"/>
                <w:szCs w:val="18"/>
              </w:rPr>
            </w:pPr>
            <w:r>
              <w:rPr>
                <w:rFonts w:ascii="Arial"/>
                <w:sz w:val="18"/>
              </w:rPr>
              <w:t>3,659,871</w:t>
            </w:r>
          </w:p>
        </w:tc>
      </w:tr>
      <w:tr>
        <w:trPr>
          <w:trHeight w:val="488"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195" w:lineRule="exact"/>
              <w:ind w:left="30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p>
            <w:pPr>
              <w:pStyle w:val="TableParagraph"/>
              <w:spacing w:line="247" w:lineRule="exact"/>
              <w:ind w:left="661"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附注五</w:t>
            </w:r>
            <w:r>
              <w:rPr>
                <w:rFonts w:ascii="Arial" w:hAnsi="Arial" w:cs="Arial" w:eastAsia="Arial" w:hint="default"/>
                <w:sz w:val="18"/>
                <w:szCs w:val="18"/>
              </w:rPr>
              <w:t>(1))</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51"/>
              <w:jc w:val="right"/>
              <w:rPr>
                <w:rFonts w:ascii="Arial" w:hAnsi="Arial" w:cs="Arial" w:eastAsia="Arial" w:hint="default"/>
                <w:sz w:val="18"/>
                <w:szCs w:val="18"/>
              </w:rPr>
            </w:pPr>
            <w:r>
              <w:rPr>
                <w:rFonts w:ascii="Arial"/>
                <w:spacing w:val="-1"/>
                <w:sz w:val="18"/>
              </w:rPr>
              <w:t>13,142</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3" w:right="0"/>
              <w:jc w:val="left"/>
              <w:rPr>
                <w:rFonts w:ascii="Arial" w:hAnsi="Arial" w:cs="Arial" w:eastAsia="Arial" w:hint="default"/>
                <w:sz w:val="18"/>
                <w:szCs w:val="18"/>
              </w:rPr>
            </w:pPr>
            <w:r>
              <w:rPr>
                <w:rFonts w:ascii="Arial"/>
                <w:sz w:val="18"/>
              </w:rPr>
              <w:t>36,070</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5" w:right="0"/>
              <w:jc w:val="left"/>
              <w:rPr>
                <w:rFonts w:ascii="Arial" w:hAnsi="Arial" w:cs="Arial" w:eastAsia="Arial" w:hint="default"/>
                <w:sz w:val="18"/>
                <w:szCs w:val="18"/>
              </w:rPr>
            </w:pPr>
            <w:r>
              <w:rPr>
                <w:rFonts w:ascii="Arial"/>
                <w:sz w:val="18"/>
              </w:rPr>
              <w:t>1,045</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Arial" w:hAnsi="Arial" w:cs="Arial" w:eastAsia="Arial" w:hint="default"/>
                <w:sz w:val="18"/>
                <w:szCs w:val="18"/>
              </w:rPr>
            </w:pPr>
            <w:r>
              <w:rPr>
                <w:rFonts w:ascii="Arial"/>
                <w:spacing w:val="-1"/>
                <w:sz w:val="18"/>
              </w:rPr>
              <w:t>8,932</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5"/>
              <w:jc w:val="right"/>
              <w:rPr>
                <w:rFonts w:ascii="Arial" w:hAnsi="Arial" w:cs="Arial" w:eastAsia="Arial" w:hint="default"/>
                <w:sz w:val="18"/>
                <w:szCs w:val="18"/>
              </w:rPr>
            </w:pPr>
            <w:r>
              <w:rPr>
                <w:rFonts w:ascii="Arial"/>
                <w:spacing w:val="-1"/>
                <w:sz w:val="18"/>
              </w:rPr>
              <w:t>4,450</w:t>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3"/>
              <w:jc w:val="right"/>
              <w:rPr>
                <w:rFonts w:ascii="Arial" w:hAnsi="Arial" w:cs="Arial" w:eastAsia="Arial" w:hint="default"/>
                <w:sz w:val="18"/>
                <w:szCs w:val="18"/>
              </w:rPr>
            </w:pPr>
            <w:r>
              <w:rPr>
                <w:rFonts w:ascii="Arial"/>
                <w:spacing w:val="-1"/>
                <w:sz w:val="18"/>
              </w:rPr>
              <w:t>63,639</w:t>
            </w:r>
          </w:p>
        </w:tc>
      </w:tr>
      <w:tr>
        <w:trPr>
          <w:trHeight w:val="265"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7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single" w:sz="4" w:space="0" w:color="000000"/>
            </w:tcBorders>
          </w:tcPr>
          <w:p>
            <w:pPr/>
          </w:p>
        </w:tc>
      </w:tr>
      <w:tr>
        <w:trPr>
          <w:trHeight w:val="287"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28" w:lineRule="exact"/>
              <w:ind w:left="301" w:right="0"/>
              <w:jc w:val="left"/>
              <w:rPr>
                <w:rFonts w:ascii="宋体" w:hAnsi="宋体" w:cs="宋体" w:eastAsia="宋体" w:hint="default"/>
                <w:sz w:val="18"/>
                <w:szCs w:val="18"/>
              </w:rPr>
            </w:pPr>
            <w:r>
              <w:rPr>
                <w:rFonts w:ascii="宋体" w:hAnsi="宋体" w:cs="宋体" w:eastAsia="宋体" w:hint="default"/>
                <w:sz w:val="18"/>
                <w:szCs w:val="18"/>
              </w:rPr>
              <w:t>处置及报废</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45" w:right="0"/>
              <w:jc w:val="left"/>
              <w:rPr>
                <w:rFonts w:ascii="Arial" w:hAnsi="Arial" w:cs="Arial" w:eastAsia="Arial" w:hint="default"/>
                <w:sz w:val="18"/>
                <w:szCs w:val="18"/>
              </w:rPr>
            </w:pPr>
            <w:r>
              <w:rPr>
                <w:rFonts w:ascii="Arial"/>
                <w:sz w:val="18"/>
              </w:rPr>
              <w:t>(2,175,426)</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32" w:right="0"/>
              <w:jc w:val="left"/>
              <w:rPr>
                <w:rFonts w:ascii="Arial" w:hAnsi="Arial" w:cs="Arial" w:eastAsia="Arial" w:hint="default"/>
                <w:sz w:val="18"/>
                <w:szCs w:val="18"/>
              </w:rPr>
            </w:pPr>
            <w:r>
              <w:rPr>
                <w:rFonts w:ascii="Arial"/>
                <w:sz w:val="18"/>
              </w:rPr>
              <w:t>(1,720)</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45"/>
              <w:jc w:val="right"/>
              <w:rPr>
                <w:rFonts w:ascii="Arial" w:hAnsi="Arial" w:cs="Arial" w:eastAsia="Arial" w:hint="default"/>
                <w:sz w:val="18"/>
                <w:szCs w:val="18"/>
              </w:rPr>
            </w:pPr>
            <w:r>
              <w:rPr>
                <w:rFonts w:ascii="Arial"/>
                <w:spacing w:val="-1"/>
                <w:sz w:val="18"/>
              </w:rPr>
              <w:t>(18,927)</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9"/>
              <w:jc w:val="right"/>
              <w:rPr>
                <w:rFonts w:ascii="Arial" w:hAnsi="Arial" w:cs="Arial" w:eastAsia="Arial" w:hint="default"/>
                <w:sz w:val="18"/>
                <w:szCs w:val="18"/>
              </w:rPr>
            </w:pPr>
            <w:r>
              <w:rPr>
                <w:rFonts w:ascii="Arial"/>
                <w:spacing w:val="-1"/>
                <w:sz w:val="18"/>
              </w:rPr>
              <w:t>(42,222)</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22"/>
              <w:jc w:val="right"/>
              <w:rPr>
                <w:rFonts w:ascii="Arial" w:hAnsi="Arial" w:cs="Arial" w:eastAsia="Arial" w:hint="default"/>
                <w:sz w:val="18"/>
                <w:szCs w:val="18"/>
              </w:rPr>
            </w:pPr>
            <w:r>
              <w:rPr>
                <w:rFonts w:ascii="Arial"/>
                <w:spacing w:val="-1"/>
                <w:sz w:val="18"/>
              </w:rPr>
              <w:t>(36,790)</w:t>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94"/>
              <w:jc w:val="right"/>
              <w:rPr>
                <w:rFonts w:ascii="Arial" w:hAnsi="Arial" w:cs="Arial" w:eastAsia="Arial" w:hint="default"/>
                <w:sz w:val="18"/>
                <w:szCs w:val="18"/>
              </w:rPr>
            </w:pPr>
            <w:r>
              <w:rPr>
                <w:rFonts w:ascii="Arial"/>
                <w:spacing w:val="-1"/>
                <w:sz w:val="18"/>
              </w:rPr>
              <w:t>(2,275,085)</w:t>
            </w:r>
          </w:p>
        </w:tc>
      </w:tr>
      <w:tr>
        <w:trPr>
          <w:trHeight w:val="276"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7" w:lineRule="exact"/>
              <w:ind w:left="301" w:right="0"/>
              <w:jc w:val="left"/>
              <w:rPr>
                <w:rFonts w:ascii="宋体" w:hAnsi="宋体" w:cs="宋体" w:eastAsia="宋体" w:hint="default"/>
                <w:sz w:val="18"/>
                <w:szCs w:val="18"/>
              </w:rPr>
            </w:pPr>
            <w:r>
              <w:rPr>
                <w:rFonts w:ascii="宋体" w:hAnsi="宋体" w:cs="宋体" w:eastAsia="宋体" w:hint="default"/>
                <w:sz w:val="18"/>
                <w:szCs w:val="18"/>
              </w:rPr>
              <w:t>处置子公司减少</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7"/>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7"/>
              <w:jc w:val="right"/>
              <w:rPr>
                <w:rFonts w:ascii="Arial" w:hAnsi="Arial" w:cs="Arial" w:eastAsia="Arial" w:hint="default"/>
                <w:sz w:val="18"/>
                <w:szCs w:val="18"/>
              </w:rPr>
            </w:pPr>
            <w:r>
              <w:rPr>
                <w:rFonts w:ascii="Arial"/>
                <w:spacing w:val="-1"/>
                <w:sz w:val="18"/>
              </w:rPr>
              <w:t>(58,705)</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74" w:right="0"/>
              <w:jc w:val="left"/>
              <w:rPr>
                <w:rFonts w:ascii="Arial" w:hAnsi="Arial" w:cs="Arial" w:eastAsia="Arial" w:hint="default"/>
                <w:sz w:val="18"/>
                <w:szCs w:val="18"/>
              </w:rPr>
            </w:pPr>
            <w:r>
              <w:rPr>
                <w:rFonts w:ascii="Arial"/>
                <w:sz w:val="18"/>
              </w:rPr>
              <w:t>(949)</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5"/>
              <w:jc w:val="right"/>
              <w:rPr>
                <w:rFonts w:ascii="Arial" w:hAnsi="Arial" w:cs="Arial" w:eastAsia="Arial" w:hint="default"/>
                <w:sz w:val="18"/>
                <w:szCs w:val="18"/>
              </w:rPr>
            </w:pPr>
            <w:r>
              <w:rPr>
                <w:rFonts w:ascii="Arial"/>
                <w:spacing w:val="-1"/>
                <w:sz w:val="18"/>
              </w:rPr>
              <w:t>(17,639)</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4"/>
              <w:jc w:val="right"/>
              <w:rPr>
                <w:rFonts w:ascii="Arial" w:hAnsi="Arial" w:cs="Arial" w:eastAsia="Arial" w:hint="default"/>
                <w:sz w:val="18"/>
                <w:szCs w:val="18"/>
              </w:rPr>
            </w:pPr>
            <w:r>
              <w:rPr>
                <w:rFonts w:ascii="Arial"/>
                <w:spacing w:val="-1"/>
                <w:sz w:val="18"/>
              </w:rPr>
              <w:t>(4,374)</w:t>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right="102"/>
              <w:jc w:val="right"/>
              <w:rPr>
                <w:rFonts w:ascii="Arial" w:hAnsi="Arial" w:cs="Arial" w:eastAsia="Arial" w:hint="default"/>
                <w:sz w:val="18"/>
                <w:szCs w:val="18"/>
              </w:rPr>
            </w:pPr>
            <w:r>
              <w:rPr>
                <w:rFonts w:ascii="Arial"/>
                <w:spacing w:val="-1"/>
                <w:sz w:val="18"/>
              </w:rPr>
              <w:t>(81,667)</w:t>
            </w:r>
          </w:p>
        </w:tc>
      </w:tr>
      <w:tr>
        <w:trPr>
          <w:trHeight w:val="276"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30" w:lineRule="exact"/>
              <w:ind w:right="363"/>
              <w:jc w:val="right"/>
              <w:rPr>
                <w:rFonts w:ascii="Arial" w:hAnsi="Arial" w:cs="Arial" w:eastAsia="Arial" w:hint="default"/>
                <w:sz w:val="18"/>
                <w:szCs w:val="18"/>
              </w:rPr>
            </w:pPr>
            <w:r>
              <w:rPr>
                <w:rFonts w:ascii="宋体" w:hAnsi="宋体" w:cs="宋体" w:eastAsia="宋体" w:hint="default"/>
                <w:spacing w:val="-1"/>
                <w:sz w:val="18"/>
                <w:szCs w:val="18"/>
              </w:rPr>
              <w:t>转出至投资性房地产</w:t>
            </w: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(13))</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95" w:right="0"/>
              <w:jc w:val="left"/>
              <w:rPr>
                <w:rFonts w:ascii="Arial" w:hAnsi="Arial" w:cs="Arial" w:eastAsia="Arial" w:hint="default"/>
                <w:sz w:val="18"/>
                <w:szCs w:val="18"/>
              </w:rPr>
            </w:pPr>
            <w:r>
              <w:rPr>
                <w:rFonts w:ascii="Arial"/>
                <w:sz w:val="18"/>
              </w:rPr>
              <w:t>(916,717)</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5"/>
              <w:jc w:val="right"/>
              <w:rPr>
                <w:rFonts w:ascii="Arial" w:hAnsi="Arial" w:cs="Arial" w:eastAsia="Arial" w:hint="default"/>
                <w:sz w:val="18"/>
                <w:szCs w:val="18"/>
              </w:rPr>
            </w:pPr>
            <w:r>
              <w:rPr>
                <w:rFonts w:ascii="Arial"/>
                <w:w w:val="99"/>
                <w:sz w:val="18"/>
              </w:rPr>
              <w:t>-</w:t>
            </w:r>
            <w:r>
              <w:rPr>
                <w:rFonts w:ascii="Arial"/>
                <w:sz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91"/>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4"/>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6"/>
              <w:jc w:val="right"/>
              <w:rPr>
                <w:rFonts w:ascii="Arial" w:hAnsi="Arial" w:cs="Arial" w:eastAsia="Arial" w:hint="default"/>
                <w:sz w:val="18"/>
                <w:szCs w:val="18"/>
              </w:rPr>
            </w:pPr>
            <w:r>
              <w:rPr>
                <w:rFonts w:ascii="Arial"/>
                <w:w w:val="99"/>
                <w:sz w:val="18"/>
              </w:rPr>
              <w:t>-</w:t>
            </w:r>
            <w:r>
              <w:rPr>
                <w:rFonts w:ascii="Arial"/>
                <w:sz w:val="18"/>
              </w:rPr>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right="102"/>
              <w:jc w:val="right"/>
              <w:rPr>
                <w:rFonts w:ascii="Arial" w:hAnsi="Arial" w:cs="Arial" w:eastAsia="Arial" w:hint="default"/>
                <w:sz w:val="18"/>
                <w:szCs w:val="18"/>
              </w:rPr>
            </w:pPr>
            <w:r>
              <w:rPr>
                <w:rFonts w:ascii="Arial"/>
                <w:spacing w:val="-1"/>
                <w:sz w:val="18"/>
              </w:rPr>
              <w:t>(916,717)</w:t>
            </w:r>
          </w:p>
        </w:tc>
      </w:tr>
      <w:tr>
        <w:trPr>
          <w:trHeight w:val="276"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7" w:lineRule="exact"/>
              <w:ind w:left="301"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1"/>
              <w:jc w:val="right"/>
              <w:rPr>
                <w:rFonts w:ascii="Arial" w:hAnsi="Arial" w:cs="Arial" w:eastAsia="Arial" w:hint="default"/>
                <w:sz w:val="18"/>
                <w:szCs w:val="18"/>
              </w:rPr>
            </w:pPr>
            <w:r>
              <w:rPr>
                <w:rFonts w:ascii="Arial"/>
                <w:spacing w:val="-1"/>
                <w:sz w:val="18"/>
              </w:rPr>
              <w:t>7,950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64" w:right="0"/>
              <w:jc w:val="left"/>
              <w:rPr>
                <w:rFonts w:ascii="Arial" w:hAnsi="Arial" w:cs="Arial" w:eastAsia="Arial" w:hint="default"/>
                <w:sz w:val="18"/>
                <w:szCs w:val="18"/>
              </w:rPr>
            </w:pPr>
            <w:r>
              <w:rPr>
                <w:rFonts w:ascii="Arial"/>
                <w:sz w:val="18"/>
              </w:rPr>
              <w:t>269</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95" w:right="0"/>
              <w:jc w:val="left"/>
              <w:rPr>
                <w:rFonts w:ascii="Arial" w:hAnsi="Arial" w:cs="Arial" w:eastAsia="Arial" w:hint="default"/>
                <w:sz w:val="18"/>
                <w:szCs w:val="18"/>
              </w:rPr>
            </w:pPr>
            <w:r>
              <w:rPr>
                <w:rFonts w:ascii="Arial"/>
                <w:sz w:val="18"/>
              </w:rPr>
              <w:t>22</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9"/>
              <w:jc w:val="right"/>
              <w:rPr>
                <w:rFonts w:ascii="Arial" w:hAnsi="Arial" w:cs="Arial" w:eastAsia="Arial" w:hint="default"/>
                <w:sz w:val="18"/>
                <w:szCs w:val="18"/>
              </w:rPr>
            </w:pPr>
            <w:r>
              <w:rPr>
                <w:rFonts w:ascii="Arial"/>
                <w:spacing w:val="-1"/>
                <w:sz w:val="18"/>
              </w:rPr>
              <w:t>2,513</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1"/>
              <w:jc w:val="right"/>
              <w:rPr>
                <w:rFonts w:ascii="Arial" w:hAnsi="Arial" w:cs="Arial" w:eastAsia="Arial" w:hint="default"/>
                <w:sz w:val="18"/>
                <w:szCs w:val="18"/>
              </w:rPr>
            </w:pPr>
            <w:r>
              <w:rPr>
                <w:rFonts w:ascii="Arial"/>
                <w:spacing w:val="-1"/>
                <w:w w:val="95"/>
                <w:sz w:val="18"/>
              </w:rPr>
              <w:t>667</w:t>
            </w:r>
            <w:r>
              <w:rPr>
                <w:rFonts w:ascii="Arial"/>
                <w:sz w:val="18"/>
              </w:rPr>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right="169"/>
              <w:jc w:val="right"/>
              <w:rPr>
                <w:rFonts w:ascii="Arial" w:hAnsi="Arial" w:cs="Arial" w:eastAsia="Arial" w:hint="default"/>
                <w:sz w:val="18"/>
                <w:szCs w:val="18"/>
              </w:rPr>
            </w:pPr>
            <w:r>
              <w:rPr>
                <w:rFonts w:ascii="Arial"/>
                <w:spacing w:val="-3"/>
                <w:sz w:val="18"/>
              </w:rPr>
              <w:t>11,421</w:t>
            </w:r>
          </w:p>
        </w:tc>
      </w:tr>
      <w:tr>
        <w:trPr>
          <w:trHeight w:val="250"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single" w:sz="4" w:space="0" w:color="000000"/>
              <w:right w:val="nil" w:sz="6" w:space="0" w:color="auto"/>
            </w:tcBorders>
          </w:tcPr>
          <w:p>
            <w:pPr>
              <w:pStyle w:val="TableParagraph"/>
              <w:spacing w:line="230" w:lineRule="exact"/>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34" w:right="0"/>
              <w:jc w:val="left"/>
              <w:rPr>
                <w:rFonts w:ascii="Arial" w:hAnsi="Arial" w:cs="Arial" w:eastAsia="Arial" w:hint="default"/>
                <w:sz w:val="18"/>
                <w:szCs w:val="18"/>
              </w:rPr>
            </w:pPr>
            <w:r>
              <w:rPr>
                <w:rFonts w:ascii="Arial"/>
                <w:sz w:val="18"/>
              </w:rPr>
              <w:t>13,117,006</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14" w:right="0"/>
              <w:jc w:val="left"/>
              <w:rPr>
                <w:rFonts w:ascii="Arial" w:hAnsi="Arial" w:cs="Arial" w:eastAsia="Arial" w:hint="default"/>
                <w:sz w:val="18"/>
                <w:szCs w:val="18"/>
              </w:rPr>
            </w:pPr>
            <w:r>
              <w:rPr>
                <w:rFonts w:ascii="Arial"/>
                <w:sz w:val="18"/>
              </w:rPr>
              <w:t>343,914</w:t>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45" w:right="0"/>
              <w:jc w:val="left"/>
              <w:rPr>
                <w:rFonts w:ascii="Arial" w:hAnsi="Arial" w:cs="Arial" w:eastAsia="Arial" w:hint="default"/>
                <w:sz w:val="18"/>
                <w:szCs w:val="18"/>
              </w:rPr>
            </w:pPr>
            <w:r>
              <w:rPr>
                <w:rFonts w:ascii="Arial"/>
                <w:sz w:val="18"/>
              </w:rPr>
              <w:t>190,257</w:t>
            </w: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23"/>
              <w:jc w:val="right"/>
              <w:rPr>
                <w:rFonts w:ascii="Arial" w:hAnsi="Arial" w:cs="Arial" w:eastAsia="Arial" w:hint="default"/>
                <w:sz w:val="18"/>
                <w:szCs w:val="18"/>
              </w:rPr>
            </w:pPr>
            <w:r>
              <w:rPr>
                <w:rFonts w:ascii="Arial"/>
                <w:spacing w:val="-1"/>
                <w:sz w:val="18"/>
              </w:rPr>
              <w:t>1,713,774</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485"/>
              <w:jc w:val="right"/>
              <w:rPr>
                <w:rFonts w:ascii="Arial" w:hAnsi="Arial" w:cs="Arial" w:eastAsia="Arial" w:hint="default"/>
                <w:sz w:val="18"/>
                <w:szCs w:val="18"/>
              </w:rPr>
            </w:pPr>
            <w:r>
              <w:rPr>
                <w:rFonts w:ascii="Arial"/>
                <w:spacing w:val="-1"/>
                <w:sz w:val="18"/>
              </w:rPr>
              <w:t>936,491</w:t>
            </w:r>
          </w:p>
        </w:tc>
        <w:tc>
          <w:tcPr>
            <w:tcW w:w="1496" w:type="dxa"/>
            <w:tcBorders>
              <w:top w:val="nil" w:sz="6" w:space="0" w:color="auto"/>
              <w:left w:val="nil" w:sz="6" w:space="0" w:color="auto"/>
              <w:bottom w:val="single" w:sz="4" w:space="0" w:color="000000"/>
              <w:right w:val="single" w:sz="4" w:space="0" w:color="000000"/>
            </w:tcBorders>
          </w:tcPr>
          <w:p>
            <w:pPr>
              <w:pStyle w:val="TableParagraph"/>
              <w:spacing w:line="240" w:lineRule="auto" w:before="36"/>
              <w:ind w:left="418" w:right="0"/>
              <w:jc w:val="left"/>
              <w:rPr>
                <w:rFonts w:ascii="Arial" w:hAnsi="Arial" w:cs="Arial" w:eastAsia="Arial" w:hint="default"/>
                <w:sz w:val="18"/>
                <w:szCs w:val="18"/>
              </w:rPr>
            </w:pPr>
            <w:r>
              <w:rPr>
                <w:rFonts w:ascii="Arial"/>
                <w:sz w:val="18"/>
              </w:rPr>
              <w:t>16,301,442</w:t>
            </w:r>
          </w:p>
        </w:tc>
      </w:tr>
      <w:tr>
        <w:trPr>
          <w:trHeight w:val="492" w:hRule="exact"/>
        </w:trPr>
        <w:tc>
          <w:tcPr>
            <w:tcW w:w="806" w:type="dxa"/>
            <w:tcBorders>
              <w:top w:val="nil" w:sz="6" w:space="0" w:color="auto"/>
              <w:left w:val="nil" w:sz="6" w:space="0" w:color="auto"/>
              <w:bottom w:val="nil" w:sz="6" w:space="0" w:color="auto"/>
              <w:right w:val="nil" w:sz="6" w:space="0" w:color="auto"/>
            </w:tcBorders>
          </w:tcPr>
          <w:p>
            <w:pPr/>
          </w:p>
        </w:tc>
        <w:tc>
          <w:tcPr>
            <w:tcW w:w="327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75" w:type="dxa"/>
            <w:tcBorders>
              <w:top w:val="single" w:sz="4" w:space="0" w:color="000000"/>
              <w:left w:val="nil" w:sz="6" w:space="0" w:color="auto"/>
              <w:bottom w:val="single" w:sz="4" w:space="0" w:color="000000"/>
              <w:right w:val="nil" w:sz="6" w:space="0" w:color="auto"/>
            </w:tcBorders>
          </w:tcPr>
          <w:p>
            <w:pPr/>
          </w:p>
        </w:tc>
        <w:tc>
          <w:tcPr>
            <w:tcW w:w="1571" w:type="dxa"/>
            <w:tcBorders>
              <w:top w:val="single" w:sz="4" w:space="0" w:color="000000"/>
              <w:left w:val="nil" w:sz="6" w:space="0" w:color="auto"/>
              <w:bottom w:val="single" w:sz="4" w:space="0" w:color="000000"/>
              <w:right w:val="nil" w:sz="6" w:space="0" w:color="auto"/>
            </w:tcBorders>
          </w:tcPr>
          <w:p>
            <w:pPr/>
          </w:p>
        </w:tc>
        <w:tc>
          <w:tcPr>
            <w:tcW w:w="1788" w:type="dxa"/>
            <w:tcBorders>
              <w:top w:val="single" w:sz="4" w:space="0" w:color="000000"/>
              <w:left w:val="nil" w:sz="6" w:space="0" w:color="auto"/>
              <w:bottom w:val="single" w:sz="4" w:space="0" w:color="000000"/>
              <w:right w:val="nil" w:sz="6" w:space="0" w:color="auto"/>
            </w:tcBorders>
          </w:tcPr>
          <w:p>
            <w:pPr/>
          </w:p>
        </w:tc>
        <w:tc>
          <w:tcPr>
            <w:tcW w:w="1717" w:type="dxa"/>
            <w:tcBorders>
              <w:top w:val="single" w:sz="4" w:space="0" w:color="000000"/>
              <w:left w:val="nil" w:sz="6" w:space="0" w:color="auto"/>
              <w:bottom w:val="single" w:sz="4" w:space="0" w:color="000000"/>
              <w:right w:val="nil" w:sz="6" w:space="0" w:color="auto"/>
            </w:tcBorders>
          </w:tcPr>
          <w:p>
            <w:pPr/>
          </w:p>
        </w:tc>
        <w:tc>
          <w:tcPr>
            <w:tcW w:w="1486" w:type="dxa"/>
            <w:tcBorders>
              <w:top w:val="single" w:sz="4" w:space="0" w:color="000000"/>
              <w:left w:val="nil" w:sz="6" w:space="0" w:color="auto"/>
              <w:bottom w:val="single" w:sz="4" w:space="0" w:color="000000"/>
              <w:right w:val="nil" w:sz="6" w:space="0" w:color="auto"/>
            </w:tcBorders>
          </w:tcPr>
          <w:p>
            <w:pPr/>
          </w:p>
        </w:tc>
        <w:tc>
          <w:tcPr>
            <w:tcW w:w="1496" w:type="dxa"/>
            <w:tcBorders>
              <w:top w:val="single" w:sz="4" w:space="0" w:color="000000"/>
              <w:left w:val="nil" w:sz="6" w:space="0" w:color="auto"/>
              <w:bottom w:val="single" w:sz="4" w:space="0" w:color="000000"/>
              <w:right w:val="nil" w:sz="6" w:space="0" w:color="auto"/>
            </w:tcBorders>
          </w:tcPr>
          <w:p>
            <w:pPr/>
          </w:p>
        </w:tc>
      </w:tr>
      <w:tr>
        <w:trPr>
          <w:trHeight w:val="312"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07"/>
              <w:jc w:val="right"/>
              <w:rPr>
                <w:rFonts w:ascii="Arial" w:hAnsi="Arial" w:cs="Arial" w:eastAsia="Arial" w:hint="default"/>
                <w:sz w:val="18"/>
                <w:szCs w:val="18"/>
              </w:rPr>
            </w:pPr>
            <w:r>
              <w:rPr>
                <w:rFonts w:ascii="Arial"/>
                <w:spacing w:val="-1"/>
                <w:sz w:val="18"/>
              </w:rPr>
              <w:t>(1,161,199)</w:t>
            </w: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432" w:right="0"/>
              <w:jc w:val="left"/>
              <w:rPr>
                <w:rFonts w:ascii="Arial" w:hAnsi="Arial" w:cs="Arial" w:eastAsia="Arial" w:hint="default"/>
                <w:sz w:val="18"/>
                <w:szCs w:val="18"/>
              </w:rPr>
            </w:pPr>
            <w:r>
              <w:rPr>
                <w:rFonts w:ascii="Arial"/>
                <w:sz w:val="18"/>
              </w:rPr>
              <w:t>(74,951)</w:t>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545"/>
              <w:jc w:val="right"/>
              <w:rPr>
                <w:rFonts w:ascii="Arial" w:hAnsi="Arial" w:cs="Arial" w:eastAsia="Arial" w:hint="default"/>
                <w:sz w:val="18"/>
                <w:szCs w:val="18"/>
              </w:rPr>
            </w:pPr>
            <w:r>
              <w:rPr>
                <w:rFonts w:ascii="Arial"/>
                <w:spacing w:val="-2"/>
                <w:sz w:val="18"/>
              </w:rPr>
              <w:t>(119,402)</w:t>
            </w:r>
          </w:p>
        </w:tc>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74"/>
              <w:jc w:val="right"/>
              <w:rPr>
                <w:rFonts w:ascii="Arial" w:hAnsi="Arial" w:cs="Arial" w:eastAsia="Arial" w:hint="default"/>
                <w:sz w:val="18"/>
                <w:szCs w:val="18"/>
              </w:rPr>
            </w:pPr>
            <w:r>
              <w:rPr>
                <w:rFonts w:ascii="Arial"/>
                <w:spacing w:val="-1"/>
                <w:sz w:val="18"/>
              </w:rPr>
              <w:t>(896,530)</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37"/>
              <w:jc w:val="right"/>
              <w:rPr>
                <w:rFonts w:ascii="Arial" w:hAnsi="Arial" w:cs="Arial" w:eastAsia="Arial" w:hint="default"/>
                <w:sz w:val="18"/>
                <w:szCs w:val="18"/>
              </w:rPr>
            </w:pPr>
            <w:r>
              <w:rPr>
                <w:rFonts w:ascii="Arial"/>
                <w:spacing w:val="-1"/>
                <w:sz w:val="18"/>
              </w:rPr>
              <w:t>(404,232)</w:t>
            </w:r>
          </w:p>
        </w:tc>
        <w:tc>
          <w:tcPr>
            <w:tcW w:w="1496" w:type="dxa"/>
            <w:tcBorders>
              <w:top w:val="single" w:sz="4" w:space="0" w:color="000000"/>
              <w:left w:val="nil" w:sz="6" w:space="0" w:color="auto"/>
              <w:bottom w:val="nil" w:sz="6" w:space="0" w:color="auto"/>
              <w:right w:val="single" w:sz="4" w:space="0" w:color="000000"/>
            </w:tcBorders>
          </w:tcPr>
          <w:p>
            <w:pPr>
              <w:pStyle w:val="TableParagraph"/>
              <w:spacing w:line="240" w:lineRule="auto" w:before="67"/>
              <w:ind w:right="79"/>
              <w:jc w:val="right"/>
              <w:rPr>
                <w:rFonts w:ascii="Arial" w:hAnsi="Arial" w:cs="Arial" w:eastAsia="Arial" w:hint="default"/>
                <w:sz w:val="18"/>
                <w:szCs w:val="18"/>
              </w:rPr>
            </w:pPr>
            <w:r>
              <w:rPr>
                <w:rFonts w:ascii="Arial"/>
                <w:spacing w:val="-1"/>
                <w:sz w:val="18"/>
              </w:rPr>
              <w:t>(2,656,314)</w:t>
            </w:r>
          </w:p>
        </w:tc>
      </w:tr>
      <w:tr>
        <w:trPr>
          <w:trHeight w:val="265"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7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single" w:sz="4" w:space="0" w:color="000000"/>
            </w:tcBorders>
          </w:tcPr>
          <w:p>
            <w:pPr/>
          </w:p>
        </w:tc>
      </w:tr>
      <w:tr>
        <w:trPr>
          <w:trHeight w:val="287"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28" w:lineRule="exact"/>
              <w:ind w:left="33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95" w:right="0"/>
              <w:jc w:val="left"/>
              <w:rPr>
                <w:rFonts w:ascii="Arial" w:hAnsi="Arial" w:cs="Arial" w:eastAsia="Arial" w:hint="default"/>
                <w:sz w:val="18"/>
                <w:szCs w:val="18"/>
              </w:rPr>
            </w:pPr>
            <w:r>
              <w:rPr>
                <w:rFonts w:ascii="Arial"/>
                <w:sz w:val="18"/>
              </w:rPr>
              <w:t>(365,955)</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2" w:right="0"/>
              <w:jc w:val="left"/>
              <w:rPr>
                <w:rFonts w:ascii="Arial" w:hAnsi="Arial" w:cs="Arial" w:eastAsia="Arial" w:hint="default"/>
                <w:sz w:val="18"/>
                <w:szCs w:val="18"/>
              </w:rPr>
            </w:pPr>
            <w:r>
              <w:rPr>
                <w:rFonts w:ascii="Arial"/>
                <w:sz w:val="18"/>
              </w:rPr>
              <w:t>(64,833)</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56" w:right="0"/>
              <w:jc w:val="left"/>
              <w:rPr>
                <w:rFonts w:ascii="Arial" w:hAnsi="Arial" w:cs="Arial" w:eastAsia="Arial" w:hint="default"/>
                <w:sz w:val="18"/>
                <w:szCs w:val="18"/>
              </w:rPr>
            </w:pPr>
            <w:r>
              <w:rPr>
                <w:rFonts w:ascii="Arial"/>
                <w:sz w:val="18"/>
              </w:rPr>
              <w:t>(31,474)</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5"/>
              <w:jc w:val="right"/>
              <w:rPr>
                <w:rFonts w:ascii="Arial" w:hAnsi="Arial" w:cs="Arial" w:eastAsia="Arial" w:hint="default"/>
                <w:sz w:val="18"/>
                <w:szCs w:val="18"/>
              </w:rPr>
            </w:pPr>
            <w:r>
              <w:rPr>
                <w:rFonts w:ascii="Arial"/>
                <w:spacing w:val="-1"/>
                <w:sz w:val="18"/>
              </w:rPr>
              <w:t>(238,492)</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37"/>
              <w:jc w:val="right"/>
              <w:rPr>
                <w:rFonts w:ascii="Arial" w:hAnsi="Arial" w:cs="Arial" w:eastAsia="Arial" w:hint="default"/>
                <w:sz w:val="18"/>
                <w:szCs w:val="18"/>
              </w:rPr>
            </w:pPr>
            <w:r>
              <w:rPr>
                <w:rFonts w:ascii="Arial"/>
                <w:spacing w:val="-1"/>
                <w:sz w:val="18"/>
              </w:rPr>
              <w:t>(141,979)</w:t>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(842,733)</w:t>
            </w:r>
          </w:p>
        </w:tc>
      </w:tr>
      <w:tr>
        <w:trPr>
          <w:trHeight w:val="276"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30" w:lineRule="exact"/>
              <w:ind w:left="331" w:right="0"/>
              <w:jc w:val="left"/>
              <w:rPr>
                <w:rFonts w:ascii="Arial" w:hAnsi="Arial" w:cs="Arial" w:eastAsia="Arial" w:hint="default"/>
                <w:sz w:val="18"/>
                <w:szCs w:val="18"/>
              </w:rPr>
            </w:pPr>
            <w:r>
              <w:rPr>
                <w:rFonts w:ascii="宋体" w:hAnsi="宋体" w:cs="宋体" w:eastAsia="宋体" w:hint="default"/>
                <w:sz w:val="18"/>
                <w:szCs w:val="18"/>
              </w:rPr>
              <w:t>投资性房地产转入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(13))</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81" w:right="0"/>
              <w:jc w:val="left"/>
              <w:rPr>
                <w:rFonts w:ascii="Arial" w:hAnsi="Arial" w:cs="Arial" w:eastAsia="Arial" w:hint="default"/>
                <w:sz w:val="18"/>
                <w:szCs w:val="18"/>
              </w:rPr>
            </w:pPr>
            <w:r>
              <w:rPr>
                <w:rFonts w:ascii="Arial"/>
                <w:sz w:val="18"/>
              </w:rPr>
              <w:t>(69,950)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5"/>
              <w:jc w:val="right"/>
              <w:rPr>
                <w:rFonts w:ascii="Arial" w:hAnsi="Arial" w:cs="Arial" w:eastAsia="Arial" w:hint="default"/>
                <w:sz w:val="18"/>
                <w:szCs w:val="18"/>
              </w:rPr>
            </w:pPr>
            <w:r>
              <w:rPr>
                <w:rFonts w:ascii="Arial"/>
                <w:w w:val="99"/>
                <w:sz w:val="18"/>
              </w:rPr>
              <w:t>-</w:t>
            </w:r>
            <w:r>
              <w:rPr>
                <w:rFonts w:ascii="Arial"/>
                <w:sz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91"/>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4"/>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6"/>
              <w:jc w:val="right"/>
              <w:rPr>
                <w:rFonts w:ascii="Arial" w:hAnsi="Arial" w:cs="Arial" w:eastAsia="Arial" w:hint="default"/>
                <w:sz w:val="18"/>
                <w:szCs w:val="18"/>
              </w:rPr>
            </w:pPr>
            <w:r>
              <w:rPr>
                <w:rFonts w:ascii="Arial"/>
                <w:w w:val="99"/>
                <w:sz w:val="18"/>
              </w:rPr>
              <w:t>-</w:t>
            </w:r>
            <w:r>
              <w:rPr>
                <w:rFonts w:ascii="Arial"/>
                <w:sz w:val="18"/>
              </w:rPr>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right="102"/>
              <w:jc w:val="right"/>
              <w:rPr>
                <w:rFonts w:ascii="Arial" w:hAnsi="Arial" w:cs="Arial" w:eastAsia="Arial" w:hint="default"/>
                <w:sz w:val="18"/>
                <w:szCs w:val="18"/>
              </w:rPr>
            </w:pPr>
            <w:r>
              <w:rPr>
                <w:rFonts w:ascii="Arial"/>
                <w:spacing w:val="-1"/>
                <w:sz w:val="18"/>
              </w:rPr>
              <w:t>(69,950)</w:t>
            </w:r>
          </w:p>
        </w:tc>
      </w:tr>
      <w:tr>
        <w:trPr>
          <w:trHeight w:val="265"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75"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single" w:sz="4" w:space="0" w:color="000000"/>
            </w:tcBorders>
          </w:tcPr>
          <w:p>
            <w:pPr/>
          </w:p>
        </w:tc>
      </w:tr>
      <w:tr>
        <w:trPr>
          <w:trHeight w:val="287"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28" w:lineRule="exact"/>
              <w:ind w:left="345" w:right="0"/>
              <w:jc w:val="left"/>
              <w:rPr>
                <w:rFonts w:ascii="宋体" w:hAnsi="宋体" w:cs="宋体" w:eastAsia="宋体" w:hint="default"/>
                <w:sz w:val="18"/>
                <w:szCs w:val="18"/>
              </w:rPr>
            </w:pPr>
            <w:r>
              <w:rPr>
                <w:rFonts w:ascii="宋体" w:hAnsi="宋体" w:cs="宋体" w:eastAsia="宋体" w:hint="default"/>
                <w:sz w:val="18"/>
                <w:szCs w:val="18"/>
              </w:rPr>
              <w:t>处置及报废</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71" w:right="0"/>
              <w:jc w:val="left"/>
              <w:rPr>
                <w:rFonts w:ascii="Arial" w:hAnsi="Arial" w:cs="Arial" w:eastAsia="Arial" w:hint="default"/>
                <w:sz w:val="18"/>
                <w:szCs w:val="18"/>
              </w:rPr>
            </w:pPr>
            <w:r>
              <w:rPr>
                <w:rFonts w:ascii="Arial"/>
                <w:sz w:val="18"/>
              </w:rPr>
              <w:t>421,426</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14" w:right="0"/>
              <w:jc w:val="left"/>
              <w:rPr>
                <w:rFonts w:ascii="Arial" w:hAnsi="Arial" w:cs="Arial" w:eastAsia="Arial" w:hint="default"/>
                <w:sz w:val="18"/>
                <w:szCs w:val="18"/>
              </w:rPr>
            </w:pPr>
            <w:r>
              <w:rPr>
                <w:rFonts w:ascii="Arial"/>
                <w:sz w:val="18"/>
              </w:rPr>
              <w:t>1,518</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43" w:right="0"/>
              <w:jc w:val="left"/>
              <w:rPr>
                <w:rFonts w:ascii="Arial" w:hAnsi="Arial" w:cs="Arial" w:eastAsia="Arial" w:hint="default"/>
                <w:sz w:val="18"/>
                <w:szCs w:val="18"/>
              </w:rPr>
            </w:pPr>
            <w:r>
              <w:rPr>
                <w:rFonts w:ascii="Arial"/>
                <w:sz w:val="18"/>
              </w:rPr>
              <w:t>14,951</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25"/>
              <w:jc w:val="right"/>
              <w:rPr>
                <w:rFonts w:ascii="Arial" w:hAnsi="Arial" w:cs="Arial" w:eastAsia="Arial" w:hint="default"/>
                <w:sz w:val="18"/>
                <w:szCs w:val="18"/>
              </w:rPr>
            </w:pPr>
            <w:r>
              <w:rPr>
                <w:rFonts w:ascii="Arial"/>
                <w:spacing w:val="-1"/>
                <w:sz w:val="18"/>
              </w:rPr>
              <w:t>39,810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87"/>
              <w:jc w:val="right"/>
              <w:rPr>
                <w:rFonts w:ascii="Arial" w:hAnsi="Arial" w:cs="Arial" w:eastAsia="Arial" w:hint="default"/>
                <w:sz w:val="18"/>
                <w:szCs w:val="18"/>
              </w:rPr>
            </w:pPr>
            <w:r>
              <w:rPr>
                <w:rFonts w:ascii="Arial"/>
                <w:spacing w:val="-1"/>
                <w:sz w:val="18"/>
              </w:rPr>
              <w:t>21,354</w:t>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134"/>
              <w:jc w:val="right"/>
              <w:rPr>
                <w:rFonts w:ascii="Arial" w:hAnsi="Arial" w:cs="Arial" w:eastAsia="Arial" w:hint="default"/>
                <w:sz w:val="18"/>
                <w:szCs w:val="18"/>
              </w:rPr>
            </w:pPr>
            <w:r>
              <w:rPr>
                <w:rFonts w:ascii="Arial"/>
                <w:spacing w:val="-1"/>
                <w:sz w:val="18"/>
              </w:rPr>
              <w:t>499,059</w:t>
            </w:r>
          </w:p>
        </w:tc>
      </w:tr>
      <w:tr>
        <w:trPr>
          <w:trHeight w:val="276"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7" w:lineRule="exact"/>
              <w:ind w:left="345" w:right="0"/>
              <w:jc w:val="left"/>
              <w:rPr>
                <w:rFonts w:ascii="宋体" w:hAnsi="宋体" w:cs="宋体" w:eastAsia="宋体" w:hint="default"/>
                <w:sz w:val="18"/>
                <w:szCs w:val="18"/>
              </w:rPr>
            </w:pPr>
            <w:r>
              <w:rPr>
                <w:rFonts w:ascii="宋体" w:hAnsi="宋体" w:cs="宋体" w:eastAsia="宋体" w:hint="default"/>
                <w:sz w:val="18"/>
                <w:szCs w:val="18"/>
              </w:rPr>
              <w:t>处置子公司减少</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2"/>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13" w:right="0"/>
              <w:jc w:val="left"/>
              <w:rPr>
                <w:rFonts w:ascii="Arial" w:hAnsi="Arial" w:cs="Arial" w:eastAsia="Arial" w:hint="default"/>
                <w:sz w:val="18"/>
                <w:szCs w:val="18"/>
              </w:rPr>
            </w:pPr>
            <w:r>
              <w:rPr>
                <w:rFonts w:ascii="Arial"/>
                <w:sz w:val="18"/>
              </w:rPr>
              <w:t>18,136</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95" w:right="0"/>
              <w:jc w:val="left"/>
              <w:rPr>
                <w:rFonts w:ascii="Arial" w:hAnsi="Arial" w:cs="Arial" w:eastAsia="Arial" w:hint="default"/>
                <w:sz w:val="18"/>
                <w:szCs w:val="18"/>
              </w:rPr>
            </w:pPr>
            <w:r>
              <w:rPr>
                <w:rFonts w:ascii="Arial"/>
                <w:sz w:val="18"/>
              </w:rPr>
              <w:t>227</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3"/>
              <w:jc w:val="right"/>
              <w:rPr>
                <w:rFonts w:ascii="Arial" w:hAnsi="Arial" w:cs="Arial" w:eastAsia="Arial" w:hint="default"/>
                <w:sz w:val="18"/>
                <w:szCs w:val="18"/>
              </w:rPr>
            </w:pPr>
            <w:r>
              <w:rPr>
                <w:rFonts w:ascii="Arial"/>
                <w:spacing w:val="-1"/>
                <w:sz w:val="18"/>
              </w:rPr>
              <w:t>5,650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6"/>
              <w:jc w:val="right"/>
              <w:rPr>
                <w:rFonts w:ascii="Arial" w:hAnsi="Arial" w:cs="Arial" w:eastAsia="Arial" w:hint="default"/>
                <w:sz w:val="18"/>
                <w:szCs w:val="18"/>
              </w:rPr>
            </w:pPr>
            <w:r>
              <w:rPr>
                <w:rFonts w:ascii="Arial"/>
                <w:spacing w:val="-1"/>
                <w:w w:val="95"/>
                <w:sz w:val="18"/>
              </w:rPr>
              <w:t>404</w:t>
            </w:r>
            <w:r>
              <w:rPr>
                <w:rFonts w:ascii="Arial"/>
                <w:sz w:val="18"/>
              </w:rPr>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24,417</w:t>
            </w:r>
          </w:p>
        </w:tc>
      </w:tr>
      <w:tr>
        <w:trPr>
          <w:trHeight w:val="276"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30" w:lineRule="exact"/>
              <w:ind w:right="319"/>
              <w:jc w:val="right"/>
              <w:rPr>
                <w:rFonts w:ascii="Arial" w:hAnsi="Arial" w:cs="Arial" w:eastAsia="Arial" w:hint="default"/>
                <w:sz w:val="18"/>
                <w:szCs w:val="18"/>
              </w:rPr>
            </w:pPr>
            <w:r>
              <w:rPr>
                <w:rFonts w:ascii="宋体" w:hAnsi="宋体" w:cs="宋体" w:eastAsia="宋体" w:hint="default"/>
                <w:spacing w:val="-1"/>
                <w:sz w:val="18"/>
                <w:szCs w:val="18"/>
              </w:rPr>
              <w:t>转出至投资性房地产</w:t>
            </w: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(13))</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2"/>
              <w:jc w:val="right"/>
              <w:rPr>
                <w:rFonts w:ascii="Arial" w:hAnsi="Arial" w:cs="Arial" w:eastAsia="Arial" w:hint="default"/>
                <w:sz w:val="18"/>
                <w:szCs w:val="18"/>
              </w:rPr>
            </w:pPr>
            <w:r>
              <w:rPr>
                <w:rFonts w:ascii="Arial"/>
                <w:spacing w:val="-1"/>
                <w:sz w:val="18"/>
              </w:rPr>
              <w:t>47,780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5"/>
              <w:jc w:val="right"/>
              <w:rPr>
                <w:rFonts w:ascii="Arial" w:hAnsi="Arial" w:cs="Arial" w:eastAsia="Arial" w:hint="default"/>
                <w:sz w:val="18"/>
                <w:szCs w:val="18"/>
              </w:rPr>
            </w:pPr>
            <w:r>
              <w:rPr>
                <w:rFonts w:ascii="Arial"/>
                <w:w w:val="99"/>
                <w:sz w:val="18"/>
              </w:rPr>
              <w:t>-</w:t>
            </w:r>
            <w:r>
              <w:rPr>
                <w:rFonts w:ascii="Arial"/>
                <w:sz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91"/>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4"/>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6"/>
              <w:jc w:val="right"/>
              <w:rPr>
                <w:rFonts w:ascii="Arial" w:hAnsi="Arial" w:cs="Arial" w:eastAsia="Arial" w:hint="default"/>
                <w:sz w:val="18"/>
                <w:szCs w:val="18"/>
              </w:rPr>
            </w:pPr>
            <w:r>
              <w:rPr>
                <w:rFonts w:ascii="Arial"/>
                <w:w w:val="99"/>
                <w:sz w:val="18"/>
              </w:rPr>
              <w:t>-</w:t>
            </w:r>
            <w:r>
              <w:rPr>
                <w:rFonts w:ascii="Arial"/>
                <w:sz w:val="18"/>
              </w:rPr>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right="134"/>
              <w:jc w:val="right"/>
              <w:rPr>
                <w:rFonts w:ascii="Arial" w:hAnsi="Arial" w:cs="Arial" w:eastAsia="Arial" w:hint="default"/>
                <w:sz w:val="18"/>
                <w:szCs w:val="18"/>
              </w:rPr>
            </w:pPr>
            <w:r>
              <w:rPr>
                <w:rFonts w:ascii="Arial"/>
                <w:spacing w:val="-1"/>
                <w:sz w:val="18"/>
              </w:rPr>
              <w:t>47,780</w:t>
            </w:r>
          </w:p>
        </w:tc>
      </w:tr>
      <w:tr>
        <w:trPr>
          <w:trHeight w:val="345"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nil" w:sz="6" w:space="0" w:color="auto"/>
              <w:right w:val="nil" w:sz="6" w:space="0" w:color="auto"/>
            </w:tcBorders>
          </w:tcPr>
          <w:p>
            <w:pPr>
              <w:pStyle w:val="TableParagraph"/>
              <w:spacing w:line="217" w:lineRule="exact"/>
              <w:ind w:left="345"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8"/>
              <w:jc w:val="right"/>
              <w:rPr>
                <w:rFonts w:ascii="Arial" w:hAnsi="Arial" w:cs="Arial" w:eastAsia="Arial" w:hint="default"/>
                <w:sz w:val="18"/>
                <w:szCs w:val="18"/>
              </w:rPr>
            </w:pPr>
            <w:r>
              <w:rPr>
                <w:rFonts w:ascii="Arial"/>
                <w:spacing w:val="-1"/>
                <w:sz w:val="18"/>
              </w:rPr>
              <w:t>(4,815)</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82" w:right="0"/>
              <w:jc w:val="left"/>
              <w:rPr>
                <w:rFonts w:ascii="Arial" w:hAnsi="Arial" w:cs="Arial" w:eastAsia="Arial" w:hint="default"/>
                <w:sz w:val="18"/>
                <w:szCs w:val="18"/>
              </w:rPr>
            </w:pPr>
            <w:r>
              <w:rPr>
                <w:rFonts w:ascii="Arial"/>
                <w:sz w:val="18"/>
              </w:rPr>
              <w:t>(160)</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1"/>
              <w:jc w:val="right"/>
              <w:rPr>
                <w:rFonts w:ascii="Arial" w:hAnsi="Arial" w:cs="Arial" w:eastAsia="Arial" w:hint="default"/>
                <w:sz w:val="18"/>
                <w:szCs w:val="18"/>
              </w:rPr>
            </w:pPr>
            <w:r>
              <w:rPr>
                <w:rFonts w:ascii="Arial"/>
                <w:spacing w:val="-1"/>
                <w:sz w:val="18"/>
              </w:rPr>
              <w:t>(39)</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5"/>
              <w:jc w:val="right"/>
              <w:rPr>
                <w:rFonts w:ascii="Arial" w:hAnsi="Arial" w:cs="Arial" w:eastAsia="Arial" w:hint="default"/>
                <w:sz w:val="18"/>
                <w:szCs w:val="18"/>
              </w:rPr>
            </w:pPr>
            <w:r>
              <w:rPr>
                <w:rFonts w:ascii="Arial"/>
                <w:spacing w:val="-1"/>
                <w:sz w:val="18"/>
              </w:rPr>
              <w:t>(1,658)</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6"/>
              <w:jc w:val="right"/>
              <w:rPr>
                <w:rFonts w:ascii="Arial" w:hAnsi="Arial" w:cs="Arial" w:eastAsia="Arial" w:hint="default"/>
                <w:sz w:val="18"/>
                <w:szCs w:val="18"/>
              </w:rPr>
            </w:pPr>
            <w:r>
              <w:rPr>
                <w:rFonts w:ascii="Arial"/>
                <w:spacing w:val="-1"/>
                <w:sz w:val="18"/>
              </w:rPr>
              <w:t>(438)</w:t>
            </w:r>
          </w:p>
        </w:tc>
        <w:tc>
          <w:tcPr>
            <w:tcW w:w="1496"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right="134"/>
              <w:jc w:val="right"/>
              <w:rPr>
                <w:rFonts w:ascii="Arial" w:hAnsi="Arial" w:cs="Arial" w:eastAsia="Arial" w:hint="default"/>
                <w:sz w:val="18"/>
                <w:szCs w:val="18"/>
              </w:rPr>
            </w:pPr>
            <w:r>
              <w:rPr>
                <w:rFonts w:ascii="Arial"/>
                <w:spacing w:val="-3"/>
                <w:sz w:val="18"/>
              </w:rPr>
              <w:t>(7,110)</w:t>
            </w:r>
          </w:p>
        </w:tc>
      </w:tr>
      <w:tr>
        <w:trPr>
          <w:trHeight w:val="319" w:hRule="exact"/>
        </w:trPr>
        <w:tc>
          <w:tcPr>
            <w:tcW w:w="806" w:type="dxa"/>
            <w:tcBorders>
              <w:top w:val="nil" w:sz="6" w:space="0" w:color="auto"/>
              <w:left w:val="nil" w:sz="6" w:space="0" w:color="auto"/>
              <w:bottom w:val="nil" w:sz="6" w:space="0" w:color="auto"/>
              <w:right w:val="single" w:sz="4" w:space="0" w:color="000000"/>
            </w:tcBorders>
          </w:tcPr>
          <w:p>
            <w:pPr/>
          </w:p>
        </w:tc>
        <w:tc>
          <w:tcPr>
            <w:tcW w:w="3271" w:type="dxa"/>
            <w:tcBorders>
              <w:top w:val="nil" w:sz="6" w:space="0" w:color="auto"/>
              <w:left w:val="single" w:sz="4" w:space="0" w:color="000000"/>
              <w:bottom w:val="single" w:sz="4" w:space="0" w:color="000000"/>
              <w:right w:val="nil" w:sz="6" w:space="0" w:color="auto"/>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45" w:right="0"/>
              <w:jc w:val="left"/>
              <w:rPr>
                <w:rFonts w:ascii="Arial" w:hAnsi="Arial" w:cs="Arial" w:eastAsia="Arial" w:hint="default"/>
                <w:sz w:val="18"/>
                <w:szCs w:val="18"/>
              </w:rPr>
            </w:pPr>
            <w:r>
              <w:rPr>
                <w:rFonts w:ascii="Arial"/>
                <w:sz w:val="18"/>
              </w:rPr>
              <w:t>(1,132,713)</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46" w:right="0"/>
              <w:jc w:val="left"/>
              <w:rPr>
                <w:rFonts w:ascii="Arial" w:hAnsi="Arial" w:cs="Arial" w:eastAsia="Arial" w:hint="default"/>
                <w:sz w:val="18"/>
                <w:szCs w:val="18"/>
              </w:rPr>
            </w:pPr>
            <w:r>
              <w:rPr>
                <w:rFonts w:ascii="Arial"/>
                <w:sz w:val="18"/>
              </w:rPr>
              <w:t>(120,290)</w:t>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518"/>
              <w:jc w:val="right"/>
              <w:rPr>
                <w:rFonts w:ascii="Arial" w:hAnsi="Arial" w:cs="Arial" w:eastAsia="Arial" w:hint="default"/>
                <w:sz w:val="18"/>
                <w:szCs w:val="18"/>
              </w:rPr>
            </w:pPr>
            <w:r>
              <w:rPr>
                <w:rFonts w:ascii="Arial"/>
                <w:spacing w:val="-1"/>
                <w:sz w:val="18"/>
              </w:rPr>
              <w:t>(135,737)</w:t>
            </w: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275"/>
              <w:jc w:val="right"/>
              <w:rPr>
                <w:rFonts w:ascii="Arial" w:hAnsi="Arial" w:cs="Arial" w:eastAsia="Arial" w:hint="default"/>
                <w:sz w:val="18"/>
                <w:szCs w:val="18"/>
              </w:rPr>
            </w:pPr>
            <w:r>
              <w:rPr>
                <w:rFonts w:ascii="Arial"/>
                <w:spacing w:val="-1"/>
                <w:sz w:val="18"/>
              </w:rPr>
              <w:t>(1,091,220)</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422"/>
              <w:jc w:val="right"/>
              <w:rPr>
                <w:rFonts w:ascii="Arial" w:hAnsi="Arial" w:cs="Arial" w:eastAsia="Arial" w:hint="default"/>
                <w:sz w:val="18"/>
                <w:szCs w:val="18"/>
              </w:rPr>
            </w:pPr>
            <w:r>
              <w:rPr>
                <w:rFonts w:ascii="Arial"/>
                <w:spacing w:val="-1"/>
                <w:sz w:val="18"/>
              </w:rPr>
              <w:t>(524,891)</w:t>
            </w:r>
          </w:p>
        </w:tc>
        <w:tc>
          <w:tcPr>
            <w:tcW w:w="1496" w:type="dxa"/>
            <w:tcBorders>
              <w:top w:val="nil" w:sz="6" w:space="0" w:color="auto"/>
              <w:left w:val="nil" w:sz="6" w:space="0" w:color="auto"/>
              <w:bottom w:val="single" w:sz="4" w:space="0" w:color="000000"/>
              <w:right w:val="single" w:sz="4" w:space="0" w:color="000000"/>
            </w:tcBorders>
          </w:tcPr>
          <w:p>
            <w:pPr>
              <w:pStyle w:val="TableParagraph"/>
              <w:spacing w:line="240" w:lineRule="auto" w:before="105"/>
              <w:ind w:right="65"/>
              <w:jc w:val="right"/>
              <w:rPr>
                <w:rFonts w:ascii="Arial" w:hAnsi="Arial" w:cs="Arial" w:eastAsia="Arial" w:hint="default"/>
                <w:sz w:val="18"/>
                <w:szCs w:val="18"/>
              </w:rPr>
            </w:pPr>
            <w:r>
              <w:rPr>
                <w:rFonts w:ascii="Arial"/>
                <w:spacing w:val="-1"/>
                <w:sz w:val="18"/>
              </w:rPr>
              <w:t>(3,004,851)</w:t>
            </w:r>
          </w:p>
        </w:tc>
      </w:tr>
    </w:tbl>
    <w:p>
      <w:pPr>
        <w:spacing w:after="0" w:line="240" w:lineRule="auto"/>
        <w:jc w:val="right"/>
        <w:rPr>
          <w:rFonts w:ascii="Arial" w:hAnsi="Arial" w:cs="Arial" w:eastAsia="Arial" w:hint="default"/>
          <w:sz w:val="18"/>
          <w:szCs w:val="18"/>
        </w:rPr>
        <w:sectPr>
          <w:headerReference w:type="default" r:id="rId51"/>
          <w:footerReference w:type="default" r:id="rId52"/>
          <w:pgSz w:w="16840" w:h="11910" w:orient="landscape"/>
          <w:pgMar w:header="755" w:footer="915" w:top="1860" w:bottom="1100" w:left="1020" w:right="0"/>
          <w:pgNumType w:start="16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806"/>
        <w:gridCol w:w="2637"/>
        <w:gridCol w:w="2204"/>
        <w:gridCol w:w="1579"/>
        <w:gridCol w:w="1823"/>
        <w:gridCol w:w="1682"/>
        <w:gridCol w:w="1496"/>
        <w:gridCol w:w="1482"/>
      </w:tblGrid>
      <w:tr>
        <w:trPr>
          <w:trHeight w:val="385"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84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79"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21"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0" w:right="0"/>
              <w:jc w:val="left"/>
              <w:rPr>
                <w:rFonts w:ascii="Arial" w:hAnsi="Arial" w:cs="Arial" w:eastAsia="Arial" w:hint="default"/>
                <w:sz w:val="24"/>
                <w:szCs w:val="24"/>
              </w:rPr>
            </w:pPr>
            <w:r>
              <w:rPr>
                <w:rFonts w:ascii="Arial"/>
                <w:sz w:val="24"/>
              </w:rPr>
              <w:t>(14)</w:t>
            </w: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04"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452" w:hRule="exact"/>
        </w:trPr>
        <w:tc>
          <w:tcPr>
            <w:tcW w:w="806"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99"/>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08"/>
              <w:jc w:val="right"/>
              <w:rPr>
                <w:rFonts w:ascii="宋体" w:hAnsi="宋体" w:cs="宋体" w:eastAsia="宋体" w:hint="default"/>
                <w:sz w:val="18"/>
                <w:szCs w:val="18"/>
              </w:rPr>
            </w:pPr>
            <w:r>
              <w:rPr>
                <w:rFonts w:ascii="宋体" w:hAnsi="宋体" w:cs="宋体" w:eastAsia="宋体" w:hint="default"/>
                <w:sz w:val="18"/>
                <w:szCs w:val="18"/>
              </w:rPr>
              <w:t>机器设备</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29"/>
              <w:jc w:val="right"/>
              <w:rPr>
                <w:rFonts w:ascii="宋体" w:hAnsi="宋体" w:cs="宋体" w:eastAsia="宋体" w:hint="default"/>
                <w:sz w:val="18"/>
                <w:szCs w:val="18"/>
              </w:rPr>
            </w:pPr>
            <w:r>
              <w:rPr>
                <w:rFonts w:ascii="宋体" w:hAnsi="宋体" w:cs="宋体" w:eastAsia="宋体" w:hint="default"/>
                <w:sz w:val="18"/>
                <w:szCs w:val="18"/>
              </w:rPr>
              <w:t>运输工具</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29"/>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43"/>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61"/>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806"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204" w:type="dxa"/>
            <w:tcBorders>
              <w:top w:val="nil" w:sz="6" w:space="0" w:color="auto"/>
              <w:left w:val="nil" w:sz="6" w:space="0" w:color="auto"/>
              <w:bottom w:val="single" w:sz="4" w:space="0" w:color="000000"/>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
        </w:tc>
        <w:tc>
          <w:tcPr>
            <w:tcW w:w="1823" w:type="dxa"/>
            <w:tcBorders>
              <w:top w:val="nil" w:sz="6" w:space="0" w:color="auto"/>
              <w:left w:val="nil" w:sz="6" w:space="0" w:color="auto"/>
              <w:bottom w:val="single" w:sz="4" w:space="0" w:color="000000"/>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
        </w:tc>
      </w:tr>
      <w:tr>
        <w:trPr>
          <w:trHeight w:val="449" w:hRule="exact"/>
        </w:trPr>
        <w:tc>
          <w:tcPr>
            <w:tcW w:w="806" w:type="dxa"/>
            <w:tcBorders>
              <w:top w:val="nil" w:sz="6" w:space="0" w:color="auto"/>
              <w:left w:val="nil" w:sz="6" w:space="0" w:color="auto"/>
              <w:bottom w:val="nil" w:sz="6" w:space="0" w:color="auto"/>
              <w:right w:val="single" w:sz="4" w:space="0" w:color="000000"/>
            </w:tcBorders>
          </w:tcPr>
          <w:p>
            <w:pPr/>
          </w:p>
        </w:tc>
        <w:tc>
          <w:tcPr>
            <w:tcW w:w="2637" w:type="dxa"/>
            <w:tcBorders>
              <w:top w:val="single" w:sz="4" w:space="0" w:color="000000"/>
              <w:left w:val="single" w:sz="4" w:space="0" w:color="000000"/>
              <w:bottom w:val="nil" w:sz="6" w:space="0" w:color="auto"/>
              <w:right w:val="nil" w:sz="6" w:space="0" w:color="auto"/>
            </w:tcBorders>
          </w:tcPr>
          <w:p>
            <w:pPr>
              <w:pStyle w:val="TableParagraph"/>
              <w:spacing w:line="240" w:lineRule="auto" w:before="149"/>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46"/>
              <w:jc w:val="right"/>
              <w:rPr>
                <w:rFonts w:ascii="Arial" w:hAnsi="Arial" w:cs="Arial" w:eastAsia="Arial" w:hint="default"/>
                <w:sz w:val="18"/>
                <w:szCs w:val="18"/>
              </w:rPr>
            </w:pPr>
            <w:r>
              <w:rPr>
                <w:rFonts w:ascii="Arial"/>
                <w:spacing w:val="-1"/>
                <w:sz w:val="18"/>
              </w:rPr>
              <w:t>(26,973)</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8"/>
              <w:jc w:val="right"/>
              <w:rPr>
                <w:rFonts w:ascii="Arial" w:hAnsi="Arial" w:cs="Arial" w:eastAsia="Arial" w:hint="default"/>
                <w:sz w:val="18"/>
                <w:szCs w:val="18"/>
              </w:rPr>
            </w:pPr>
            <w:r>
              <w:rPr>
                <w:rFonts w:ascii="Arial"/>
                <w:w w:val="99"/>
                <w:sz w:val="18"/>
              </w:rPr>
              <w:t>-</w:t>
            </w:r>
            <w:r>
              <w:rPr>
                <w:rFonts w:ascii="Arial"/>
                <w:sz w:val="18"/>
              </w:rPr>
            </w:r>
          </w:p>
        </w:tc>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30"/>
              <w:jc w:val="right"/>
              <w:rPr>
                <w:rFonts w:ascii="Arial" w:hAnsi="Arial" w:cs="Arial" w:eastAsia="Arial" w:hint="default"/>
                <w:sz w:val="18"/>
                <w:szCs w:val="18"/>
              </w:rPr>
            </w:pPr>
            <w:r>
              <w:rPr>
                <w:rFonts w:ascii="Arial"/>
                <w:w w:val="99"/>
                <w:sz w:val="18"/>
              </w:rPr>
              <w:t>-</w:t>
            </w:r>
            <w:r>
              <w:rPr>
                <w:rFonts w:ascii="Arial"/>
                <w:sz w:val="18"/>
              </w:rPr>
            </w: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28"/>
              <w:jc w:val="right"/>
              <w:rPr>
                <w:rFonts w:ascii="Arial" w:hAnsi="Arial" w:cs="Arial" w:eastAsia="Arial" w:hint="default"/>
                <w:sz w:val="18"/>
                <w:szCs w:val="18"/>
              </w:rPr>
            </w:pPr>
            <w:r>
              <w:rPr>
                <w:rFonts w:ascii="Arial"/>
                <w:w w:val="99"/>
                <w:sz w:val="18"/>
              </w:rPr>
              <w:t>-</w:t>
            </w:r>
            <w:r>
              <w:rPr>
                <w:rFonts w:ascii="Arial"/>
                <w:sz w:val="18"/>
              </w:rPr>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72"/>
              <w:jc w:val="right"/>
              <w:rPr>
                <w:rFonts w:ascii="Arial" w:hAnsi="Arial" w:cs="Arial" w:eastAsia="Arial" w:hint="default"/>
                <w:sz w:val="18"/>
                <w:szCs w:val="18"/>
              </w:rPr>
            </w:pPr>
            <w:r>
              <w:rPr>
                <w:rFonts w:ascii="Arial"/>
                <w:spacing w:val="-1"/>
                <w:sz w:val="18"/>
              </w:rPr>
              <w:t>(7,392)</w:t>
            </w:r>
          </w:p>
        </w:tc>
        <w:tc>
          <w:tcPr>
            <w:tcW w:w="1482"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(34,365)</w:t>
            </w:r>
          </w:p>
        </w:tc>
      </w:tr>
      <w:tr>
        <w:trPr>
          <w:trHeight w:val="265" w:hRule="exact"/>
        </w:trPr>
        <w:tc>
          <w:tcPr>
            <w:tcW w:w="806" w:type="dxa"/>
            <w:tcBorders>
              <w:top w:val="nil" w:sz="6" w:space="0" w:color="auto"/>
              <w:left w:val="nil" w:sz="6" w:space="0" w:color="auto"/>
              <w:bottom w:val="nil" w:sz="6" w:space="0" w:color="auto"/>
              <w:right w:val="single" w:sz="4" w:space="0" w:color="000000"/>
            </w:tcBorders>
          </w:tcPr>
          <w:p>
            <w:pPr/>
          </w:p>
        </w:tc>
        <w:tc>
          <w:tcPr>
            <w:tcW w:w="2637" w:type="dxa"/>
            <w:tcBorders>
              <w:top w:val="nil" w:sz="6" w:space="0" w:color="auto"/>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204"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single" w:sz="4" w:space="0" w:color="000000"/>
            </w:tcBorders>
          </w:tcPr>
          <w:p>
            <w:pPr/>
          </w:p>
        </w:tc>
      </w:tr>
      <w:tr>
        <w:trPr>
          <w:trHeight w:val="287" w:hRule="exact"/>
        </w:trPr>
        <w:tc>
          <w:tcPr>
            <w:tcW w:w="806" w:type="dxa"/>
            <w:tcBorders>
              <w:top w:val="nil" w:sz="6" w:space="0" w:color="auto"/>
              <w:left w:val="nil" w:sz="6" w:space="0" w:color="auto"/>
              <w:bottom w:val="nil" w:sz="6" w:space="0" w:color="auto"/>
              <w:right w:val="single" w:sz="4" w:space="0" w:color="000000"/>
            </w:tcBorders>
          </w:tcPr>
          <w:p>
            <w:pPr/>
          </w:p>
        </w:tc>
        <w:tc>
          <w:tcPr>
            <w:tcW w:w="2637" w:type="dxa"/>
            <w:tcBorders>
              <w:top w:val="nil" w:sz="6" w:space="0" w:color="auto"/>
              <w:left w:val="single" w:sz="4" w:space="0" w:color="000000"/>
              <w:bottom w:val="nil" w:sz="6" w:space="0" w:color="auto"/>
              <w:right w:val="nil" w:sz="6" w:space="0" w:color="auto"/>
            </w:tcBorders>
          </w:tcPr>
          <w:p>
            <w:pPr>
              <w:pStyle w:val="TableParagraph"/>
              <w:spacing w:line="228" w:lineRule="exact"/>
              <w:ind w:left="3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7"/>
              <w:jc w:val="right"/>
              <w:rPr>
                <w:rFonts w:ascii="Arial" w:hAnsi="Arial" w:cs="Arial" w:eastAsia="Arial" w:hint="default"/>
                <w:sz w:val="18"/>
                <w:szCs w:val="18"/>
              </w:rPr>
            </w:pPr>
            <w:r>
              <w:rPr>
                <w:rFonts w:ascii="Arial"/>
                <w:spacing w:val="-1"/>
                <w:sz w:val="18"/>
              </w:rPr>
              <w:t>(5,917)</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08"/>
              <w:jc w:val="right"/>
              <w:rPr>
                <w:rFonts w:ascii="Arial" w:hAnsi="Arial" w:cs="Arial" w:eastAsia="Arial" w:hint="default"/>
                <w:sz w:val="18"/>
                <w:szCs w:val="18"/>
              </w:rPr>
            </w:pPr>
            <w:r>
              <w:rPr>
                <w:rFonts w:ascii="Arial"/>
                <w:w w:val="99"/>
                <w:sz w:val="18"/>
              </w:rPr>
              <w:t>-</w:t>
            </w:r>
            <w:r>
              <w:rPr>
                <w:rFonts w:ascii="Arial"/>
                <w:sz w:val="18"/>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30"/>
              <w:jc w:val="right"/>
              <w:rPr>
                <w:rFonts w:ascii="Arial" w:hAnsi="Arial" w:cs="Arial" w:eastAsia="Arial" w:hint="default"/>
                <w:sz w:val="18"/>
                <w:szCs w:val="18"/>
              </w:rPr>
            </w:pPr>
            <w:r>
              <w:rPr>
                <w:rFonts w:ascii="Arial"/>
                <w:w w:val="99"/>
                <w:sz w:val="18"/>
              </w:rPr>
              <w:t>-</w:t>
            </w:r>
            <w:r>
              <w:rPr>
                <w:rFonts w:ascii="Arial"/>
                <w:sz w:val="18"/>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28"/>
              <w:jc w:val="right"/>
              <w:rPr>
                <w:rFonts w:ascii="Arial" w:hAnsi="Arial" w:cs="Arial" w:eastAsia="Arial" w:hint="default"/>
                <w:sz w:val="18"/>
                <w:szCs w:val="18"/>
              </w:rPr>
            </w:pPr>
            <w:r>
              <w:rPr>
                <w:rFonts w:ascii="Arial"/>
                <w:w w:val="99"/>
                <w:sz w:val="18"/>
              </w:rPr>
              <w:t>-</w:t>
            </w:r>
            <w:r>
              <w:rPr>
                <w:rFonts w:ascii="Arial"/>
                <w:sz w:val="18"/>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69"/>
              <w:jc w:val="right"/>
              <w:rPr>
                <w:rFonts w:ascii="Arial" w:hAnsi="Arial" w:cs="Arial" w:eastAsia="Arial" w:hint="default"/>
                <w:sz w:val="18"/>
                <w:szCs w:val="18"/>
              </w:rPr>
            </w:pPr>
            <w:r>
              <w:rPr>
                <w:rFonts w:ascii="Arial"/>
                <w:spacing w:val="-1"/>
                <w:sz w:val="18"/>
              </w:rPr>
              <w:t>(965)</w:t>
            </w:r>
          </w:p>
        </w:tc>
        <w:tc>
          <w:tcPr>
            <w:tcW w:w="14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(6,882)</w:t>
            </w:r>
          </w:p>
        </w:tc>
      </w:tr>
      <w:tr>
        <w:trPr>
          <w:trHeight w:val="265" w:hRule="exact"/>
        </w:trPr>
        <w:tc>
          <w:tcPr>
            <w:tcW w:w="806" w:type="dxa"/>
            <w:tcBorders>
              <w:top w:val="nil" w:sz="6" w:space="0" w:color="auto"/>
              <w:left w:val="nil" w:sz="6" w:space="0" w:color="auto"/>
              <w:bottom w:val="nil" w:sz="6" w:space="0" w:color="auto"/>
              <w:right w:val="single" w:sz="4" w:space="0" w:color="000000"/>
            </w:tcBorders>
          </w:tcPr>
          <w:p>
            <w:pPr/>
          </w:p>
        </w:tc>
        <w:tc>
          <w:tcPr>
            <w:tcW w:w="2637" w:type="dxa"/>
            <w:tcBorders>
              <w:top w:val="nil" w:sz="6" w:space="0" w:color="auto"/>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204"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single" w:sz="4" w:space="0" w:color="000000"/>
            </w:tcBorders>
          </w:tcPr>
          <w:p>
            <w:pPr/>
          </w:p>
        </w:tc>
      </w:tr>
      <w:tr>
        <w:trPr>
          <w:trHeight w:val="287" w:hRule="exact"/>
        </w:trPr>
        <w:tc>
          <w:tcPr>
            <w:tcW w:w="806" w:type="dxa"/>
            <w:tcBorders>
              <w:top w:val="nil" w:sz="6" w:space="0" w:color="auto"/>
              <w:left w:val="nil" w:sz="6" w:space="0" w:color="auto"/>
              <w:bottom w:val="nil" w:sz="6" w:space="0" w:color="auto"/>
              <w:right w:val="single" w:sz="4" w:space="0" w:color="000000"/>
            </w:tcBorders>
          </w:tcPr>
          <w:p>
            <w:pPr/>
          </w:p>
        </w:tc>
        <w:tc>
          <w:tcPr>
            <w:tcW w:w="2637" w:type="dxa"/>
            <w:tcBorders>
              <w:top w:val="nil" w:sz="6" w:space="0" w:color="auto"/>
              <w:left w:val="single" w:sz="4" w:space="0" w:color="000000"/>
              <w:bottom w:val="nil" w:sz="6" w:space="0" w:color="auto"/>
              <w:right w:val="nil" w:sz="6" w:space="0" w:color="auto"/>
            </w:tcBorders>
          </w:tcPr>
          <w:p>
            <w:pPr>
              <w:pStyle w:val="TableParagraph"/>
              <w:spacing w:line="228" w:lineRule="exact"/>
              <w:ind w:left="289" w:right="0"/>
              <w:jc w:val="left"/>
              <w:rPr>
                <w:rFonts w:ascii="宋体" w:hAnsi="宋体" w:cs="宋体" w:eastAsia="宋体" w:hint="default"/>
                <w:sz w:val="18"/>
                <w:szCs w:val="18"/>
              </w:rPr>
            </w:pPr>
            <w:r>
              <w:rPr>
                <w:rFonts w:ascii="宋体" w:hAnsi="宋体" w:cs="宋体" w:eastAsia="宋体" w:hint="default"/>
                <w:sz w:val="18"/>
                <w:szCs w:val="18"/>
              </w:rPr>
              <w:t>处置及报废</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99"/>
              <w:jc w:val="right"/>
              <w:rPr>
                <w:rFonts w:ascii="Arial" w:hAnsi="Arial" w:cs="Arial" w:eastAsia="Arial" w:hint="default"/>
                <w:sz w:val="18"/>
                <w:szCs w:val="18"/>
              </w:rPr>
            </w:pPr>
            <w:r>
              <w:rPr>
                <w:rFonts w:ascii="Arial"/>
                <w:spacing w:val="-1"/>
                <w:w w:val="95"/>
                <w:sz w:val="18"/>
              </w:rPr>
              <w:t>77</w:t>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08"/>
              <w:jc w:val="right"/>
              <w:rPr>
                <w:rFonts w:ascii="Arial" w:hAnsi="Arial" w:cs="Arial" w:eastAsia="Arial" w:hint="default"/>
                <w:sz w:val="18"/>
                <w:szCs w:val="18"/>
              </w:rPr>
            </w:pPr>
            <w:r>
              <w:rPr>
                <w:rFonts w:ascii="Arial"/>
                <w:w w:val="99"/>
                <w:sz w:val="18"/>
              </w:rPr>
              <w:t>-</w:t>
            </w:r>
            <w:r>
              <w:rPr>
                <w:rFonts w:ascii="Arial"/>
                <w:sz w:val="18"/>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30"/>
              <w:jc w:val="right"/>
              <w:rPr>
                <w:rFonts w:ascii="Arial" w:hAnsi="Arial" w:cs="Arial" w:eastAsia="Arial" w:hint="default"/>
                <w:sz w:val="18"/>
                <w:szCs w:val="18"/>
              </w:rPr>
            </w:pPr>
            <w:r>
              <w:rPr>
                <w:rFonts w:ascii="Arial"/>
                <w:w w:val="99"/>
                <w:sz w:val="18"/>
              </w:rPr>
              <w:t>-</w:t>
            </w:r>
            <w:r>
              <w:rPr>
                <w:rFonts w:ascii="Arial"/>
                <w:sz w:val="18"/>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28"/>
              <w:jc w:val="right"/>
              <w:rPr>
                <w:rFonts w:ascii="Arial" w:hAnsi="Arial" w:cs="Arial" w:eastAsia="Arial" w:hint="default"/>
                <w:sz w:val="18"/>
                <w:szCs w:val="18"/>
              </w:rPr>
            </w:pPr>
            <w:r>
              <w:rPr>
                <w:rFonts w:ascii="Arial"/>
                <w:w w:val="99"/>
                <w:sz w:val="18"/>
              </w:rPr>
              <w:t>-</w:t>
            </w:r>
            <w:r>
              <w:rPr>
                <w:rFonts w:ascii="Arial"/>
                <w:sz w:val="18"/>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05"/>
              <w:jc w:val="right"/>
              <w:rPr>
                <w:rFonts w:ascii="Arial" w:hAnsi="Arial" w:cs="Arial" w:eastAsia="Arial" w:hint="default"/>
                <w:sz w:val="18"/>
                <w:szCs w:val="18"/>
              </w:rPr>
            </w:pPr>
            <w:r>
              <w:rPr>
                <w:rFonts w:ascii="Arial"/>
                <w:spacing w:val="-1"/>
                <w:w w:val="95"/>
                <w:sz w:val="18"/>
              </w:rPr>
              <w:t>22</w:t>
            </w:r>
            <w:r>
              <w:rPr>
                <w:rFonts w:ascii="Arial"/>
                <w:sz w:val="18"/>
              </w:rPr>
            </w:r>
          </w:p>
        </w:tc>
        <w:tc>
          <w:tcPr>
            <w:tcW w:w="14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169"/>
              <w:jc w:val="right"/>
              <w:rPr>
                <w:rFonts w:ascii="Arial" w:hAnsi="Arial" w:cs="Arial" w:eastAsia="Arial" w:hint="default"/>
                <w:sz w:val="18"/>
                <w:szCs w:val="18"/>
              </w:rPr>
            </w:pPr>
            <w:r>
              <w:rPr>
                <w:rFonts w:ascii="Arial"/>
                <w:spacing w:val="-1"/>
                <w:w w:val="95"/>
                <w:sz w:val="18"/>
              </w:rPr>
              <w:t>99</w:t>
            </w:r>
            <w:r>
              <w:rPr>
                <w:rFonts w:ascii="Arial"/>
                <w:sz w:val="18"/>
              </w:rPr>
            </w:r>
          </w:p>
        </w:tc>
      </w:tr>
      <w:tr>
        <w:trPr>
          <w:trHeight w:val="276" w:hRule="exact"/>
        </w:trPr>
        <w:tc>
          <w:tcPr>
            <w:tcW w:w="806" w:type="dxa"/>
            <w:tcBorders>
              <w:top w:val="nil" w:sz="6" w:space="0" w:color="auto"/>
              <w:left w:val="nil" w:sz="6" w:space="0" w:color="auto"/>
              <w:bottom w:val="nil" w:sz="6" w:space="0" w:color="auto"/>
              <w:right w:val="single" w:sz="4" w:space="0" w:color="000000"/>
            </w:tcBorders>
          </w:tcPr>
          <w:p>
            <w:pPr/>
          </w:p>
        </w:tc>
        <w:tc>
          <w:tcPr>
            <w:tcW w:w="2637" w:type="dxa"/>
            <w:tcBorders>
              <w:top w:val="nil" w:sz="6" w:space="0" w:color="auto"/>
              <w:left w:val="single" w:sz="4" w:space="0" w:color="000000"/>
              <w:bottom w:val="nil" w:sz="6" w:space="0" w:color="auto"/>
              <w:right w:val="nil" w:sz="6" w:space="0" w:color="auto"/>
            </w:tcBorders>
          </w:tcPr>
          <w:p>
            <w:pPr>
              <w:pStyle w:val="TableParagraph"/>
              <w:spacing w:line="217" w:lineRule="exact"/>
              <w:ind w:left="289"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7"/>
              <w:jc w:val="right"/>
              <w:rPr>
                <w:rFonts w:ascii="Arial" w:hAnsi="Arial" w:cs="Arial" w:eastAsia="Arial" w:hint="default"/>
                <w:sz w:val="18"/>
                <w:szCs w:val="18"/>
              </w:rPr>
            </w:pPr>
            <w:r>
              <w:rPr>
                <w:rFonts w:ascii="Arial"/>
                <w:spacing w:val="-1"/>
                <w:sz w:val="18"/>
              </w:rPr>
              <w:t>(1,505)</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8"/>
              <w:jc w:val="right"/>
              <w:rPr>
                <w:rFonts w:ascii="Arial" w:hAnsi="Arial" w:cs="Arial" w:eastAsia="Arial" w:hint="default"/>
                <w:sz w:val="18"/>
                <w:szCs w:val="18"/>
              </w:rPr>
            </w:pPr>
            <w:r>
              <w:rPr>
                <w:rFonts w:ascii="Arial"/>
                <w:w w:val="99"/>
                <w:sz w:val="18"/>
              </w:rPr>
              <w:t>-</w:t>
            </w:r>
            <w:r>
              <w:rPr>
                <w:rFonts w:ascii="Arial"/>
                <w:sz w:val="18"/>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0"/>
              <w:jc w:val="right"/>
              <w:rPr>
                <w:rFonts w:ascii="Arial" w:hAnsi="Arial" w:cs="Arial" w:eastAsia="Arial" w:hint="default"/>
                <w:sz w:val="18"/>
                <w:szCs w:val="18"/>
              </w:rPr>
            </w:pPr>
            <w:r>
              <w:rPr>
                <w:rFonts w:ascii="Arial"/>
                <w:w w:val="99"/>
                <w:sz w:val="18"/>
              </w:rPr>
              <w:t>-</w:t>
            </w:r>
            <w:r>
              <w:rPr>
                <w:rFonts w:ascii="Arial"/>
                <w:sz w:val="18"/>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8"/>
              <w:jc w:val="right"/>
              <w:rPr>
                <w:rFonts w:ascii="Arial" w:hAnsi="Arial" w:cs="Arial" w:eastAsia="Arial" w:hint="default"/>
                <w:sz w:val="18"/>
                <w:szCs w:val="18"/>
              </w:rPr>
            </w:pPr>
            <w:r>
              <w:rPr>
                <w:rFonts w:ascii="Arial"/>
                <w:spacing w:val="-3"/>
                <w:w w:val="95"/>
                <w:sz w:val="18"/>
              </w:rPr>
              <w:t>(311)</w:t>
            </w:r>
            <w:r>
              <w:rPr>
                <w:rFonts w:ascii="Arial"/>
                <w:spacing w:val="-3"/>
                <w:sz w:val="18"/>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69"/>
              <w:jc w:val="right"/>
              <w:rPr>
                <w:rFonts w:ascii="Arial" w:hAnsi="Arial" w:cs="Arial" w:eastAsia="Arial" w:hint="default"/>
                <w:sz w:val="18"/>
                <w:szCs w:val="18"/>
              </w:rPr>
            </w:pPr>
            <w:r>
              <w:rPr>
                <w:rFonts w:ascii="Arial"/>
                <w:spacing w:val="-1"/>
                <w:sz w:val="18"/>
              </w:rPr>
              <w:t>(23)</w:t>
            </w:r>
          </w:p>
        </w:tc>
        <w:tc>
          <w:tcPr>
            <w:tcW w:w="1482"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(1,839)</w:t>
            </w:r>
          </w:p>
        </w:tc>
      </w:tr>
      <w:tr>
        <w:trPr>
          <w:trHeight w:val="250" w:hRule="exact"/>
        </w:trPr>
        <w:tc>
          <w:tcPr>
            <w:tcW w:w="806" w:type="dxa"/>
            <w:tcBorders>
              <w:top w:val="nil" w:sz="6" w:space="0" w:color="auto"/>
              <w:left w:val="nil" w:sz="6" w:space="0" w:color="auto"/>
              <w:bottom w:val="nil" w:sz="6" w:space="0" w:color="auto"/>
              <w:right w:val="single" w:sz="4" w:space="0" w:color="000000"/>
            </w:tcBorders>
          </w:tcPr>
          <w:p>
            <w:pPr/>
          </w:p>
        </w:tc>
        <w:tc>
          <w:tcPr>
            <w:tcW w:w="2637" w:type="dxa"/>
            <w:tcBorders>
              <w:top w:val="nil" w:sz="6" w:space="0" w:color="auto"/>
              <w:left w:val="single" w:sz="4" w:space="0" w:color="000000"/>
              <w:bottom w:val="single" w:sz="4" w:space="0" w:color="000000"/>
              <w:right w:val="nil" w:sz="6" w:space="0" w:color="auto"/>
            </w:tcBorders>
          </w:tcPr>
          <w:p>
            <w:pPr>
              <w:pStyle w:val="TableParagraph"/>
              <w:spacing w:line="230" w:lineRule="exact"/>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47"/>
              <w:jc w:val="right"/>
              <w:rPr>
                <w:rFonts w:ascii="Arial" w:hAnsi="Arial" w:cs="Arial" w:eastAsia="Arial" w:hint="default"/>
                <w:sz w:val="18"/>
                <w:szCs w:val="18"/>
              </w:rPr>
            </w:pPr>
            <w:r>
              <w:rPr>
                <w:rFonts w:ascii="Arial"/>
                <w:spacing w:val="-1"/>
                <w:sz w:val="18"/>
              </w:rPr>
              <w:t>(34,318)</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469"/>
              <w:jc w:val="right"/>
              <w:rPr>
                <w:rFonts w:ascii="Arial" w:hAnsi="Arial" w:cs="Arial" w:eastAsia="Arial" w:hint="default"/>
                <w:sz w:val="18"/>
                <w:szCs w:val="18"/>
              </w:rPr>
            </w:pPr>
            <w:r>
              <w:rPr>
                <w:rFonts w:ascii="Arial"/>
                <w:w w:val="99"/>
                <w:sz w:val="18"/>
              </w:rPr>
              <w:t>-</w:t>
            </w:r>
            <w:r>
              <w:rPr>
                <w:rFonts w:ascii="Arial"/>
                <w:sz w:val="18"/>
              </w:rPr>
            </w: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630"/>
              <w:jc w:val="right"/>
              <w:rPr>
                <w:rFonts w:ascii="Arial" w:hAnsi="Arial" w:cs="Arial" w:eastAsia="Arial" w:hint="default"/>
                <w:sz w:val="18"/>
                <w:szCs w:val="18"/>
              </w:rPr>
            </w:pPr>
            <w:r>
              <w:rPr>
                <w:rFonts w:ascii="Arial"/>
                <w:w w:val="99"/>
                <w:sz w:val="18"/>
              </w:rPr>
              <w:t>-</w:t>
            </w:r>
            <w:r>
              <w:rPr>
                <w:rFonts w:ascii="Arial"/>
                <w:sz w:val="18"/>
              </w:rPr>
            </w: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28"/>
              <w:jc w:val="right"/>
              <w:rPr>
                <w:rFonts w:ascii="Arial" w:hAnsi="Arial" w:cs="Arial" w:eastAsia="Arial" w:hint="default"/>
                <w:sz w:val="18"/>
                <w:szCs w:val="18"/>
              </w:rPr>
            </w:pPr>
            <w:r>
              <w:rPr>
                <w:rFonts w:ascii="Arial"/>
                <w:spacing w:val="-3"/>
                <w:w w:val="95"/>
                <w:sz w:val="18"/>
              </w:rPr>
              <w:t>(311)</w:t>
            </w:r>
            <w:r>
              <w:rPr>
                <w:rFonts w:ascii="Arial"/>
                <w:spacing w:val="-3"/>
                <w:sz w:val="18"/>
              </w:rPr>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416"/>
              <w:jc w:val="right"/>
              <w:rPr>
                <w:rFonts w:ascii="Arial" w:hAnsi="Arial" w:cs="Arial" w:eastAsia="Arial" w:hint="default"/>
                <w:sz w:val="18"/>
                <w:szCs w:val="18"/>
              </w:rPr>
            </w:pPr>
            <w:r>
              <w:rPr>
                <w:rFonts w:ascii="Arial"/>
                <w:spacing w:val="-1"/>
                <w:sz w:val="18"/>
              </w:rPr>
              <w:t>(8,358)</w:t>
            </w:r>
          </w:p>
        </w:tc>
        <w:tc>
          <w:tcPr>
            <w:tcW w:w="1482" w:type="dxa"/>
            <w:tcBorders>
              <w:top w:val="nil" w:sz="6" w:space="0" w:color="auto"/>
              <w:left w:val="nil" w:sz="6" w:space="0" w:color="auto"/>
              <w:bottom w:val="single" w:sz="4" w:space="0" w:color="000000"/>
              <w:right w:val="single" w:sz="4" w:space="0" w:color="000000"/>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(42,987)</w:t>
            </w:r>
          </w:p>
        </w:tc>
      </w:tr>
      <w:tr>
        <w:trPr>
          <w:trHeight w:val="562" w:hRule="exact"/>
        </w:trPr>
        <w:tc>
          <w:tcPr>
            <w:tcW w:w="806" w:type="dxa"/>
            <w:tcBorders>
              <w:top w:val="nil" w:sz="6" w:space="0" w:color="auto"/>
              <w:left w:val="nil" w:sz="6" w:space="0" w:color="auto"/>
              <w:bottom w:val="nil" w:sz="6" w:space="0" w:color="auto"/>
              <w:right w:val="nil" w:sz="6" w:space="0" w:color="auto"/>
            </w:tcBorders>
          </w:tcPr>
          <w:p>
            <w:pPr/>
          </w:p>
        </w:tc>
        <w:tc>
          <w:tcPr>
            <w:tcW w:w="263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04" w:type="dxa"/>
            <w:tcBorders>
              <w:top w:val="single" w:sz="4" w:space="0" w:color="000000"/>
              <w:left w:val="nil" w:sz="6" w:space="0" w:color="auto"/>
              <w:bottom w:val="single" w:sz="4" w:space="0" w:color="000000"/>
              <w:right w:val="nil" w:sz="6" w:space="0" w:color="auto"/>
            </w:tcBorders>
          </w:tcPr>
          <w:p>
            <w:pPr/>
          </w:p>
        </w:tc>
        <w:tc>
          <w:tcPr>
            <w:tcW w:w="1579" w:type="dxa"/>
            <w:tcBorders>
              <w:top w:val="single" w:sz="4" w:space="0" w:color="000000"/>
              <w:left w:val="nil" w:sz="6" w:space="0" w:color="auto"/>
              <w:bottom w:val="single" w:sz="4" w:space="0" w:color="000000"/>
              <w:right w:val="nil" w:sz="6" w:space="0" w:color="auto"/>
            </w:tcBorders>
          </w:tcPr>
          <w:p>
            <w:pPr/>
          </w:p>
        </w:tc>
        <w:tc>
          <w:tcPr>
            <w:tcW w:w="1823" w:type="dxa"/>
            <w:tcBorders>
              <w:top w:val="single" w:sz="4" w:space="0" w:color="000000"/>
              <w:left w:val="nil" w:sz="6" w:space="0" w:color="auto"/>
              <w:bottom w:val="single" w:sz="4" w:space="0" w:color="000000"/>
              <w:right w:val="nil" w:sz="6" w:space="0" w:color="auto"/>
            </w:tcBorders>
          </w:tcPr>
          <w:p>
            <w:pPr/>
          </w:p>
        </w:tc>
        <w:tc>
          <w:tcPr>
            <w:tcW w:w="1682" w:type="dxa"/>
            <w:tcBorders>
              <w:top w:val="single" w:sz="4" w:space="0" w:color="000000"/>
              <w:left w:val="nil" w:sz="6" w:space="0" w:color="auto"/>
              <w:bottom w:val="single" w:sz="4" w:space="0" w:color="000000"/>
              <w:right w:val="nil" w:sz="6" w:space="0" w:color="auto"/>
            </w:tcBorders>
          </w:tcPr>
          <w:p>
            <w:pPr/>
          </w:p>
        </w:tc>
        <w:tc>
          <w:tcPr>
            <w:tcW w:w="1496" w:type="dxa"/>
            <w:tcBorders>
              <w:top w:val="single" w:sz="4" w:space="0" w:color="000000"/>
              <w:left w:val="nil" w:sz="6" w:space="0" w:color="auto"/>
              <w:bottom w:val="single" w:sz="4" w:space="0" w:color="000000"/>
              <w:right w:val="nil" w:sz="6" w:space="0" w:color="auto"/>
            </w:tcBorders>
          </w:tcPr>
          <w:p>
            <w:pPr/>
          </w:p>
        </w:tc>
        <w:tc>
          <w:tcPr>
            <w:tcW w:w="1482" w:type="dxa"/>
            <w:tcBorders>
              <w:top w:val="single" w:sz="4" w:space="0" w:color="000000"/>
              <w:left w:val="nil" w:sz="6" w:space="0" w:color="auto"/>
              <w:bottom w:val="single" w:sz="4" w:space="0" w:color="000000"/>
              <w:right w:val="nil" w:sz="6" w:space="0" w:color="auto"/>
            </w:tcBorders>
          </w:tcPr>
          <w:p>
            <w:pPr/>
          </w:p>
        </w:tc>
      </w:tr>
      <w:tr>
        <w:trPr>
          <w:trHeight w:val="451" w:hRule="exact"/>
        </w:trPr>
        <w:tc>
          <w:tcPr>
            <w:tcW w:w="806" w:type="dxa"/>
            <w:tcBorders>
              <w:top w:val="nil" w:sz="6" w:space="0" w:color="auto"/>
              <w:left w:val="nil" w:sz="6" w:space="0" w:color="auto"/>
              <w:bottom w:val="nil" w:sz="6" w:space="0" w:color="auto"/>
              <w:right w:val="single" w:sz="4" w:space="0" w:color="000000"/>
            </w:tcBorders>
          </w:tcPr>
          <w:p>
            <w:pPr/>
          </w:p>
        </w:tc>
        <w:tc>
          <w:tcPr>
            <w:tcW w:w="2637" w:type="dxa"/>
            <w:tcBorders>
              <w:top w:val="single" w:sz="4" w:space="0" w:color="000000"/>
              <w:left w:val="single" w:sz="4" w:space="0" w:color="000000"/>
              <w:bottom w:val="nil" w:sz="6" w:space="0" w:color="auto"/>
              <w:right w:val="nil" w:sz="6" w:space="0" w:color="auto"/>
            </w:tcBorders>
          </w:tcPr>
          <w:p>
            <w:pPr>
              <w:pStyle w:val="TableParagraph"/>
              <w:spacing w:line="240" w:lineRule="auto" w:before="151"/>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99"/>
              <w:jc w:val="right"/>
              <w:rPr>
                <w:rFonts w:ascii="Arial" w:hAnsi="Arial" w:cs="Arial" w:eastAsia="Arial" w:hint="default"/>
                <w:sz w:val="18"/>
                <w:szCs w:val="18"/>
              </w:rPr>
            </w:pPr>
            <w:r>
              <w:rPr>
                <w:rFonts w:ascii="Arial"/>
                <w:spacing w:val="-2"/>
                <w:sz w:val="18"/>
              </w:rPr>
              <w:t>11,949,975</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9"/>
              <w:jc w:val="right"/>
              <w:rPr>
                <w:rFonts w:ascii="Arial" w:hAnsi="Arial" w:cs="Arial" w:eastAsia="Arial" w:hint="default"/>
                <w:sz w:val="18"/>
                <w:szCs w:val="18"/>
              </w:rPr>
            </w:pPr>
            <w:r>
              <w:rPr>
                <w:rFonts w:ascii="Arial"/>
                <w:spacing w:val="-1"/>
                <w:sz w:val="18"/>
              </w:rPr>
              <w:t>223,624</w:t>
            </w:r>
          </w:p>
        </w:tc>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630"/>
              <w:jc w:val="right"/>
              <w:rPr>
                <w:rFonts w:ascii="Arial" w:hAnsi="Arial" w:cs="Arial" w:eastAsia="Arial" w:hint="default"/>
                <w:sz w:val="18"/>
                <w:szCs w:val="18"/>
              </w:rPr>
            </w:pPr>
            <w:r>
              <w:rPr>
                <w:rFonts w:ascii="Arial"/>
                <w:spacing w:val="-1"/>
                <w:sz w:val="18"/>
              </w:rPr>
              <w:t>54,520</w:t>
            </w: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75"/>
              <w:jc w:val="right"/>
              <w:rPr>
                <w:rFonts w:ascii="Arial" w:hAnsi="Arial" w:cs="Arial" w:eastAsia="Arial" w:hint="default"/>
                <w:sz w:val="18"/>
                <w:szCs w:val="18"/>
              </w:rPr>
            </w:pPr>
            <w:r>
              <w:rPr>
                <w:rFonts w:ascii="Arial"/>
                <w:spacing w:val="-1"/>
                <w:sz w:val="18"/>
              </w:rPr>
              <w:t>622,243</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99"/>
              <w:jc w:val="right"/>
              <w:rPr>
                <w:rFonts w:ascii="Arial" w:hAnsi="Arial" w:cs="Arial" w:eastAsia="Arial" w:hint="default"/>
                <w:sz w:val="18"/>
                <w:szCs w:val="18"/>
              </w:rPr>
            </w:pPr>
            <w:r>
              <w:rPr>
                <w:rFonts w:ascii="Arial"/>
                <w:spacing w:val="-1"/>
                <w:sz w:val="18"/>
              </w:rPr>
              <w:t>403,242</w:t>
            </w:r>
          </w:p>
        </w:tc>
        <w:tc>
          <w:tcPr>
            <w:tcW w:w="1482"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6"/>
              <w:jc w:val="right"/>
              <w:rPr>
                <w:rFonts w:ascii="Arial" w:hAnsi="Arial" w:cs="Arial" w:eastAsia="Arial" w:hint="default"/>
                <w:sz w:val="18"/>
                <w:szCs w:val="18"/>
              </w:rPr>
            </w:pPr>
            <w:r>
              <w:rPr>
                <w:rFonts w:ascii="Arial"/>
                <w:spacing w:val="-1"/>
                <w:sz w:val="18"/>
              </w:rPr>
              <w:t>13,253,604</w:t>
            </w:r>
          </w:p>
        </w:tc>
      </w:tr>
      <w:tr>
        <w:trPr>
          <w:trHeight w:val="251" w:hRule="exact"/>
        </w:trPr>
        <w:tc>
          <w:tcPr>
            <w:tcW w:w="806" w:type="dxa"/>
            <w:tcBorders>
              <w:top w:val="nil" w:sz="6" w:space="0" w:color="auto"/>
              <w:left w:val="nil" w:sz="6" w:space="0" w:color="auto"/>
              <w:bottom w:val="nil" w:sz="6" w:space="0" w:color="auto"/>
              <w:right w:val="single" w:sz="4" w:space="0" w:color="000000"/>
            </w:tcBorders>
          </w:tcPr>
          <w:p>
            <w:pPr/>
          </w:p>
        </w:tc>
        <w:tc>
          <w:tcPr>
            <w:tcW w:w="2637" w:type="dxa"/>
            <w:tcBorders>
              <w:top w:val="nil" w:sz="6" w:space="0" w:color="auto"/>
              <w:left w:val="single" w:sz="4" w:space="0" w:color="000000"/>
              <w:bottom w:val="single" w:sz="4" w:space="0" w:color="000000"/>
              <w:right w:val="nil" w:sz="6" w:space="0" w:color="auto"/>
            </w:tcBorders>
          </w:tcPr>
          <w:p>
            <w:pPr>
              <w:pStyle w:val="TableParagraph"/>
              <w:spacing w:line="230" w:lineRule="exact"/>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99"/>
              <w:jc w:val="right"/>
              <w:rPr>
                <w:rFonts w:ascii="Arial" w:hAnsi="Arial" w:cs="Arial" w:eastAsia="Arial" w:hint="default"/>
                <w:sz w:val="18"/>
                <w:szCs w:val="18"/>
              </w:rPr>
            </w:pPr>
            <w:r>
              <w:rPr>
                <w:rFonts w:ascii="Arial"/>
                <w:spacing w:val="-1"/>
                <w:sz w:val="18"/>
              </w:rPr>
              <w:t>10,885,565</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509"/>
              <w:jc w:val="right"/>
              <w:rPr>
                <w:rFonts w:ascii="Arial" w:hAnsi="Arial" w:cs="Arial" w:eastAsia="Arial" w:hint="default"/>
                <w:sz w:val="18"/>
                <w:szCs w:val="18"/>
              </w:rPr>
            </w:pPr>
            <w:r>
              <w:rPr>
                <w:rFonts w:ascii="Arial"/>
                <w:spacing w:val="-1"/>
                <w:sz w:val="18"/>
              </w:rPr>
              <w:t>181,032</w:t>
            </w: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629"/>
              <w:jc w:val="right"/>
              <w:rPr>
                <w:rFonts w:ascii="Arial" w:hAnsi="Arial" w:cs="Arial" w:eastAsia="Arial" w:hint="default"/>
                <w:sz w:val="18"/>
                <w:szCs w:val="18"/>
              </w:rPr>
            </w:pPr>
            <w:r>
              <w:rPr>
                <w:rFonts w:ascii="Arial"/>
                <w:spacing w:val="-1"/>
                <w:sz w:val="18"/>
              </w:rPr>
              <w:t>77,032</w:t>
            </w: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75"/>
              <w:jc w:val="right"/>
              <w:rPr>
                <w:rFonts w:ascii="Arial" w:hAnsi="Arial" w:cs="Arial" w:eastAsia="Arial" w:hint="default"/>
                <w:sz w:val="18"/>
                <w:szCs w:val="18"/>
              </w:rPr>
            </w:pPr>
            <w:r>
              <w:rPr>
                <w:rFonts w:ascii="Arial"/>
                <w:spacing w:val="-1"/>
                <w:sz w:val="18"/>
              </w:rPr>
              <w:t>595,340</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498"/>
              <w:jc w:val="right"/>
              <w:rPr>
                <w:rFonts w:ascii="Arial" w:hAnsi="Arial" w:cs="Arial" w:eastAsia="Arial" w:hint="default"/>
                <w:sz w:val="18"/>
                <w:szCs w:val="18"/>
              </w:rPr>
            </w:pPr>
            <w:r>
              <w:rPr>
                <w:rFonts w:ascii="Arial"/>
                <w:spacing w:val="-1"/>
                <w:sz w:val="18"/>
              </w:rPr>
              <w:t>416,409</w:t>
            </w:r>
          </w:p>
        </w:tc>
        <w:tc>
          <w:tcPr>
            <w:tcW w:w="1482" w:type="dxa"/>
            <w:tcBorders>
              <w:top w:val="nil" w:sz="6" w:space="0" w:color="auto"/>
              <w:left w:val="nil" w:sz="6" w:space="0" w:color="auto"/>
              <w:bottom w:val="single" w:sz="4" w:space="0" w:color="000000"/>
              <w:right w:val="single" w:sz="4" w:space="0" w:color="000000"/>
            </w:tcBorders>
          </w:tcPr>
          <w:p>
            <w:pPr>
              <w:pStyle w:val="TableParagraph"/>
              <w:spacing w:line="240" w:lineRule="auto" w:before="36"/>
              <w:ind w:right="156"/>
              <w:jc w:val="right"/>
              <w:rPr>
                <w:rFonts w:ascii="Arial" w:hAnsi="Arial" w:cs="Arial" w:eastAsia="Arial" w:hint="default"/>
                <w:sz w:val="18"/>
                <w:szCs w:val="18"/>
              </w:rPr>
            </w:pPr>
            <w:r>
              <w:rPr>
                <w:rFonts w:ascii="Arial"/>
                <w:spacing w:val="-1"/>
                <w:sz w:val="18"/>
              </w:rPr>
              <w:t>12,155,378</w:t>
            </w:r>
          </w:p>
        </w:tc>
      </w:tr>
    </w:tbl>
    <w:p>
      <w:pPr>
        <w:spacing w:after="0" w:line="240" w:lineRule="auto"/>
        <w:jc w:val="right"/>
        <w:rPr>
          <w:rFonts w:ascii="Arial" w:hAnsi="Arial" w:cs="Arial" w:eastAsia="Arial" w:hint="default"/>
          <w:sz w:val="18"/>
          <w:szCs w:val="18"/>
        </w:rPr>
        <w:sectPr>
          <w:pgSz w:w="16840" w:h="11910" w:orient="landscape"/>
          <w:pgMar w:header="755" w:footer="915" w:top="1860" w:bottom="11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770"/>
        <w:gridCol w:w="8822"/>
      </w:tblGrid>
      <w:tr>
        <w:trPr>
          <w:trHeight w:val="49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822" w:type="dxa"/>
            <w:tcBorders>
              <w:top w:val="nil" w:sz="6" w:space="0" w:color="auto"/>
              <w:left w:val="nil" w:sz="6" w:space="0" w:color="auto"/>
              <w:bottom w:val="nil" w:sz="6" w:space="0" w:color="auto"/>
              <w:right w:val="nil" w:sz="6" w:space="0" w:color="auto"/>
            </w:tcBorders>
          </w:tcPr>
          <w:p>
            <w:pPr>
              <w:pStyle w:val="TableParagraph"/>
              <w:spacing w:line="257" w:lineRule="exact"/>
              <w:ind w:left="1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1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882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3"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499" w:hRule="exact"/>
        </w:trPr>
        <w:tc>
          <w:tcPr>
            <w:tcW w:w="770" w:type="dxa"/>
            <w:tcBorders>
              <w:top w:val="nil" w:sz="6" w:space="0" w:color="auto"/>
              <w:left w:val="nil" w:sz="6" w:space="0" w:color="auto"/>
              <w:bottom w:val="nil" w:sz="6" w:space="0" w:color="auto"/>
              <w:right w:val="nil" w:sz="6" w:space="0" w:color="auto"/>
            </w:tcBorders>
          </w:tcPr>
          <w:p>
            <w:pPr/>
          </w:p>
        </w:tc>
        <w:tc>
          <w:tcPr>
            <w:tcW w:w="8822" w:type="dxa"/>
            <w:tcBorders>
              <w:top w:val="nil" w:sz="6" w:space="0" w:color="auto"/>
              <w:left w:val="nil" w:sz="6" w:space="0" w:color="auto"/>
              <w:bottom w:val="nil" w:sz="6" w:space="0" w:color="auto"/>
              <w:right w:val="nil" w:sz="6" w:space="0" w:color="auto"/>
            </w:tcBorders>
          </w:tcPr>
          <w:p>
            <w:pPr>
              <w:pStyle w:val="TableParagraph"/>
              <w:spacing w:line="322" w:lineRule="exact" w:before="138"/>
              <w:ind w:left="143"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42"/>
                <w:sz w:val="24"/>
                <w:szCs w:val="24"/>
              </w:rPr>
              <w:t> </w:t>
            </w:r>
            <w:r>
              <w:rPr>
                <w:rFonts w:ascii="Arial" w:hAnsi="Arial" w:cs="Arial" w:eastAsia="Arial" w:hint="default"/>
                <w:sz w:val="24"/>
                <w:szCs w:val="24"/>
              </w:rPr>
              <w:t>2015</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2"/>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z w:val="24"/>
                <w:szCs w:val="24"/>
              </w:rPr>
              <w:t>日，账面价值约人民币</w:t>
            </w:r>
            <w:r>
              <w:rPr>
                <w:rFonts w:ascii="宋体" w:hAnsi="宋体" w:cs="宋体" w:eastAsia="宋体" w:hint="default"/>
                <w:spacing w:val="-42"/>
                <w:sz w:val="24"/>
                <w:szCs w:val="24"/>
              </w:rPr>
              <w:t> </w:t>
            </w:r>
            <w:r>
              <w:rPr>
                <w:rFonts w:ascii="Arial" w:hAnsi="Arial" w:cs="Arial" w:eastAsia="Arial" w:hint="default"/>
                <w:sz w:val="24"/>
                <w:szCs w:val="24"/>
              </w:rPr>
              <w:t>6.91</w:t>
            </w:r>
            <w:r>
              <w:rPr>
                <w:rFonts w:ascii="Arial" w:hAnsi="Arial" w:cs="Arial" w:eastAsia="Arial" w:hint="default"/>
                <w:spacing w:val="11"/>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42"/>
                <w:sz w:val="24"/>
                <w:szCs w:val="24"/>
              </w:rPr>
              <w:t> </w:t>
            </w:r>
            <w:r>
              <w:rPr>
                <w:rFonts w:ascii="Arial" w:hAnsi="Arial" w:cs="Arial" w:eastAsia="Arial" w:hint="default"/>
                <w:sz w:val="24"/>
                <w:szCs w:val="24"/>
              </w:rPr>
              <w:t>7.95</w:t>
            </w:r>
            <w:r>
              <w:rPr>
                <w:rFonts w:ascii="Arial" w:hAnsi="Arial" w:cs="Arial" w:eastAsia="Arial" w:hint="default"/>
                <w:spacing w:val="11"/>
                <w:sz w:val="24"/>
                <w:szCs w:val="24"/>
              </w:rPr>
              <w:t> </w:t>
            </w:r>
            <w:r>
              <w:rPr>
                <w:rFonts w:ascii="宋体" w:hAnsi="宋体" w:cs="宋体" w:eastAsia="宋体" w:hint="default"/>
                <w:sz w:val="24"/>
                <w:szCs w:val="24"/>
              </w:rPr>
              <w:t>亿元</w:t>
            </w:r>
            <w:r>
              <w:rPr>
                <w:rFonts w:ascii="Arial" w:hAnsi="Arial" w:cs="Arial" w:eastAsia="Arial" w:hint="default"/>
                <w:sz w:val="24"/>
                <w:szCs w:val="24"/>
              </w:rPr>
              <w:t>)</w:t>
            </w:r>
          </w:p>
          <w:p>
            <w:pPr>
              <w:pStyle w:val="TableParagraph"/>
              <w:spacing w:line="311" w:lineRule="exact"/>
              <w:ind w:left="143"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日：账面价值约人民币</w:t>
            </w:r>
            <w:r>
              <w:rPr>
                <w:rFonts w:ascii="宋体" w:hAnsi="宋体" w:cs="宋体" w:eastAsia="宋体" w:hint="default"/>
                <w:spacing w:val="-59"/>
                <w:sz w:val="24"/>
                <w:szCs w:val="24"/>
              </w:rPr>
              <w:t> </w:t>
            </w:r>
            <w:r>
              <w:rPr>
                <w:rFonts w:ascii="Arial" w:hAnsi="Arial" w:cs="Arial" w:eastAsia="Arial" w:hint="default"/>
                <w:sz w:val="24"/>
                <w:szCs w:val="24"/>
              </w:rPr>
              <w:t>7.09</w:t>
            </w:r>
            <w:r>
              <w:rPr>
                <w:rFonts w:ascii="Arial" w:hAnsi="Arial" w:cs="Arial" w:eastAsia="Arial" w:hint="default"/>
                <w:spacing w:val="-6"/>
                <w:sz w:val="24"/>
                <w:szCs w:val="24"/>
              </w:rPr>
              <w:t> </w:t>
            </w:r>
            <w:r>
              <w:rPr>
                <w:rFonts w:ascii="宋体" w:hAnsi="宋体" w:cs="宋体" w:eastAsia="宋体" w:hint="default"/>
                <w:sz w:val="24"/>
                <w:szCs w:val="24"/>
              </w:rPr>
              <w:t>亿元、原价约人民币</w:t>
            </w:r>
            <w:r>
              <w:rPr>
                <w:rFonts w:ascii="宋体" w:hAnsi="宋体" w:cs="宋体" w:eastAsia="宋体" w:hint="default"/>
                <w:spacing w:val="-59"/>
                <w:sz w:val="24"/>
                <w:szCs w:val="24"/>
              </w:rPr>
              <w:t> </w:t>
            </w:r>
            <w:r>
              <w:rPr>
                <w:rFonts w:ascii="Arial" w:hAnsi="Arial" w:cs="Arial" w:eastAsia="Arial" w:hint="default"/>
                <w:sz w:val="24"/>
                <w:szCs w:val="24"/>
              </w:rPr>
              <w:t>7.90</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w:t>
            </w:r>
          </w:p>
          <w:p>
            <w:pPr>
              <w:pStyle w:val="TableParagraph"/>
              <w:spacing w:line="311" w:lineRule="exact"/>
              <w:ind w:left="143" w:right="0"/>
              <w:jc w:val="left"/>
              <w:rPr>
                <w:rFonts w:ascii="宋体" w:hAnsi="宋体" w:cs="宋体" w:eastAsia="宋体" w:hint="default"/>
                <w:sz w:val="24"/>
                <w:szCs w:val="24"/>
              </w:rPr>
            </w:pPr>
            <w:r>
              <w:rPr>
                <w:rFonts w:ascii="宋体" w:hAnsi="宋体" w:cs="宋体" w:eastAsia="宋体" w:hint="default"/>
                <w:sz w:val="24"/>
                <w:szCs w:val="24"/>
              </w:rPr>
              <w:t>房屋及建筑物作为约人民币</w:t>
            </w:r>
            <w:r>
              <w:rPr>
                <w:rFonts w:ascii="宋体" w:hAnsi="宋体" w:cs="宋体" w:eastAsia="宋体" w:hint="default"/>
                <w:spacing w:val="-37"/>
                <w:sz w:val="24"/>
                <w:szCs w:val="24"/>
              </w:rPr>
              <w:t> </w:t>
            </w:r>
            <w:r>
              <w:rPr>
                <w:rFonts w:ascii="Arial" w:hAnsi="Arial" w:cs="Arial" w:eastAsia="Arial" w:hint="default"/>
                <w:sz w:val="24"/>
                <w:szCs w:val="24"/>
              </w:rPr>
              <w:t>3.8</w:t>
            </w:r>
            <w:r>
              <w:rPr>
                <w:rFonts w:ascii="Arial" w:hAnsi="Arial" w:cs="Arial" w:eastAsia="Arial" w:hint="default"/>
                <w:spacing w:val="16"/>
                <w:sz w:val="24"/>
                <w:szCs w:val="24"/>
              </w:rPr>
              <w:t> </w:t>
            </w:r>
            <w:r>
              <w:rPr>
                <w:rFonts w:ascii="宋体" w:hAnsi="宋体" w:cs="宋体" w:eastAsia="宋体" w:hint="default"/>
                <w:sz w:val="24"/>
                <w:szCs w:val="24"/>
              </w:rPr>
              <w:t>亿元</w:t>
            </w:r>
            <w:r>
              <w:rPr>
                <w:rFonts w:ascii="宋体" w:hAnsi="宋体" w:cs="宋体" w:eastAsia="宋体" w:hint="default"/>
                <w:spacing w:val="-1"/>
                <w:sz w:val="24"/>
                <w:szCs w:val="24"/>
              </w:rPr>
              <w:t> </w:t>
            </w:r>
            <w:r>
              <w:rPr>
                <w:rFonts w:ascii="Arial" w:hAnsi="Arial" w:cs="Arial" w:eastAsia="Arial" w:hint="default"/>
                <w:sz w:val="24"/>
                <w:szCs w:val="24"/>
              </w:rPr>
              <w:t>(2014</w:t>
            </w:r>
            <w:r>
              <w:rPr>
                <w:rFonts w:ascii="Arial" w:hAnsi="Arial" w:cs="Arial" w:eastAsia="Arial" w:hint="default"/>
                <w:spacing w:val="16"/>
                <w:sz w:val="24"/>
                <w:szCs w:val="24"/>
              </w:rPr>
              <w:t> </w:t>
            </w:r>
            <w:r>
              <w:rPr>
                <w:rFonts w:ascii="宋体" w:hAnsi="宋体" w:cs="宋体" w:eastAsia="宋体" w:hint="default"/>
                <w:sz w:val="24"/>
                <w:szCs w:val="24"/>
              </w:rPr>
              <w:t>年</w:t>
            </w:r>
            <w:r>
              <w:rPr>
                <w:rFonts w:ascii="宋体" w:hAnsi="宋体" w:cs="宋体" w:eastAsia="宋体" w:hint="default"/>
                <w:spacing w:val="-37"/>
                <w:sz w:val="24"/>
                <w:szCs w:val="24"/>
              </w:rPr>
              <w:t> </w:t>
            </w:r>
            <w:r>
              <w:rPr>
                <w:rFonts w:ascii="Arial" w:hAnsi="Arial" w:cs="Arial" w:eastAsia="Arial" w:hint="default"/>
                <w:sz w:val="24"/>
                <w:szCs w:val="24"/>
              </w:rPr>
              <w:t>12</w:t>
            </w:r>
            <w:r>
              <w:rPr>
                <w:rFonts w:ascii="Arial" w:hAnsi="Arial" w:cs="Arial" w:eastAsia="Arial" w:hint="default"/>
                <w:spacing w:val="16"/>
                <w:sz w:val="24"/>
                <w:szCs w:val="24"/>
              </w:rPr>
              <w:t> </w:t>
            </w:r>
            <w:r>
              <w:rPr>
                <w:rFonts w:ascii="宋体" w:hAnsi="宋体" w:cs="宋体" w:eastAsia="宋体" w:hint="default"/>
                <w:sz w:val="24"/>
                <w:szCs w:val="24"/>
              </w:rPr>
              <w:t>月</w:t>
            </w:r>
            <w:r>
              <w:rPr>
                <w:rFonts w:ascii="宋体" w:hAnsi="宋体" w:cs="宋体" w:eastAsia="宋体" w:hint="default"/>
                <w:spacing w:val="-37"/>
                <w:sz w:val="24"/>
                <w:szCs w:val="24"/>
              </w:rPr>
              <w:t> </w:t>
            </w:r>
            <w:r>
              <w:rPr>
                <w:rFonts w:ascii="Arial" w:hAnsi="Arial" w:cs="Arial" w:eastAsia="Arial" w:hint="default"/>
                <w:sz w:val="24"/>
                <w:szCs w:val="24"/>
              </w:rPr>
              <w:t>31</w:t>
            </w:r>
            <w:r>
              <w:rPr>
                <w:rFonts w:ascii="Arial" w:hAnsi="Arial" w:cs="Arial" w:eastAsia="Arial" w:hint="default"/>
                <w:spacing w:val="16"/>
                <w:sz w:val="24"/>
                <w:szCs w:val="24"/>
              </w:rPr>
              <w:t> </w:t>
            </w:r>
            <w:r>
              <w:rPr>
                <w:rFonts w:ascii="宋体" w:hAnsi="宋体" w:cs="宋体" w:eastAsia="宋体" w:hint="default"/>
                <w:sz w:val="24"/>
                <w:szCs w:val="24"/>
              </w:rPr>
              <w:t>日：约人民币</w:t>
            </w:r>
            <w:r>
              <w:rPr>
                <w:rFonts w:ascii="宋体" w:hAnsi="宋体" w:cs="宋体" w:eastAsia="宋体" w:hint="default"/>
                <w:spacing w:val="-37"/>
                <w:sz w:val="24"/>
                <w:szCs w:val="24"/>
              </w:rPr>
              <w:t> </w:t>
            </w:r>
            <w:r>
              <w:rPr>
                <w:rFonts w:ascii="Arial" w:hAnsi="Arial" w:cs="Arial" w:eastAsia="Arial" w:hint="default"/>
                <w:sz w:val="24"/>
                <w:szCs w:val="24"/>
              </w:rPr>
              <w:t>10.19</w:t>
            </w:r>
            <w:r>
              <w:rPr>
                <w:rFonts w:ascii="Arial" w:hAnsi="Arial" w:cs="Arial" w:eastAsia="Arial" w:hint="default"/>
                <w:spacing w:val="15"/>
                <w:sz w:val="24"/>
                <w:szCs w:val="24"/>
              </w:rPr>
              <w:t> </w:t>
            </w:r>
            <w:r>
              <w:rPr>
                <w:rFonts w:ascii="宋体" w:hAnsi="宋体" w:cs="宋体" w:eastAsia="宋体" w:hint="default"/>
                <w:sz w:val="24"/>
                <w:szCs w:val="24"/>
              </w:rPr>
              <w:t>亿</w:t>
            </w:r>
          </w:p>
          <w:p>
            <w:pPr>
              <w:pStyle w:val="TableParagraph"/>
              <w:spacing w:line="312" w:lineRule="exact" w:before="20"/>
              <w:ind w:left="143" w:right="198"/>
              <w:jc w:val="left"/>
              <w:rPr>
                <w:rFonts w:ascii="宋体" w:hAnsi="宋体" w:cs="宋体" w:eastAsia="宋体" w:hint="default"/>
                <w:sz w:val="24"/>
                <w:szCs w:val="24"/>
              </w:rPr>
            </w:pP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(33))</w:t>
            </w:r>
            <w:r>
              <w:rPr>
                <w:rFonts w:ascii="Arial" w:hAnsi="Arial" w:cs="Arial" w:eastAsia="Arial" w:hint="default"/>
                <w:spacing w:val="52"/>
                <w:sz w:val="24"/>
                <w:szCs w:val="24"/>
              </w:rPr>
              <w:t> </w:t>
            </w:r>
            <w:r>
              <w:rPr>
                <w:rFonts w:ascii="宋体" w:hAnsi="宋体" w:cs="宋体" w:eastAsia="宋体" w:hint="default"/>
                <w:sz w:val="24"/>
                <w:szCs w:val="24"/>
              </w:rPr>
              <w:t>的长期借款以及约人民币</w:t>
            </w:r>
            <w:r>
              <w:rPr>
                <w:rFonts w:ascii="宋体" w:hAnsi="宋体" w:cs="宋体" w:eastAsia="宋体" w:hint="default"/>
                <w:spacing w:val="-52"/>
                <w:sz w:val="24"/>
                <w:szCs w:val="24"/>
              </w:rPr>
              <w:t> </w:t>
            </w:r>
            <w:r>
              <w:rPr>
                <w:rFonts w:ascii="Arial" w:hAnsi="Arial" w:cs="Arial" w:eastAsia="Arial" w:hint="default"/>
                <w:sz w:val="24"/>
                <w:szCs w:val="24"/>
              </w:rPr>
              <w:t>6</w:t>
            </w:r>
            <w:r>
              <w:rPr>
                <w:rFonts w:ascii="Arial" w:hAnsi="Arial" w:cs="Arial" w:eastAsia="Arial" w:hint="default"/>
                <w:spacing w:val="1"/>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附注 四</w:t>
            </w:r>
            <w:r>
              <w:rPr>
                <w:rFonts w:ascii="Arial" w:hAnsi="Arial" w:cs="Arial" w:eastAsia="Arial" w:hint="default"/>
                <w:sz w:val="24"/>
                <w:szCs w:val="24"/>
              </w:rPr>
              <w:t>(22))</w:t>
            </w:r>
            <w:r>
              <w:rPr>
                <w:rFonts w:ascii="宋体" w:hAnsi="宋体" w:cs="宋体" w:eastAsia="宋体" w:hint="default"/>
                <w:sz w:val="24"/>
                <w:szCs w:val="24"/>
              </w:rPr>
              <w:t>的短期借款的抵押物。</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321" w:lineRule="exact"/>
              <w:ind w:left="143" w:right="0"/>
              <w:jc w:val="left"/>
              <w:rPr>
                <w:rFonts w:ascii="宋体" w:hAnsi="宋体" w:cs="宋体" w:eastAsia="宋体" w:hint="default"/>
                <w:sz w:val="24"/>
                <w:szCs w:val="24"/>
              </w:rPr>
            </w:pPr>
            <w:r>
              <w:rPr>
                <w:rFonts w:ascii="Arial" w:hAnsi="Arial" w:cs="Arial" w:eastAsia="Arial" w:hint="default"/>
                <w:sz w:val="24"/>
                <w:szCs w:val="24"/>
              </w:rPr>
              <w:t>2015 </w:t>
            </w:r>
            <w:r>
              <w:rPr>
                <w:rFonts w:ascii="宋体" w:hAnsi="宋体" w:cs="宋体" w:eastAsia="宋体" w:hint="default"/>
                <w:sz w:val="24"/>
                <w:szCs w:val="24"/>
              </w:rPr>
              <w:t>年度固定资产计提的折旧金额约为人民币 </w:t>
            </w:r>
            <w:r>
              <w:rPr>
                <w:rFonts w:ascii="Arial" w:hAnsi="Arial" w:cs="Arial" w:eastAsia="Arial" w:hint="default"/>
                <w:sz w:val="24"/>
                <w:szCs w:val="24"/>
              </w:rPr>
              <w:t>8.43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55"/>
                <w:sz w:val="24"/>
                <w:szCs w:val="24"/>
              </w:rPr>
              <w:t> </w:t>
            </w:r>
            <w:r>
              <w:rPr>
                <w:rFonts w:ascii="宋体" w:hAnsi="宋体" w:cs="宋体" w:eastAsia="宋体" w:hint="default"/>
                <w:sz w:val="24"/>
                <w:szCs w:val="24"/>
              </w:rPr>
              <w:t>年度：约人民币</w:t>
            </w:r>
          </w:p>
          <w:p>
            <w:pPr>
              <w:pStyle w:val="TableParagraph"/>
              <w:spacing w:line="311" w:lineRule="exact"/>
              <w:ind w:left="143" w:right="0"/>
              <w:jc w:val="left"/>
              <w:rPr>
                <w:rFonts w:ascii="宋体" w:hAnsi="宋体" w:cs="宋体" w:eastAsia="宋体" w:hint="default"/>
                <w:sz w:val="24"/>
                <w:szCs w:val="24"/>
              </w:rPr>
            </w:pPr>
            <w:r>
              <w:rPr>
                <w:rFonts w:ascii="Arial" w:hAnsi="Arial" w:cs="Arial" w:eastAsia="Arial" w:hint="default"/>
                <w:sz w:val="24"/>
                <w:szCs w:val="24"/>
              </w:rPr>
              <w:t>9.13</w:t>
            </w:r>
            <w:r>
              <w:rPr>
                <w:rFonts w:ascii="Arial" w:hAnsi="Arial" w:cs="Arial" w:eastAsia="Arial" w:hint="default"/>
                <w:spacing w:val="8"/>
                <w:sz w:val="24"/>
                <w:szCs w:val="24"/>
              </w:rPr>
              <w:t> </w:t>
            </w:r>
            <w:r>
              <w:rPr>
                <w:rFonts w:ascii="宋体" w:hAnsi="宋体" w:cs="宋体" w:eastAsia="宋体" w:hint="default"/>
                <w:spacing w:val="-2"/>
                <w:sz w:val="24"/>
                <w:szCs w:val="24"/>
              </w:rPr>
              <w:t>亿元</w:t>
            </w:r>
            <w:r>
              <w:rPr>
                <w:rFonts w:ascii="Arial" w:hAnsi="Arial" w:cs="Arial" w:eastAsia="Arial" w:hint="default"/>
                <w:spacing w:val="-2"/>
                <w:sz w:val="24"/>
                <w:szCs w:val="24"/>
              </w:rPr>
              <w:t>)</w:t>
            </w:r>
            <w:r>
              <w:rPr>
                <w:rFonts w:ascii="宋体" w:hAnsi="宋体" w:cs="宋体" w:eastAsia="宋体" w:hint="default"/>
                <w:spacing w:val="-2"/>
                <w:sz w:val="24"/>
                <w:szCs w:val="24"/>
              </w:rPr>
              <w:t>，其中计入营业成本、销售费用及管理费用的折旧费用分别为约人民币</w:t>
            </w:r>
          </w:p>
          <w:p>
            <w:pPr>
              <w:pStyle w:val="TableParagraph"/>
              <w:spacing w:line="311" w:lineRule="exact"/>
              <w:ind w:left="143" w:right="0"/>
              <w:jc w:val="left"/>
              <w:rPr>
                <w:rFonts w:ascii="宋体" w:hAnsi="宋体" w:cs="宋体" w:eastAsia="宋体" w:hint="default"/>
                <w:sz w:val="24"/>
                <w:szCs w:val="24"/>
              </w:rPr>
            </w:pPr>
            <w:r>
              <w:rPr>
                <w:rFonts w:ascii="Arial" w:hAnsi="Arial" w:cs="Arial" w:eastAsia="Arial" w:hint="default"/>
                <w:sz w:val="24"/>
                <w:szCs w:val="24"/>
              </w:rPr>
              <w:t>9,704</w:t>
            </w:r>
            <w:r>
              <w:rPr>
                <w:rFonts w:ascii="Arial" w:hAnsi="Arial" w:cs="Arial" w:eastAsia="Arial" w:hint="default"/>
                <w:spacing w:val="-3"/>
                <w:sz w:val="24"/>
                <w:szCs w:val="24"/>
              </w:rPr>
              <w:t> </w:t>
            </w:r>
            <w:r>
              <w:rPr>
                <w:rFonts w:ascii="宋体" w:hAnsi="宋体" w:cs="宋体" w:eastAsia="宋体" w:hint="default"/>
                <w:sz w:val="24"/>
                <w:szCs w:val="24"/>
              </w:rPr>
              <w:t>万元、</w:t>
            </w:r>
            <w:r>
              <w:rPr>
                <w:rFonts w:ascii="Arial" w:hAnsi="Arial" w:cs="Arial" w:eastAsia="Arial" w:hint="default"/>
                <w:sz w:val="24"/>
                <w:szCs w:val="24"/>
              </w:rPr>
              <w:t>4.41</w:t>
            </w:r>
            <w:r>
              <w:rPr>
                <w:rFonts w:ascii="Arial" w:hAnsi="Arial" w:cs="Arial" w:eastAsia="Arial" w:hint="default"/>
                <w:spacing w:val="-3"/>
                <w:sz w:val="24"/>
                <w:szCs w:val="24"/>
              </w:rPr>
              <w:t> </w:t>
            </w:r>
            <w:r>
              <w:rPr>
                <w:rFonts w:ascii="宋体" w:hAnsi="宋体" w:cs="宋体" w:eastAsia="宋体" w:hint="default"/>
                <w:sz w:val="24"/>
                <w:szCs w:val="24"/>
              </w:rPr>
              <w:t>亿元及约人民币</w:t>
            </w:r>
            <w:r>
              <w:rPr>
                <w:rFonts w:ascii="宋体" w:hAnsi="宋体" w:cs="宋体" w:eastAsia="宋体" w:hint="default"/>
                <w:spacing w:val="-56"/>
                <w:sz w:val="24"/>
                <w:szCs w:val="24"/>
              </w:rPr>
              <w:t> </w:t>
            </w:r>
            <w:r>
              <w:rPr>
                <w:rFonts w:ascii="Arial" w:hAnsi="Arial" w:cs="Arial" w:eastAsia="Arial" w:hint="default"/>
                <w:sz w:val="24"/>
                <w:szCs w:val="24"/>
              </w:rPr>
              <w:t>3.05</w:t>
            </w:r>
            <w:r>
              <w:rPr>
                <w:rFonts w:ascii="Arial" w:hAnsi="Arial" w:cs="Arial" w:eastAsia="Arial" w:hint="default"/>
                <w:spacing w:val="-3"/>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3"/>
                <w:sz w:val="24"/>
                <w:szCs w:val="24"/>
              </w:rPr>
              <w:t> </w:t>
            </w:r>
            <w:r>
              <w:rPr>
                <w:rFonts w:ascii="宋体" w:hAnsi="宋体" w:cs="宋体" w:eastAsia="宋体" w:hint="default"/>
                <w:sz w:val="24"/>
                <w:szCs w:val="24"/>
              </w:rPr>
              <w:t>年度：计入销售费用及管理费</w:t>
            </w:r>
          </w:p>
          <w:p>
            <w:pPr>
              <w:pStyle w:val="TableParagraph"/>
              <w:spacing w:line="321" w:lineRule="exact"/>
              <w:ind w:left="143" w:right="0"/>
              <w:jc w:val="left"/>
              <w:rPr>
                <w:rFonts w:ascii="宋体" w:hAnsi="宋体" w:cs="宋体" w:eastAsia="宋体" w:hint="default"/>
                <w:sz w:val="24"/>
                <w:szCs w:val="24"/>
              </w:rPr>
            </w:pPr>
            <w:r>
              <w:rPr>
                <w:rFonts w:ascii="宋体" w:hAnsi="宋体" w:cs="宋体" w:eastAsia="宋体" w:hint="default"/>
                <w:sz w:val="24"/>
                <w:szCs w:val="24"/>
              </w:rPr>
              <w:t>用分别约人民币</w:t>
            </w:r>
            <w:r>
              <w:rPr>
                <w:rFonts w:ascii="宋体" w:hAnsi="宋体" w:cs="宋体" w:eastAsia="宋体" w:hint="default"/>
                <w:spacing w:val="-61"/>
                <w:sz w:val="24"/>
                <w:szCs w:val="24"/>
              </w:rPr>
              <w:t> </w:t>
            </w:r>
            <w:r>
              <w:rPr>
                <w:rFonts w:ascii="Arial" w:hAnsi="Arial" w:cs="Arial" w:eastAsia="Arial" w:hint="default"/>
                <w:sz w:val="24"/>
                <w:szCs w:val="24"/>
              </w:rPr>
              <w:t>4.95</w:t>
            </w:r>
            <w:r>
              <w:rPr>
                <w:rFonts w:ascii="Arial" w:hAnsi="Arial" w:cs="Arial" w:eastAsia="Arial" w:hint="default"/>
                <w:spacing w:val="-8"/>
                <w:sz w:val="24"/>
                <w:szCs w:val="24"/>
              </w:rPr>
              <w:t> </w:t>
            </w:r>
            <w:r>
              <w:rPr>
                <w:rFonts w:ascii="宋体" w:hAnsi="宋体" w:cs="宋体" w:eastAsia="宋体" w:hint="default"/>
                <w:sz w:val="24"/>
                <w:szCs w:val="24"/>
              </w:rPr>
              <w:t>亿元及约人民币</w:t>
            </w:r>
            <w:r>
              <w:rPr>
                <w:rFonts w:ascii="宋体" w:hAnsi="宋体" w:cs="宋体" w:eastAsia="宋体" w:hint="default"/>
                <w:spacing w:val="-61"/>
                <w:sz w:val="24"/>
                <w:szCs w:val="24"/>
              </w:rPr>
              <w:t> </w:t>
            </w:r>
            <w:r>
              <w:rPr>
                <w:rFonts w:ascii="Arial" w:hAnsi="Arial" w:cs="Arial" w:eastAsia="Arial" w:hint="default"/>
                <w:sz w:val="24"/>
                <w:szCs w:val="24"/>
              </w:rPr>
              <w:t>4.18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21" w:lineRule="exact"/>
              <w:ind w:left="143" w:right="0"/>
              <w:jc w:val="left"/>
              <w:rPr>
                <w:rFonts w:ascii="Arial" w:hAnsi="Arial" w:cs="Arial" w:eastAsia="Arial" w:hint="default"/>
                <w:sz w:val="24"/>
                <w:szCs w:val="24"/>
              </w:rPr>
            </w:pPr>
            <w:r>
              <w:rPr>
                <w:rFonts w:ascii="宋体" w:hAnsi="宋体" w:cs="宋体" w:eastAsia="宋体" w:hint="default"/>
                <w:sz w:val="24"/>
                <w:szCs w:val="24"/>
              </w:rPr>
              <w:t>由在建工程转入固定资产的原价约为人民币</w:t>
            </w:r>
            <w:r>
              <w:rPr>
                <w:rFonts w:ascii="宋体" w:hAnsi="宋体" w:cs="宋体" w:eastAsia="宋体" w:hint="default"/>
                <w:spacing w:val="-71"/>
                <w:sz w:val="24"/>
                <w:szCs w:val="24"/>
              </w:rPr>
              <w:t> </w:t>
            </w:r>
            <w:r>
              <w:rPr>
                <w:rFonts w:ascii="Arial" w:hAnsi="Arial" w:cs="Arial" w:eastAsia="Arial" w:hint="default"/>
                <w:spacing w:val="-1"/>
                <w:sz w:val="24"/>
                <w:szCs w:val="24"/>
              </w:rPr>
              <w:t>36</w:t>
            </w:r>
            <w:r>
              <w:rPr>
                <w:rFonts w:ascii="Arial" w:hAnsi="Arial" w:cs="Arial" w:eastAsia="Arial" w:hint="default"/>
                <w:sz w:val="24"/>
                <w:szCs w:val="24"/>
              </w:rPr>
              <w:t>.</w:t>
            </w:r>
            <w:r>
              <w:rPr>
                <w:rFonts w:ascii="Arial" w:hAnsi="Arial" w:cs="Arial" w:eastAsia="Arial" w:hint="default"/>
                <w:w w:val="99"/>
                <w:sz w:val="24"/>
                <w:szCs w:val="24"/>
              </w:rPr>
              <w:t>6</w:t>
            </w:r>
            <w:r>
              <w:rPr>
                <w:rFonts w:ascii="Arial" w:hAnsi="Arial" w:cs="Arial" w:eastAsia="Arial" w:hint="default"/>
                <w:spacing w:val="-18"/>
                <w:sz w:val="24"/>
                <w:szCs w:val="24"/>
              </w:rPr>
              <w:t> </w:t>
            </w:r>
            <w:r>
              <w:rPr>
                <w:rFonts w:ascii="宋体" w:hAnsi="宋体" w:cs="宋体" w:eastAsia="宋体" w:hint="default"/>
                <w:sz w:val="24"/>
                <w:szCs w:val="24"/>
              </w:rPr>
              <w:t>亿元</w:t>
            </w:r>
            <w:r>
              <w:rPr>
                <w:rFonts w:ascii="Arial" w:hAnsi="Arial" w:cs="Arial" w:eastAsia="Arial" w:hint="default"/>
                <w:w w:val="99"/>
                <w:sz w:val="24"/>
                <w:szCs w:val="24"/>
              </w:rPr>
              <w:t>(20</w:t>
            </w:r>
            <w:r>
              <w:rPr>
                <w:rFonts w:ascii="Arial" w:hAnsi="Arial" w:cs="Arial" w:eastAsia="Arial" w:hint="default"/>
                <w:spacing w:val="-1"/>
                <w:w w:val="99"/>
                <w:sz w:val="24"/>
                <w:szCs w:val="24"/>
              </w:rPr>
              <w:t>1</w:t>
            </w:r>
            <w:r>
              <w:rPr>
                <w:rFonts w:ascii="Arial" w:hAnsi="Arial" w:cs="Arial" w:eastAsia="Arial" w:hint="default"/>
                <w:w w:val="99"/>
                <w:sz w:val="24"/>
                <w:szCs w:val="24"/>
              </w:rPr>
              <w:t>4</w:t>
            </w:r>
            <w:r>
              <w:rPr>
                <w:rFonts w:ascii="Arial" w:hAnsi="Arial" w:cs="Arial" w:eastAsia="Arial" w:hint="default"/>
                <w:spacing w:val="-18"/>
                <w:sz w:val="24"/>
                <w:szCs w:val="24"/>
              </w:rPr>
              <w:t> </w:t>
            </w:r>
            <w:r>
              <w:rPr>
                <w:rFonts w:ascii="宋体" w:hAnsi="宋体" w:cs="宋体" w:eastAsia="宋体" w:hint="default"/>
                <w:sz w:val="24"/>
                <w:szCs w:val="24"/>
              </w:rPr>
              <w:t>年度</w:t>
            </w:r>
            <w:r>
              <w:rPr>
                <w:rFonts w:ascii="宋体" w:hAnsi="宋体" w:cs="宋体" w:eastAsia="宋体" w:hint="default"/>
                <w:spacing w:val="-120"/>
                <w:sz w:val="24"/>
                <w:szCs w:val="24"/>
              </w:rPr>
              <w:t>：</w:t>
            </w:r>
            <w:r>
              <w:rPr>
                <w:rFonts w:ascii="宋体" w:hAnsi="宋体" w:cs="宋体" w:eastAsia="宋体" w:hint="default"/>
                <w:sz w:val="24"/>
                <w:szCs w:val="24"/>
              </w:rPr>
              <w:t>约人民币</w:t>
            </w:r>
            <w:r>
              <w:rPr>
                <w:rFonts w:ascii="宋体" w:hAnsi="宋体" w:cs="宋体" w:eastAsia="宋体" w:hint="default"/>
                <w:spacing w:val="-71"/>
                <w:sz w:val="24"/>
                <w:szCs w:val="24"/>
              </w:rPr>
              <w:t> </w:t>
            </w:r>
            <w:r>
              <w:rPr>
                <w:rFonts w:ascii="Arial" w:hAnsi="Arial" w:cs="Arial" w:eastAsia="Arial" w:hint="default"/>
                <w:w w:val="99"/>
                <w:sz w:val="24"/>
                <w:szCs w:val="24"/>
              </w:rPr>
              <w:t>34.97</w:t>
            </w:r>
            <w:r>
              <w:rPr>
                <w:rFonts w:ascii="Arial" w:hAnsi="Arial" w:cs="Arial" w:eastAsia="Arial" w:hint="default"/>
                <w:sz w:val="24"/>
                <w:szCs w:val="24"/>
              </w:rPr>
            </w:r>
          </w:p>
          <w:p>
            <w:pPr>
              <w:pStyle w:val="TableParagraph"/>
              <w:spacing w:line="321" w:lineRule="exact"/>
              <w:ind w:left="143"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469"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0" w:right="0"/>
              <w:jc w:val="left"/>
              <w:rPr>
                <w:rFonts w:ascii="Arial" w:hAnsi="Arial" w:cs="Arial" w:eastAsia="Arial" w:hint="default"/>
                <w:sz w:val="24"/>
                <w:szCs w:val="24"/>
              </w:rPr>
            </w:pPr>
            <w:r>
              <w:rPr>
                <w:rFonts w:ascii="Arial"/>
                <w:sz w:val="24"/>
              </w:rPr>
              <w:t>(a)</w:t>
            </w:r>
          </w:p>
        </w:tc>
        <w:tc>
          <w:tcPr>
            <w:tcW w:w="882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43"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日和</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日，本集团无重大闲置的固定资产。</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704"/>
        <w:gridCol w:w="3070"/>
        <w:gridCol w:w="2577"/>
        <w:gridCol w:w="448"/>
        <w:gridCol w:w="2688"/>
      </w:tblGrid>
      <w:tr>
        <w:trPr>
          <w:trHeight w:val="506"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5647"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210" w:right="0"/>
              <w:jc w:val="left"/>
              <w:rPr>
                <w:rFonts w:ascii="宋体" w:hAnsi="宋体" w:cs="宋体" w:eastAsia="宋体" w:hint="default"/>
                <w:sz w:val="24"/>
                <w:szCs w:val="24"/>
              </w:rPr>
            </w:pPr>
            <w:r>
              <w:rPr>
                <w:rFonts w:ascii="宋体" w:hAnsi="宋体" w:cs="宋体" w:eastAsia="宋体" w:hint="default"/>
                <w:sz w:val="24"/>
                <w:szCs w:val="24"/>
              </w:rPr>
              <w:t>未办妥产权证书的固定资产：</w:t>
            </w:r>
          </w:p>
        </w:tc>
        <w:tc>
          <w:tcPr>
            <w:tcW w:w="44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r>
      <w:tr>
        <w:trPr>
          <w:trHeight w:val="757" w:hRule="exact"/>
        </w:trPr>
        <w:tc>
          <w:tcPr>
            <w:tcW w:w="704" w:type="dxa"/>
            <w:tcBorders>
              <w:top w:val="nil" w:sz="6" w:space="0" w:color="auto"/>
              <w:left w:val="nil" w:sz="6" w:space="0" w:color="auto"/>
              <w:bottom w:val="nil" w:sz="6" w:space="0" w:color="auto"/>
              <w:right w:val="nil" w:sz="6" w:space="0" w:color="auto"/>
            </w:tcBorders>
          </w:tcPr>
          <w:p>
            <w:pPr/>
          </w:p>
        </w:tc>
        <w:tc>
          <w:tcPr>
            <w:tcW w:w="3070" w:type="dxa"/>
            <w:tcBorders>
              <w:top w:val="nil" w:sz="6" w:space="0" w:color="auto"/>
              <w:left w:val="nil" w:sz="6" w:space="0" w:color="auto"/>
              <w:bottom w:val="nil" w:sz="6" w:space="0" w:color="auto"/>
              <w:right w:val="nil" w:sz="6" w:space="0" w:color="auto"/>
            </w:tcBorders>
          </w:tcPr>
          <w:p>
            <w:pP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107"/>
              <w:jc w:val="right"/>
              <w:rPr>
                <w:rFonts w:ascii="宋体" w:hAnsi="宋体" w:cs="宋体" w:eastAsia="宋体" w:hint="default"/>
                <w:sz w:val="24"/>
                <w:szCs w:val="24"/>
              </w:rPr>
            </w:pPr>
            <w:r>
              <w:rPr>
                <w:rFonts w:ascii="宋体" w:hAnsi="宋体" w:cs="宋体" w:eastAsia="宋体" w:hint="default"/>
                <w:sz w:val="24"/>
                <w:szCs w:val="24"/>
              </w:rPr>
              <w:t>账面价值</w:t>
            </w:r>
          </w:p>
        </w:tc>
        <w:tc>
          <w:tcPr>
            <w:tcW w:w="44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107"/>
              <w:jc w:val="right"/>
              <w:rPr>
                <w:rFonts w:ascii="宋体" w:hAnsi="宋体" w:cs="宋体" w:eastAsia="宋体" w:hint="default"/>
                <w:sz w:val="24"/>
                <w:szCs w:val="24"/>
              </w:rPr>
            </w:pPr>
            <w:r>
              <w:rPr>
                <w:rFonts w:ascii="宋体" w:hAnsi="宋体" w:cs="宋体" w:eastAsia="宋体" w:hint="default"/>
                <w:sz w:val="24"/>
                <w:szCs w:val="24"/>
              </w:rPr>
              <w:t>未办妥产权证书原因</w:t>
            </w:r>
          </w:p>
        </w:tc>
      </w:tr>
      <w:tr>
        <w:trPr>
          <w:trHeight w:val="590" w:hRule="exact"/>
        </w:trPr>
        <w:tc>
          <w:tcPr>
            <w:tcW w:w="704" w:type="dxa"/>
            <w:tcBorders>
              <w:top w:val="nil" w:sz="6" w:space="0" w:color="auto"/>
              <w:left w:val="nil" w:sz="6" w:space="0" w:color="auto"/>
              <w:bottom w:val="nil" w:sz="6" w:space="0" w:color="auto"/>
              <w:right w:val="nil" w:sz="6" w:space="0" w:color="auto"/>
            </w:tcBorders>
          </w:tcPr>
          <w:p>
            <w:pPr/>
          </w:p>
        </w:tc>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0"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577"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Arial" w:hAnsi="Arial" w:cs="Arial" w:eastAsia="Arial" w:hint="default"/>
                <w:sz w:val="24"/>
                <w:szCs w:val="24"/>
              </w:rPr>
            </w:pPr>
            <w:r>
              <w:rPr>
                <w:rFonts w:ascii="Arial"/>
                <w:spacing w:val="-1"/>
                <w:sz w:val="24"/>
              </w:rPr>
              <w:t>3,877,642</w:t>
            </w:r>
            <w:r>
              <w:rPr>
                <w:rFonts w:ascii="Arial"/>
                <w:sz w:val="24"/>
              </w:rPr>
            </w:r>
          </w:p>
        </w:tc>
        <w:tc>
          <w:tcPr>
            <w:tcW w:w="44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single" w:sz="12" w:space="0" w:color="000000"/>
              <w:right w:val="nil" w:sz="6" w:space="0" w:color="auto"/>
            </w:tcBorders>
          </w:tcPr>
          <w:p>
            <w:pPr>
              <w:pStyle w:val="TableParagraph"/>
              <w:spacing w:line="240" w:lineRule="auto" w:before="184"/>
              <w:ind w:right="107"/>
              <w:jc w:val="right"/>
              <w:rPr>
                <w:rFonts w:ascii="宋体" w:hAnsi="宋体" w:cs="宋体" w:eastAsia="宋体" w:hint="default"/>
                <w:sz w:val="24"/>
                <w:szCs w:val="24"/>
              </w:rPr>
            </w:pPr>
            <w:r>
              <w:rPr>
                <w:rFonts w:ascii="宋体" w:hAnsi="宋体" w:cs="宋体" w:eastAsia="宋体" w:hint="default"/>
                <w:sz w:val="24"/>
                <w:szCs w:val="24"/>
              </w:rPr>
              <w:t>手续在办理中</w:t>
            </w:r>
          </w:p>
        </w:tc>
      </w:tr>
    </w:tbl>
    <w:p>
      <w:pPr>
        <w:spacing w:after="0" w:line="240" w:lineRule="auto"/>
        <w:jc w:val="right"/>
        <w:rPr>
          <w:rFonts w:ascii="宋体" w:hAnsi="宋体" w:cs="宋体" w:eastAsia="宋体" w:hint="default"/>
          <w:sz w:val="24"/>
          <w:szCs w:val="24"/>
        </w:rPr>
        <w:sectPr>
          <w:headerReference w:type="default" r:id="rId53"/>
          <w:footerReference w:type="default" r:id="rId54"/>
          <w:pgSz w:w="11910" w:h="16840"/>
          <w:pgMar w:header="755" w:footer="914" w:top="1860" w:bottom="1100" w:left="1300" w:right="0"/>
          <w:pgNumType w:start="171"/>
        </w:sectPr>
      </w:pPr>
    </w:p>
    <w:p>
      <w:pPr>
        <w:spacing w:line="240" w:lineRule="auto" w:before="2"/>
        <w:rPr>
          <w:rFonts w:ascii="Times New Roman" w:hAnsi="Times New Roman" w:cs="Times New Roman" w:eastAsia="Times New Roman" w:hint="default"/>
          <w:sz w:val="26"/>
          <w:szCs w:val="26"/>
        </w:rPr>
      </w:pPr>
      <w:r>
        <w:rPr/>
        <w:pict>
          <v:group style="position:absolute;margin-left:276.859985pt;margin-top:680.309998pt;width:30.85pt;height:.1pt;mso-position-horizontal-relative:page;mso-position-vertical-relative:page;z-index:-1830976" coordorigin="5537,13606" coordsize="617,2">
            <v:shape style="position:absolute;left:5537;top:13606;width:617;height:2" coordorigin="5537,13606" coordsize="617,0" path="m5537,13606l6154,13606e" filled="false" stroked="true" strokeweight="1.5pt" strokecolor="#000000">
              <v:path arrowok="t"/>
            </v:shape>
            <w10:wrap type="none"/>
          </v:group>
        </w:pict>
      </w:r>
    </w:p>
    <w:tbl>
      <w:tblPr>
        <w:tblW w:w="0" w:type="auto"/>
        <w:jc w:val="left"/>
        <w:tblInd w:w="114" w:type="dxa"/>
        <w:tblLayout w:type="fixed"/>
        <w:tblCellMar>
          <w:top w:w="0" w:type="dxa"/>
          <w:left w:w="0" w:type="dxa"/>
          <w:bottom w:w="0" w:type="dxa"/>
          <w:right w:w="0" w:type="dxa"/>
        </w:tblCellMar>
        <w:tblLook w:val="01E0"/>
      </w:tblPr>
      <w:tblGrid>
        <w:gridCol w:w="730"/>
        <w:gridCol w:w="2037"/>
        <w:gridCol w:w="1092"/>
        <w:gridCol w:w="223"/>
        <w:gridCol w:w="1091"/>
        <w:gridCol w:w="872"/>
        <w:gridCol w:w="228"/>
        <w:gridCol w:w="1099"/>
        <w:gridCol w:w="224"/>
        <w:gridCol w:w="490"/>
        <w:gridCol w:w="224"/>
        <w:gridCol w:w="1120"/>
      </w:tblGrid>
      <w:tr>
        <w:trPr>
          <w:trHeight w:val="416"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2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r>
      <w:tr>
        <w:trPr>
          <w:trHeight w:val="581"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3" w:right="0"/>
              <w:jc w:val="left"/>
              <w:rPr>
                <w:rFonts w:ascii="黑体" w:hAnsi="黑体" w:cs="黑体" w:eastAsia="黑体" w:hint="default"/>
                <w:sz w:val="24"/>
                <w:szCs w:val="24"/>
              </w:rPr>
            </w:pPr>
            <w:r>
              <w:rPr>
                <w:rFonts w:ascii="黑体" w:hAnsi="黑体" w:cs="黑体" w:eastAsia="黑体" w:hint="default"/>
                <w:sz w:val="24"/>
                <w:szCs w:val="24"/>
              </w:rPr>
              <w:t>在建工程</w:t>
            </w:r>
          </w:p>
        </w:tc>
        <w:tc>
          <w:tcPr>
            <w:tcW w:w="1092"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r>
      <w:tr>
        <w:trPr>
          <w:trHeight w:val="42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
        </w:tc>
        <w:tc>
          <w:tcPr>
            <w:tcW w:w="240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13"/>
              <w:ind w:left="856" w:right="-15"/>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72" w:type="dxa"/>
            <w:tcBorders>
              <w:top w:val="nil" w:sz="6" w:space="0" w:color="auto"/>
              <w:left w:val="nil" w:sz="6" w:space="0" w:color="auto"/>
              <w:bottom w:val="single" w:sz="4" w:space="0" w:color="000000"/>
              <w:right w:val="nil" w:sz="6" w:space="0" w:color="auto"/>
            </w:tcBorders>
          </w:tcPr>
          <w:p>
            <w:pPr/>
          </w:p>
        </w:tc>
        <w:tc>
          <w:tcPr>
            <w:tcW w:w="338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13"/>
              <w:ind w:left="102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7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Style w:val="TableParagraph"/>
              <w:spacing w:line="205" w:lineRule="exact"/>
              <w:ind w:left="645"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64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23" w:type="dxa"/>
            <w:tcBorders>
              <w:top w:val="single" w:sz="4" w:space="0" w:color="000000"/>
              <w:left w:val="nil" w:sz="6" w:space="0" w:color="auto"/>
              <w:bottom w:val="nil" w:sz="6" w:space="0" w:color="auto"/>
              <w:right w:val="nil" w:sz="6" w:space="0" w:color="auto"/>
            </w:tcBorders>
          </w:tcPr>
          <w:p>
            <w:pPr/>
          </w:p>
        </w:tc>
        <w:tc>
          <w:tcPr>
            <w:tcW w:w="1091" w:type="dxa"/>
            <w:tcBorders>
              <w:top w:val="single" w:sz="4" w:space="0" w:color="000000"/>
              <w:left w:val="nil" w:sz="6" w:space="0" w:color="auto"/>
              <w:bottom w:val="nil" w:sz="6" w:space="0" w:color="auto"/>
              <w:right w:val="nil" w:sz="6" w:space="0" w:color="auto"/>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5" w:lineRule="exact"/>
              <w:ind w:left="17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872" w:type="dxa"/>
            <w:tcBorders>
              <w:top w:val="single" w:sz="4" w:space="0" w:color="000000"/>
              <w:left w:val="nil" w:sz="6" w:space="0" w:color="auto"/>
              <w:bottom w:val="nil" w:sz="6" w:space="0" w:color="auto"/>
              <w:right w:val="nil" w:sz="6" w:space="0" w:color="auto"/>
            </w:tcBorders>
          </w:tcPr>
          <w:p>
            <w:pPr>
              <w:pStyle w:val="TableParagraph"/>
              <w:spacing w:line="205" w:lineRule="exact"/>
              <w:ind w:left="425"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425"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nil" w:sz="6" w:space="0" w:color="auto"/>
              <w:right w:val="nil" w:sz="6" w:space="0" w:color="auto"/>
            </w:tcBorders>
          </w:tcPr>
          <w:p>
            <w:pPr>
              <w:pStyle w:val="TableParagraph"/>
              <w:spacing w:line="205" w:lineRule="exact"/>
              <w:ind w:left="653"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65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24" w:type="dxa"/>
            <w:tcBorders>
              <w:top w:val="single" w:sz="4" w:space="0" w:color="000000"/>
              <w:left w:val="nil" w:sz="6" w:space="0" w:color="auto"/>
              <w:bottom w:val="nil" w:sz="6" w:space="0" w:color="auto"/>
              <w:right w:val="nil" w:sz="6" w:space="0" w:color="auto"/>
            </w:tcBorders>
          </w:tcPr>
          <w:p>
            <w:pPr/>
          </w:p>
        </w:tc>
        <w:tc>
          <w:tcPr>
            <w:tcW w:w="490" w:type="dxa"/>
            <w:tcBorders>
              <w:top w:val="single" w:sz="4" w:space="0" w:color="000000"/>
              <w:left w:val="nil" w:sz="6" w:space="0" w:color="auto"/>
              <w:bottom w:val="nil" w:sz="6" w:space="0" w:color="auto"/>
              <w:right w:val="nil" w:sz="6" w:space="0" w:color="auto"/>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224" w:type="dxa"/>
            <w:tcBorders>
              <w:top w:val="single" w:sz="4" w:space="0" w:color="000000"/>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nil" w:sz="6" w:space="0" w:color="auto"/>
              <w:right w:val="nil" w:sz="6" w:space="0" w:color="auto"/>
            </w:tcBorders>
          </w:tcPr>
          <w:p>
            <w:pPr>
              <w:pStyle w:val="TableParagraph"/>
              <w:spacing w:line="205" w:lineRule="exact"/>
              <w:ind w:left="674"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674" w:right="0"/>
              <w:jc w:val="left"/>
              <w:rPr>
                <w:rFonts w:ascii="宋体" w:hAnsi="宋体" w:cs="宋体" w:eastAsia="宋体" w:hint="default"/>
                <w:sz w:val="18"/>
                <w:szCs w:val="18"/>
              </w:rPr>
            </w:pPr>
            <w:r>
              <w:rPr>
                <w:rFonts w:ascii="宋体" w:hAnsi="宋体" w:cs="宋体" w:eastAsia="宋体" w:hint="default"/>
                <w:sz w:val="18"/>
                <w:szCs w:val="18"/>
              </w:rPr>
              <w:t>价值</w:t>
            </w:r>
          </w:p>
        </w:tc>
      </w:tr>
      <w:tr>
        <w:trPr>
          <w:trHeight w:val="348"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1" w:right="0"/>
              <w:jc w:val="left"/>
              <w:rPr>
                <w:rFonts w:ascii="宋体" w:hAnsi="宋体" w:cs="宋体" w:eastAsia="宋体" w:hint="default"/>
                <w:sz w:val="18"/>
                <w:szCs w:val="18"/>
              </w:rPr>
            </w:pPr>
            <w:r>
              <w:rPr>
                <w:rFonts w:ascii="宋体" w:hAnsi="宋体" w:cs="宋体" w:eastAsia="宋体" w:hint="default"/>
                <w:sz w:val="18"/>
                <w:szCs w:val="18"/>
              </w:rPr>
              <w:t>雨花物流基地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6" w:right="0"/>
              <w:jc w:val="left"/>
              <w:rPr>
                <w:rFonts w:ascii="Arial" w:hAnsi="Arial" w:cs="Arial" w:eastAsia="Arial" w:hint="default"/>
                <w:sz w:val="18"/>
                <w:szCs w:val="18"/>
              </w:rPr>
            </w:pPr>
            <w:r>
              <w:rPr>
                <w:rFonts w:ascii="Arial"/>
                <w:sz w:val="18"/>
              </w:rPr>
              <w:t>361,217</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36" w:right="0"/>
              <w:jc w:val="left"/>
              <w:rPr>
                <w:rFonts w:ascii="Arial" w:hAnsi="Arial" w:cs="Arial" w:eastAsia="Arial" w:hint="default"/>
                <w:sz w:val="18"/>
                <w:szCs w:val="18"/>
              </w:rPr>
            </w:pPr>
            <w:r>
              <w:rPr>
                <w:rFonts w:ascii="Arial"/>
                <w:sz w:val="18"/>
              </w:rPr>
              <w:t>361,217</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64" w:right="0"/>
              <w:jc w:val="left"/>
              <w:rPr>
                <w:rFonts w:ascii="Arial" w:hAnsi="Arial" w:cs="Arial" w:eastAsia="Arial" w:hint="default"/>
                <w:sz w:val="18"/>
                <w:szCs w:val="18"/>
              </w:rPr>
            </w:pPr>
            <w:r>
              <w:rPr>
                <w:rFonts w:ascii="Arial"/>
                <w:sz w:val="18"/>
              </w:rPr>
              <w:t>239,742</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2"/>
              <w:jc w:val="right"/>
              <w:rPr>
                <w:rFonts w:ascii="Arial" w:hAnsi="Arial" w:cs="Arial" w:eastAsia="Arial" w:hint="default"/>
                <w:sz w:val="18"/>
                <w:szCs w:val="18"/>
              </w:rPr>
            </w:pPr>
            <w:r>
              <w:rPr>
                <w:rFonts w:ascii="Arial"/>
                <w:spacing w:val="-1"/>
                <w:sz w:val="18"/>
              </w:rPr>
              <w:t>239,742</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包头苏宁电器广场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6" w:right="0"/>
              <w:jc w:val="left"/>
              <w:rPr>
                <w:rFonts w:ascii="Arial" w:hAnsi="Arial" w:cs="Arial" w:eastAsia="Arial" w:hint="default"/>
                <w:sz w:val="18"/>
                <w:szCs w:val="18"/>
              </w:rPr>
            </w:pPr>
            <w:r>
              <w:rPr>
                <w:rFonts w:ascii="Arial"/>
                <w:sz w:val="18"/>
              </w:rPr>
              <w:t>248,033</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6" w:right="0"/>
              <w:jc w:val="left"/>
              <w:rPr>
                <w:rFonts w:ascii="Arial" w:hAnsi="Arial" w:cs="Arial" w:eastAsia="Arial" w:hint="default"/>
                <w:sz w:val="18"/>
                <w:szCs w:val="18"/>
              </w:rPr>
            </w:pPr>
            <w:r>
              <w:rPr>
                <w:rFonts w:ascii="Arial"/>
                <w:sz w:val="18"/>
              </w:rPr>
              <w:t>248,033</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67,560</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67,560</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日照苏宁电器广场项目</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6" w:right="0"/>
              <w:jc w:val="left"/>
              <w:rPr>
                <w:rFonts w:ascii="Arial" w:hAnsi="Arial" w:cs="Arial" w:eastAsia="Arial" w:hint="default"/>
                <w:sz w:val="18"/>
                <w:szCs w:val="18"/>
              </w:rPr>
            </w:pPr>
            <w:r>
              <w:rPr>
                <w:rFonts w:ascii="Arial"/>
                <w:sz w:val="18"/>
              </w:rPr>
              <w:t>246,188</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36" w:right="0"/>
              <w:jc w:val="left"/>
              <w:rPr>
                <w:rFonts w:ascii="Arial" w:hAnsi="Arial" w:cs="Arial" w:eastAsia="Arial" w:hint="default"/>
                <w:sz w:val="18"/>
                <w:szCs w:val="18"/>
              </w:rPr>
            </w:pPr>
            <w:r>
              <w:rPr>
                <w:rFonts w:ascii="Arial"/>
                <w:sz w:val="18"/>
              </w:rPr>
              <w:t>246,188</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84,299</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84,299</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济宁苏宁电器广场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6" w:right="0"/>
              <w:jc w:val="left"/>
              <w:rPr>
                <w:rFonts w:ascii="Arial" w:hAnsi="Arial" w:cs="Arial" w:eastAsia="Arial" w:hint="default"/>
                <w:sz w:val="18"/>
                <w:szCs w:val="18"/>
              </w:rPr>
            </w:pPr>
            <w:r>
              <w:rPr>
                <w:rFonts w:ascii="Arial"/>
                <w:sz w:val="18"/>
              </w:rPr>
              <w:t>198,352</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6" w:right="0"/>
              <w:jc w:val="left"/>
              <w:rPr>
                <w:rFonts w:ascii="Arial" w:hAnsi="Arial" w:cs="Arial" w:eastAsia="Arial" w:hint="default"/>
                <w:sz w:val="18"/>
                <w:szCs w:val="18"/>
              </w:rPr>
            </w:pPr>
            <w:r>
              <w:rPr>
                <w:rFonts w:ascii="Arial"/>
                <w:sz w:val="18"/>
              </w:rPr>
              <w:t>198,352</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85,330</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85,330</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滁州苏宁广场项目</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6" w:right="0"/>
              <w:jc w:val="left"/>
              <w:rPr>
                <w:rFonts w:ascii="Arial" w:hAnsi="Arial" w:cs="Arial" w:eastAsia="Arial" w:hint="default"/>
                <w:sz w:val="18"/>
                <w:szCs w:val="18"/>
              </w:rPr>
            </w:pPr>
            <w:r>
              <w:rPr>
                <w:rFonts w:ascii="Arial"/>
                <w:sz w:val="18"/>
              </w:rPr>
              <w:t>180,678</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36" w:right="0"/>
              <w:jc w:val="left"/>
              <w:rPr>
                <w:rFonts w:ascii="Arial" w:hAnsi="Arial" w:cs="Arial" w:eastAsia="Arial" w:hint="default"/>
                <w:sz w:val="18"/>
                <w:szCs w:val="18"/>
              </w:rPr>
            </w:pPr>
            <w:r>
              <w:rPr>
                <w:rFonts w:ascii="Arial"/>
                <w:sz w:val="18"/>
              </w:rPr>
              <w:t>180,678</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34,645</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34,645</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苏州物流基地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77,645</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6" w:right="0"/>
              <w:jc w:val="left"/>
              <w:rPr>
                <w:rFonts w:ascii="Arial" w:hAnsi="Arial" w:cs="Arial" w:eastAsia="Arial" w:hint="default"/>
                <w:sz w:val="18"/>
                <w:szCs w:val="18"/>
              </w:rPr>
            </w:pPr>
            <w:r>
              <w:rPr>
                <w:rFonts w:ascii="Arial"/>
                <w:sz w:val="18"/>
              </w:rPr>
              <w:t>77,645</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9,397</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9,397</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眉山物流基地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77,164</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6" w:right="0"/>
              <w:jc w:val="left"/>
              <w:rPr>
                <w:rFonts w:ascii="Arial" w:hAnsi="Arial" w:cs="Arial" w:eastAsia="Arial" w:hint="default"/>
                <w:sz w:val="18"/>
                <w:szCs w:val="18"/>
              </w:rPr>
            </w:pPr>
            <w:r>
              <w:rPr>
                <w:rFonts w:ascii="Arial"/>
                <w:sz w:val="18"/>
              </w:rPr>
              <w:t>77,164</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w w:val="95"/>
                <w:sz w:val="18"/>
              </w:rPr>
              <w:t>813</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w w:val="95"/>
                <w:sz w:val="18"/>
              </w:rPr>
              <w:t>813</w:t>
            </w:r>
            <w:r>
              <w:rPr>
                <w:rFonts w:ascii="Arial"/>
                <w:sz w:val="18"/>
              </w:rPr>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绍兴物流基地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74,757</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6" w:right="0"/>
              <w:jc w:val="left"/>
              <w:rPr>
                <w:rFonts w:ascii="Arial" w:hAnsi="Arial" w:cs="Arial" w:eastAsia="Arial" w:hint="default"/>
                <w:sz w:val="18"/>
                <w:szCs w:val="18"/>
              </w:rPr>
            </w:pPr>
            <w:r>
              <w:rPr>
                <w:rFonts w:ascii="Arial"/>
                <w:sz w:val="18"/>
              </w:rPr>
              <w:t>74,757</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w w:val="95"/>
                <w:sz w:val="18"/>
              </w:rPr>
              <w:t>718</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w w:val="95"/>
                <w:sz w:val="18"/>
              </w:rPr>
              <w:t>718</w:t>
            </w:r>
            <w:r>
              <w:rPr>
                <w:rFonts w:ascii="Arial"/>
                <w:sz w:val="18"/>
              </w:rPr>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郑州物流基地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64,221</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6" w:right="0"/>
              <w:jc w:val="left"/>
              <w:rPr>
                <w:rFonts w:ascii="Arial" w:hAnsi="Arial" w:cs="Arial" w:eastAsia="Arial" w:hint="default"/>
                <w:sz w:val="18"/>
                <w:szCs w:val="18"/>
              </w:rPr>
            </w:pPr>
            <w:r>
              <w:rPr>
                <w:rFonts w:ascii="Arial"/>
                <w:sz w:val="18"/>
              </w:rPr>
              <w:t>64,221</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1,210</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1,210</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重庆二期物流基地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38,006</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6" w:right="0"/>
              <w:jc w:val="left"/>
              <w:rPr>
                <w:rFonts w:ascii="Arial" w:hAnsi="Arial" w:cs="Arial" w:eastAsia="Arial" w:hint="default"/>
                <w:sz w:val="18"/>
                <w:szCs w:val="18"/>
              </w:rPr>
            </w:pPr>
            <w:r>
              <w:rPr>
                <w:rFonts w:ascii="Arial"/>
                <w:sz w:val="18"/>
              </w:rPr>
              <w:t>38,006</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1,284</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1,284</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鄂州物流基地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33,232</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6" w:right="0"/>
              <w:jc w:val="left"/>
              <w:rPr>
                <w:rFonts w:ascii="Arial" w:hAnsi="Arial" w:cs="Arial" w:eastAsia="Arial" w:hint="default"/>
                <w:sz w:val="18"/>
                <w:szCs w:val="18"/>
              </w:rPr>
            </w:pPr>
            <w:r>
              <w:rPr>
                <w:rFonts w:ascii="Arial"/>
                <w:sz w:val="18"/>
              </w:rPr>
              <w:t>33,232</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青岛办公区购置房</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31,529</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6" w:right="0"/>
              <w:jc w:val="left"/>
              <w:rPr>
                <w:rFonts w:ascii="Arial" w:hAnsi="Arial" w:cs="Arial" w:eastAsia="Arial" w:hint="default"/>
                <w:sz w:val="18"/>
                <w:szCs w:val="18"/>
              </w:rPr>
            </w:pPr>
            <w:r>
              <w:rPr>
                <w:rFonts w:ascii="Arial"/>
                <w:sz w:val="18"/>
              </w:rPr>
              <w:t>31,529</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31,513</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31,513</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中山物流基地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30,577</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6" w:right="0"/>
              <w:jc w:val="left"/>
              <w:rPr>
                <w:rFonts w:ascii="Arial" w:hAnsi="Arial" w:cs="Arial" w:eastAsia="Arial" w:hint="default"/>
                <w:sz w:val="18"/>
                <w:szCs w:val="18"/>
              </w:rPr>
            </w:pPr>
            <w:r>
              <w:rPr>
                <w:rFonts w:ascii="Arial"/>
                <w:sz w:val="18"/>
              </w:rPr>
              <w:t>30,577</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4" w:right="0"/>
              <w:jc w:val="left"/>
              <w:rPr>
                <w:rFonts w:ascii="Arial" w:hAnsi="Arial" w:cs="Arial" w:eastAsia="Arial" w:hint="default"/>
                <w:sz w:val="18"/>
                <w:szCs w:val="18"/>
              </w:rPr>
            </w:pPr>
            <w:r>
              <w:rPr>
                <w:rFonts w:ascii="Arial"/>
                <w:sz w:val="18"/>
              </w:rPr>
              <w:t>185,918</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185,918</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南宁物流基地一期</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28,057</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6" w:right="0"/>
              <w:jc w:val="left"/>
              <w:rPr>
                <w:rFonts w:ascii="Arial" w:hAnsi="Arial" w:cs="Arial" w:eastAsia="Arial" w:hint="default"/>
                <w:sz w:val="18"/>
                <w:szCs w:val="18"/>
              </w:rPr>
            </w:pPr>
            <w:r>
              <w:rPr>
                <w:rFonts w:ascii="Arial"/>
                <w:sz w:val="18"/>
              </w:rPr>
              <w:t>28,057</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1,588</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1,588</w:t>
            </w:r>
          </w:p>
        </w:tc>
      </w:tr>
      <w:tr>
        <w:trPr>
          <w:trHeight w:val="23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兰州物流基地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27,782</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6" w:right="0"/>
              <w:jc w:val="left"/>
              <w:rPr>
                <w:rFonts w:ascii="Arial" w:hAnsi="Arial" w:cs="Arial" w:eastAsia="Arial" w:hint="default"/>
                <w:sz w:val="18"/>
                <w:szCs w:val="18"/>
              </w:rPr>
            </w:pPr>
            <w:r>
              <w:rPr>
                <w:rFonts w:ascii="Arial"/>
                <w:sz w:val="18"/>
              </w:rPr>
              <w:t>27,782</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1,251</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1,251</w:t>
            </w:r>
          </w:p>
        </w:tc>
      </w:tr>
      <w:tr>
        <w:trPr>
          <w:trHeight w:val="23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厦门物流基地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24,208</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6" w:right="0"/>
              <w:jc w:val="left"/>
              <w:rPr>
                <w:rFonts w:ascii="Arial" w:hAnsi="Arial" w:cs="Arial" w:eastAsia="Arial" w:hint="default"/>
                <w:sz w:val="18"/>
                <w:szCs w:val="18"/>
              </w:rPr>
            </w:pPr>
            <w:r>
              <w:rPr>
                <w:rFonts w:ascii="Arial"/>
                <w:sz w:val="18"/>
              </w:rPr>
              <w:t>24,208</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20,763</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20,763</w:t>
            </w:r>
          </w:p>
        </w:tc>
      </w:tr>
      <w:tr>
        <w:trPr>
          <w:trHeight w:val="23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宜兴苏宁生活广场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19,245</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6" w:right="0"/>
              <w:jc w:val="left"/>
              <w:rPr>
                <w:rFonts w:ascii="Arial" w:hAnsi="Arial" w:cs="Arial" w:eastAsia="Arial" w:hint="default"/>
                <w:sz w:val="18"/>
                <w:szCs w:val="18"/>
              </w:rPr>
            </w:pPr>
            <w:r>
              <w:rPr>
                <w:rFonts w:ascii="Arial"/>
                <w:sz w:val="18"/>
              </w:rPr>
              <w:t>19,245</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w w:val="95"/>
                <w:sz w:val="18"/>
              </w:rPr>
              <w:t>21</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w w:val="95"/>
                <w:sz w:val="18"/>
              </w:rPr>
              <w:t>21</w:t>
            </w:r>
            <w:r>
              <w:rPr>
                <w:rFonts w:ascii="Arial"/>
                <w:sz w:val="18"/>
              </w:rPr>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沈阳物流基地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13,015</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6" w:right="0"/>
              <w:jc w:val="left"/>
              <w:rPr>
                <w:rFonts w:ascii="Arial" w:hAnsi="Arial" w:cs="Arial" w:eastAsia="Arial" w:hint="default"/>
                <w:sz w:val="18"/>
                <w:szCs w:val="18"/>
              </w:rPr>
            </w:pPr>
            <w:r>
              <w:rPr>
                <w:rFonts w:ascii="Arial"/>
                <w:sz w:val="18"/>
              </w:rPr>
              <w:t>13,015</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4" w:right="0"/>
              <w:jc w:val="left"/>
              <w:rPr>
                <w:rFonts w:ascii="Arial" w:hAnsi="Arial" w:cs="Arial" w:eastAsia="Arial" w:hint="default"/>
                <w:sz w:val="18"/>
                <w:szCs w:val="18"/>
              </w:rPr>
            </w:pPr>
            <w:r>
              <w:rPr>
                <w:rFonts w:ascii="Arial"/>
                <w:sz w:val="18"/>
              </w:rPr>
              <w:t>144,497</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144,497</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西安泾阳物流基地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10,325</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6" w:right="0"/>
              <w:jc w:val="left"/>
              <w:rPr>
                <w:rFonts w:ascii="Arial" w:hAnsi="Arial" w:cs="Arial" w:eastAsia="Arial" w:hint="default"/>
                <w:sz w:val="18"/>
                <w:szCs w:val="18"/>
              </w:rPr>
            </w:pPr>
            <w:r>
              <w:rPr>
                <w:rFonts w:ascii="Arial"/>
                <w:sz w:val="18"/>
              </w:rPr>
              <w:t>10,325</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w w:val="95"/>
                <w:sz w:val="18"/>
              </w:rPr>
              <w:t>482</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w w:val="95"/>
                <w:sz w:val="18"/>
              </w:rPr>
              <w:t>482</w:t>
            </w:r>
            <w:r>
              <w:rPr>
                <w:rFonts w:ascii="Arial"/>
                <w:sz w:val="18"/>
              </w:rPr>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杭州二期物流基地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4,066</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7" w:right="0"/>
              <w:jc w:val="left"/>
              <w:rPr>
                <w:rFonts w:ascii="Arial" w:hAnsi="Arial" w:cs="Arial" w:eastAsia="Arial" w:hint="default"/>
                <w:sz w:val="18"/>
                <w:szCs w:val="18"/>
              </w:rPr>
            </w:pPr>
            <w:r>
              <w:rPr>
                <w:rFonts w:ascii="Arial"/>
                <w:sz w:val="18"/>
              </w:rPr>
              <w:t>4,066</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4,846</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4,846</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渤宁苏宁物流基地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1,993</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5" w:right="0"/>
              <w:jc w:val="left"/>
              <w:rPr>
                <w:rFonts w:ascii="Arial" w:hAnsi="Arial" w:cs="Arial" w:eastAsia="Arial" w:hint="default"/>
                <w:sz w:val="18"/>
                <w:szCs w:val="18"/>
              </w:rPr>
            </w:pPr>
            <w:r>
              <w:rPr>
                <w:rFonts w:ascii="Arial"/>
                <w:sz w:val="18"/>
              </w:rPr>
              <w:t>1,993</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1,245</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1,245</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上海苏宁电器广场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1,266</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7" w:right="0"/>
              <w:jc w:val="left"/>
              <w:rPr>
                <w:rFonts w:ascii="Arial" w:hAnsi="Arial" w:cs="Arial" w:eastAsia="Arial" w:hint="default"/>
                <w:sz w:val="18"/>
                <w:szCs w:val="18"/>
              </w:rPr>
            </w:pPr>
            <w:r>
              <w:rPr>
                <w:rFonts w:ascii="Arial"/>
                <w:sz w:val="18"/>
              </w:rPr>
              <w:t>1,266</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4" w:right="0"/>
              <w:jc w:val="left"/>
              <w:rPr>
                <w:rFonts w:ascii="Arial" w:hAnsi="Arial" w:cs="Arial" w:eastAsia="Arial" w:hint="default"/>
                <w:sz w:val="18"/>
                <w:szCs w:val="18"/>
              </w:rPr>
            </w:pPr>
            <w:r>
              <w:rPr>
                <w:rFonts w:ascii="Arial"/>
                <w:sz w:val="18"/>
              </w:rPr>
              <w:t>202,158</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202,158</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北京朝阳苏宁电器广场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4" w:right="0"/>
              <w:jc w:val="left"/>
              <w:rPr>
                <w:rFonts w:ascii="Arial" w:hAnsi="Arial" w:cs="Arial" w:eastAsia="Arial" w:hint="default"/>
                <w:sz w:val="18"/>
                <w:szCs w:val="18"/>
              </w:rPr>
            </w:pPr>
            <w:r>
              <w:rPr>
                <w:rFonts w:ascii="Arial"/>
                <w:sz w:val="18"/>
              </w:rPr>
              <w:t>357,465</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357,465</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江西南昌物流基地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50,882</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50,882</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江苏物流基地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3,505</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3,505</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汕头苏宁电器广场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4" w:right="0"/>
              <w:jc w:val="left"/>
              <w:rPr>
                <w:rFonts w:ascii="Arial" w:hAnsi="Arial" w:cs="Arial" w:eastAsia="Arial" w:hint="default"/>
                <w:sz w:val="18"/>
                <w:szCs w:val="18"/>
              </w:rPr>
            </w:pPr>
            <w:r>
              <w:rPr>
                <w:rFonts w:ascii="Arial"/>
                <w:sz w:val="18"/>
              </w:rPr>
              <w:t>328,148</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328,148</w:t>
            </w:r>
          </w:p>
        </w:tc>
      </w:tr>
      <w:tr>
        <w:trPr>
          <w:trHeight w:val="467"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上海沪申苏宁电器物流</w:t>
            </w:r>
          </w:p>
          <w:p>
            <w:pPr>
              <w:pStyle w:val="TableParagraph"/>
              <w:spacing w:line="234" w:lineRule="exact"/>
              <w:ind w:left="33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4" w:right="0"/>
              <w:jc w:val="left"/>
              <w:rPr>
                <w:rFonts w:ascii="Arial" w:hAnsi="Arial" w:cs="Arial" w:eastAsia="Arial" w:hint="default"/>
                <w:sz w:val="18"/>
                <w:szCs w:val="18"/>
              </w:rPr>
            </w:pPr>
            <w:r>
              <w:rPr>
                <w:rFonts w:ascii="Arial"/>
                <w:sz w:val="18"/>
              </w:rPr>
              <w:t>278,460</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spacing w:val="-1"/>
                <w:sz w:val="18"/>
              </w:rPr>
              <w:t>278,460</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苏州苏宁电器广场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4" w:right="0"/>
              <w:jc w:val="left"/>
              <w:rPr>
                <w:rFonts w:ascii="Arial" w:hAnsi="Arial" w:cs="Arial" w:eastAsia="Arial" w:hint="default"/>
                <w:sz w:val="18"/>
                <w:szCs w:val="18"/>
              </w:rPr>
            </w:pPr>
            <w:r>
              <w:rPr>
                <w:rFonts w:ascii="Arial"/>
                <w:sz w:val="18"/>
              </w:rPr>
              <w:t>204,698</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204,698</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西安苏宁电器广场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4" w:right="0"/>
              <w:jc w:val="left"/>
              <w:rPr>
                <w:rFonts w:ascii="Arial" w:hAnsi="Arial" w:cs="Arial" w:eastAsia="Arial" w:hint="default"/>
                <w:sz w:val="18"/>
                <w:szCs w:val="18"/>
              </w:rPr>
            </w:pPr>
            <w:r>
              <w:rPr>
                <w:rFonts w:ascii="Arial"/>
                <w:sz w:val="18"/>
              </w:rPr>
              <w:t>177,816</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177,816</w:t>
            </w:r>
          </w:p>
        </w:tc>
      </w:tr>
      <w:tr>
        <w:trPr>
          <w:trHeight w:val="23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杭州苏宁电器广场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4" w:right="0"/>
              <w:jc w:val="left"/>
              <w:rPr>
                <w:rFonts w:ascii="Arial" w:hAnsi="Arial" w:cs="Arial" w:eastAsia="Arial" w:hint="default"/>
                <w:sz w:val="18"/>
                <w:szCs w:val="18"/>
              </w:rPr>
            </w:pPr>
            <w:r>
              <w:rPr>
                <w:rFonts w:ascii="Arial"/>
                <w:sz w:val="18"/>
              </w:rPr>
              <w:t>145,200</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145,200</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温州物流基地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81,322</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81,322</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昆明物流基地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67,590</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67,590</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乌鲁木齐物流基地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52,006</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52,006</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包头物流基地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39,623</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39,623</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盱眙苏宁电器广场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32,275</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32,275</w:t>
            </w:r>
          </w:p>
        </w:tc>
      </w:tr>
      <w:tr>
        <w:trPr>
          <w:trHeight w:val="23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sz w:val="18"/>
                <w:szCs w:val="18"/>
              </w:rPr>
              <w:t>芜湖苏宁电器广场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20,194</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20,194</w:t>
            </w:r>
          </w:p>
        </w:tc>
      </w:tr>
      <w:tr>
        <w:trPr>
          <w:trHeight w:val="23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北京京房苏宁广场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13,626</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13,626</w:t>
            </w:r>
          </w:p>
        </w:tc>
      </w:tr>
      <w:tr>
        <w:trPr>
          <w:trHeight w:val="236"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tcBorders>
              <w:top w:val="nil" w:sz="6" w:space="0" w:color="auto"/>
              <w:left w:val="nil" w:sz="6" w:space="0" w:color="auto"/>
              <w:bottom w:val="nil" w:sz="6" w:space="0" w:color="auto"/>
              <w:right w:val="nil" w:sz="6" w:space="0" w:color="auto"/>
            </w:tcBorders>
          </w:tcPr>
          <w:p>
            <w:pPr>
              <w:pStyle w:val="TableParagraph"/>
              <w:tabs>
                <w:tab w:pos="355" w:val="left" w:leader="none"/>
                <w:tab w:pos="1091"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123,547</w:t>
              <w:tab/>
            </w:r>
            <w:r>
              <w:rPr>
                <w:rFonts w:ascii="Arial"/>
                <w:spacing w:val="-1"/>
                <w:sz w:val="18"/>
              </w:rPr>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tabs>
                <w:tab w:pos="471" w:val="left" w:leader="none"/>
                <w:tab w:pos="854" w:val="left" w:leader="none"/>
                <w:tab w:pos="1226" w:val="left" w:leader="none"/>
              </w:tabs>
              <w:spacing w:line="240" w:lineRule="auto" w:before="14"/>
              <w:ind w:left="14" w:right="-136"/>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 </w:t>
            </w:r>
            <w:r>
              <w:rPr>
                <w:rFonts w:ascii="Arial"/>
                <w:spacing w:val="-15"/>
                <w:sz w:val="18"/>
                <w:u w:val="single" w:color="000000"/>
              </w:rPr>
              <w:t> </w:t>
            </w:r>
            <w:r>
              <w:rPr>
                <w:rFonts w:ascii="Arial"/>
                <w:spacing w:val="-15"/>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14"/>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123,547</w:t>
              <w:tab/>
            </w:r>
            <w:r>
              <w:rPr>
                <w:rFonts w:ascii="Arial"/>
                <w:spacing w:val="-1"/>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tabs>
                <w:tab w:pos="356" w:val="left" w:leader="none"/>
                <w:tab w:pos="1091" w:val="left" w:leader="none"/>
              </w:tabs>
              <w:spacing w:line="240" w:lineRule="auto" w:before="14"/>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258,744</w:t>
              <w:tab/>
            </w:r>
            <w:r>
              <w:rPr>
                <w:rFonts w:ascii="Arial"/>
                <w:spacing w:val="-1"/>
                <w:sz w:val="18"/>
              </w:rPr>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Style w:val="TableParagraph"/>
              <w:tabs>
                <w:tab w:pos="344" w:val="left" w:leader="none"/>
                <w:tab w:pos="489" w:val="left" w:leader="none"/>
              </w:tabs>
              <w:spacing w:line="240" w:lineRule="auto" w:before="14"/>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tabs>
                <w:tab w:pos="369" w:val="left" w:leader="none"/>
                <w:tab w:pos="1105"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258,744</w:t>
              <w:tab/>
            </w:r>
            <w:r>
              <w:rPr>
                <w:rFonts w:ascii="Arial"/>
                <w:spacing w:val="-1"/>
                <w:sz w:val="18"/>
              </w:rPr>
            </w:r>
          </w:p>
        </w:tc>
      </w:tr>
      <w:tr>
        <w:trPr>
          <w:trHeight w:val="220"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12" w:space="0" w:color="000000"/>
              <w:right w:val="nil" w:sz="6" w:space="0" w:color="auto"/>
            </w:tcBorders>
          </w:tcPr>
          <w:p>
            <w:pPr>
              <w:pStyle w:val="TableParagraph"/>
              <w:spacing w:line="203" w:lineRule="exact"/>
              <w:ind w:left="205" w:right="0"/>
              <w:jc w:val="left"/>
              <w:rPr>
                <w:rFonts w:ascii="Arial" w:hAnsi="Arial" w:cs="Arial" w:eastAsia="Arial" w:hint="default"/>
                <w:sz w:val="18"/>
                <w:szCs w:val="18"/>
              </w:rPr>
            </w:pPr>
            <w:r>
              <w:rPr>
                <w:rFonts w:ascii="Arial"/>
                <w:sz w:val="18"/>
              </w:rPr>
              <w:t>1,915,103</w:t>
            </w:r>
          </w:p>
        </w:tc>
        <w:tc>
          <w:tcPr>
            <w:tcW w:w="22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single" w:sz="12" w:space="0" w:color="000000"/>
              <w:right w:val="nil" w:sz="6" w:space="0" w:color="auto"/>
            </w:tcBorders>
          </w:tcPr>
          <w:p>
            <w:pPr>
              <w:pStyle w:val="TableParagraph"/>
              <w:spacing w:line="203" w:lineRule="exact"/>
              <w:ind w:right="85"/>
              <w:jc w:val="center"/>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single" w:sz="12" w:space="0" w:color="000000"/>
              <w:right w:val="nil" w:sz="6" w:space="0" w:color="auto"/>
            </w:tcBorders>
          </w:tcPr>
          <w:p>
            <w:pPr>
              <w:pStyle w:val="TableParagraph"/>
              <w:spacing w:line="203" w:lineRule="exact"/>
              <w:ind w:left="-15" w:right="0"/>
              <w:jc w:val="left"/>
              <w:rPr>
                <w:rFonts w:ascii="Arial" w:hAnsi="Arial" w:cs="Arial" w:eastAsia="Arial" w:hint="default"/>
                <w:sz w:val="18"/>
                <w:szCs w:val="18"/>
              </w:rPr>
            </w:pPr>
            <w:r>
              <w:rPr>
                <w:rFonts w:ascii="Arial"/>
                <w:sz w:val="18"/>
              </w:rPr>
              <w:t>1,915,103</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single" w:sz="12" w:space="0" w:color="000000"/>
              <w:right w:val="nil" w:sz="6" w:space="0" w:color="auto"/>
            </w:tcBorders>
          </w:tcPr>
          <w:p>
            <w:pPr>
              <w:pStyle w:val="TableParagraph"/>
              <w:spacing w:line="203" w:lineRule="exact"/>
              <w:ind w:left="214" w:right="0"/>
              <w:jc w:val="left"/>
              <w:rPr>
                <w:rFonts w:ascii="Arial" w:hAnsi="Arial" w:cs="Arial" w:eastAsia="Arial" w:hint="default"/>
                <w:sz w:val="18"/>
                <w:szCs w:val="18"/>
              </w:rPr>
            </w:pPr>
            <w:r>
              <w:rPr>
                <w:rFonts w:ascii="Arial"/>
                <w:sz w:val="18"/>
              </w:rPr>
              <w:t>3,230,834</w:t>
            </w:r>
          </w:p>
        </w:tc>
        <w:tc>
          <w:tcPr>
            <w:tcW w:w="224"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single" w:sz="12" w:space="0" w:color="000000"/>
              <w:right w:val="nil" w:sz="6" w:space="0" w:color="auto"/>
            </w:tcBorders>
          </w:tcPr>
          <w:p>
            <w:pPr>
              <w:pStyle w:val="TableParagraph"/>
              <w:spacing w:line="203" w:lineRule="exact"/>
              <w:ind w:right="83"/>
              <w:jc w:val="right"/>
              <w:rPr>
                <w:rFonts w:ascii="Arial" w:hAnsi="Arial" w:cs="Arial" w:eastAsia="Arial" w:hint="default"/>
                <w:sz w:val="18"/>
                <w:szCs w:val="18"/>
              </w:rPr>
            </w:pPr>
            <w:r>
              <w:rPr>
                <w:rFonts w:ascii="Arial"/>
                <w:w w:val="99"/>
                <w:sz w:val="18"/>
              </w:rPr>
              <w:t>-</w:t>
            </w:r>
            <w:r>
              <w:rPr>
                <w:rFonts w:ascii="Arial"/>
                <w:sz w:val="18"/>
              </w:rPr>
            </w:r>
          </w:p>
        </w:tc>
        <w:tc>
          <w:tcPr>
            <w:tcW w:w="22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12" w:space="0" w:color="000000"/>
              <w:right w:val="nil" w:sz="6" w:space="0" w:color="auto"/>
            </w:tcBorders>
          </w:tcPr>
          <w:p>
            <w:pPr>
              <w:pStyle w:val="TableParagraph"/>
              <w:spacing w:line="203" w:lineRule="exact"/>
              <w:ind w:left="235" w:right="0"/>
              <w:jc w:val="left"/>
              <w:rPr>
                <w:rFonts w:ascii="Arial" w:hAnsi="Arial" w:cs="Arial" w:eastAsia="Arial" w:hint="default"/>
                <w:sz w:val="18"/>
                <w:szCs w:val="18"/>
              </w:rPr>
            </w:pPr>
            <w:r>
              <w:rPr>
                <w:rFonts w:ascii="Arial"/>
                <w:sz w:val="18"/>
              </w:rPr>
              <w:t>3,230,834</w:t>
            </w:r>
          </w:p>
        </w:tc>
      </w:tr>
    </w:tbl>
    <w:p>
      <w:pPr>
        <w:spacing w:after="0" w:line="203" w:lineRule="exact"/>
        <w:jc w:val="left"/>
        <w:rPr>
          <w:rFonts w:ascii="Arial" w:hAnsi="Arial" w:cs="Arial" w:eastAsia="Arial" w:hint="default"/>
          <w:sz w:val="18"/>
          <w:szCs w:val="18"/>
        </w:rPr>
        <w:sectPr>
          <w:pgSz w:w="11910" w:h="16840"/>
          <w:pgMar w:header="755" w:footer="914" w:top="1860" w:bottom="110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725"/>
        <w:gridCol w:w="3099"/>
      </w:tblGrid>
      <w:tr>
        <w:trPr>
          <w:trHeight w:val="416"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099" w:type="dxa"/>
            <w:tcBorders>
              <w:top w:val="nil" w:sz="6" w:space="0" w:color="auto"/>
              <w:left w:val="nil" w:sz="6" w:space="0" w:color="auto"/>
              <w:bottom w:val="nil" w:sz="6" w:space="0" w:color="auto"/>
              <w:right w:val="nil" w:sz="6" w:space="0" w:color="auto"/>
            </w:tcBorders>
          </w:tcPr>
          <w:p>
            <w:pPr>
              <w:pStyle w:val="TableParagraph"/>
              <w:spacing w:line="257" w:lineRule="exact"/>
              <w:ind w:left="9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(15)</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8"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11"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8" w:right="0"/>
              <w:jc w:val="left"/>
              <w:rPr>
                <w:rFonts w:ascii="宋体" w:hAnsi="宋体" w:cs="宋体" w:eastAsia="宋体" w:hint="default"/>
                <w:sz w:val="24"/>
                <w:szCs w:val="24"/>
              </w:rPr>
            </w:pPr>
            <w:r>
              <w:rPr>
                <w:rFonts w:ascii="宋体" w:hAnsi="宋体" w:cs="宋体" w:eastAsia="宋体" w:hint="default"/>
                <w:sz w:val="24"/>
                <w:szCs w:val="24"/>
              </w:rPr>
              <w:t>重大在建工程变动</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800" w:type="dxa"/>
        <w:tblLayout w:type="fixed"/>
        <w:tblCellMar>
          <w:top w:w="0" w:type="dxa"/>
          <w:left w:w="0" w:type="dxa"/>
          <w:bottom w:w="0" w:type="dxa"/>
          <w:right w:w="0" w:type="dxa"/>
        </w:tblCellMar>
        <w:tblLook w:val="01E0"/>
      </w:tblPr>
      <w:tblGrid>
        <w:gridCol w:w="2208"/>
        <w:gridCol w:w="994"/>
        <w:gridCol w:w="1175"/>
        <w:gridCol w:w="950"/>
        <w:gridCol w:w="1200"/>
        <w:gridCol w:w="1031"/>
        <w:gridCol w:w="994"/>
        <w:gridCol w:w="953"/>
        <w:gridCol w:w="1530"/>
        <w:gridCol w:w="966"/>
        <w:gridCol w:w="997"/>
        <w:gridCol w:w="973"/>
        <w:gridCol w:w="1222"/>
      </w:tblGrid>
      <w:tr>
        <w:trPr>
          <w:trHeight w:val="1012"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预算数</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1" w:lineRule="exact"/>
              <w:ind w:left="39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2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7" w:lineRule="auto"/>
              <w:ind w:left="75" w:right="141" w:firstLine="260"/>
              <w:jc w:val="right"/>
              <w:rPr>
                <w:rFonts w:ascii="Arial" w:hAnsi="Arial" w:cs="Arial" w:eastAsia="Arial" w:hint="default"/>
                <w:sz w:val="18"/>
                <w:szCs w:val="18"/>
              </w:rPr>
            </w:pPr>
            <w:r>
              <w:rPr>
                <w:rFonts w:ascii="宋体" w:hAnsi="宋体" w:cs="宋体" w:eastAsia="宋体" w:hint="default"/>
                <w:sz w:val="18"/>
                <w:szCs w:val="18"/>
              </w:rPr>
              <w:t>本年转入 固定资产 </w:t>
            </w: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(14))</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1" w:lineRule="exact"/>
              <w:ind w:right="96"/>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33" w:lineRule="exact"/>
              <w:ind w:right="95"/>
              <w:jc w:val="righ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31</w:t>
            </w:r>
          </w:p>
          <w:p>
            <w:pPr>
              <w:pStyle w:val="TableParagraph"/>
              <w:spacing w:line="228" w:lineRule="exact"/>
              <w:ind w:right="95"/>
              <w:jc w:val="right"/>
              <w:rPr>
                <w:rFonts w:ascii="宋体" w:hAnsi="宋体" w:cs="宋体" w:eastAsia="宋体" w:hint="default"/>
                <w:sz w:val="18"/>
                <w:szCs w:val="18"/>
              </w:rPr>
            </w:pPr>
            <w:r>
              <w:rPr>
                <w:rFonts w:ascii="宋体" w:hAnsi="宋体" w:cs="宋体" w:eastAsia="宋体" w:hint="default"/>
                <w:sz w:val="18"/>
                <w:szCs w:val="18"/>
              </w:rPr>
              <w:t>日</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87" w:right="143"/>
              <w:jc w:val="left"/>
              <w:rPr>
                <w:rFonts w:ascii="宋体" w:hAnsi="宋体" w:cs="宋体" w:eastAsia="宋体" w:hint="default"/>
                <w:sz w:val="18"/>
                <w:szCs w:val="18"/>
              </w:rPr>
            </w:pPr>
            <w:r>
              <w:rPr>
                <w:rFonts w:ascii="宋体" w:hAnsi="宋体" w:cs="宋体" w:eastAsia="宋体" w:hint="default"/>
                <w:sz w:val="18"/>
                <w:szCs w:val="18"/>
              </w:rPr>
              <w:t>工程投入 占预算的</w:t>
            </w:r>
          </w:p>
          <w:p>
            <w:pPr>
              <w:pStyle w:val="TableParagraph"/>
              <w:spacing w:line="233" w:lineRule="exact"/>
              <w:ind w:left="4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60"/>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7" w:lineRule="auto"/>
              <w:ind w:left="109" w:right="134"/>
              <w:jc w:val="right"/>
              <w:rPr>
                <w:rFonts w:ascii="宋体" w:hAnsi="宋体" w:cs="宋体" w:eastAsia="宋体" w:hint="default"/>
                <w:sz w:val="18"/>
                <w:szCs w:val="18"/>
              </w:rPr>
            </w:pPr>
            <w:r>
              <w:rPr>
                <w:rFonts w:ascii="宋体" w:hAnsi="宋体" w:cs="宋体" w:eastAsia="宋体" w:hint="default"/>
                <w:sz w:val="18"/>
                <w:szCs w:val="18"/>
              </w:rPr>
              <w:t>借款费用 资本化 累计金额</w:t>
            </w:r>
          </w:p>
        </w:tc>
        <w:tc>
          <w:tcPr>
            <w:tcW w:w="997" w:type="dxa"/>
            <w:tcBorders>
              <w:top w:val="nil" w:sz="6" w:space="0" w:color="auto"/>
              <w:left w:val="nil" w:sz="6" w:space="0" w:color="auto"/>
              <w:bottom w:val="nil" w:sz="6" w:space="0" w:color="auto"/>
              <w:right w:val="nil" w:sz="6" w:space="0" w:color="auto"/>
            </w:tcBorders>
          </w:tcPr>
          <w:p>
            <w:pPr>
              <w:pStyle w:val="TableParagraph"/>
              <w:spacing w:line="179" w:lineRule="exact"/>
              <w:ind w:left="136" w:right="0"/>
              <w:jc w:val="left"/>
              <w:rPr>
                <w:rFonts w:ascii="宋体" w:hAnsi="宋体" w:cs="宋体" w:eastAsia="宋体" w:hint="default"/>
                <w:sz w:val="18"/>
                <w:szCs w:val="18"/>
              </w:rPr>
            </w:pPr>
            <w:r>
              <w:rPr>
                <w:rFonts w:ascii="宋体" w:hAnsi="宋体" w:cs="宋体" w:eastAsia="宋体" w:hint="default"/>
                <w:sz w:val="18"/>
                <w:szCs w:val="18"/>
              </w:rPr>
              <w:t>其中：本</w:t>
            </w:r>
          </w:p>
          <w:p>
            <w:pPr>
              <w:pStyle w:val="TableParagraph"/>
              <w:spacing w:line="240" w:lineRule="auto"/>
              <w:ind w:left="136" w:right="140"/>
              <w:jc w:val="left"/>
              <w:rPr>
                <w:rFonts w:ascii="宋体" w:hAnsi="宋体" w:cs="宋体" w:eastAsia="宋体" w:hint="default"/>
                <w:sz w:val="18"/>
                <w:szCs w:val="18"/>
              </w:rPr>
            </w:pPr>
            <w:r>
              <w:rPr>
                <w:rFonts w:ascii="宋体" w:hAnsi="宋体" w:cs="宋体" w:eastAsia="宋体" w:hint="default"/>
                <w:sz w:val="18"/>
                <w:szCs w:val="18"/>
              </w:rPr>
              <w:t>年借款费 用资本化</w:t>
            </w:r>
          </w:p>
          <w:p>
            <w:pPr>
              <w:pStyle w:val="TableParagraph"/>
              <w:spacing w:line="233" w:lineRule="exact"/>
              <w:ind w:left="4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40" w:right="110"/>
              <w:jc w:val="left"/>
              <w:rPr>
                <w:rFonts w:ascii="宋体" w:hAnsi="宋体" w:cs="宋体" w:eastAsia="宋体" w:hint="default"/>
                <w:sz w:val="18"/>
                <w:szCs w:val="18"/>
              </w:rPr>
            </w:pPr>
            <w:r>
              <w:rPr>
                <w:rFonts w:ascii="宋体" w:hAnsi="宋体" w:cs="宋体" w:eastAsia="宋体" w:hint="default"/>
                <w:sz w:val="18"/>
                <w:szCs w:val="18"/>
              </w:rPr>
              <w:t>本年借款 费用资本</w:t>
            </w:r>
          </w:p>
          <w:p>
            <w:pPr>
              <w:pStyle w:val="TableParagraph"/>
              <w:spacing w:line="233" w:lineRule="exact"/>
              <w:ind w:left="500"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44"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00" w:right="0"/>
              <w:jc w:val="left"/>
              <w:rPr>
                <w:rFonts w:ascii="宋体" w:hAnsi="宋体" w:cs="宋体" w:eastAsia="宋体" w:hint="default"/>
                <w:sz w:val="18"/>
                <w:szCs w:val="18"/>
              </w:rPr>
            </w:pPr>
            <w:r>
              <w:rPr>
                <w:rFonts w:ascii="宋体" w:hAnsi="宋体" w:cs="宋体" w:eastAsia="宋体" w:hint="default"/>
                <w:sz w:val="18"/>
                <w:szCs w:val="18"/>
              </w:rPr>
              <w:t>雨花物流基地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4"/>
              <w:jc w:val="right"/>
              <w:rPr>
                <w:rFonts w:ascii="Arial" w:hAnsi="Arial" w:cs="Arial" w:eastAsia="Arial" w:hint="default"/>
                <w:sz w:val="18"/>
                <w:szCs w:val="18"/>
              </w:rPr>
            </w:pPr>
            <w:r>
              <w:rPr>
                <w:rFonts w:ascii="Arial"/>
                <w:spacing w:val="-3"/>
                <w:sz w:val="18"/>
              </w:rPr>
              <w:t>511,670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7"/>
              <w:jc w:val="right"/>
              <w:rPr>
                <w:rFonts w:ascii="Arial" w:hAnsi="Arial" w:cs="Arial" w:eastAsia="Arial" w:hint="default"/>
                <w:sz w:val="18"/>
                <w:szCs w:val="18"/>
              </w:rPr>
            </w:pPr>
            <w:r>
              <w:rPr>
                <w:rFonts w:ascii="Arial"/>
                <w:spacing w:val="-1"/>
                <w:sz w:val="18"/>
              </w:rPr>
              <w:t>239,742</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73"/>
              <w:jc w:val="right"/>
              <w:rPr>
                <w:rFonts w:ascii="Arial" w:hAnsi="Arial" w:cs="Arial" w:eastAsia="Arial" w:hint="default"/>
                <w:sz w:val="18"/>
                <w:szCs w:val="18"/>
              </w:rPr>
            </w:pPr>
            <w:r>
              <w:rPr>
                <w:rFonts w:ascii="Arial"/>
                <w:spacing w:val="-1"/>
                <w:sz w:val="18"/>
              </w:rPr>
              <w:t>121,475</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43"/>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48"/>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85"/>
              <w:jc w:val="right"/>
              <w:rPr>
                <w:rFonts w:ascii="Arial" w:hAnsi="Arial" w:cs="Arial" w:eastAsia="Arial" w:hint="default"/>
                <w:sz w:val="18"/>
                <w:szCs w:val="18"/>
              </w:rPr>
            </w:pPr>
            <w:r>
              <w:rPr>
                <w:rFonts w:ascii="Arial"/>
                <w:spacing w:val="-1"/>
                <w:sz w:val="18"/>
              </w:rPr>
              <w:t>361,217</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90"/>
              <w:jc w:val="right"/>
              <w:rPr>
                <w:rFonts w:ascii="Arial" w:hAnsi="Arial" w:cs="Arial" w:eastAsia="Arial" w:hint="default"/>
                <w:sz w:val="18"/>
                <w:szCs w:val="18"/>
              </w:rPr>
            </w:pPr>
            <w:r>
              <w:rPr>
                <w:rFonts w:ascii="Arial"/>
                <w:spacing w:val="-1"/>
                <w:w w:val="95"/>
                <w:sz w:val="18"/>
              </w:rPr>
              <w:t>59%</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2"/>
              <w:jc w:val="right"/>
              <w:rPr>
                <w:rFonts w:ascii="宋体" w:hAnsi="宋体" w:cs="宋体" w:eastAsia="宋体" w:hint="default"/>
                <w:sz w:val="18"/>
                <w:szCs w:val="18"/>
              </w:rPr>
            </w:pPr>
            <w:r>
              <w:rPr>
                <w:rFonts w:ascii="宋体" w:hAnsi="宋体" w:cs="宋体" w:eastAsia="宋体" w:hint="default"/>
                <w:sz w:val="18"/>
                <w:szCs w:val="18"/>
              </w:rPr>
              <w:t>部分投入运营</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42"/>
              <w:jc w:val="right"/>
              <w:rPr>
                <w:rFonts w:ascii="Arial" w:hAnsi="Arial" w:cs="Arial" w:eastAsia="Arial" w:hint="default"/>
                <w:sz w:val="18"/>
                <w:szCs w:val="18"/>
              </w:rPr>
            </w:pPr>
            <w:r>
              <w:rPr>
                <w:rFonts w:ascii="Arial"/>
                <w:spacing w:val="-1"/>
                <w:sz w:val="18"/>
              </w:rPr>
              <w:t>20,068</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47"/>
              <w:jc w:val="right"/>
              <w:rPr>
                <w:rFonts w:ascii="Arial" w:hAnsi="Arial" w:cs="Arial" w:eastAsia="Arial" w:hint="default"/>
                <w:sz w:val="18"/>
                <w:szCs w:val="18"/>
              </w:rPr>
            </w:pPr>
            <w:r>
              <w:rPr>
                <w:rFonts w:ascii="Arial"/>
                <w:spacing w:val="-3"/>
                <w:sz w:val="18"/>
              </w:rPr>
              <w:t>11,357</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包头苏宁电器广场</w:t>
            </w:r>
          </w:p>
        </w:tc>
        <w:tc>
          <w:tcPr>
            <w:tcW w:w="994" w:type="dxa"/>
            <w:tcBorders>
              <w:top w:val="nil" w:sz="6" w:space="0" w:color="auto"/>
              <w:left w:val="nil" w:sz="6" w:space="0" w:color="auto"/>
              <w:bottom w:val="nil" w:sz="6" w:space="0" w:color="auto"/>
              <w:right w:val="nil" w:sz="6" w:space="0" w:color="auto"/>
            </w:tcBorders>
          </w:tcPr>
          <w:p>
            <w:pPr>
              <w:pStyle w:val="TableParagraph"/>
              <w:spacing w:line="198" w:lineRule="exact"/>
              <w:ind w:right="134"/>
              <w:jc w:val="right"/>
              <w:rPr>
                <w:rFonts w:ascii="Arial" w:hAnsi="Arial" w:cs="Arial" w:eastAsia="Arial" w:hint="default"/>
                <w:sz w:val="18"/>
                <w:szCs w:val="18"/>
              </w:rPr>
            </w:pPr>
            <w:r>
              <w:rPr>
                <w:rFonts w:ascii="Arial"/>
                <w:spacing w:val="-1"/>
                <w:sz w:val="18"/>
              </w:rPr>
              <w:t>718,610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7"/>
              <w:jc w:val="right"/>
              <w:rPr>
                <w:rFonts w:ascii="Arial" w:hAnsi="Arial" w:cs="Arial" w:eastAsia="Arial" w:hint="default"/>
                <w:sz w:val="18"/>
                <w:szCs w:val="18"/>
              </w:rPr>
            </w:pPr>
            <w:r>
              <w:rPr>
                <w:rFonts w:ascii="Arial"/>
                <w:spacing w:val="-1"/>
                <w:sz w:val="18"/>
              </w:rPr>
              <w:t>67,560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3"/>
              <w:jc w:val="right"/>
              <w:rPr>
                <w:rFonts w:ascii="Arial" w:hAnsi="Arial" w:cs="Arial" w:eastAsia="Arial" w:hint="default"/>
                <w:sz w:val="18"/>
                <w:szCs w:val="18"/>
              </w:rPr>
            </w:pPr>
            <w:r>
              <w:rPr>
                <w:rFonts w:ascii="Arial"/>
                <w:spacing w:val="-1"/>
                <w:sz w:val="18"/>
              </w:rPr>
              <w:t>180,473</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3"/>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48"/>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right"/>
              <w:rPr>
                <w:rFonts w:ascii="Arial" w:hAnsi="Arial" w:cs="Arial" w:eastAsia="Arial" w:hint="default"/>
                <w:sz w:val="18"/>
                <w:szCs w:val="18"/>
              </w:rPr>
            </w:pPr>
            <w:r>
              <w:rPr>
                <w:rFonts w:ascii="Arial"/>
                <w:spacing w:val="-1"/>
                <w:sz w:val="18"/>
              </w:rPr>
              <w:t>248,033</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0"/>
              <w:jc w:val="right"/>
              <w:rPr>
                <w:rFonts w:ascii="Arial" w:hAnsi="Arial" w:cs="Arial" w:eastAsia="Arial" w:hint="default"/>
                <w:sz w:val="18"/>
                <w:szCs w:val="18"/>
              </w:rPr>
            </w:pPr>
            <w:r>
              <w:rPr>
                <w:rFonts w:ascii="Arial"/>
                <w:spacing w:val="-1"/>
                <w:w w:val="95"/>
                <w:sz w:val="18"/>
              </w:rPr>
              <w:t>51%</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22"/>
              <w:jc w:val="right"/>
              <w:rPr>
                <w:rFonts w:ascii="宋体" w:hAnsi="宋体" w:cs="宋体" w:eastAsia="宋体" w:hint="default"/>
                <w:sz w:val="18"/>
                <w:szCs w:val="18"/>
              </w:rPr>
            </w:pPr>
            <w:r>
              <w:rPr>
                <w:rFonts w:ascii="宋体" w:hAnsi="宋体" w:cs="宋体" w:eastAsia="宋体" w:hint="default"/>
                <w:sz w:val="18"/>
                <w:szCs w:val="18"/>
              </w:rPr>
              <w:t>主体装修施工中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1"/>
              <w:jc w:val="right"/>
              <w:rPr>
                <w:rFonts w:ascii="Arial" w:hAnsi="Arial" w:cs="Arial" w:eastAsia="Arial" w:hint="default"/>
                <w:sz w:val="18"/>
                <w:szCs w:val="18"/>
              </w:rPr>
            </w:pPr>
            <w:r>
              <w:rPr>
                <w:rFonts w:ascii="Arial"/>
                <w:spacing w:val="-1"/>
                <w:sz w:val="18"/>
              </w:rPr>
              <w:t>6,437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6"/>
              <w:jc w:val="right"/>
              <w:rPr>
                <w:rFonts w:ascii="Arial" w:hAnsi="Arial" w:cs="Arial" w:eastAsia="Arial" w:hint="default"/>
                <w:sz w:val="18"/>
                <w:szCs w:val="18"/>
              </w:rPr>
            </w:pPr>
            <w:r>
              <w:rPr>
                <w:rFonts w:ascii="Arial"/>
                <w:spacing w:val="-1"/>
                <w:sz w:val="18"/>
              </w:rPr>
              <w:t>5,261</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日照苏宁电器广场项目</w:t>
            </w:r>
          </w:p>
        </w:tc>
        <w:tc>
          <w:tcPr>
            <w:tcW w:w="994" w:type="dxa"/>
            <w:tcBorders>
              <w:top w:val="nil" w:sz="6" w:space="0" w:color="auto"/>
              <w:left w:val="nil" w:sz="6" w:space="0" w:color="auto"/>
              <w:bottom w:val="nil" w:sz="6" w:space="0" w:color="auto"/>
              <w:right w:val="nil" w:sz="6" w:space="0" w:color="auto"/>
            </w:tcBorders>
          </w:tcPr>
          <w:p>
            <w:pPr>
              <w:pStyle w:val="TableParagraph"/>
              <w:spacing w:line="197" w:lineRule="exact"/>
              <w:ind w:right="134"/>
              <w:jc w:val="right"/>
              <w:rPr>
                <w:rFonts w:ascii="Arial" w:hAnsi="Arial" w:cs="Arial" w:eastAsia="Arial" w:hint="default"/>
                <w:sz w:val="18"/>
                <w:szCs w:val="18"/>
              </w:rPr>
            </w:pPr>
            <w:r>
              <w:rPr>
                <w:rFonts w:ascii="Arial"/>
                <w:spacing w:val="-1"/>
                <w:sz w:val="18"/>
              </w:rPr>
              <w:t>651,100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7"/>
              <w:jc w:val="right"/>
              <w:rPr>
                <w:rFonts w:ascii="Arial" w:hAnsi="Arial" w:cs="Arial" w:eastAsia="Arial" w:hint="default"/>
                <w:sz w:val="18"/>
                <w:szCs w:val="18"/>
              </w:rPr>
            </w:pPr>
            <w:r>
              <w:rPr>
                <w:rFonts w:ascii="Arial"/>
                <w:spacing w:val="-1"/>
                <w:sz w:val="18"/>
              </w:rPr>
              <w:t>84,299</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spacing w:val="-1"/>
                <w:sz w:val="18"/>
              </w:rPr>
              <w:t>161,889</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4"/>
              <w:jc w:val="right"/>
              <w:rPr>
                <w:rFonts w:ascii="Arial" w:hAnsi="Arial" w:cs="Arial" w:eastAsia="Arial" w:hint="default"/>
                <w:sz w:val="18"/>
                <w:szCs w:val="18"/>
              </w:rPr>
            </w:pPr>
            <w:r>
              <w:rPr>
                <w:rFonts w:ascii="Arial"/>
                <w:spacing w:val="-1"/>
                <w:sz w:val="18"/>
              </w:rPr>
              <w:t>246,188</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0"/>
              <w:jc w:val="right"/>
              <w:rPr>
                <w:rFonts w:ascii="Arial" w:hAnsi="Arial" w:cs="Arial" w:eastAsia="Arial" w:hint="default"/>
                <w:sz w:val="18"/>
                <w:szCs w:val="18"/>
              </w:rPr>
            </w:pPr>
            <w:r>
              <w:rPr>
                <w:rFonts w:ascii="Arial"/>
                <w:spacing w:val="-1"/>
                <w:w w:val="95"/>
                <w:sz w:val="18"/>
              </w:rPr>
              <w:t>36%</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16"/>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1"/>
              <w:jc w:val="right"/>
              <w:rPr>
                <w:rFonts w:ascii="Arial" w:hAnsi="Arial" w:cs="Arial" w:eastAsia="Arial" w:hint="default"/>
                <w:sz w:val="18"/>
                <w:szCs w:val="18"/>
              </w:rPr>
            </w:pPr>
            <w:r>
              <w:rPr>
                <w:rFonts w:ascii="Arial"/>
                <w:spacing w:val="-1"/>
                <w:sz w:val="18"/>
              </w:rPr>
              <w:t>7,683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6"/>
              <w:jc w:val="right"/>
              <w:rPr>
                <w:rFonts w:ascii="Arial" w:hAnsi="Arial" w:cs="Arial" w:eastAsia="Arial" w:hint="default"/>
                <w:sz w:val="18"/>
                <w:szCs w:val="18"/>
              </w:rPr>
            </w:pPr>
            <w:r>
              <w:rPr>
                <w:rFonts w:ascii="Arial"/>
                <w:spacing w:val="-1"/>
                <w:sz w:val="18"/>
              </w:rPr>
              <w:t>5,896</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济宁苏宁电器广场</w:t>
            </w:r>
          </w:p>
        </w:tc>
        <w:tc>
          <w:tcPr>
            <w:tcW w:w="994" w:type="dxa"/>
            <w:tcBorders>
              <w:top w:val="nil" w:sz="6" w:space="0" w:color="auto"/>
              <w:left w:val="nil" w:sz="6" w:space="0" w:color="auto"/>
              <w:bottom w:val="nil" w:sz="6" w:space="0" w:color="auto"/>
              <w:right w:val="nil" w:sz="6" w:space="0" w:color="auto"/>
            </w:tcBorders>
          </w:tcPr>
          <w:p>
            <w:pPr>
              <w:pStyle w:val="TableParagraph"/>
              <w:spacing w:line="198" w:lineRule="exact"/>
              <w:ind w:right="134"/>
              <w:jc w:val="right"/>
              <w:rPr>
                <w:rFonts w:ascii="Arial" w:hAnsi="Arial" w:cs="Arial" w:eastAsia="Arial" w:hint="default"/>
                <w:sz w:val="18"/>
                <w:szCs w:val="18"/>
              </w:rPr>
            </w:pPr>
            <w:r>
              <w:rPr>
                <w:rFonts w:ascii="Arial"/>
                <w:spacing w:val="-1"/>
                <w:sz w:val="18"/>
              </w:rPr>
              <w:t>376,920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7"/>
              <w:jc w:val="right"/>
              <w:rPr>
                <w:rFonts w:ascii="Arial" w:hAnsi="Arial" w:cs="Arial" w:eastAsia="Arial" w:hint="default"/>
                <w:sz w:val="18"/>
                <w:szCs w:val="18"/>
              </w:rPr>
            </w:pPr>
            <w:r>
              <w:rPr>
                <w:rFonts w:ascii="Arial"/>
                <w:spacing w:val="-1"/>
                <w:sz w:val="18"/>
              </w:rPr>
              <w:t>85,330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18"/>
                <w:szCs w:val="18"/>
              </w:rPr>
            </w:pPr>
            <w:r>
              <w:rPr>
                <w:rFonts w:ascii="Arial"/>
                <w:spacing w:val="-3"/>
                <w:sz w:val="18"/>
              </w:rPr>
              <w:t>113,022</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4"/>
              <w:jc w:val="right"/>
              <w:rPr>
                <w:rFonts w:ascii="Arial" w:hAnsi="Arial" w:cs="Arial" w:eastAsia="Arial" w:hint="default"/>
                <w:sz w:val="18"/>
                <w:szCs w:val="18"/>
              </w:rPr>
            </w:pPr>
            <w:r>
              <w:rPr>
                <w:rFonts w:ascii="Arial"/>
                <w:spacing w:val="-1"/>
                <w:sz w:val="18"/>
              </w:rPr>
              <w:t>198,352</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0"/>
              <w:jc w:val="right"/>
              <w:rPr>
                <w:rFonts w:ascii="Arial" w:hAnsi="Arial" w:cs="Arial" w:eastAsia="Arial" w:hint="default"/>
                <w:sz w:val="18"/>
                <w:szCs w:val="18"/>
              </w:rPr>
            </w:pPr>
            <w:r>
              <w:rPr>
                <w:rFonts w:ascii="Arial"/>
                <w:spacing w:val="-1"/>
                <w:w w:val="95"/>
                <w:sz w:val="18"/>
              </w:rPr>
              <w:t>72%</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16"/>
              <w:jc w:val="right"/>
              <w:rPr>
                <w:rFonts w:ascii="宋体" w:hAnsi="宋体" w:cs="宋体" w:eastAsia="宋体" w:hint="default"/>
                <w:sz w:val="18"/>
                <w:szCs w:val="18"/>
              </w:rPr>
            </w:pPr>
            <w:r>
              <w:rPr>
                <w:rFonts w:ascii="宋体" w:hAnsi="宋体" w:cs="宋体" w:eastAsia="宋体" w:hint="default"/>
                <w:sz w:val="18"/>
                <w:szCs w:val="18"/>
              </w:rPr>
              <w:t>主体装修施工中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1"/>
              <w:jc w:val="right"/>
              <w:rPr>
                <w:rFonts w:ascii="Arial" w:hAnsi="Arial" w:cs="Arial" w:eastAsia="Arial" w:hint="default"/>
                <w:sz w:val="18"/>
                <w:szCs w:val="18"/>
              </w:rPr>
            </w:pPr>
            <w:r>
              <w:rPr>
                <w:rFonts w:ascii="Arial"/>
                <w:spacing w:val="-3"/>
                <w:sz w:val="18"/>
              </w:rPr>
              <w:t>7,110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6"/>
              <w:jc w:val="right"/>
              <w:rPr>
                <w:rFonts w:ascii="Arial" w:hAnsi="Arial" w:cs="Arial" w:eastAsia="Arial" w:hint="default"/>
                <w:sz w:val="18"/>
                <w:szCs w:val="18"/>
              </w:rPr>
            </w:pPr>
            <w:r>
              <w:rPr>
                <w:rFonts w:ascii="Arial"/>
                <w:spacing w:val="-1"/>
                <w:sz w:val="18"/>
              </w:rPr>
              <w:t>4,813</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滁州苏宁广场项目</w:t>
            </w:r>
          </w:p>
        </w:tc>
        <w:tc>
          <w:tcPr>
            <w:tcW w:w="994" w:type="dxa"/>
            <w:tcBorders>
              <w:top w:val="nil" w:sz="6" w:space="0" w:color="auto"/>
              <w:left w:val="nil" w:sz="6" w:space="0" w:color="auto"/>
              <w:bottom w:val="nil" w:sz="6" w:space="0" w:color="auto"/>
              <w:right w:val="nil" w:sz="6" w:space="0" w:color="auto"/>
            </w:tcBorders>
          </w:tcPr>
          <w:p>
            <w:pPr>
              <w:pStyle w:val="TableParagraph"/>
              <w:spacing w:line="197" w:lineRule="exact"/>
              <w:ind w:right="134"/>
              <w:jc w:val="right"/>
              <w:rPr>
                <w:rFonts w:ascii="Arial" w:hAnsi="Arial" w:cs="Arial" w:eastAsia="Arial" w:hint="default"/>
                <w:sz w:val="18"/>
                <w:szCs w:val="18"/>
              </w:rPr>
            </w:pPr>
            <w:r>
              <w:rPr>
                <w:rFonts w:ascii="Arial"/>
                <w:spacing w:val="-1"/>
                <w:sz w:val="18"/>
              </w:rPr>
              <w:t>674,370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7"/>
              <w:jc w:val="right"/>
              <w:rPr>
                <w:rFonts w:ascii="Arial" w:hAnsi="Arial" w:cs="Arial" w:eastAsia="Arial" w:hint="default"/>
                <w:sz w:val="18"/>
                <w:szCs w:val="18"/>
              </w:rPr>
            </w:pPr>
            <w:r>
              <w:rPr>
                <w:rFonts w:ascii="Arial"/>
                <w:spacing w:val="-1"/>
                <w:sz w:val="18"/>
              </w:rPr>
              <w:t>34,645</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spacing w:val="-1"/>
                <w:sz w:val="18"/>
              </w:rPr>
              <w:t>146,033</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4"/>
              <w:jc w:val="right"/>
              <w:rPr>
                <w:rFonts w:ascii="Arial" w:hAnsi="Arial" w:cs="Arial" w:eastAsia="Arial" w:hint="default"/>
                <w:sz w:val="18"/>
                <w:szCs w:val="18"/>
              </w:rPr>
            </w:pPr>
            <w:r>
              <w:rPr>
                <w:rFonts w:ascii="Arial"/>
                <w:spacing w:val="-1"/>
                <w:sz w:val="18"/>
              </w:rPr>
              <w:t>180,678</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0"/>
              <w:jc w:val="right"/>
              <w:rPr>
                <w:rFonts w:ascii="Arial" w:hAnsi="Arial" w:cs="Arial" w:eastAsia="Arial" w:hint="default"/>
                <w:sz w:val="18"/>
                <w:szCs w:val="18"/>
              </w:rPr>
            </w:pPr>
            <w:r>
              <w:rPr>
                <w:rFonts w:ascii="Arial"/>
                <w:spacing w:val="-1"/>
                <w:w w:val="95"/>
                <w:sz w:val="18"/>
              </w:rPr>
              <w:t>40%</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16"/>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1"/>
              <w:jc w:val="right"/>
              <w:rPr>
                <w:rFonts w:ascii="Arial" w:hAnsi="Arial" w:cs="Arial" w:eastAsia="Arial" w:hint="default"/>
                <w:sz w:val="18"/>
                <w:szCs w:val="18"/>
              </w:rPr>
            </w:pPr>
            <w:r>
              <w:rPr>
                <w:rFonts w:ascii="Arial"/>
                <w:spacing w:val="-1"/>
                <w:sz w:val="18"/>
              </w:rPr>
              <w:t>4,075</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6"/>
              <w:jc w:val="right"/>
              <w:rPr>
                <w:rFonts w:ascii="Arial" w:hAnsi="Arial" w:cs="Arial" w:eastAsia="Arial" w:hint="default"/>
                <w:sz w:val="18"/>
                <w:szCs w:val="18"/>
              </w:rPr>
            </w:pPr>
            <w:r>
              <w:rPr>
                <w:rFonts w:ascii="Arial"/>
                <w:spacing w:val="-1"/>
                <w:sz w:val="18"/>
              </w:rPr>
              <w:t>3,544</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苏州物流基地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198" w:lineRule="exact"/>
              <w:ind w:right="133"/>
              <w:jc w:val="right"/>
              <w:rPr>
                <w:rFonts w:ascii="Arial" w:hAnsi="Arial" w:cs="Arial" w:eastAsia="Arial" w:hint="default"/>
                <w:sz w:val="18"/>
                <w:szCs w:val="18"/>
              </w:rPr>
            </w:pPr>
            <w:r>
              <w:rPr>
                <w:rFonts w:ascii="Arial"/>
                <w:spacing w:val="-3"/>
                <w:sz w:val="18"/>
              </w:rPr>
              <w:t>114,100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6"/>
              <w:jc w:val="right"/>
              <w:rPr>
                <w:rFonts w:ascii="Arial" w:hAnsi="Arial" w:cs="Arial" w:eastAsia="Arial" w:hint="default"/>
                <w:sz w:val="18"/>
                <w:szCs w:val="18"/>
              </w:rPr>
            </w:pPr>
            <w:r>
              <w:rPr>
                <w:rFonts w:ascii="Arial"/>
                <w:spacing w:val="-1"/>
                <w:sz w:val="18"/>
              </w:rPr>
              <w:t>9,397</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18"/>
                <w:szCs w:val="18"/>
              </w:rPr>
            </w:pPr>
            <w:r>
              <w:rPr>
                <w:rFonts w:ascii="Arial"/>
                <w:spacing w:val="-1"/>
                <w:sz w:val="18"/>
              </w:rPr>
              <w:t>68,248</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18"/>
                <w:szCs w:val="18"/>
              </w:rPr>
            </w:pPr>
            <w:r>
              <w:rPr>
                <w:rFonts w:ascii="Arial"/>
                <w:spacing w:val="-1"/>
                <w:sz w:val="18"/>
              </w:rPr>
              <w:t>77,645</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0"/>
              <w:jc w:val="right"/>
              <w:rPr>
                <w:rFonts w:ascii="Arial" w:hAnsi="Arial" w:cs="Arial" w:eastAsia="Arial" w:hint="default"/>
                <w:sz w:val="18"/>
                <w:szCs w:val="18"/>
              </w:rPr>
            </w:pPr>
            <w:r>
              <w:rPr>
                <w:rFonts w:ascii="Arial"/>
                <w:spacing w:val="-1"/>
                <w:w w:val="95"/>
                <w:sz w:val="18"/>
              </w:rPr>
              <w:t>65%</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16"/>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1"/>
              <w:jc w:val="right"/>
              <w:rPr>
                <w:rFonts w:ascii="Arial" w:hAnsi="Arial" w:cs="Arial" w:eastAsia="Arial" w:hint="default"/>
                <w:sz w:val="18"/>
                <w:szCs w:val="18"/>
              </w:rPr>
            </w:pPr>
            <w:r>
              <w:rPr>
                <w:rFonts w:ascii="Arial"/>
                <w:spacing w:val="-1"/>
                <w:sz w:val="18"/>
              </w:rPr>
              <w:t>1,753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6"/>
              <w:jc w:val="right"/>
              <w:rPr>
                <w:rFonts w:ascii="Arial" w:hAnsi="Arial" w:cs="Arial" w:eastAsia="Arial" w:hint="default"/>
                <w:sz w:val="18"/>
                <w:szCs w:val="18"/>
              </w:rPr>
            </w:pPr>
            <w:r>
              <w:rPr>
                <w:rFonts w:ascii="Arial"/>
                <w:spacing w:val="-1"/>
                <w:sz w:val="18"/>
              </w:rPr>
              <w:t>1,722</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募集及借款</w:t>
            </w:r>
          </w:p>
        </w:tc>
      </w:tr>
      <w:tr>
        <w:trPr>
          <w:trHeight w:val="234"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眉山物流基地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197" w:lineRule="exact"/>
              <w:ind w:right="134"/>
              <w:jc w:val="right"/>
              <w:rPr>
                <w:rFonts w:ascii="Arial" w:hAnsi="Arial" w:cs="Arial" w:eastAsia="Arial" w:hint="default"/>
                <w:sz w:val="18"/>
                <w:szCs w:val="18"/>
              </w:rPr>
            </w:pPr>
            <w:r>
              <w:rPr>
                <w:rFonts w:ascii="Arial"/>
                <w:spacing w:val="-1"/>
                <w:sz w:val="18"/>
              </w:rPr>
              <w:t>483,377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8"/>
              <w:jc w:val="right"/>
              <w:rPr>
                <w:rFonts w:ascii="Arial" w:hAnsi="Arial" w:cs="Arial" w:eastAsia="Arial" w:hint="default"/>
                <w:sz w:val="18"/>
                <w:szCs w:val="18"/>
              </w:rPr>
            </w:pPr>
            <w:r>
              <w:rPr>
                <w:rFonts w:ascii="Arial"/>
                <w:spacing w:val="-1"/>
                <w:w w:val="95"/>
                <w:sz w:val="18"/>
              </w:rPr>
              <w:t>813</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18"/>
                <w:szCs w:val="18"/>
              </w:rPr>
            </w:pPr>
            <w:r>
              <w:rPr>
                <w:rFonts w:ascii="Arial"/>
                <w:spacing w:val="-1"/>
                <w:sz w:val="18"/>
              </w:rPr>
              <w:t>76,351</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Arial" w:hAnsi="Arial" w:cs="Arial" w:eastAsia="Arial" w:hint="default"/>
                <w:sz w:val="18"/>
                <w:szCs w:val="18"/>
              </w:rPr>
            </w:pPr>
            <w:r>
              <w:rPr>
                <w:rFonts w:ascii="Arial"/>
                <w:spacing w:val="-1"/>
                <w:sz w:val="18"/>
              </w:rPr>
              <w:t>77,164</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0"/>
              <w:jc w:val="right"/>
              <w:rPr>
                <w:rFonts w:ascii="Arial" w:hAnsi="Arial" w:cs="Arial" w:eastAsia="Arial" w:hint="default"/>
                <w:sz w:val="18"/>
                <w:szCs w:val="18"/>
              </w:rPr>
            </w:pPr>
            <w:r>
              <w:rPr>
                <w:rFonts w:ascii="Arial"/>
                <w:spacing w:val="-1"/>
                <w:w w:val="95"/>
                <w:sz w:val="18"/>
              </w:rPr>
              <w:t>16%</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16"/>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2"/>
              <w:jc w:val="right"/>
              <w:rPr>
                <w:rFonts w:ascii="Arial" w:hAnsi="Arial" w:cs="Arial" w:eastAsia="Arial" w:hint="default"/>
                <w:sz w:val="18"/>
                <w:szCs w:val="18"/>
              </w:rPr>
            </w:pPr>
            <w:r>
              <w:rPr>
                <w:rFonts w:ascii="Arial"/>
                <w:spacing w:val="-1"/>
                <w:w w:val="95"/>
                <w:sz w:val="18"/>
              </w:rPr>
              <w:t>939</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7"/>
              <w:jc w:val="right"/>
              <w:rPr>
                <w:rFonts w:ascii="Arial" w:hAnsi="Arial" w:cs="Arial" w:eastAsia="Arial" w:hint="default"/>
                <w:sz w:val="18"/>
                <w:szCs w:val="18"/>
              </w:rPr>
            </w:pPr>
            <w:r>
              <w:rPr>
                <w:rFonts w:ascii="Arial"/>
                <w:spacing w:val="-1"/>
                <w:w w:val="95"/>
                <w:sz w:val="18"/>
              </w:rPr>
              <w:t>939</w:t>
            </w:r>
            <w:r>
              <w:rPr>
                <w:rFonts w:ascii="Arial"/>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绍兴物流基地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197" w:lineRule="exact"/>
              <w:ind w:right="134"/>
              <w:jc w:val="right"/>
              <w:rPr>
                <w:rFonts w:ascii="Arial" w:hAnsi="Arial" w:cs="Arial" w:eastAsia="Arial" w:hint="default"/>
                <w:sz w:val="18"/>
                <w:szCs w:val="18"/>
              </w:rPr>
            </w:pPr>
            <w:r>
              <w:rPr>
                <w:rFonts w:ascii="Arial"/>
                <w:spacing w:val="-1"/>
                <w:sz w:val="18"/>
              </w:rPr>
              <w:t>264,043</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8"/>
              <w:jc w:val="right"/>
              <w:rPr>
                <w:rFonts w:ascii="Arial" w:hAnsi="Arial" w:cs="Arial" w:eastAsia="Arial" w:hint="default"/>
                <w:sz w:val="18"/>
                <w:szCs w:val="18"/>
              </w:rPr>
            </w:pPr>
            <w:r>
              <w:rPr>
                <w:rFonts w:ascii="Arial"/>
                <w:spacing w:val="-1"/>
                <w:w w:val="95"/>
                <w:sz w:val="18"/>
              </w:rPr>
              <w:t>718</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spacing w:val="-1"/>
                <w:sz w:val="18"/>
              </w:rPr>
              <w:t>74,039</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5"/>
              <w:jc w:val="right"/>
              <w:rPr>
                <w:rFonts w:ascii="Arial" w:hAnsi="Arial" w:cs="Arial" w:eastAsia="Arial" w:hint="default"/>
                <w:sz w:val="18"/>
                <w:szCs w:val="18"/>
              </w:rPr>
            </w:pPr>
            <w:r>
              <w:rPr>
                <w:rFonts w:ascii="Arial"/>
                <w:spacing w:val="-1"/>
                <w:sz w:val="18"/>
              </w:rPr>
              <w:t>74,757</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0"/>
              <w:jc w:val="right"/>
              <w:rPr>
                <w:rFonts w:ascii="Arial" w:hAnsi="Arial" w:cs="Arial" w:eastAsia="Arial" w:hint="default"/>
                <w:sz w:val="18"/>
                <w:szCs w:val="18"/>
              </w:rPr>
            </w:pPr>
            <w:r>
              <w:rPr>
                <w:rFonts w:ascii="Arial"/>
                <w:spacing w:val="-1"/>
                <w:w w:val="95"/>
                <w:sz w:val="18"/>
              </w:rPr>
              <w:t>28%</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16"/>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1"/>
              <w:jc w:val="right"/>
              <w:rPr>
                <w:rFonts w:ascii="Arial" w:hAnsi="Arial" w:cs="Arial" w:eastAsia="Arial" w:hint="default"/>
                <w:sz w:val="18"/>
                <w:szCs w:val="18"/>
              </w:rPr>
            </w:pPr>
            <w:r>
              <w:rPr>
                <w:rFonts w:ascii="Arial"/>
                <w:spacing w:val="-1"/>
                <w:sz w:val="18"/>
              </w:rPr>
              <w:t>1,169</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6"/>
              <w:jc w:val="right"/>
              <w:rPr>
                <w:rFonts w:ascii="Arial" w:hAnsi="Arial" w:cs="Arial" w:eastAsia="Arial" w:hint="default"/>
                <w:sz w:val="18"/>
                <w:szCs w:val="18"/>
              </w:rPr>
            </w:pPr>
            <w:r>
              <w:rPr>
                <w:rFonts w:ascii="Arial"/>
                <w:spacing w:val="-1"/>
                <w:sz w:val="18"/>
              </w:rPr>
              <w:t>1,169</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4"/>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4"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郑州物流基地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198" w:lineRule="exact"/>
              <w:ind w:right="134"/>
              <w:jc w:val="right"/>
              <w:rPr>
                <w:rFonts w:ascii="Arial" w:hAnsi="Arial" w:cs="Arial" w:eastAsia="Arial" w:hint="default"/>
                <w:sz w:val="18"/>
                <w:szCs w:val="18"/>
              </w:rPr>
            </w:pPr>
            <w:r>
              <w:rPr>
                <w:rFonts w:ascii="Arial"/>
                <w:spacing w:val="-1"/>
                <w:sz w:val="18"/>
              </w:rPr>
              <w:t>136,930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6"/>
              <w:jc w:val="right"/>
              <w:rPr>
                <w:rFonts w:ascii="Arial" w:hAnsi="Arial" w:cs="Arial" w:eastAsia="Arial" w:hint="default"/>
                <w:sz w:val="18"/>
                <w:szCs w:val="18"/>
              </w:rPr>
            </w:pPr>
            <w:r>
              <w:rPr>
                <w:rFonts w:ascii="Arial"/>
                <w:spacing w:val="-1"/>
                <w:sz w:val="18"/>
              </w:rPr>
              <w:t>1,210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18"/>
                <w:szCs w:val="18"/>
              </w:rPr>
            </w:pPr>
            <w:r>
              <w:rPr>
                <w:rFonts w:ascii="Arial"/>
                <w:spacing w:val="-3"/>
                <w:sz w:val="18"/>
              </w:rPr>
              <w:t>63,011</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18"/>
                <w:szCs w:val="18"/>
              </w:rPr>
            </w:pPr>
            <w:r>
              <w:rPr>
                <w:rFonts w:ascii="Arial"/>
                <w:spacing w:val="-1"/>
                <w:sz w:val="18"/>
              </w:rPr>
              <w:t>64,221</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0"/>
              <w:jc w:val="right"/>
              <w:rPr>
                <w:rFonts w:ascii="Arial" w:hAnsi="Arial" w:cs="Arial" w:eastAsia="Arial" w:hint="default"/>
                <w:sz w:val="18"/>
                <w:szCs w:val="18"/>
              </w:rPr>
            </w:pPr>
            <w:r>
              <w:rPr>
                <w:rFonts w:ascii="Arial"/>
                <w:spacing w:val="-1"/>
                <w:w w:val="95"/>
                <w:sz w:val="18"/>
              </w:rPr>
              <w:t>46%</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16"/>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18"/>
                <w:szCs w:val="18"/>
              </w:rPr>
            </w:pPr>
            <w:r>
              <w:rPr>
                <w:rFonts w:ascii="Arial"/>
                <w:spacing w:val="-1"/>
                <w:w w:val="95"/>
                <w:sz w:val="18"/>
              </w:rPr>
              <w:t>754</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7"/>
              <w:jc w:val="right"/>
              <w:rPr>
                <w:rFonts w:ascii="Arial" w:hAnsi="Arial" w:cs="Arial" w:eastAsia="Arial" w:hint="default"/>
                <w:sz w:val="18"/>
                <w:szCs w:val="18"/>
              </w:rPr>
            </w:pPr>
            <w:r>
              <w:rPr>
                <w:rFonts w:ascii="Arial"/>
                <w:spacing w:val="-1"/>
                <w:w w:val="95"/>
                <w:sz w:val="18"/>
              </w:rPr>
              <w:t>754</w:t>
            </w:r>
            <w:r>
              <w:rPr>
                <w:rFonts w:ascii="Arial"/>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4"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重庆二期物流基地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197" w:lineRule="exact"/>
              <w:ind w:right="134"/>
              <w:jc w:val="right"/>
              <w:rPr>
                <w:rFonts w:ascii="Arial" w:hAnsi="Arial" w:cs="Arial" w:eastAsia="Arial" w:hint="default"/>
                <w:sz w:val="18"/>
                <w:szCs w:val="18"/>
              </w:rPr>
            </w:pPr>
            <w:r>
              <w:rPr>
                <w:rFonts w:ascii="Arial"/>
                <w:spacing w:val="-1"/>
                <w:sz w:val="18"/>
              </w:rPr>
              <w:t>106,000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6"/>
              <w:jc w:val="right"/>
              <w:rPr>
                <w:rFonts w:ascii="Arial" w:hAnsi="Arial" w:cs="Arial" w:eastAsia="Arial" w:hint="default"/>
                <w:sz w:val="18"/>
                <w:szCs w:val="18"/>
              </w:rPr>
            </w:pPr>
            <w:r>
              <w:rPr>
                <w:rFonts w:ascii="Arial"/>
                <w:spacing w:val="-1"/>
                <w:sz w:val="18"/>
              </w:rPr>
              <w:t>1,284</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18"/>
                <w:szCs w:val="18"/>
              </w:rPr>
            </w:pPr>
            <w:r>
              <w:rPr>
                <w:rFonts w:ascii="Arial"/>
                <w:spacing w:val="-1"/>
                <w:sz w:val="18"/>
              </w:rPr>
              <w:t>36,722</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18"/>
                <w:szCs w:val="18"/>
              </w:rPr>
            </w:pPr>
            <w:r>
              <w:rPr>
                <w:rFonts w:ascii="Arial"/>
                <w:spacing w:val="-1"/>
                <w:sz w:val="18"/>
              </w:rPr>
              <w:t>38,006</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0"/>
              <w:jc w:val="right"/>
              <w:rPr>
                <w:rFonts w:ascii="Arial" w:hAnsi="Arial" w:cs="Arial" w:eastAsia="Arial" w:hint="default"/>
                <w:sz w:val="18"/>
                <w:szCs w:val="18"/>
              </w:rPr>
            </w:pPr>
            <w:r>
              <w:rPr>
                <w:rFonts w:ascii="Arial"/>
                <w:spacing w:val="-1"/>
                <w:w w:val="95"/>
                <w:sz w:val="18"/>
              </w:rPr>
              <w:t>35%</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16"/>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18"/>
                <w:szCs w:val="18"/>
              </w:rPr>
            </w:pPr>
            <w:r>
              <w:rPr>
                <w:rFonts w:ascii="Arial"/>
                <w:spacing w:val="-1"/>
                <w:w w:val="95"/>
                <w:sz w:val="18"/>
              </w:rPr>
              <w:t>670</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7"/>
              <w:jc w:val="right"/>
              <w:rPr>
                <w:rFonts w:ascii="Arial" w:hAnsi="Arial" w:cs="Arial" w:eastAsia="Arial" w:hint="default"/>
                <w:sz w:val="18"/>
                <w:szCs w:val="18"/>
              </w:rPr>
            </w:pPr>
            <w:r>
              <w:rPr>
                <w:rFonts w:ascii="Arial"/>
                <w:spacing w:val="-1"/>
                <w:w w:val="95"/>
                <w:sz w:val="18"/>
              </w:rPr>
              <w:t>670</w:t>
            </w:r>
            <w:r>
              <w:rPr>
                <w:rFonts w:ascii="Arial"/>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6"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鄂州物流基地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198" w:lineRule="exact"/>
              <w:ind w:right="134"/>
              <w:jc w:val="right"/>
              <w:rPr>
                <w:rFonts w:ascii="Arial" w:hAnsi="Arial" w:cs="Arial" w:eastAsia="Arial" w:hint="default"/>
                <w:sz w:val="18"/>
                <w:szCs w:val="18"/>
              </w:rPr>
            </w:pPr>
            <w:r>
              <w:rPr>
                <w:rFonts w:ascii="Arial"/>
                <w:spacing w:val="-1"/>
                <w:sz w:val="18"/>
              </w:rPr>
              <w:t>233,610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8"/>
              <w:jc w:val="right"/>
              <w:rPr>
                <w:rFonts w:ascii="Arial" w:hAnsi="Arial" w:cs="Arial" w:eastAsia="Arial" w:hint="default"/>
                <w:sz w:val="18"/>
                <w:szCs w:val="18"/>
              </w:rPr>
            </w:pPr>
            <w:r>
              <w:rPr>
                <w:rFonts w:ascii="Arial"/>
                <w:w w:val="99"/>
                <w:sz w:val="18"/>
              </w:rPr>
              <w:t>-</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18"/>
                <w:szCs w:val="18"/>
              </w:rPr>
            </w:pPr>
            <w:r>
              <w:rPr>
                <w:rFonts w:ascii="Arial"/>
                <w:spacing w:val="-1"/>
                <w:sz w:val="18"/>
              </w:rPr>
              <w:t>33,232</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18"/>
                <w:szCs w:val="18"/>
              </w:rPr>
            </w:pPr>
            <w:r>
              <w:rPr>
                <w:rFonts w:ascii="Arial"/>
                <w:spacing w:val="-1"/>
                <w:sz w:val="18"/>
              </w:rPr>
              <w:t>33,232</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0"/>
              <w:jc w:val="right"/>
              <w:rPr>
                <w:rFonts w:ascii="Arial" w:hAnsi="Arial" w:cs="Arial" w:eastAsia="Arial" w:hint="default"/>
                <w:sz w:val="18"/>
                <w:szCs w:val="18"/>
              </w:rPr>
            </w:pPr>
            <w:r>
              <w:rPr>
                <w:rFonts w:ascii="Arial"/>
                <w:spacing w:val="-1"/>
                <w:w w:val="95"/>
                <w:sz w:val="18"/>
              </w:rPr>
              <w:t>14%</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8" w:lineRule="exact"/>
              <w:ind w:right="116"/>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18"/>
                <w:szCs w:val="18"/>
              </w:rPr>
            </w:pPr>
            <w:r>
              <w:rPr>
                <w:rFonts w:ascii="Arial"/>
                <w:spacing w:val="-1"/>
                <w:w w:val="95"/>
                <w:sz w:val="18"/>
              </w:rPr>
              <w:t>58</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7"/>
              <w:jc w:val="right"/>
              <w:rPr>
                <w:rFonts w:ascii="Arial" w:hAnsi="Arial" w:cs="Arial" w:eastAsia="Arial" w:hint="default"/>
                <w:sz w:val="18"/>
                <w:szCs w:val="18"/>
              </w:rPr>
            </w:pPr>
            <w:r>
              <w:rPr>
                <w:rFonts w:ascii="Arial"/>
                <w:spacing w:val="-1"/>
                <w:w w:val="95"/>
                <w:sz w:val="18"/>
              </w:rPr>
              <w:t>58</w:t>
            </w:r>
            <w:r>
              <w:rPr>
                <w:rFonts w:ascii="Arial"/>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8"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青岛办公区购置房</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4"/>
              <w:jc w:val="right"/>
              <w:rPr>
                <w:rFonts w:ascii="Arial" w:hAnsi="Arial" w:cs="Arial" w:eastAsia="Arial" w:hint="default"/>
                <w:sz w:val="18"/>
                <w:szCs w:val="18"/>
              </w:rPr>
            </w:pPr>
            <w:r>
              <w:rPr>
                <w:rFonts w:ascii="Arial"/>
                <w:spacing w:val="-1"/>
                <w:sz w:val="18"/>
              </w:rPr>
              <w:t>32,800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7"/>
              <w:jc w:val="right"/>
              <w:rPr>
                <w:rFonts w:ascii="Arial" w:hAnsi="Arial" w:cs="Arial" w:eastAsia="Arial" w:hint="default"/>
                <w:sz w:val="18"/>
                <w:szCs w:val="18"/>
              </w:rPr>
            </w:pPr>
            <w:r>
              <w:rPr>
                <w:rFonts w:ascii="Arial"/>
                <w:spacing w:val="-1"/>
                <w:sz w:val="18"/>
              </w:rPr>
              <w:t>31,513</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w w:val="95"/>
                <w:sz w:val="18"/>
              </w:rPr>
              <w:t>16</w:t>
            </w:r>
            <w:r>
              <w:rPr>
                <w:rFonts w:ascii="Arial"/>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Arial" w:hAnsi="Arial" w:cs="Arial" w:eastAsia="Arial" w:hint="default"/>
                <w:sz w:val="18"/>
                <w:szCs w:val="18"/>
              </w:rPr>
            </w:pPr>
            <w:r>
              <w:rPr>
                <w:rFonts w:ascii="Arial"/>
                <w:spacing w:val="-1"/>
                <w:sz w:val="18"/>
              </w:rPr>
              <w:t>31,529</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0"/>
              <w:jc w:val="right"/>
              <w:rPr>
                <w:rFonts w:ascii="Arial" w:hAnsi="Arial" w:cs="Arial" w:eastAsia="Arial" w:hint="default"/>
                <w:sz w:val="18"/>
                <w:szCs w:val="18"/>
              </w:rPr>
            </w:pPr>
            <w:r>
              <w:rPr>
                <w:rFonts w:ascii="Arial"/>
                <w:spacing w:val="-1"/>
                <w:w w:val="95"/>
                <w:sz w:val="18"/>
              </w:rPr>
              <w:t>99%</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w w:val="95"/>
                <w:sz w:val="18"/>
              </w:rPr>
              <w:t>39</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7"/>
              <w:jc w:val="right"/>
              <w:rPr>
                <w:rFonts w:ascii="Arial" w:hAnsi="Arial" w:cs="Arial" w:eastAsia="Arial" w:hint="default"/>
                <w:sz w:val="18"/>
                <w:szCs w:val="18"/>
              </w:rPr>
            </w:pPr>
            <w:r>
              <w:rPr>
                <w:rFonts w:ascii="Arial"/>
                <w:spacing w:val="-1"/>
                <w:w w:val="95"/>
                <w:sz w:val="18"/>
              </w:rPr>
              <w:t>17</w:t>
            </w:r>
            <w:r>
              <w:rPr>
                <w:rFonts w:ascii="Arial"/>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5"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中山物流基地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4"/>
              <w:jc w:val="right"/>
              <w:rPr>
                <w:rFonts w:ascii="Arial" w:hAnsi="Arial" w:cs="Arial" w:eastAsia="Arial" w:hint="default"/>
                <w:sz w:val="18"/>
                <w:szCs w:val="18"/>
              </w:rPr>
            </w:pPr>
            <w:r>
              <w:rPr>
                <w:rFonts w:ascii="Arial"/>
                <w:spacing w:val="-1"/>
                <w:sz w:val="18"/>
              </w:rPr>
              <w:t>179,460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7"/>
              <w:jc w:val="right"/>
              <w:rPr>
                <w:rFonts w:ascii="Arial" w:hAnsi="Arial" w:cs="Arial" w:eastAsia="Arial" w:hint="default"/>
                <w:sz w:val="18"/>
                <w:szCs w:val="18"/>
              </w:rPr>
            </w:pPr>
            <w:r>
              <w:rPr>
                <w:rFonts w:ascii="Arial"/>
                <w:spacing w:val="-1"/>
                <w:sz w:val="18"/>
              </w:rPr>
              <w:t>185,918</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6" w:right="0"/>
              <w:jc w:val="left"/>
              <w:rPr>
                <w:rFonts w:ascii="Arial" w:hAnsi="Arial" w:cs="Arial" w:eastAsia="Arial" w:hint="default"/>
                <w:sz w:val="18"/>
                <w:szCs w:val="18"/>
              </w:rPr>
            </w:pPr>
            <w:r>
              <w:rPr>
                <w:rFonts w:ascii="Arial"/>
                <w:sz w:val="18"/>
              </w:rPr>
              <w:t>(155,341)</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spacing w:val="-1"/>
                <w:sz w:val="18"/>
              </w:rPr>
              <w:t>30,577</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0"/>
              <w:jc w:val="right"/>
              <w:rPr>
                <w:rFonts w:ascii="Arial" w:hAnsi="Arial" w:cs="Arial" w:eastAsia="Arial" w:hint="default"/>
                <w:sz w:val="18"/>
                <w:szCs w:val="18"/>
              </w:rPr>
            </w:pPr>
            <w:r>
              <w:rPr>
                <w:rFonts w:ascii="Arial"/>
                <w:spacing w:val="-1"/>
                <w:w w:val="95"/>
                <w:sz w:val="18"/>
              </w:rPr>
              <w:t>92%</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部分投入运营</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7"/>
              <w:jc w:val="right"/>
              <w:rPr>
                <w:rFonts w:ascii="Arial" w:hAnsi="Arial" w:cs="Arial" w:eastAsia="Arial" w:hint="default"/>
                <w:sz w:val="18"/>
                <w:szCs w:val="18"/>
              </w:rPr>
            </w:pPr>
            <w:r>
              <w:rPr>
                <w:rFonts w:ascii="Arial"/>
                <w:w w:val="99"/>
                <w:sz w:val="18"/>
              </w:rPr>
              <w:t>-</w:t>
            </w:r>
            <w:r>
              <w:rPr>
                <w:rFonts w:ascii="Arial"/>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9"/>
              <w:jc w:val="right"/>
              <w:rPr>
                <w:rFonts w:ascii="Arial" w:hAnsi="Arial" w:cs="Arial" w:eastAsia="Arial" w:hint="default"/>
                <w:sz w:val="18"/>
                <w:szCs w:val="18"/>
              </w:rPr>
            </w:pPr>
            <w:r>
              <w:rPr>
                <w:rFonts w:ascii="Arial"/>
                <w:w w:val="99"/>
                <w:sz w:val="18"/>
              </w:rPr>
              <w:t>-</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196" w:lineRule="exact"/>
              <w:ind w:right="207"/>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南宁物流基地一期</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4"/>
              <w:jc w:val="right"/>
              <w:rPr>
                <w:rFonts w:ascii="Arial" w:hAnsi="Arial" w:cs="Arial" w:eastAsia="Arial" w:hint="default"/>
                <w:sz w:val="18"/>
                <w:szCs w:val="18"/>
              </w:rPr>
            </w:pPr>
            <w:r>
              <w:rPr>
                <w:rFonts w:ascii="Arial"/>
                <w:spacing w:val="-1"/>
                <w:sz w:val="18"/>
              </w:rPr>
              <w:t>131,590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6"/>
              <w:jc w:val="right"/>
              <w:rPr>
                <w:rFonts w:ascii="Arial" w:hAnsi="Arial" w:cs="Arial" w:eastAsia="Arial" w:hint="default"/>
                <w:sz w:val="18"/>
                <w:szCs w:val="18"/>
              </w:rPr>
            </w:pPr>
            <w:r>
              <w:rPr>
                <w:rFonts w:ascii="Arial"/>
                <w:spacing w:val="-1"/>
                <w:sz w:val="18"/>
              </w:rPr>
              <w:t>1,588</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26,469</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Arial" w:hAnsi="Arial" w:cs="Arial" w:eastAsia="Arial" w:hint="default"/>
                <w:sz w:val="18"/>
                <w:szCs w:val="18"/>
              </w:rPr>
            </w:pPr>
            <w:r>
              <w:rPr>
                <w:rFonts w:ascii="Arial"/>
                <w:spacing w:val="-1"/>
                <w:sz w:val="18"/>
              </w:rPr>
              <w:t>28,057</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0"/>
              <w:jc w:val="right"/>
              <w:rPr>
                <w:rFonts w:ascii="Arial" w:hAnsi="Arial" w:cs="Arial" w:eastAsia="Arial" w:hint="default"/>
                <w:sz w:val="18"/>
                <w:szCs w:val="18"/>
              </w:rPr>
            </w:pPr>
            <w:r>
              <w:rPr>
                <w:rFonts w:ascii="Arial"/>
                <w:spacing w:val="-1"/>
                <w:w w:val="95"/>
                <w:sz w:val="18"/>
              </w:rPr>
              <w:t>21%</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w w:val="95"/>
                <w:sz w:val="18"/>
              </w:rPr>
              <w:t>354</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7"/>
              <w:jc w:val="right"/>
              <w:rPr>
                <w:rFonts w:ascii="Arial" w:hAnsi="Arial" w:cs="Arial" w:eastAsia="Arial" w:hint="default"/>
                <w:sz w:val="18"/>
                <w:szCs w:val="18"/>
              </w:rPr>
            </w:pPr>
            <w:r>
              <w:rPr>
                <w:rFonts w:ascii="Arial"/>
                <w:spacing w:val="-1"/>
                <w:w w:val="95"/>
                <w:sz w:val="18"/>
              </w:rPr>
              <w:t>354</w:t>
            </w:r>
            <w:r>
              <w:rPr>
                <w:rFonts w:ascii="Arial"/>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5"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兰州物流基地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4"/>
              <w:jc w:val="right"/>
              <w:rPr>
                <w:rFonts w:ascii="Arial" w:hAnsi="Arial" w:cs="Arial" w:eastAsia="Arial" w:hint="default"/>
                <w:sz w:val="18"/>
                <w:szCs w:val="18"/>
              </w:rPr>
            </w:pPr>
            <w:r>
              <w:rPr>
                <w:rFonts w:ascii="Arial"/>
                <w:spacing w:val="-1"/>
                <w:sz w:val="18"/>
              </w:rPr>
              <w:t>95,840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Arial" w:hAnsi="Arial" w:cs="Arial" w:eastAsia="Arial" w:hint="default"/>
                <w:sz w:val="18"/>
                <w:szCs w:val="18"/>
              </w:rPr>
            </w:pPr>
            <w:r>
              <w:rPr>
                <w:rFonts w:ascii="Arial"/>
                <w:spacing w:val="-1"/>
                <w:sz w:val="18"/>
              </w:rPr>
              <w:t>1,251</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26,531</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spacing w:val="-1"/>
                <w:sz w:val="18"/>
              </w:rPr>
              <w:t>27,782</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0"/>
              <w:jc w:val="right"/>
              <w:rPr>
                <w:rFonts w:ascii="Arial" w:hAnsi="Arial" w:cs="Arial" w:eastAsia="Arial" w:hint="default"/>
                <w:sz w:val="18"/>
                <w:szCs w:val="18"/>
              </w:rPr>
            </w:pPr>
            <w:r>
              <w:rPr>
                <w:rFonts w:ascii="Arial"/>
                <w:spacing w:val="-1"/>
                <w:sz w:val="18"/>
              </w:rPr>
              <w:t>29%</w:t>
            </w:r>
          </w:p>
        </w:tc>
        <w:tc>
          <w:tcPr>
            <w:tcW w:w="1530" w:type="dxa"/>
            <w:tcBorders>
              <w:top w:val="nil" w:sz="6" w:space="0" w:color="auto"/>
              <w:left w:val="nil" w:sz="6" w:space="0" w:color="auto"/>
              <w:bottom w:val="nil" w:sz="6" w:space="0" w:color="auto"/>
              <w:right w:val="nil" w:sz="6" w:space="0" w:color="auto"/>
            </w:tcBorders>
          </w:tcPr>
          <w:p>
            <w:pPr>
              <w:pStyle w:val="TableParagraph"/>
              <w:spacing w:line="196" w:lineRule="exact"/>
              <w:ind w:right="107"/>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w w:val="95"/>
                <w:sz w:val="18"/>
              </w:rPr>
              <w:t>432</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7"/>
              <w:jc w:val="right"/>
              <w:rPr>
                <w:rFonts w:ascii="Arial" w:hAnsi="Arial" w:cs="Arial" w:eastAsia="Arial" w:hint="default"/>
                <w:sz w:val="18"/>
                <w:szCs w:val="18"/>
              </w:rPr>
            </w:pPr>
            <w:r>
              <w:rPr>
                <w:rFonts w:ascii="Arial"/>
                <w:spacing w:val="-1"/>
                <w:w w:val="95"/>
                <w:sz w:val="18"/>
              </w:rPr>
              <w:t>432</w:t>
            </w:r>
            <w:r>
              <w:rPr>
                <w:rFonts w:ascii="Arial"/>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18"/>
                <w:szCs w:val="18"/>
              </w:rPr>
            </w:pPr>
            <w:r>
              <w:rPr>
                <w:rFonts w:ascii="Arial"/>
                <w:spacing w:val="-1"/>
                <w:sz w:val="18"/>
              </w:rPr>
              <w:t>5.53%</w:t>
            </w:r>
          </w:p>
        </w:tc>
        <w:tc>
          <w:tcPr>
            <w:tcW w:w="1222" w:type="dxa"/>
            <w:tcBorders>
              <w:top w:val="nil" w:sz="6" w:space="0" w:color="auto"/>
              <w:left w:val="nil" w:sz="6" w:space="0" w:color="auto"/>
              <w:bottom w:val="nil" w:sz="6" w:space="0" w:color="auto"/>
              <w:right w:val="nil" w:sz="6" w:space="0" w:color="auto"/>
            </w:tcBorders>
          </w:tcPr>
          <w:p>
            <w:pPr>
              <w:pStyle w:val="TableParagraph"/>
              <w:spacing w:line="196" w:lineRule="exact"/>
              <w:ind w:right="207"/>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17"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厦门物流基地</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4"/>
              <w:jc w:val="right"/>
              <w:rPr>
                <w:rFonts w:ascii="Arial" w:hAnsi="Arial" w:cs="Arial" w:eastAsia="Arial" w:hint="default"/>
                <w:sz w:val="18"/>
                <w:szCs w:val="18"/>
              </w:rPr>
            </w:pPr>
            <w:r>
              <w:rPr>
                <w:rFonts w:ascii="Arial"/>
                <w:spacing w:val="-1"/>
                <w:sz w:val="18"/>
              </w:rPr>
              <w:t>169,590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7"/>
              <w:jc w:val="right"/>
              <w:rPr>
                <w:rFonts w:ascii="Arial" w:hAnsi="Arial" w:cs="Arial" w:eastAsia="Arial" w:hint="default"/>
                <w:sz w:val="18"/>
                <w:szCs w:val="18"/>
              </w:rPr>
            </w:pPr>
            <w:r>
              <w:rPr>
                <w:rFonts w:ascii="Arial"/>
                <w:spacing w:val="-1"/>
                <w:sz w:val="18"/>
              </w:rPr>
              <w:t>20,763</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1"/>
              <w:jc w:val="right"/>
              <w:rPr>
                <w:rFonts w:ascii="Arial" w:hAnsi="Arial" w:cs="Arial" w:eastAsia="Arial" w:hint="default"/>
                <w:sz w:val="18"/>
                <w:szCs w:val="18"/>
              </w:rPr>
            </w:pPr>
            <w:r>
              <w:rPr>
                <w:rFonts w:ascii="Arial"/>
                <w:spacing w:val="-1"/>
                <w:sz w:val="18"/>
              </w:rPr>
              <w:t>3,445</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1"/>
              <w:jc w:val="right"/>
              <w:rPr>
                <w:rFonts w:ascii="Arial" w:hAnsi="Arial" w:cs="Arial" w:eastAsia="Arial" w:hint="default"/>
                <w:sz w:val="18"/>
                <w:szCs w:val="18"/>
              </w:rPr>
            </w:pPr>
            <w:r>
              <w:rPr>
                <w:rFonts w:ascii="Arial"/>
                <w:w w:val="99"/>
                <w:sz w:val="18"/>
              </w:rPr>
              <w:t>-</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Arial" w:hAnsi="Arial" w:cs="Arial" w:eastAsia="Arial" w:hint="default"/>
                <w:sz w:val="18"/>
                <w:szCs w:val="18"/>
              </w:rPr>
            </w:pPr>
            <w:r>
              <w:rPr>
                <w:rFonts w:ascii="Arial"/>
                <w:spacing w:val="-1"/>
                <w:sz w:val="18"/>
              </w:rPr>
              <w:t>24,208</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0"/>
              <w:jc w:val="right"/>
              <w:rPr>
                <w:rFonts w:ascii="Arial" w:hAnsi="Arial" w:cs="Arial" w:eastAsia="Arial" w:hint="default"/>
                <w:sz w:val="18"/>
                <w:szCs w:val="18"/>
              </w:rPr>
            </w:pPr>
            <w:r>
              <w:rPr>
                <w:rFonts w:ascii="Arial"/>
                <w:spacing w:val="-1"/>
                <w:w w:val="95"/>
                <w:sz w:val="18"/>
              </w:rPr>
              <w:t>98%</w:t>
            </w:r>
            <w:r>
              <w:rPr>
                <w:rFonts w:ascii="Arial"/>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195" w:lineRule="exact"/>
              <w:ind w:right="115"/>
              <w:jc w:val="right"/>
              <w:rPr>
                <w:rFonts w:ascii="宋体" w:hAnsi="宋体" w:cs="宋体" w:eastAsia="宋体" w:hint="default"/>
                <w:sz w:val="18"/>
                <w:szCs w:val="18"/>
              </w:rPr>
            </w:pPr>
            <w:r>
              <w:rPr>
                <w:rFonts w:ascii="宋体" w:hAnsi="宋体" w:cs="宋体" w:eastAsia="宋体" w:hint="default"/>
                <w:sz w:val="18"/>
                <w:szCs w:val="18"/>
              </w:rPr>
              <w:t>部分投入运营</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7"/>
              <w:jc w:val="right"/>
              <w:rPr>
                <w:rFonts w:ascii="Arial" w:hAnsi="Arial" w:cs="Arial" w:eastAsia="Arial" w:hint="default"/>
                <w:sz w:val="18"/>
                <w:szCs w:val="18"/>
              </w:rPr>
            </w:pPr>
            <w:r>
              <w:rPr>
                <w:rFonts w:ascii="Arial"/>
                <w:w w:val="99"/>
                <w:sz w:val="18"/>
              </w:rPr>
              <w:t>-</w:t>
            </w:r>
            <w:r>
              <w:rPr>
                <w:rFonts w:ascii="Arial"/>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9"/>
              <w:jc w:val="right"/>
              <w:rPr>
                <w:rFonts w:ascii="Arial" w:hAnsi="Arial" w:cs="Arial" w:eastAsia="Arial" w:hint="default"/>
                <w:sz w:val="18"/>
                <w:szCs w:val="18"/>
              </w:rPr>
            </w:pPr>
            <w:r>
              <w:rPr>
                <w:rFonts w:ascii="Arial"/>
                <w:w w:val="99"/>
                <w:sz w:val="18"/>
              </w:rPr>
              <w:t>-</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195" w:lineRule="exact"/>
              <w:ind w:right="207"/>
              <w:jc w:val="right"/>
              <w:rPr>
                <w:rFonts w:ascii="宋体" w:hAnsi="宋体" w:cs="宋体" w:eastAsia="宋体" w:hint="default"/>
                <w:sz w:val="18"/>
                <w:szCs w:val="18"/>
              </w:rPr>
            </w:pPr>
            <w:r>
              <w:rPr>
                <w:rFonts w:ascii="宋体" w:hAnsi="宋体" w:cs="宋体" w:eastAsia="宋体" w:hint="default"/>
                <w:sz w:val="18"/>
                <w:szCs w:val="18"/>
              </w:rPr>
              <w:t>募集资金</w:t>
            </w:r>
          </w:p>
        </w:tc>
      </w:tr>
    </w:tbl>
    <w:p>
      <w:pPr>
        <w:spacing w:after="0" w:line="195" w:lineRule="exact"/>
        <w:jc w:val="right"/>
        <w:rPr>
          <w:rFonts w:ascii="宋体" w:hAnsi="宋体" w:cs="宋体" w:eastAsia="宋体" w:hint="default"/>
          <w:sz w:val="18"/>
          <w:szCs w:val="18"/>
        </w:rPr>
        <w:sectPr>
          <w:headerReference w:type="default" r:id="rId55"/>
          <w:footerReference w:type="default" r:id="rId56"/>
          <w:pgSz w:w="16840" w:h="11910" w:orient="landscape"/>
          <w:pgMar w:header="755" w:footer="915" w:top="1860" w:bottom="1100" w:left="460" w:right="0"/>
          <w:pgNumType w:start="173"/>
        </w:sectPr>
      </w:pPr>
    </w:p>
    <w:p>
      <w:pPr>
        <w:spacing w:line="240" w:lineRule="auto" w:before="9"/>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751"/>
        <w:gridCol w:w="2334"/>
        <w:gridCol w:w="791"/>
        <w:gridCol w:w="1193"/>
        <w:gridCol w:w="946"/>
        <w:gridCol w:w="1243"/>
        <w:gridCol w:w="1062"/>
        <w:gridCol w:w="956"/>
        <w:gridCol w:w="931"/>
        <w:gridCol w:w="1516"/>
        <w:gridCol w:w="925"/>
        <w:gridCol w:w="1071"/>
        <w:gridCol w:w="932"/>
        <w:gridCol w:w="1228"/>
      </w:tblGrid>
      <w:tr>
        <w:trPr>
          <w:trHeight w:val="416"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2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2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9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r>
      <w:tr>
        <w:trPr>
          <w:trHeight w:val="587"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(15)</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4"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91"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r>
      <w:tr>
        <w:trPr>
          <w:trHeight w:val="586"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1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24" w:right="0"/>
              <w:jc w:val="left"/>
              <w:rPr>
                <w:rFonts w:ascii="Arial" w:hAnsi="Arial" w:cs="Arial" w:eastAsia="Arial" w:hint="default"/>
                <w:sz w:val="24"/>
                <w:szCs w:val="24"/>
              </w:rPr>
            </w:pPr>
            <w:r>
              <w:rPr>
                <w:rFonts w:ascii="宋体" w:hAnsi="宋体" w:cs="宋体" w:eastAsia="宋体" w:hint="default"/>
                <w:sz w:val="24"/>
                <w:szCs w:val="24"/>
              </w:rPr>
              <w:t>重大在建工程变动</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9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r>
      <w:tr>
        <w:trPr>
          <w:trHeight w:val="945"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4"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11"/>
              <w:jc w:val="right"/>
              <w:rPr>
                <w:rFonts w:ascii="宋体" w:hAnsi="宋体" w:cs="宋体" w:eastAsia="宋体" w:hint="default"/>
                <w:sz w:val="18"/>
                <w:szCs w:val="18"/>
              </w:rPr>
            </w:pPr>
            <w:r>
              <w:rPr>
                <w:rFonts w:ascii="宋体" w:hAnsi="宋体" w:cs="宋体" w:eastAsia="宋体" w:hint="default"/>
                <w:sz w:val="18"/>
                <w:szCs w:val="18"/>
              </w:rPr>
              <w:t>预算数</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33"/>
              <w:ind w:left="41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1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74"/>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243" w:type="dxa"/>
            <w:tcBorders>
              <w:top w:val="nil" w:sz="6" w:space="0" w:color="auto"/>
              <w:left w:val="nil" w:sz="6" w:space="0" w:color="auto"/>
              <w:bottom w:val="nil" w:sz="6" w:space="0" w:color="auto"/>
              <w:right w:val="nil" w:sz="6" w:space="0" w:color="auto"/>
            </w:tcBorders>
          </w:tcPr>
          <w:p>
            <w:pPr>
              <w:pStyle w:val="TableParagraph"/>
              <w:spacing w:line="237" w:lineRule="auto" w:before="110"/>
              <w:ind w:left="75" w:right="176" w:firstLine="270"/>
              <w:jc w:val="right"/>
              <w:rPr>
                <w:rFonts w:ascii="Arial" w:hAnsi="Arial" w:cs="Arial" w:eastAsia="Arial" w:hint="default"/>
                <w:sz w:val="18"/>
                <w:szCs w:val="18"/>
              </w:rPr>
            </w:pPr>
            <w:r>
              <w:rPr>
                <w:rFonts w:ascii="宋体" w:hAnsi="宋体" w:cs="宋体" w:eastAsia="宋体" w:hint="default"/>
                <w:sz w:val="18"/>
                <w:szCs w:val="18"/>
              </w:rPr>
              <w:t>本年转入 固定资产 </w:t>
            </w: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(14))</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19"/>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956" w:type="dxa"/>
            <w:tcBorders>
              <w:top w:val="nil" w:sz="6" w:space="0" w:color="auto"/>
              <w:left w:val="nil" w:sz="6" w:space="0" w:color="auto"/>
              <w:bottom w:val="nil" w:sz="6" w:space="0" w:color="auto"/>
              <w:right w:val="nil" w:sz="6" w:space="0" w:color="auto"/>
            </w:tcBorders>
          </w:tcPr>
          <w:p>
            <w:pPr>
              <w:pStyle w:val="TableParagraph"/>
              <w:spacing w:line="241" w:lineRule="exact" w:before="107"/>
              <w:ind w:right="62"/>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33" w:lineRule="exact"/>
              <w:ind w:right="61"/>
              <w:jc w:val="righ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31</w:t>
            </w:r>
          </w:p>
          <w:p>
            <w:pPr>
              <w:pStyle w:val="TableParagraph"/>
              <w:spacing w:line="228" w:lineRule="exact"/>
              <w:ind w:right="61"/>
              <w:jc w:val="right"/>
              <w:rPr>
                <w:rFonts w:ascii="宋体" w:hAnsi="宋体" w:cs="宋体" w:eastAsia="宋体" w:hint="default"/>
                <w:sz w:val="18"/>
                <w:szCs w:val="18"/>
              </w:rPr>
            </w:pPr>
            <w:r>
              <w:rPr>
                <w:rFonts w:ascii="宋体" w:hAnsi="宋体" w:cs="宋体" w:eastAsia="宋体" w:hint="default"/>
                <w:sz w:val="18"/>
                <w:szCs w:val="18"/>
              </w:rPr>
              <w:t>日</w:t>
            </w:r>
          </w:p>
        </w:tc>
        <w:tc>
          <w:tcPr>
            <w:tcW w:w="931" w:type="dxa"/>
            <w:tcBorders>
              <w:top w:val="nil" w:sz="6" w:space="0" w:color="auto"/>
              <w:left w:val="nil" w:sz="6" w:space="0" w:color="auto"/>
              <w:bottom w:val="nil" w:sz="6" w:space="0" w:color="auto"/>
              <w:right w:val="nil" w:sz="6" w:space="0" w:color="auto"/>
            </w:tcBorders>
          </w:tcPr>
          <w:p>
            <w:pPr>
              <w:pStyle w:val="TableParagraph"/>
              <w:spacing w:line="232" w:lineRule="exact" w:before="132"/>
              <w:ind w:left="63" w:right="146"/>
              <w:jc w:val="left"/>
              <w:rPr>
                <w:rFonts w:ascii="宋体" w:hAnsi="宋体" w:cs="宋体" w:eastAsia="宋体" w:hint="default"/>
                <w:sz w:val="18"/>
                <w:szCs w:val="18"/>
              </w:rPr>
            </w:pPr>
            <w:r>
              <w:rPr>
                <w:rFonts w:ascii="宋体" w:hAnsi="宋体" w:cs="宋体" w:eastAsia="宋体" w:hint="default"/>
                <w:sz w:val="18"/>
                <w:szCs w:val="18"/>
              </w:rPr>
              <w:t>工程投入 占预算的</w:t>
            </w:r>
          </w:p>
          <w:p>
            <w:pPr>
              <w:pStyle w:val="TableParagraph"/>
              <w:spacing w:line="213" w:lineRule="exact"/>
              <w:ind w:left="42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25" w:type="dxa"/>
            <w:tcBorders>
              <w:top w:val="nil" w:sz="6" w:space="0" w:color="auto"/>
              <w:left w:val="nil" w:sz="6" w:space="0" w:color="auto"/>
              <w:bottom w:val="nil" w:sz="6" w:space="0" w:color="auto"/>
              <w:right w:val="nil" w:sz="6" w:space="0" w:color="auto"/>
            </w:tcBorders>
          </w:tcPr>
          <w:p>
            <w:pPr>
              <w:pStyle w:val="TableParagraph"/>
              <w:spacing w:line="237" w:lineRule="auto" w:before="110"/>
              <w:ind w:left="109" w:right="85" w:firstLine="8"/>
              <w:jc w:val="right"/>
              <w:rPr>
                <w:rFonts w:ascii="宋体" w:hAnsi="宋体" w:cs="宋体" w:eastAsia="宋体" w:hint="default"/>
                <w:sz w:val="18"/>
                <w:szCs w:val="18"/>
              </w:rPr>
            </w:pPr>
            <w:r>
              <w:rPr>
                <w:rFonts w:ascii="宋体" w:hAnsi="宋体" w:cs="宋体" w:eastAsia="宋体" w:hint="default"/>
                <w:sz w:val="18"/>
                <w:szCs w:val="18"/>
              </w:rPr>
              <w:t>借款费用 资本化 累计金额</w:t>
            </w:r>
          </w:p>
        </w:tc>
        <w:tc>
          <w:tcPr>
            <w:tcW w:w="1071" w:type="dxa"/>
            <w:tcBorders>
              <w:top w:val="nil" w:sz="6" w:space="0" w:color="auto"/>
              <w:left w:val="nil" w:sz="6" w:space="0" w:color="auto"/>
              <w:bottom w:val="nil" w:sz="6" w:space="0" w:color="auto"/>
              <w:right w:val="nil" w:sz="6" w:space="0" w:color="auto"/>
            </w:tcBorders>
          </w:tcPr>
          <w:p>
            <w:pPr>
              <w:pStyle w:val="TableParagraph"/>
              <w:spacing w:line="232" w:lineRule="exact" w:before="132"/>
              <w:ind w:left="87" w:right="83" w:firstLine="48"/>
              <w:jc w:val="left"/>
              <w:rPr>
                <w:rFonts w:ascii="宋体" w:hAnsi="宋体" w:cs="宋体" w:eastAsia="宋体" w:hint="default"/>
                <w:sz w:val="18"/>
                <w:szCs w:val="18"/>
              </w:rPr>
            </w:pPr>
            <w:r>
              <w:rPr>
                <w:rFonts w:ascii="宋体" w:hAnsi="宋体" w:cs="宋体" w:eastAsia="宋体" w:hint="default"/>
                <w:spacing w:val="-10"/>
                <w:sz w:val="18"/>
                <w:szCs w:val="18"/>
              </w:rPr>
              <w:t>中：本年借</w:t>
            </w:r>
            <w:r>
              <w:rPr>
                <w:rFonts w:ascii="宋体" w:hAnsi="宋体" w:cs="宋体" w:eastAsia="宋体" w:hint="default"/>
                <w:sz w:val="18"/>
                <w:szCs w:val="18"/>
              </w:rPr>
              <w:t> 款费用资本</w:t>
            </w:r>
          </w:p>
          <w:p>
            <w:pPr>
              <w:pStyle w:val="TableParagraph"/>
              <w:spacing w:line="213" w:lineRule="exact"/>
              <w:ind w:left="447" w:right="0"/>
              <w:jc w:val="left"/>
              <w:rPr>
                <w:rFonts w:ascii="宋体" w:hAnsi="宋体" w:cs="宋体" w:eastAsia="宋体" w:hint="default"/>
                <w:sz w:val="18"/>
                <w:szCs w:val="18"/>
              </w:rPr>
            </w:pPr>
            <w:r>
              <w:rPr>
                <w:rFonts w:ascii="宋体" w:hAnsi="宋体" w:cs="宋体" w:eastAsia="宋体" w:hint="default"/>
                <w:sz w:val="18"/>
                <w:szCs w:val="18"/>
              </w:rPr>
              <w:t>化金额</w:t>
            </w:r>
          </w:p>
        </w:tc>
        <w:tc>
          <w:tcPr>
            <w:tcW w:w="932" w:type="dxa"/>
            <w:tcBorders>
              <w:top w:val="nil" w:sz="6" w:space="0" w:color="auto"/>
              <w:left w:val="nil" w:sz="6" w:space="0" w:color="auto"/>
              <w:bottom w:val="nil" w:sz="6" w:space="0" w:color="auto"/>
              <w:right w:val="nil" w:sz="6" w:space="0" w:color="auto"/>
            </w:tcBorders>
          </w:tcPr>
          <w:p>
            <w:pPr>
              <w:pStyle w:val="TableParagraph"/>
              <w:spacing w:line="232" w:lineRule="exact" w:before="132"/>
              <w:ind w:left="83" w:right="126"/>
              <w:jc w:val="left"/>
              <w:rPr>
                <w:rFonts w:ascii="宋体" w:hAnsi="宋体" w:cs="宋体" w:eastAsia="宋体" w:hint="default"/>
                <w:sz w:val="18"/>
                <w:szCs w:val="18"/>
              </w:rPr>
            </w:pPr>
            <w:r>
              <w:rPr>
                <w:rFonts w:ascii="宋体" w:hAnsi="宋体" w:cs="宋体" w:eastAsia="宋体" w:hint="default"/>
                <w:sz w:val="18"/>
                <w:szCs w:val="18"/>
              </w:rPr>
              <w:t>本年借款 费用资本</w:t>
            </w:r>
          </w:p>
          <w:p>
            <w:pPr>
              <w:pStyle w:val="TableParagraph"/>
              <w:spacing w:line="213" w:lineRule="exact"/>
              <w:ind w:left="443"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8"/>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4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4" w:right="0"/>
              <w:jc w:val="left"/>
              <w:rPr>
                <w:rFonts w:ascii="宋体" w:hAnsi="宋体" w:cs="宋体" w:eastAsia="宋体" w:hint="default"/>
                <w:sz w:val="18"/>
                <w:szCs w:val="18"/>
              </w:rPr>
            </w:pPr>
            <w:r>
              <w:rPr>
                <w:rFonts w:ascii="宋体" w:hAnsi="宋体" w:cs="宋体" w:eastAsia="宋体" w:hint="default"/>
                <w:sz w:val="18"/>
                <w:szCs w:val="18"/>
              </w:rPr>
              <w:t>宜兴苏宁生活广场</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0"/>
              <w:jc w:val="right"/>
              <w:rPr>
                <w:rFonts w:ascii="Arial" w:hAnsi="Arial" w:cs="Arial" w:eastAsia="Arial" w:hint="default"/>
                <w:sz w:val="18"/>
                <w:szCs w:val="18"/>
              </w:rPr>
            </w:pPr>
            <w:r>
              <w:rPr>
                <w:rFonts w:ascii="Arial"/>
                <w:spacing w:val="-1"/>
                <w:sz w:val="18"/>
              </w:rPr>
              <w:t>66,310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3"/>
              <w:jc w:val="right"/>
              <w:rPr>
                <w:rFonts w:ascii="Arial" w:hAnsi="Arial" w:cs="Arial" w:eastAsia="Arial" w:hint="default"/>
                <w:sz w:val="18"/>
                <w:szCs w:val="18"/>
              </w:rPr>
            </w:pPr>
            <w:r>
              <w:rPr>
                <w:rFonts w:ascii="Arial"/>
                <w:spacing w:val="-1"/>
                <w:w w:val="95"/>
                <w:sz w:val="18"/>
              </w:rPr>
              <w:t>21</w:t>
            </w:r>
            <w:r>
              <w:rPr>
                <w:rFonts w:ascii="Arial"/>
                <w:sz w:val="18"/>
              </w:rPr>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3"/>
              <w:jc w:val="right"/>
              <w:rPr>
                <w:rFonts w:ascii="Arial" w:hAnsi="Arial" w:cs="Arial" w:eastAsia="Arial" w:hint="default"/>
                <w:sz w:val="18"/>
                <w:szCs w:val="18"/>
              </w:rPr>
            </w:pPr>
            <w:r>
              <w:rPr>
                <w:rFonts w:ascii="Arial"/>
                <w:spacing w:val="-1"/>
                <w:sz w:val="18"/>
              </w:rPr>
              <w:t>19,224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5"/>
              <w:jc w:val="right"/>
              <w:rPr>
                <w:rFonts w:ascii="Arial" w:hAnsi="Arial" w:cs="Arial" w:eastAsia="Arial" w:hint="default"/>
                <w:sz w:val="18"/>
                <w:szCs w:val="18"/>
              </w:rPr>
            </w:pPr>
            <w:r>
              <w:rPr>
                <w:rFonts w:ascii="Arial"/>
                <w:w w:val="99"/>
                <w:sz w:val="18"/>
              </w:rPr>
              <w:t>-</w:t>
            </w:r>
            <w:r>
              <w:rPr>
                <w:rFonts w:ascii="Arial"/>
                <w:sz w:val="18"/>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23"/>
              <w:jc w:val="right"/>
              <w:rPr>
                <w:rFonts w:ascii="Arial" w:hAnsi="Arial" w:cs="Arial" w:eastAsia="Arial" w:hint="default"/>
                <w:sz w:val="18"/>
                <w:szCs w:val="18"/>
              </w:rPr>
            </w:pPr>
            <w:r>
              <w:rPr>
                <w:rFonts w:ascii="Arial"/>
                <w:spacing w:val="-1"/>
                <w:sz w:val="18"/>
              </w:rPr>
              <w:t>19,245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6"/>
              <w:jc w:val="right"/>
              <w:rPr>
                <w:rFonts w:ascii="Arial" w:hAnsi="Arial" w:cs="Arial" w:eastAsia="Arial" w:hint="default"/>
                <w:sz w:val="18"/>
                <w:szCs w:val="18"/>
              </w:rPr>
            </w:pPr>
            <w:r>
              <w:rPr>
                <w:rFonts w:ascii="Arial"/>
                <w:spacing w:val="-1"/>
                <w:w w:val="95"/>
                <w:sz w:val="18"/>
              </w:rPr>
              <w:t>29%</w:t>
            </w:r>
            <w:r>
              <w:rPr>
                <w:rFonts w:ascii="Arial"/>
                <w:sz w:val="18"/>
              </w:rPr>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93"/>
              <w:jc w:val="right"/>
              <w:rPr>
                <w:rFonts w:ascii="Arial" w:hAnsi="Arial" w:cs="Arial" w:eastAsia="Arial" w:hint="default"/>
                <w:sz w:val="18"/>
                <w:szCs w:val="18"/>
              </w:rPr>
            </w:pPr>
            <w:r>
              <w:rPr>
                <w:rFonts w:ascii="Arial"/>
                <w:spacing w:val="-1"/>
                <w:w w:val="95"/>
                <w:sz w:val="18"/>
              </w:rPr>
              <w:t>144</w:t>
            </w:r>
            <w:r>
              <w:rPr>
                <w:rFonts w:ascii="Arial"/>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2"/>
              <w:jc w:val="right"/>
              <w:rPr>
                <w:rFonts w:ascii="Arial" w:hAnsi="Arial" w:cs="Arial" w:eastAsia="Arial" w:hint="default"/>
                <w:sz w:val="18"/>
                <w:szCs w:val="18"/>
              </w:rPr>
            </w:pPr>
            <w:r>
              <w:rPr>
                <w:rFonts w:ascii="Arial"/>
                <w:spacing w:val="-1"/>
                <w:w w:val="95"/>
                <w:sz w:val="18"/>
              </w:rPr>
              <w:t>144</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5" w:lineRule="exact"/>
              <w:ind w:left="144" w:right="0"/>
              <w:jc w:val="left"/>
              <w:rPr>
                <w:rFonts w:ascii="宋体" w:hAnsi="宋体" w:cs="宋体" w:eastAsia="宋体" w:hint="default"/>
                <w:sz w:val="18"/>
                <w:szCs w:val="18"/>
              </w:rPr>
            </w:pPr>
            <w:r>
              <w:rPr>
                <w:rFonts w:ascii="宋体" w:hAnsi="宋体" w:cs="宋体" w:eastAsia="宋体" w:hint="default"/>
                <w:sz w:val="18"/>
                <w:szCs w:val="18"/>
              </w:rPr>
              <w:t>沈阳物流基地</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233,269</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2"/>
              <w:jc w:val="right"/>
              <w:rPr>
                <w:rFonts w:ascii="Arial" w:hAnsi="Arial" w:cs="Arial" w:eastAsia="Arial" w:hint="default"/>
                <w:sz w:val="18"/>
                <w:szCs w:val="18"/>
              </w:rPr>
            </w:pPr>
            <w:r>
              <w:rPr>
                <w:rFonts w:ascii="Arial"/>
                <w:spacing w:val="-1"/>
                <w:sz w:val="18"/>
              </w:rPr>
              <w:t>144,497</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Arial" w:hAnsi="Arial" w:cs="Arial" w:eastAsia="Arial" w:hint="default"/>
                <w:sz w:val="18"/>
                <w:szCs w:val="18"/>
              </w:rPr>
            </w:pPr>
            <w:r>
              <w:rPr>
                <w:rFonts w:ascii="Arial"/>
                <w:spacing w:val="-1"/>
                <w:sz w:val="18"/>
              </w:rPr>
              <w:t>86,772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1" w:right="0"/>
              <w:jc w:val="left"/>
              <w:rPr>
                <w:rFonts w:ascii="Arial" w:hAnsi="Arial" w:cs="Arial" w:eastAsia="Arial" w:hint="default"/>
                <w:sz w:val="18"/>
                <w:szCs w:val="18"/>
              </w:rPr>
            </w:pPr>
            <w:r>
              <w:rPr>
                <w:rFonts w:ascii="Arial"/>
                <w:sz w:val="18"/>
              </w:rPr>
              <w:t>(218,254)</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3"/>
              <w:jc w:val="right"/>
              <w:rPr>
                <w:rFonts w:ascii="Arial" w:hAnsi="Arial" w:cs="Arial" w:eastAsia="Arial" w:hint="default"/>
                <w:sz w:val="18"/>
                <w:szCs w:val="18"/>
              </w:rPr>
            </w:pPr>
            <w:r>
              <w:rPr>
                <w:rFonts w:ascii="Arial"/>
                <w:spacing w:val="-1"/>
                <w:sz w:val="18"/>
              </w:rPr>
              <w:t>13,015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Arial" w:hAnsi="Arial" w:cs="Arial" w:eastAsia="Arial" w:hint="default"/>
                <w:sz w:val="18"/>
                <w:szCs w:val="18"/>
              </w:rPr>
            </w:pPr>
            <w:r>
              <w:rPr>
                <w:rFonts w:ascii="Arial"/>
                <w:spacing w:val="-1"/>
                <w:sz w:val="18"/>
              </w:rPr>
              <w:t>99%</w:t>
            </w:r>
          </w:p>
        </w:tc>
        <w:tc>
          <w:tcPr>
            <w:tcW w:w="1516" w:type="dxa"/>
            <w:tcBorders>
              <w:top w:val="nil" w:sz="6" w:space="0" w:color="auto"/>
              <w:left w:val="nil" w:sz="6" w:space="0" w:color="auto"/>
              <w:bottom w:val="nil" w:sz="6" w:space="0" w:color="auto"/>
              <w:right w:val="nil" w:sz="6" w:space="0" w:color="auto"/>
            </w:tcBorders>
          </w:tcPr>
          <w:p>
            <w:pPr>
              <w:pStyle w:val="TableParagraph"/>
              <w:spacing w:line="195" w:lineRule="exact"/>
              <w:ind w:right="107"/>
              <w:jc w:val="right"/>
              <w:rPr>
                <w:rFonts w:ascii="宋体" w:hAnsi="宋体" w:cs="宋体" w:eastAsia="宋体" w:hint="default"/>
                <w:sz w:val="18"/>
                <w:szCs w:val="18"/>
              </w:rPr>
            </w:pPr>
            <w:r>
              <w:rPr>
                <w:rFonts w:ascii="宋体" w:hAnsi="宋体" w:cs="宋体" w:eastAsia="宋体" w:hint="default"/>
                <w:sz w:val="18"/>
                <w:szCs w:val="18"/>
              </w:rPr>
              <w:t>基本投入运营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2"/>
              <w:jc w:val="right"/>
              <w:rPr>
                <w:rFonts w:ascii="Arial" w:hAnsi="Arial" w:cs="Arial" w:eastAsia="Arial" w:hint="default"/>
                <w:sz w:val="18"/>
                <w:szCs w:val="18"/>
              </w:rPr>
            </w:pPr>
            <w:r>
              <w:rPr>
                <w:rFonts w:ascii="Arial"/>
                <w:spacing w:val="-1"/>
                <w:sz w:val="18"/>
              </w:rPr>
              <w:t>8,362</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0"/>
              <w:jc w:val="right"/>
              <w:rPr>
                <w:rFonts w:ascii="Arial" w:hAnsi="Arial" w:cs="Arial" w:eastAsia="Arial" w:hint="default"/>
                <w:sz w:val="18"/>
                <w:szCs w:val="18"/>
              </w:rPr>
            </w:pPr>
            <w:r>
              <w:rPr>
                <w:rFonts w:ascii="Arial"/>
                <w:spacing w:val="-1"/>
                <w:sz w:val="18"/>
              </w:rPr>
              <w:t>5,009</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9"/>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6" w:lineRule="exact"/>
              <w:ind w:left="144" w:right="0"/>
              <w:jc w:val="left"/>
              <w:rPr>
                <w:rFonts w:ascii="宋体" w:hAnsi="宋体" w:cs="宋体" w:eastAsia="宋体" w:hint="default"/>
                <w:sz w:val="18"/>
                <w:szCs w:val="18"/>
              </w:rPr>
            </w:pPr>
            <w:r>
              <w:rPr>
                <w:rFonts w:ascii="宋体" w:hAnsi="宋体" w:cs="宋体" w:eastAsia="宋体" w:hint="default"/>
                <w:sz w:val="18"/>
                <w:szCs w:val="18"/>
              </w:rPr>
              <w:t>西安泾阳物流基地</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292,420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3"/>
              <w:jc w:val="right"/>
              <w:rPr>
                <w:rFonts w:ascii="Arial" w:hAnsi="Arial" w:cs="Arial" w:eastAsia="Arial" w:hint="default"/>
                <w:sz w:val="18"/>
                <w:szCs w:val="18"/>
              </w:rPr>
            </w:pPr>
            <w:r>
              <w:rPr>
                <w:rFonts w:ascii="Arial"/>
                <w:spacing w:val="-1"/>
                <w:w w:val="95"/>
                <w:sz w:val="18"/>
              </w:rPr>
              <w:t>482</w:t>
            </w:r>
            <w:r>
              <w:rPr>
                <w:rFonts w:ascii="Arial"/>
                <w:sz w:val="18"/>
              </w:rPr>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9,843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8"/>
              <w:jc w:val="right"/>
              <w:rPr>
                <w:rFonts w:ascii="Arial" w:hAnsi="Arial" w:cs="Arial" w:eastAsia="Arial" w:hint="default"/>
                <w:sz w:val="18"/>
                <w:szCs w:val="18"/>
              </w:rPr>
            </w:pPr>
            <w:r>
              <w:rPr>
                <w:rFonts w:ascii="Arial"/>
                <w:w w:val="99"/>
                <w:sz w:val="18"/>
              </w:rPr>
              <w:t>-</w:t>
            </w:r>
            <w:r>
              <w:rPr>
                <w:rFonts w:ascii="Arial"/>
                <w:sz w:val="18"/>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Arial" w:hAnsi="Arial" w:cs="Arial" w:eastAsia="Arial" w:hint="default"/>
                <w:sz w:val="18"/>
                <w:szCs w:val="18"/>
              </w:rPr>
            </w:pPr>
            <w:r>
              <w:rPr>
                <w:rFonts w:ascii="Arial"/>
                <w:spacing w:val="-1"/>
                <w:sz w:val="18"/>
              </w:rPr>
              <w:t>10,325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6"/>
              <w:jc w:val="right"/>
              <w:rPr>
                <w:rFonts w:ascii="Arial" w:hAnsi="Arial" w:cs="Arial" w:eastAsia="Arial" w:hint="default"/>
                <w:sz w:val="18"/>
                <w:szCs w:val="18"/>
              </w:rPr>
            </w:pPr>
            <w:r>
              <w:rPr>
                <w:rFonts w:ascii="Arial"/>
                <w:spacing w:val="-1"/>
                <w:w w:val="95"/>
                <w:sz w:val="18"/>
              </w:rPr>
              <w:t>4%</w:t>
            </w:r>
            <w:r>
              <w:rPr>
                <w:rFonts w:ascii="Arial"/>
                <w:sz w:val="18"/>
              </w:rPr>
            </w:r>
          </w:p>
        </w:tc>
        <w:tc>
          <w:tcPr>
            <w:tcW w:w="1516" w:type="dxa"/>
            <w:tcBorders>
              <w:top w:val="nil" w:sz="6" w:space="0" w:color="auto"/>
              <w:left w:val="nil" w:sz="6" w:space="0" w:color="auto"/>
              <w:bottom w:val="nil" w:sz="6" w:space="0" w:color="auto"/>
              <w:right w:val="nil" w:sz="6" w:space="0" w:color="auto"/>
            </w:tcBorders>
          </w:tcPr>
          <w:p>
            <w:pPr>
              <w:pStyle w:val="TableParagraph"/>
              <w:spacing w:line="196" w:lineRule="exact"/>
              <w:ind w:right="107"/>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3"/>
              <w:jc w:val="right"/>
              <w:rPr>
                <w:rFonts w:ascii="Arial" w:hAnsi="Arial" w:cs="Arial" w:eastAsia="Arial" w:hint="default"/>
                <w:sz w:val="18"/>
                <w:szCs w:val="18"/>
              </w:rPr>
            </w:pPr>
            <w:r>
              <w:rPr>
                <w:rFonts w:ascii="Arial"/>
                <w:spacing w:val="-1"/>
                <w:w w:val="95"/>
                <w:sz w:val="18"/>
              </w:rPr>
              <w:t>86</w:t>
            </w:r>
            <w:r>
              <w:rPr>
                <w:rFonts w:ascii="Arial"/>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2"/>
              <w:jc w:val="right"/>
              <w:rPr>
                <w:rFonts w:ascii="Arial" w:hAnsi="Arial" w:cs="Arial" w:eastAsia="Arial" w:hint="default"/>
                <w:sz w:val="18"/>
                <w:szCs w:val="18"/>
              </w:rPr>
            </w:pPr>
            <w:r>
              <w:rPr>
                <w:rFonts w:ascii="Arial"/>
                <w:spacing w:val="-1"/>
                <w:w w:val="95"/>
                <w:sz w:val="18"/>
              </w:rPr>
              <w:t>86</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9"/>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5" w:lineRule="exact"/>
              <w:ind w:left="144" w:right="0"/>
              <w:jc w:val="left"/>
              <w:rPr>
                <w:rFonts w:ascii="宋体" w:hAnsi="宋体" w:cs="宋体" w:eastAsia="宋体" w:hint="default"/>
                <w:sz w:val="18"/>
                <w:szCs w:val="18"/>
              </w:rPr>
            </w:pPr>
            <w:r>
              <w:rPr>
                <w:rFonts w:ascii="宋体" w:hAnsi="宋体" w:cs="宋体" w:eastAsia="宋体" w:hint="default"/>
                <w:sz w:val="18"/>
                <w:szCs w:val="18"/>
              </w:rPr>
              <w:t>杭州二期物流基地</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3"/>
                <w:sz w:val="18"/>
              </w:rPr>
              <w:t>211,560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7"/>
              <w:jc w:val="right"/>
              <w:rPr>
                <w:rFonts w:ascii="Arial" w:hAnsi="Arial" w:cs="Arial" w:eastAsia="Arial" w:hint="default"/>
                <w:sz w:val="18"/>
                <w:szCs w:val="18"/>
              </w:rPr>
            </w:pPr>
            <w:r>
              <w:rPr>
                <w:rFonts w:ascii="Arial"/>
                <w:spacing w:val="-1"/>
                <w:sz w:val="18"/>
              </w:rPr>
              <w:t>4,846</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5"/>
              <w:jc w:val="right"/>
              <w:rPr>
                <w:rFonts w:ascii="Arial" w:hAnsi="Arial" w:cs="Arial" w:eastAsia="Arial" w:hint="default"/>
                <w:sz w:val="18"/>
                <w:szCs w:val="18"/>
              </w:rPr>
            </w:pPr>
            <w:r>
              <w:rPr>
                <w:rFonts w:ascii="Arial"/>
                <w:w w:val="99"/>
                <w:sz w:val="18"/>
              </w:rPr>
              <w:t>-</w:t>
            </w:r>
            <w:r>
              <w:rPr>
                <w:rFonts w:ascii="Arial"/>
                <w:sz w:val="18"/>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2"/>
              <w:jc w:val="right"/>
              <w:rPr>
                <w:rFonts w:ascii="Arial" w:hAnsi="Arial" w:cs="Arial" w:eastAsia="Arial" w:hint="default"/>
                <w:sz w:val="18"/>
                <w:szCs w:val="18"/>
              </w:rPr>
            </w:pPr>
            <w:r>
              <w:rPr>
                <w:rFonts w:ascii="Arial"/>
                <w:spacing w:val="-1"/>
                <w:sz w:val="18"/>
              </w:rPr>
              <w:t>(780)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spacing w:val="-1"/>
                <w:sz w:val="18"/>
              </w:rPr>
              <w:t>4,066</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Arial" w:hAnsi="Arial" w:cs="Arial" w:eastAsia="Arial" w:hint="default"/>
                <w:sz w:val="18"/>
                <w:szCs w:val="18"/>
              </w:rPr>
            </w:pPr>
            <w:r>
              <w:rPr>
                <w:rFonts w:ascii="Arial"/>
                <w:spacing w:val="-1"/>
                <w:w w:val="95"/>
                <w:sz w:val="18"/>
              </w:rPr>
              <w:t>90%</w:t>
            </w:r>
            <w:r>
              <w:rPr>
                <w:rFonts w:ascii="Arial"/>
                <w:sz w:val="18"/>
              </w:rPr>
            </w:r>
          </w:p>
        </w:tc>
        <w:tc>
          <w:tcPr>
            <w:tcW w:w="1516" w:type="dxa"/>
            <w:tcBorders>
              <w:top w:val="nil" w:sz="6" w:space="0" w:color="auto"/>
              <w:left w:val="nil" w:sz="6" w:space="0" w:color="auto"/>
              <w:bottom w:val="nil" w:sz="6" w:space="0" w:color="auto"/>
              <w:right w:val="nil" w:sz="6" w:space="0" w:color="auto"/>
            </w:tcBorders>
          </w:tcPr>
          <w:p>
            <w:pPr>
              <w:pStyle w:val="TableParagraph"/>
              <w:spacing w:line="195" w:lineRule="exact"/>
              <w:ind w:right="107"/>
              <w:jc w:val="right"/>
              <w:rPr>
                <w:rFonts w:ascii="宋体" w:hAnsi="宋体" w:cs="宋体" w:eastAsia="宋体" w:hint="default"/>
                <w:sz w:val="18"/>
                <w:szCs w:val="18"/>
              </w:rPr>
            </w:pPr>
            <w:r>
              <w:rPr>
                <w:rFonts w:ascii="宋体" w:hAnsi="宋体" w:cs="宋体" w:eastAsia="宋体" w:hint="default"/>
                <w:sz w:val="18"/>
                <w:szCs w:val="18"/>
              </w:rPr>
              <w:t>部分投入运营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3"/>
              <w:jc w:val="right"/>
              <w:rPr>
                <w:rFonts w:ascii="Arial" w:hAnsi="Arial" w:cs="Arial" w:eastAsia="Arial" w:hint="default"/>
                <w:sz w:val="18"/>
                <w:szCs w:val="18"/>
              </w:rPr>
            </w:pPr>
            <w:r>
              <w:rPr>
                <w:rFonts w:ascii="Arial"/>
                <w:spacing w:val="-1"/>
                <w:w w:val="95"/>
                <w:sz w:val="18"/>
              </w:rPr>
              <w:t>950</w:t>
            </w:r>
            <w:r>
              <w:rPr>
                <w:rFonts w:ascii="Arial"/>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2"/>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募集及借款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6" w:lineRule="exact"/>
              <w:ind w:left="144" w:right="0"/>
              <w:jc w:val="left"/>
              <w:rPr>
                <w:rFonts w:ascii="宋体" w:hAnsi="宋体" w:cs="宋体" w:eastAsia="宋体" w:hint="default"/>
                <w:sz w:val="18"/>
                <w:szCs w:val="18"/>
              </w:rPr>
            </w:pPr>
            <w:r>
              <w:rPr>
                <w:rFonts w:ascii="宋体" w:hAnsi="宋体" w:cs="宋体" w:eastAsia="宋体" w:hint="default"/>
                <w:sz w:val="18"/>
                <w:szCs w:val="18"/>
              </w:rPr>
              <w:t>渤宁苏宁物流基地</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208,709</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7"/>
              <w:jc w:val="right"/>
              <w:rPr>
                <w:rFonts w:ascii="Arial" w:hAnsi="Arial" w:cs="Arial" w:eastAsia="Arial" w:hint="default"/>
                <w:sz w:val="18"/>
                <w:szCs w:val="18"/>
              </w:rPr>
            </w:pPr>
            <w:r>
              <w:rPr>
                <w:rFonts w:ascii="Arial"/>
                <w:spacing w:val="-1"/>
                <w:sz w:val="18"/>
              </w:rPr>
              <w:t>1,245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spacing w:val="-1"/>
                <w:w w:val="95"/>
                <w:sz w:val="18"/>
              </w:rPr>
              <w:t>748</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5"/>
              <w:jc w:val="right"/>
              <w:rPr>
                <w:rFonts w:ascii="Arial" w:hAnsi="Arial" w:cs="Arial" w:eastAsia="Arial" w:hint="default"/>
                <w:sz w:val="18"/>
                <w:szCs w:val="18"/>
              </w:rPr>
            </w:pPr>
            <w:r>
              <w:rPr>
                <w:rFonts w:ascii="Arial"/>
                <w:w w:val="99"/>
                <w:sz w:val="18"/>
              </w:rPr>
              <w:t>-</w:t>
            </w:r>
            <w:r>
              <w:rPr>
                <w:rFonts w:ascii="Arial"/>
                <w:sz w:val="18"/>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spacing w:val="-1"/>
                <w:sz w:val="18"/>
              </w:rPr>
              <w:t>1,993</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6" w:lineRule="exact"/>
              <w:ind w:right="107"/>
              <w:jc w:val="right"/>
              <w:rPr>
                <w:rFonts w:ascii="宋体" w:hAnsi="宋体" w:cs="宋体" w:eastAsia="宋体" w:hint="default"/>
                <w:sz w:val="18"/>
                <w:szCs w:val="18"/>
              </w:rPr>
            </w:pPr>
            <w:r>
              <w:rPr>
                <w:rFonts w:ascii="宋体" w:hAnsi="宋体" w:cs="宋体" w:eastAsia="宋体" w:hint="default"/>
                <w:sz w:val="18"/>
                <w:szCs w:val="18"/>
              </w:rPr>
              <w:t>部分投入运营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3"/>
              <w:jc w:val="right"/>
              <w:rPr>
                <w:rFonts w:ascii="Arial" w:hAnsi="Arial" w:cs="Arial" w:eastAsia="Arial" w:hint="default"/>
                <w:sz w:val="18"/>
                <w:szCs w:val="18"/>
              </w:rPr>
            </w:pPr>
            <w:r>
              <w:rPr>
                <w:rFonts w:ascii="Arial"/>
                <w:spacing w:val="-1"/>
                <w:sz w:val="18"/>
              </w:rPr>
              <w:t>1,047</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1"/>
              <w:jc w:val="right"/>
              <w:rPr>
                <w:rFonts w:ascii="Arial" w:hAnsi="Arial" w:cs="Arial" w:eastAsia="Arial" w:hint="default"/>
                <w:sz w:val="18"/>
                <w:szCs w:val="18"/>
              </w:rPr>
            </w:pPr>
            <w:r>
              <w:rPr>
                <w:rFonts w:ascii="Arial"/>
                <w:w w:val="99"/>
                <w:sz w:val="18"/>
              </w:rPr>
              <w:t>8</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募集及借款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5" w:lineRule="exact"/>
              <w:ind w:left="144" w:right="0"/>
              <w:jc w:val="left"/>
              <w:rPr>
                <w:rFonts w:ascii="宋体" w:hAnsi="宋体" w:cs="宋体" w:eastAsia="宋体" w:hint="default"/>
                <w:sz w:val="18"/>
                <w:szCs w:val="18"/>
              </w:rPr>
            </w:pPr>
            <w:r>
              <w:rPr>
                <w:rFonts w:ascii="宋体" w:hAnsi="宋体" w:cs="宋体" w:eastAsia="宋体" w:hint="default"/>
                <w:sz w:val="18"/>
                <w:szCs w:val="18"/>
              </w:rPr>
              <w:t>上海苏宁电器广场</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719,270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2"/>
              <w:jc w:val="right"/>
              <w:rPr>
                <w:rFonts w:ascii="Arial" w:hAnsi="Arial" w:cs="Arial" w:eastAsia="Arial" w:hint="default"/>
                <w:sz w:val="18"/>
                <w:szCs w:val="18"/>
              </w:rPr>
            </w:pPr>
            <w:r>
              <w:rPr>
                <w:rFonts w:ascii="Arial"/>
                <w:spacing w:val="-1"/>
                <w:sz w:val="18"/>
              </w:rPr>
              <w:t>202,158</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Arial" w:hAnsi="Arial" w:cs="Arial" w:eastAsia="Arial" w:hint="default"/>
                <w:sz w:val="18"/>
                <w:szCs w:val="18"/>
              </w:rPr>
            </w:pPr>
            <w:r>
              <w:rPr>
                <w:rFonts w:ascii="Arial"/>
                <w:spacing w:val="-1"/>
                <w:sz w:val="18"/>
              </w:rPr>
              <w:t>126,691</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5" w:right="0"/>
              <w:jc w:val="left"/>
              <w:rPr>
                <w:rFonts w:ascii="Arial" w:hAnsi="Arial" w:cs="Arial" w:eastAsia="Arial" w:hint="default"/>
                <w:sz w:val="18"/>
                <w:szCs w:val="18"/>
              </w:rPr>
            </w:pPr>
            <w:r>
              <w:rPr>
                <w:rFonts w:ascii="Arial"/>
                <w:sz w:val="18"/>
              </w:rPr>
              <w:t>(327,583)</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spacing w:val="-1"/>
                <w:sz w:val="18"/>
              </w:rPr>
              <w:t>1,266</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5" w:lineRule="exact"/>
              <w:ind w:right="107"/>
              <w:jc w:val="right"/>
              <w:rPr>
                <w:rFonts w:ascii="宋体" w:hAnsi="宋体" w:cs="宋体" w:eastAsia="宋体" w:hint="default"/>
                <w:sz w:val="18"/>
                <w:szCs w:val="18"/>
              </w:rPr>
            </w:pPr>
            <w:r>
              <w:rPr>
                <w:rFonts w:ascii="宋体" w:hAnsi="宋体" w:cs="宋体" w:eastAsia="宋体" w:hint="default"/>
                <w:sz w:val="18"/>
                <w:szCs w:val="18"/>
              </w:rPr>
              <w:t>部分投入运营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3"/>
              <w:jc w:val="right"/>
              <w:rPr>
                <w:rFonts w:ascii="Arial" w:hAnsi="Arial" w:cs="Arial" w:eastAsia="Arial" w:hint="default"/>
                <w:sz w:val="18"/>
                <w:szCs w:val="18"/>
              </w:rPr>
            </w:pPr>
            <w:r>
              <w:rPr>
                <w:rFonts w:ascii="Arial"/>
                <w:spacing w:val="-1"/>
                <w:sz w:val="18"/>
              </w:rPr>
              <w:t>15,122</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1"/>
              <w:jc w:val="right"/>
              <w:rPr>
                <w:rFonts w:ascii="Arial" w:hAnsi="Arial" w:cs="Arial" w:eastAsia="Arial" w:hint="default"/>
                <w:sz w:val="18"/>
                <w:szCs w:val="18"/>
              </w:rPr>
            </w:pPr>
            <w:r>
              <w:rPr>
                <w:rFonts w:ascii="Arial"/>
                <w:spacing w:val="-1"/>
                <w:sz w:val="18"/>
              </w:rPr>
              <w:t>10,019</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4"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6" w:lineRule="exact"/>
              <w:ind w:left="144" w:right="0"/>
              <w:jc w:val="left"/>
              <w:rPr>
                <w:rFonts w:ascii="宋体" w:hAnsi="宋体" w:cs="宋体" w:eastAsia="宋体" w:hint="default"/>
                <w:sz w:val="18"/>
                <w:szCs w:val="18"/>
              </w:rPr>
            </w:pPr>
            <w:r>
              <w:rPr>
                <w:rFonts w:ascii="宋体" w:hAnsi="宋体" w:cs="宋体" w:eastAsia="宋体" w:hint="default"/>
                <w:sz w:val="18"/>
                <w:szCs w:val="18"/>
              </w:rPr>
              <w:t>北京朝阳苏宁电器广场</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514,800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7"/>
              <w:jc w:val="right"/>
              <w:rPr>
                <w:rFonts w:ascii="Arial" w:hAnsi="Arial" w:cs="Arial" w:eastAsia="Arial" w:hint="default"/>
                <w:sz w:val="18"/>
                <w:szCs w:val="18"/>
              </w:rPr>
            </w:pPr>
            <w:r>
              <w:rPr>
                <w:rFonts w:ascii="Arial"/>
                <w:spacing w:val="-1"/>
                <w:sz w:val="18"/>
              </w:rPr>
              <w:t>357,465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157,298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5" w:right="0"/>
              <w:jc w:val="left"/>
              <w:rPr>
                <w:rFonts w:ascii="Arial" w:hAnsi="Arial" w:cs="Arial" w:eastAsia="Arial" w:hint="default"/>
                <w:sz w:val="18"/>
                <w:szCs w:val="18"/>
              </w:rPr>
            </w:pPr>
            <w:r>
              <w:rPr>
                <w:rFonts w:ascii="Arial"/>
                <w:sz w:val="18"/>
              </w:rPr>
              <w:t>(514,763)</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6"/>
              <w:jc w:val="right"/>
              <w:rPr>
                <w:rFonts w:ascii="Arial" w:hAnsi="Arial" w:cs="Arial" w:eastAsia="Arial" w:hint="default"/>
                <w:sz w:val="18"/>
                <w:szCs w:val="18"/>
              </w:rPr>
            </w:pPr>
            <w:r>
              <w:rPr>
                <w:rFonts w:ascii="Arial"/>
                <w:spacing w:val="-1"/>
                <w:w w:val="95"/>
                <w:sz w:val="18"/>
              </w:rPr>
              <w:t>99%</w:t>
            </w:r>
            <w:r>
              <w:rPr>
                <w:rFonts w:ascii="Arial"/>
                <w:sz w:val="18"/>
              </w:rPr>
            </w:r>
          </w:p>
        </w:tc>
        <w:tc>
          <w:tcPr>
            <w:tcW w:w="1516" w:type="dxa"/>
            <w:tcBorders>
              <w:top w:val="nil" w:sz="6" w:space="0" w:color="auto"/>
              <w:left w:val="nil" w:sz="6" w:space="0" w:color="auto"/>
              <w:bottom w:val="nil" w:sz="6" w:space="0" w:color="auto"/>
              <w:right w:val="nil" w:sz="6" w:space="0" w:color="auto"/>
            </w:tcBorders>
          </w:tcPr>
          <w:p>
            <w:pPr>
              <w:pStyle w:val="TableParagraph"/>
              <w:spacing w:line="196"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3"/>
              <w:jc w:val="right"/>
              <w:rPr>
                <w:rFonts w:ascii="Arial" w:hAnsi="Arial" w:cs="Arial" w:eastAsia="Arial" w:hint="default"/>
                <w:sz w:val="18"/>
                <w:szCs w:val="18"/>
              </w:rPr>
            </w:pPr>
            <w:r>
              <w:rPr>
                <w:rFonts w:ascii="Arial"/>
                <w:spacing w:val="-1"/>
                <w:sz w:val="18"/>
              </w:rPr>
              <w:t>22,922</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1"/>
              <w:jc w:val="right"/>
              <w:rPr>
                <w:rFonts w:ascii="Arial" w:hAnsi="Arial" w:cs="Arial" w:eastAsia="Arial" w:hint="default"/>
                <w:sz w:val="18"/>
                <w:szCs w:val="18"/>
              </w:rPr>
            </w:pPr>
            <w:r>
              <w:rPr>
                <w:rFonts w:ascii="Arial"/>
                <w:spacing w:val="-1"/>
                <w:sz w:val="18"/>
              </w:rPr>
              <w:t>12,944</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6" w:lineRule="exact"/>
              <w:ind w:left="144" w:right="0"/>
              <w:jc w:val="left"/>
              <w:rPr>
                <w:rFonts w:ascii="宋体" w:hAnsi="宋体" w:cs="宋体" w:eastAsia="宋体" w:hint="default"/>
                <w:sz w:val="18"/>
                <w:szCs w:val="18"/>
              </w:rPr>
            </w:pPr>
            <w:r>
              <w:rPr>
                <w:rFonts w:ascii="宋体" w:hAnsi="宋体" w:cs="宋体" w:eastAsia="宋体" w:hint="default"/>
                <w:sz w:val="18"/>
                <w:szCs w:val="18"/>
              </w:rPr>
              <w:t>江西南昌物流基地</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170,000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8"/>
              <w:jc w:val="right"/>
              <w:rPr>
                <w:rFonts w:ascii="Arial" w:hAnsi="Arial" w:cs="Arial" w:eastAsia="Arial" w:hint="default"/>
                <w:sz w:val="18"/>
                <w:szCs w:val="18"/>
              </w:rPr>
            </w:pPr>
            <w:r>
              <w:rPr>
                <w:rFonts w:ascii="Arial"/>
                <w:spacing w:val="-1"/>
                <w:sz w:val="18"/>
              </w:rPr>
              <w:t>50,882</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4" w:right="0"/>
              <w:jc w:val="left"/>
              <w:rPr>
                <w:rFonts w:ascii="Arial" w:hAnsi="Arial" w:cs="Arial" w:eastAsia="Arial" w:hint="default"/>
                <w:sz w:val="18"/>
                <w:szCs w:val="18"/>
              </w:rPr>
            </w:pPr>
            <w:r>
              <w:rPr>
                <w:rFonts w:ascii="Arial"/>
                <w:sz w:val="18"/>
              </w:rPr>
              <w:t>(47,773)</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2"/>
              <w:jc w:val="right"/>
              <w:rPr>
                <w:rFonts w:ascii="Arial" w:hAnsi="Arial" w:cs="Arial" w:eastAsia="Arial" w:hint="default"/>
                <w:sz w:val="18"/>
                <w:szCs w:val="18"/>
              </w:rPr>
            </w:pPr>
            <w:r>
              <w:rPr>
                <w:rFonts w:ascii="Arial"/>
                <w:spacing w:val="-1"/>
                <w:sz w:val="18"/>
              </w:rPr>
              <w:t>(3,109)</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6"/>
              <w:jc w:val="right"/>
              <w:rPr>
                <w:rFonts w:ascii="Arial" w:hAnsi="Arial" w:cs="Arial" w:eastAsia="Arial" w:hint="default"/>
                <w:sz w:val="18"/>
                <w:szCs w:val="18"/>
              </w:rPr>
            </w:pPr>
            <w:r>
              <w:rPr>
                <w:rFonts w:ascii="Arial"/>
                <w:spacing w:val="-1"/>
                <w:w w:val="95"/>
                <w:sz w:val="18"/>
              </w:rPr>
              <w:t>96%</w:t>
            </w:r>
            <w:r>
              <w:rPr>
                <w:rFonts w:ascii="Arial"/>
                <w:sz w:val="18"/>
              </w:rPr>
            </w:r>
          </w:p>
        </w:tc>
        <w:tc>
          <w:tcPr>
            <w:tcW w:w="1516" w:type="dxa"/>
            <w:tcBorders>
              <w:top w:val="nil" w:sz="6" w:space="0" w:color="auto"/>
              <w:left w:val="nil" w:sz="6" w:space="0" w:color="auto"/>
              <w:bottom w:val="nil" w:sz="6" w:space="0" w:color="auto"/>
              <w:right w:val="nil" w:sz="6" w:space="0" w:color="auto"/>
            </w:tcBorders>
          </w:tcPr>
          <w:p>
            <w:pPr>
              <w:pStyle w:val="TableParagraph"/>
              <w:spacing w:line="196"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3"/>
              <w:jc w:val="right"/>
              <w:rPr>
                <w:rFonts w:ascii="Arial" w:hAnsi="Arial" w:cs="Arial" w:eastAsia="Arial" w:hint="default"/>
                <w:sz w:val="18"/>
                <w:szCs w:val="18"/>
              </w:rPr>
            </w:pPr>
            <w:r>
              <w:rPr>
                <w:rFonts w:ascii="Arial"/>
                <w:w w:val="99"/>
                <w:sz w:val="18"/>
              </w:rPr>
              <w:t>-</w:t>
            </w:r>
            <w:r>
              <w:rPr>
                <w:rFonts w:ascii="Arial"/>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2"/>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w w:val="99"/>
                <w:sz w:val="18"/>
              </w:rPr>
              <w:t>-</w:t>
            </w:r>
            <w:r>
              <w:rPr>
                <w:rFonts w:ascii="Arial"/>
                <w:sz w:val="18"/>
              </w:rPr>
            </w:r>
          </w:p>
        </w:tc>
        <w:tc>
          <w:tcPr>
            <w:tcW w:w="1228"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5" w:lineRule="exact"/>
              <w:ind w:left="144" w:right="0"/>
              <w:jc w:val="left"/>
              <w:rPr>
                <w:rFonts w:ascii="宋体" w:hAnsi="宋体" w:cs="宋体" w:eastAsia="宋体" w:hint="default"/>
                <w:sz w:val="18"/>
                <w:szCs w:val="18"/>
              </w:rPr>
            </w:pPr>
            <w:r>
              <w:rPr>
                <w:rFonts w:ascii="宋体" w:hAnsi="宋体" w:cs="宋体" w:eastAsia="宋体" w:hint="default"/>
                <w:sz w:val="18"/>
                <w:szCs w:val="18"/>
              </w:rPr>
              <w:t>江苏物流基地</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123,981</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7"/>
              <w:jc w:val="right"/>
              <w:rPr>
                <w:rFonts w:ascii="Arial" w:hAnsi="Arial" w:cs="Arial" w:eastAsia="Arial" w:hint="default"/>
                <w:sz w:val="18"/>
                <w:szCs w:val="18"/>
              </w:rPr>
            </w:pPr>
            <w:r>
              <w:rPr>
                <w:rFonts w:ascii="Arial"/>
                <w:spacing w:val="-1"/>
                <w:sz w:val="18"/>
              </w:rPr>
              <w:t>3,505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85" w:right="0"/>
              <w:jc w:val="left"/>
              <w:rPr>
                <w:rFonts w:ascii="Arial" w:hAnsi="Arial" w:cs="Arial" w:eastAsia="Arial" w:hint="default"/>
                <w:sz w:val="18"/>
                <w:szCs w:val="18"/>
              </w:rPr>
            </w:pPr>
            <w:r>
              <w:rPr>
                <w:rFonts w:ascii="Arial"/>
                <w:sz w:val="18"/>
              </w:rPr>
              <w:t>(3,466)</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58" w:right="0"/>
              <w:jc w:val="left"/>
              <w:rPr>
                <w:rFonts w:ascii="Arial" w:hAnsi="Arial" w:cs="Arial" w:eastAsia="Arial" w:hint="default"/>
                <w:sz w:val="18"/>
                <w:szCs w:val="18"/>
              </w:rPr>
            </w:pPr>
            <w:r>
              <w:rPr>
                <w:rFonts w:ascii="Arial"/>
                <w:sz w:val="18"/>
              </w:rPr>
              <w:t>(39)</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5"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2"/>
              <w:jc w:val="right"/>
              <w:rPr>
                <w:rFonts w:ascii="Arial" w:hAnsi="Arial" w:cs="Arial" w:eastAsia="Arial" w:hint="default"/>
                <w:sz w:val="18"/>
                <w:szCs w:val="18"/>
              </w:rPr>
            </w:pPr>
            <w:r>
              <w:rPr>
                <w:rFonts w:ascii="Arial"/>
                <w:spacing w:val="-1"/>
                <w:sz w:val="18"/>
              </w:rPr>
              <w:t>3,466</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0"/>
              <w:jc w:val="right"/>
              <w:rPr>
                <w:rFonts w:ascii="Arial" w:hAnsi="Arial" w:cs="Arial" w:eastAsia="Arial" w:hint="default"/>
                <w:sz w:val="18"/>
                <w:szCs w:val="18"/>
              </w:rPr>
            </w:pPr>
            <w:r>
              <w:rPr>
                <w:rFonts w:ascii="Arial"/>
                <w:spacing w:val="-1"/>
                <w:sz w:val="18"/>
              </w:rPr>
              <w:t>1,158</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6" w:lineRule="exact"/>
              <w:ind w:left="144" w:right="0"/>
              <w:jc w:val="left"/>
              <w:rPr>
                <w:rFonts w:ascii="宋体" w:hAnsi="宋体" w:cs="宋体" w:eastAsia="宋体" w:hint="default"/>
                <w:sz w:val="18"/>
                <w:szCs w:val="18"/>
              </w:rPr>
            </w:pPr>
            <w:r>
              <w:rPr>
                <w:rFonts w:ascii="宋体" w:hAnsi="宋体" w:cs="宋体" w:eastAsia="宋体" w:hint="default"/>
                <w:sz w:val="18"/>
                <w:szCs w:val="18"/>
              </w:rPr>
              <w:t>汕头苏宁电器广场</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787,430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7"/>
              <w:jc w:val="right"/>
              <w:rPr>
                <w:rFonts w:ascii="Arial" w:hAnsi="Arial" w:cs="Arial" w:eastAsia="Arial" w:hint="default"/>
                <w:sz w:val="18"/>
                <w:szCs w:val="18"/>
              </w:rPr>
            </w:pPr>
            <w:r>
              <w:rPr>
                <w:rFonts w:ascii="Arial"/>
                <w:spacing w:val="-1"/>
                <w:sz w:val="18"/>
              </w:rPr>
              <w:t>328,148</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184,330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5" w:right="0"/>
              <w:jc w:val="left"/>
              <w:rPr>
                <w:rFonts w:ascii="Arial" w:hAnsi="Arial" w:cs="Arial" w:eastAsia="Arial" w:hint="default"/>
                <w:sz w:val="18"/>
                <w:szCs w:val="18"/>
              </w:rPr>
            </w:pPr>
            <w:r>
              <w:rPr>
                <w:rFonts w:ascii="Arial"/>
                <w:sz w:val="18"/>
              </w:rPr>
              <w:t>(512,478)</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6"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3"/>
              <w:jc w:val="right"/>
              <w:rPr>
                <w:rFonts w:ascii="Arial" w:hAnsi="Arial" w:cs="Arial" w:eastAsia="Arial" w:hint="default"/>
                <w:sz w:val="18"/>
                <w:szCs w:val="18"/>
              </w:rPr>
            </w:pPr>
            <w:r>
              <w:rPr>
                <w:rFonts w:ascii="Arial"/>
                <w:spacing w:val="-1"/>
                <w:sz w:val="18"/>
              </w:rPr>
              <w:t>20,913</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1"/>
              <w:jc w:val="right"/>
              <w:rPr>
                <w:rFonts w:ascii="Arial" w:hAnsi="Arial" w:cs="Arial" w:eastAsia="Arial" w:hint="default"/>
                <w:sz w:val="18"/>
                <w:szCs w:val="18"/>
              </w:rPr>
            </w:pPr>
            <w:r>
              <w:rPr>
                <w:rFonts w:ascii="Arial"/>
                <w:spacing w:val="-1"/>
                <w:sz w:val="18"/>
              </w:rPr>
              <w:t>12,764</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4"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5" w:lineRule="exact"/>
              <w:ind w:left="144" w:right="0"/>
              <w:jc w:val="left"/>
              <w:rPr>
                <w:rFonts w:ascii="宋体" w:hAnsi="宋体" w:cs="宋体" w:eastAsia="宋体" w:hint="default"/>
                <w:sz w:val="18"/>
                <w:szCs w:val="18"/>
              </w:rPr>
            </w:pPr>
            <w:r>
              <w:rPr>
                <w:rFonts w:ascii="宋体" w:hAnsi="宋体" w:cs="宋体" w:eastAsia="宋体" w:hint="default"/>
                <w:sz w:val="18"/>
                <w:szCs w:val="18"/>
              </w:rPr>
              <w:t>上海沪申苏宁电器物流项目</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425,580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7"/>
              <w:jc w:val="right"/>
              <w:rPr>
                <w:rFonts w:ascii="Arial" w:hAnsi="Arial" w:cs="Arial" w:eastAsia="Arial" w:hint="default"/>
                <w:sz w:val="18"/>
                <w:szCs w:val="18"/>
              </w:rPr>
            </w:pPr>
            <w:r>
              <w:rPr>
                <w:rFonts w:ascii="Arial"/>
                <w:spacing w:val="-1"/>
                <w:sz w:val="18"/>
              </w:rPr>
              <w:t>278,460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Arial" w:hAnsi="Arial" w:cs="Arial" w:eastAsia="Arial" w:hint="default"/>
                <w:sz w:val="18"/>
                <w:szCs w:val="18"/>
              </w:rPr>
            </w:pPr>
            <w:r>
              <w:rPr>
                <w:rFonts w:ascii="Arial"/>
                <w:spacing w:val="-1"/>
                <w:sz w:val="18"/>
              </w:rPr>
              <w:t>147,098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5" w:right="0"/>
              <w:jc w:val="left"/>
              <w:rPr>
                <w:rFonts w:ascii="Arial" w:hAnsi="Arial" w:cs="Arial" w:eastAsia="Arial" w:hint="default"/>
                <w:sz w:val="18"/>
                <w:szCs w:val="18"/>
              </w:rPr>
            </w:pPr>
            <w:r>
              <w:rPr>
                <w:rFonts w:ascii="Arial"/>
                <w:sz w:val="18"/>
              </w:rPr>
              <w:t>(425,558)</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5"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3"/>
              <w:jc w:val="right"/>
              <w:rPr>
                <w:rFonts w:ascii="Arial" w:hAnsi="Arial" w:cs="Arial" w:eastAsia="Arial" w:hint="default"/>
                <w:sz w:val="18"/>
                <w:szCs w:val="18"/>
              </w:rPr>
            </w:pPr>
            <w:r>
              <w:rPr>
                <w:rFonts w:ascii="Arial"/>
                <w:spacing w:val="-1"/>
                <w:sz w:val="18"/>
              </w:rPr>
              <w:t>13,226</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0"/>
              <w:jc w:val="right"/>
              <w:rPr>
                <w:rFonts w:ascii="Arial" w:hAnsi="Arial" w:cs="Arial" w:eastAsia="Arial" w:hint="default"/>
                <w:sz w:val="18"/>
                <w:szCs w:val="18"/>
              </w:rPr>
            </w:pPr>
            <w:r>
              <w:rPr>
                <w:rFonts w:ascii="Arial"/>
                <w:spacing w:val="-1"/>
                <w:sz w:val="18"/>
              </w:rPr>
              <w:t>7,789</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4"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6" w:lineRule="exact"/>
              <w:ind w:left="144" w:right="0"/>
              <w:jc w:val="left"/>
              <w:rPr>
                <w:rFonts w:ascii="宋体" w:hAnsi="宋体" w:cs="宋体" w:eastAsia="宋体" w:hint="default"/>
                <w:sz w:val="18"/>
                <w:szCs w:val="18"/>
              </w:rPr>
            </w:pPr>
            <w:r>
              <w:rPr>
                <w:rFonts w:ascii="宋体" w:hAnsi="宋体" w:cs="宋体" w:eastAsia="宋体" w:hint="default"/>
                <w:sz w:val="18"/>
                <w:szCs w:val="18"/>
              </w:rPr>
              <w:t>苏州苏宁电器广场</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162,180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7"/>
              <w:jc w:val="right"/>
              <w:rPr>
                <w:rFonts w:ascii="Arial" w:hAnsi="Arial" w:cs="Arial" w:eastAsia="Arial" w:hint="default"/>
                <w:sz w:val="18"/>
                <w:szCs w:val="18"/>
              </w:rPr>
            </w:pPr>
            <w:r>
              <w:rPr>
                <w:rFonts w:ascii="Arial"/>
                <w:spacing w:val="-1"/>
                <w:sz w:val="18"/>
              </w:rPr>
              <w:t>204,698</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10,510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5" w:right="0"/>
              <w:jc w:val="left"/>
              <w:rPr>
                <w:rFonts w:ascii="Arial" w:hAnsi="Arial" w:cs="Arial" w:eastAsia="Arial" w:hint="default"/>
                <w:sz w:val="18"/>
                <w:szCs w:val="18"/>
              </w:rPr>
            </w:pPr>
            <w:r>
              <w:rPr>
                <w:rFonts w:ascii="Arial"/>
                <w:sz w:val="18"/>
              </w:rPr>
              <w:t>(215,208)</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6"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3"/>
              <w:jc w:val="right"/>
              <w:rPr>
                <w:rFonts w:ascii="Arial" w:hAnsi="Arial" w:cs="Arial" w:eastAsia="Arial" w:hint="default"/>
                <w:sz w:val="18"/>
                <w:szCs w:val="18"/>
              </w:rPr>
            </w:pPr>
            <w:r>
              <w:rPr>
                <w:rFonts w:ascii="Arial"/>
                <w:spacing w:val="-3"/>
                <w:sz w:val="18"/>
              </w:rPr>
              <w:t>11,256</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0"/>
              <w:jc w:val="right"/>
              <w:rPr>
                <w:rFonts w:ascii="Arial" w:hAnsi="Arial" w:cs="Arial" w:eastAsia="Arial" w:hint="default"/>
                <w:sz w:val="18"/>
                <w:szCs w:val="18"/>
              </w:rPr>
            </w:pPr>
            <w:r>
              <w:rPr>
                <w:rFonts w:ascii="Arial"/>
                <w:spacing w:val="-1"/>
                <w:sz w:val="18"/>
              </w:rPr>
              <w:t>4,175</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5" w:lineRule="exact"/>
              <w:ind w:left="144" w:right="0"/>
              <w:jc w:val="left"/>
              <w:rPr>
                <w:rFonts w:ascii="宋体" w:hAnsi="宋体" w:cs="宋体" w:eastAsia="宋体" w:hint="default"/>
                <w:sz w:val="18"/>
                <w:szCs w:val="18"/>
              </w:rPr>
            </w:pPr>
            <w:r>
              <w:rPr>
                <w:rFonts w:ascii="宋体" w:hAnsi="宋体" w:cs="宋体" w:eastAsia="宋体" w:hint="default"/>
                <w:sz w:val="18"/>
                <w:szCs w:val="18"/>
              </w:rPr>
              <w:t>西安苏宁电器广场</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230,940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7"/>
              <w:jc w:val="right"/>
              <w:rPr>
                <w:rFonts w:ascii="Arial" w:hAnsi="Arial" w:cs="Arial" w:eastAsia="Arial" w:hint="default"/>
                <w:sz w:val="18"/>
                <w:szCs w:val="18"/>
              </w:rPr>
            </w:pPr>
            <w:r>
              <w:rPr>
                <w:rFonts w:ascii="Arial"/>
                <w:spacing w:val="-1"/>
                <w:sz w:val="18"/>
              </w:rPr>
              <w:t>177,816</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Arial" w:hAnsi="Arial" w:cs="Arial" w:eastAsia="Arial" w:hint="default"/>
                <w:sz w:val="18"/>
                <w:szCs w:val="18"/>
              </w:rPr>
            </w:pPr>
            <w:r>
              <w:rPr>
                <w:rFonts w:ascii="Arial"/>
                <w:spacing w:val="-1"/>
                <w:sz w:val="18"/>
              </w:rPr>
              <w:t>72,558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5" w:right="0"/>
              <w:jc w:val="left"/>
              <w:rPr>
                <w:rFonts w:ascii="Arial" w:hAnsi="Arial" w:cs="Arial" w:eastAsia="Arial" w:hint="default"/>
                <w:sz w:val="18"/>
                <w:szCs w:val="18"/>
              </w:rPr>
            </w:pPr>
            <w:r>
              <w:rPr>
                <w:rFonts w:ascii="Arial"/>
                <w:sz w:val="18"/>
              </w:rPr>
              <w:t>(250,374)</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5"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3"/>
              <w:jc w:val="right"/>
              <w:rPr>
                <w:rFonts w:ascii="Arial" w:hAnsi="Arial" w:cs="Arial" w:eastAsia="Arial" w:hint="default"/>
                <w:sz w:val="18"/>
                <w:szCs w:val="18"/>
              </w:rPr>
            </w:pPr>
            <w:r>
              <w:rPr>
                <w:rFonts w:ascii="Arial"/>
                <w:spacing w:val="-3"/>
                <w:sz w:val="18"/>
              </w:rPr>
              <w:t>11,917</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1"/>
              <w:jc w:val="right"/>
              <w:rPr>
                <w:rFonts w:ascii="Arial" w:hAnsi="Arial" w:cs="Arial" w:eastAsia="Arial" w:hint="default"/>
                <w:sz w:val="18"/>
                <w:szCs w:val="18"/>
              </w:rPr>
            </w:pPr>
            <w:r>
              <w:rPr>
                <w:rFonts w:ascii="Arial"/>
                <w:spacing w:val="-3"/>
                <w:sz w:val="18"/>
              </w:rPr>
              <w:t>7,113</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6" w:lineRule="exact"/>
              <w:ind w:left="144" w:right="0"/>
              <w:jc w:val="left"/>
              <w:rPr>
                <w:rFonts w:ascii="宋体" w:hAnsi="宋体" w:cs="宋体" w:eastAsia="宋体" w:hint="default"/>
                <w:sz w:val="18"/>
                <w:szCs w:val="18"/>
              </w:rPr>
            </w:pPr>
            <w:r>
              <w:rPr>
                <w:rFonts w:ascii="宋体" w:hAnsi="宋体" w:cs="宋体" w:eastAsia="宋体" w:hint="default"/>
                <w:sz w:val="18"/>
                <w:szCs w:val="18"/>
              </w:rPr>
              <w:t>杭州苏宁电器广场</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147,177</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7"/>
              <w:jc w:val="right"/>
              <w:rPr>
                <w:rFonts w:ascii="Arial" w:hAnsi="Arial" w:cs="Arial" w:eastAsia="Arial" w:hint="default"/>
                <w:sz w:val="18"/>
                <w:szCs w:val="18"/>
              </w:rPr>
            </w:pPr>
            <w:r>
              <w:rPr>
                <w:rFonts w:ascii="Arial"/>
                <w:spacing w:val="-1"/>
                <w:sz w:val="18"/>
              </w:rPr>
              <w:t>145,200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19,027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5" w:right="0"/>
              <w:jc w:val="left"/>
              <w:rPr>
                <w:rFonts w:ascii="Arial" w:hAnsi="Arial" w:cs="Arial" w:eastAsia="Arial" w:hint="default"/>
                <w:sz w:val="18"/>
                <w:szCs w:val="18"/>
              </w:rPr>
            </w:pPr>
            <w:r>
              <w:rPr>
                <w:rFonts w:ascii="Arial"/>
                <w:sz w:val="18"/>
              </w:rPr>
              <w:t>(164,227)</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6"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2"/>
              <w:jc w:val="right"/>
              <w:rPr>
                <w:rFonts w:ascii="Arial" w:hAnsi="Arial" w:cs="Arial" w:eastAsia="Arial" w:hint="default"/>
                <w:sz w:val="18"/>
                <w:szCs w:val="18"/>
              </w:rPr>
            </w:pPr>
            <w:r>
              <w:rPr>
                <w:rFonts w:ascii="Arial"/>
                <w:spacing w:val="-1"/>
                <w:sz w:val="18"/>
              </w:rPr>
              <w:t>7,553</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0"/>
              <w:jc w:val="right"/>
              <w:rPr>
                <w:rFonts w:ascii="Arial" w:hAnsi="Arial" w:cs="Arial" w:eastAsia="Arial" w:hint="default"/>
                <w:sz w:val="18"/>
                <w:szCs w:val="18"/>
              </w:rPr>
            </w:pPr>
            <w:r>
              <w:rPr>
                <w:rFonts w:ascii="Arial"/>
                <w:spacing w:val="-1"/>
                <w:sz w:val="18"/>
              </w:rPr>
              <w:t>3,048</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5" w:lineRule="exact"/>
              <w:ind w:left="144" w:right="0"/>
              <w:jc w:val="left"/>
              <w:rPr>
                <w:rFonts w:ascii="宋体" w:hAnsi="宋体" w:cs="宋体" w:eastAsia="宋体" w:hint="default"/>
                <w:sz w:val="18"/>
                <w:szCs w:val="18"/>
              </w:rPr>
            </w:pPr>
            <w:r>
              <w:rPr>
                <w:rFonts w:ascii="宋体" w:hAnsi="宋体" w:cs="宋体" w:eastAsia="宋体" w:hint="default"/>
                <w:sz w:val="18"/>
                <w:szCs w:val="18"/>
              </w:rPr>
              <w:t>温州物流基地</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174,825</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8"/>
              <w:jc w:val="right"/>
              <w:rPr>
                <w:rFonts w:ascii="Arial" w:hAnsi="Arial" w:cs="Arial" w:eastAsia="Arial" w:hint="default"/>
                <w:sz w:val="18"/>
                <w:szCs w:val="18"/>
              </w:rPr>
            </w:pPr>
            <w:r>
              <w:rPr>
                <w:rFonts w:ascii="Arial"/>
                <w:spacing w:val="-1"/>
                <w:sz w:val="18"/>
              </w:rPr>
              <w:t>81,322</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Arial" w:hAnsi="Arial" w:cs="Arial" w:eastAsia="Arial" w:hint="default"/>
                <w:sz w:val="18"/>
                <w:szCs w:val="18"/>
              </w:rPr>
            </w:pPr>
            <w:r>
              <w:rPr>
                <w:rFonts w:ascii="Arial"/>
                <w:spacing w:val="-1"/>
                <w:sz w:val="18"/>
              </w:rPr>
              <w:t>93,503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5" w:right="0"/>
              <w:jc w:val="left"/>
              <w:rPr>
                <w:rFonts w:ascii="Arial" w:hAnsi="Arial" w:cs="Arial" w:eastAsia="Arial" w:hint="default"/>
                <w:sz w:val="18"/>
                <w:szCs w:val="18"/>
              </w:rPr>
            </w:pPr>
            <w:r>
              <w:rPr>
                <w:rFonts w:ascii="Arial"/>
                <w:sz w:val="18"/>
              </w:rPr>
              <w:t>(174,825)</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5"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2"/>
              <w:jc w:val="right"/>
              <w:rPr>
                <w:rFonts w:ascii="Arial" w:hAnsi="Arial" w:cs="Arial" w:eastAsia="Arial" w:hint="default"/>
                <w:sz w:val="18"/>
                <w:szCs w:val="18"/>
              </w:rPr>
            </w:pPr>
            <w:r>
              <w:rPr>
                <w:rFonts w:ascii="Arial"/>
                <w:spacing w:val="-1"/>
                <w:sz w:val="18"/>
              </w:rPr>
              <w:t>5,704</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0"/>
              <w:jc w:val="right"/>
              <w:rPr>
                <w:rFonts w:ascii="Arial" w:hAnsi="Arial" w:cs="Arial" w:eastAsia="Arial" w:hint="default"/>
                <w:sz w:val="18"/>
                <w:szCs w:val="18"/>
              </w:rPr>
            </w:pPr>
            <w:r>
              <w:rPr>
                <w:rFonts w:ascii="Arial"/>
                <w:spacing w:val="-1"/>
                <w:sz w:val="18"/>
              </w:rPr>
              <w:t>3,979</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18" w:hRule="exact"/>
        </w:trPr>
        <w:tc>
          <w:tcPr>
            <w:tcW w:w="751"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196" w:lineRule="exact"/>
              <w:ind w:left="144" w:right="0"/>
              <w:jc w:val="left"/>
              <w:rPr>
                <w:rFonts w:ascii="宋体" w:hAnsi="宋体" w:cs="宋体" w:eastAsia="宋体" w:hint="default"/>
                <w:sz w:val="18"/>
                <w:szCs w:val="18"/>
              </w:rPr>
            </w:pPr>
            <w:r>
              <w:rPr>
                <w:rFonts w:ascii="宋体" w:hAnsi="宋体" w:cs="宋体" w:eastAsia="宋体" w:hint="default"/>
                <w:sz w:val="18"/>
                <w:szCs w:val="18"/>
              </w:rPr>
              <w:t>昆明物流基地</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3"/>
                <w:sz w:val="18"/>
              </w:rPr>
              <w:t>118,040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8"/>
              <w:jc w:val="right"/>
              <w:rPr>
                <w:rFonts w:ascii="Arial" w:hAnsi="Arial" w:cs="Arial" w:eastAsia="Arial" w:hint="default"/>
                <w:sz w:val="18"/>
                <w:szCs w:val="18"/>
              </w:rPr>
            </w:pPr>
            <w:r>
              <w:rPr>
                <w:rFonts w:ascii="Arial"/>
                <w:spacing w:val="-1"/>
                <w:sz w:val="18"/>
              </w:rPr>
              <w:t>67,590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50,450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98" w:right="0"/>
              <w:jc w:val="left"/>
              <w:rPr>
                <w:rFonts w:ascii="Arial" w:hAnsi="Arial" w:cs="Arial" w:eastAsia="Arial" w:hint="default"/>
                <w:sz w:val="18"/>
                <w:szCs w:val="18"/>
              </w:rPr>
            </w:pPr>
            <w:r>
              <w:rPr>
                <w:rFonts w:ascii="Arial"/>
                <w:sz w:val="18"/>
              </w:rPr>
              <w:t>(118,040)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1"/>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4"/>
              <w:jc w:val="right"/>
              <w:rPr>
                <w:rFonts w:ascii="Arial" w:hAnsi="Arial" w:cs="Arial" w:eastAsia="Arial" w:hint="default"/>
                <w:sz w:val="18"/>
                <w:szCs w:val="18"/>
              </w:rPr>
            </w:pPr>
            <w:r>
              <w:rPr>
                <w:rFonts w:ascii="Arial"/>
                <w:w w:val="99"/>
                <w:sz w:val="18"/>
              </w:rPr>
              <w:t>-</w:t>
            </w:r>
            <w:r>
              <w:rPr>
                <w:rFonts w:ascii="Arial"/>
                <w:sz w:val="18"/>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6"/>
              <w:jc w:val="right"/>
              <w:rPr>
                <w:rFonts w:ascii="Arial" w:hAnsi="Arial" w:cs="Arial" w:eastAsia="Arial" w:hint="default"/>
                <w:sz w:val="18"/>
                <w:szCs w:val="18"/>
              </w:rPr>
            </w:pPr>
            <w:r>
              <w:rPr>
                <w:rFonts w:ascii="Arial"/>
                <w:spacing w:val="-1"/>
                <w:sz w:val="18"/>
              </w:rPr>
              <w:t>100%</w:t>
            </w:r>
          </w:p>
        </w:tc>
        <w:tc>
          <w:tcPr>
            <w:tcW w:w="1516" w:type="dxa"/>
            <w:tcBorders>
              <w:top w:val="nil" w:sz="6" w:space="0" w:color="auto"/>
              <w:left w:val="nil" w:sz="6" w:space="0" w:color="auto"/>
              <w:bottom w:val="nil" w:sz="6" w:space="0" w:color="auto"/>
              <w:right w:val="nil" w:sz="6" w:space="0" w:color="auto"/>
            </w:tcBorders>
          </w:tcPr>
          <w:p>
            <w:pPr>
              <w:pStyle w:val="TableParagraph"/>
              <w:spacing w:line="196" w:lineRule="exact"/>
              <w:ind w:right="107"/>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2"/>
              <w:jc w:val="right"/>
              <w:rPr>
                <w:rFonts w:ascii="Arial" w:hAnsi="Arial" w:cs="Arial" w:eastAsia="Arial" w:hint="default"/>
                <w:sz w:val="18"/>
                <w:szCs w:val="18"/>
              </w:rPr>
            </w:pPr>
            <w:r>
              <w:rPr>
                <w:rFonts w:ascii="Arial"/>
                <w:spacing w:val="-1"/>
                <w:sz w:val="18"/>
              </w:rPr>
              <w:t>3,510</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0"/>
              <w:jc w:val="right"/>
              <w:rPr>
                <w:rFonts w:ascii="Arial" w:hAnsi="Arial" w:cs="Arial" w:eastAsia="Arial" w:hint="default"/>
                <w:sz w:val="18"/>
                <w:szCs w:val="18"/>
              </w:rPr>
            </w:pPr>
            <w:r>
              <w:rPr>
                <w:rFonts w:ascii="Arial"/>
                <w:spacing w:val="-1"/>
                <w:sz w:val="18"/>
              </w:rPr>
              <w:t>2,099</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5.53%</w:t>
            </w:r>
          </w:p>
        </w:tc>
        <w:tc>
          <w:tcPr>
            <w:tcW w:w="1228"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bl>
    <w:p>
      <w:pPr>
        <w:spacing w:after="0" w:line="196" w:lineRule="exact"/>
        <w:jc w:val="right"/>
        <w:rPr>
          <w:rFonts w:ascii="宋体" w:hAnsi="宋体" w:cs="宋体" w:eastAsia="宋体" w:hint="default"/>
          <w:sz w:val="18"/>
          <w:szCs w:val="18"/>
        </w:rPr>
        <w:sectPr>
          <w:pgSz w:w="16840" w:h="11910" w:orient="landscape"/>
          <w:pgMar w:header="755" w:footer="915" w:top="1860" w:bottom="110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735"/>
        <w:gridCol w:w="1989"/>
        <w:gridCol w:w="1190"/>
        <w:gridCol w:w="1115"/>
        <w:gridCol w:w="986"/>
        <w:gridCol w:w="1198"/>
        <w:gridCol w:w="1011"/>
        <w:gridCol w:w="1017"/>
        <w:gridCol w:w="1159"/>
        <w:gridCol w:w="1312"/>
        <w:gridCol w:w="931"/>
        <w:gridCol w:w="128"/>
        <w:gridCol w:w="865"/>
        <w:gridCol w:w="1038"/>
        <w:gridCol w:w="1206"/>
      </w:tblGrid>
      <w:tr>
        <w:trPr>
          <w:trHeight w:val="416"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7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15"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r>
      <w:tr>
        <w:trPr>
          <w:trHeight w:val="587"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(15)</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1"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90"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r>
      <w:tr>
        <w:trPr>
          <w:trHeight w:val="586"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1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40" w:right="0"/>
              <w:jc w:val="left"/>
              <w:rPr>
                <w:rFonts w:ascii="Arial" w:hAnsi="Arial" w:cs="Arial" w:eastAsia="Arial" w:hint="default"/>
                <w:sz w:val="24"/>
                <w:szCs w:val="24"/>
              </w:rPr>
            </w:pPr>
            <w:r>
              <w:rPr>
                <w:rFonts w:ascii="宋体" w:hAnsi="宋体" w:cs="宋体" w:eastAsia="宋体" w:hint="default"/>
                <w:sz w:val="24"/>
                <w:szCs w:val="24"/>
              </w:rPr>
              <w:t>重大在建工程变动</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15"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r>
      <w:tr>
        <w:trPr>
          <w:trHeight w:val="1212" w:hRule="exact"/>
        </w:trPr>
        <w:tc>
          <w:tcPr>
            <w:tcW w:w="735"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50"/>
              <w:jc w:val="right"/>
              <w:rPr>
                <w:rFonts w:ascii="宋体" w:hAnsi="宋体" w:cs="宋体" w:eastAsia="宋体" w:hint="default"/>
                <w:sz w:val="18"/>
                <w:szCs w:val="18"/>
              </w:rPr>
            </w:pPr>
            <w:r>
              <w:rPr>
                <w:rFonts w:ascii="宋体" w:hAnsi="宋体" w:cs="宋体" w:eastAsia="宋体" w:hint="default"/>
                <w:sz w:val="18"/>
                <w:szCs w:val="18"/>
              </w:rPr>
              <w:t>预算数</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60"/>
              <w:ind w:left="38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4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5"/>
              <w:ind w:left="75" w:right="130" w:firstLine="270"/>
              <w:jc w:val="right"/>
              <w:rPr>
                <w:rFonts w:ascii="Arial" w:hAnsi="Arial" w:cs="Arial" w:eastAsia="Arial" w:hint="default"/>
                <w:sz w:val="18"/>
                <w:szCs w:val="18"/>
              </w:rPr>
            </w:pPr>
            <w:r>
              <w:rPr>
                <w:rFonts w:ascii="宋体" w:hAnsi="宋体" w:cs="宋体" w:eastAsia="宋体" w:hint="default"/>
                <w:sz w:val="18"/>
                <w:szCs w:val="18"/>
              </w:rPr>
              <w:t>本年转入 固定资产 </w:t>
            </w: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(14))</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33"/>
              <w:ind w:right="29"/>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33" w:lineRule="exact"/>
              <w:ind w:right="26"/>
              <w:jc w:val="righ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31</w:t>
            </w:r>
          </w:p>
          <w:p>
            <w:pPr>
              <w:pStyle w:val="TableParagraph"/>
              <w:spacing w:line="228" w:lineRule="exact"/>
              <w:ind w:right="26"/>
              <w:jc w:val="right"/>
              <w:rPr>
                <w:rFonts w:ascii="宋体" w:hAnsi="宋体" w:cs="宋体" w:eastAsia="宋体" w:hint="default"/>
                <w:sz w:val="18"/>
                <w:szCs w:val="18"/>
              </w:rPr>
            </w:pPr>
            <w:r>
              <w:rPr>
                <w:rFonts w:ascii="宋体" w:hAnsi="宋体" w:cs="宋体" w:eastAsia="宋体" w:hint="default"/>
                <w:sz w:val="18"/>
                <w:szCs w:val="18"/>
              </w:rPr>
              <w:t>日</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24" w:right="312"/>
              <w:jc w:val="left"/>
              <w:rPr>
                <w:rFonts w:ascii="宋体" w:hAnsi="宋体" w:cs="宋体" w:eastAsia="宋体" w:hint="default"/>
                <w:sz w:val="18"/>
                <w:szCs w:val="18"/>
              </w:rPr>
            </w:pPr>
            <w:r>
              <w:rPr>
                <w:rFonts w:ascii="宋体" w:hAnsi="宋体" w:cs="宋体" w:eastAsia="宋体" w:hint="default"/>
                <w:sz w:val="18"/>
                <w:szCs w:val="18"/>
              </w:rPr>
              <w:t>工程投入 占预算的</w:t>
            </w:r>
          </w:p>
          <w:p>
            <w:pPr>
              <w:pStyle w:val="TableParagraph"/>
              <w:spacing w:line="233" w:lineRule="exact"/>
              <w:ind w:left="4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5"/>
              <w:ind w:left="121" w:right="79" w:firstLine="8"/>
              <w:jc w:val="right"/>
              <w:rPr>
                <w:rFonts w:ascii="宋体" w:hAnsi="宋体" w:cs="宋体" w:eastAsia="宋体" w:hint="default"/>
                <w:sz w:val="18"/>
                <w:szCs w:val="18"/>
              </w:rPr>
            </w:pPr>
            <w:r>
              <w:rPr>
                <w:rFonts w:ascii="宋体" w:hAnsi="宋体" w:cs="宋体" w:eastAsia="宋体" w:hint="default"/>
                <w:sz w:val="18"/>
                <w:szCs w:val="18"/>
              </w:rPr>
              <w:t>借款费用 资本化 累计金额</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spacing w:line="237" w:lineRule="auto" w:before="110"/>
              <w:ind w:left="55" w:right="89" w:firstLine="23"/>
              <w:jc w:val="both"/>
              <w:rPr>
                <w:rFonts w:ascii="宋体" w:hAnsi="宋体" w:cs="宋体" w:eastAsia="宋体" w:hint="default"/>
                <w:sz w:val="18"/>
                <w:szCs w:val="18"/>
              </w:rPr>
            </w:pPr>
            <w:r>
              <w:rPr>
                <w:rFonts w:ascii="宋体" w:hAnsi="宋体" w:cs="宋体" w:eastAsia="宋体" w:hint="default"/>
                <w:spacing w:val="-6"/>
                <w:sz w:val="18"/>
                <w:szCs w:val="18"/>
              </w:rPr>
              <w:t>中：本年</w:t>
            </w:r>
            <w:r>
              <w:rPr>
                <w:rFonts w:ascii="宋体" w:hAnsi="宋体" w:cs="宋体" w:eastAsia="宋体" w:hint="default"/>
                <w:sz w:val="18"/>
                <w:szCs w:val="18"/>
              </w:rPr>
              <w:t> 借款费用 资本化金</w:t>
            </w:r>
          </w:p>
          <w:p>
            <w:pPr>
              <w:pStyle w:val="TableParagraph"/>
              <w:spacing w:line="233" w:lineRule="exact"/>
              <w:ind w:right="89"/>
              <w:jc w:val="right"/>
              <w:rPr>
                <w:rFonts w:ascii="宋体" w:hAnsi="宋体" w:cs="宋体" w:eastAsia="宋体" w:hint="default"/>
                <w:sz w:val="18"/>
                <w:szCs w:val="18"/>
              </w:rPr>
            </w:pPr>
            <w:r>
              <w:rPr>
                <w:rFonts w:ascii="宋体" w:hAnsi="宋体" w:cs="宋体" w:eastAsia="宋体" w:hint="default"/>
                <w:sz w:val="18"/>
                <w:szCs w:val="18"/>
              </w:rPr>
              <w:t>额</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00" w:right="116"/>
              <w:jc w:val="left"/>
              <w:rPr>
                <w:rFonts w:ascii="宋体" w:hAnsi="宋体" w:cs="宋体" w:eastAsia="宋体" w:hint="default"/>
                <w:sz w:val="18"/>
                <w:szCs w:val="18"/>
              </w:rPr>
            </w:pPr>
            <w:r>
              <w:rPr>
                <w:rFonts w:ascii="宋体" w:hAnsi="宋体" w:cs="宋体" w:eastAsia="宋体" w:hint="default"/>
                <w:sz w:val="18"/>
                <w:szCs w:val="18"/>
              </w:rPr>
              <w:t>本年借款 费用资本</w:t>
            </w:r>
          </w:p>
          <w:p>
            <w:pPr>
              <w:pStyle w:val="TableParagraph"/>
              <w:spacing w:line="233" w:lineRule="exact"/>
              <w:ind w:left="560"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21" w:hRule="exact"/>
        </w:trPr>
        <w:tc>
          <w:tcPr>
            <w:tcW w:w="735"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61" w:right="0"/>
              <w:jc w:val="left"/>
              <w:rPr>
                <w:rFonts w:ascii="宋体" w:hAnsi="宋体" w:cs="宋体" w:eastAsia="宋体" w:hint="default"/>
                <w:sz w:val="18"/>
                <w:szCs w:val="18"/>
              </w:rPr>
            </w:pPr>
            <w:r>
              <w:rPr>
                <w:rFonts w:ascii="宋体" w:hAnsi="宋体" w:cs="宋体" w:eastAsia="宋体" w:hint="default"/>
                <w:sz w:val="18"/>
                <w:szCs w:val="18"/>
              </w:rPr>
              <w:t>乌鲁木齐物流基地</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0"/>
              <w:jc w:val="right"/>
              <w:rPr>
                <w:rFonts w:ascii="Arial" w:hAnsi="Arial" w:cs="Arial" w:eastAsia="Arial" w:hint="default"/>
                <w:sz w:val="18"/>
                <w:szCs w:val="18"/>
              </w:rPr>
            </w:pPr>
            <w:r>
              <w:rPr>
                <w:rFonts w:ascii="Arial"/>
                <w:spacing w:val="-1"/>
                <w:sz w:val="18"/>
              </w:rPr>
              <w:t>80,500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94" w:right="0"/>
              <w:jc w:val="left"/>
              <w:rPr>
                <w:rFonts w:ascii="Arial" w:hAnsi="Arial" w:cs="Arial" w:eastAsia="Arial" w:hint="default"/>
                <w:sz w:val="18"/>
                <w:szCs w:val="18"/>
              </w:rPr>
            </w:pPr>
            <w:r>
              <w:rPr>
                <w:rFonts w:ascii="Arial"/>
                <w:sz w:val="18"/>
              </w:rPr>
              <w:t>52,006</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59" w:right="0"/>
              <w:jc w:val="left"/>
              <w:rPr>
                <w:rFonts w:ascii="Arial" w:hAnsi="Arial" w:cs="Arial" w:eastAsia="Arial" w:hint="default"/>
                <w:sz w:val="18"/>
                <w:szCs w:val="18"/>
              </w:rPr>
            </w:pPr>
            <w:r>
              <w:rPr>
                <w:rFonts w:ascii="Arial"/>
                <w:sz w:val="18"/>
              </w:rPr>
              <w:t>28,440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84" w:right="0"/>
              <w:jc w:val="left"/>
              <w:rPr>
                <w:rFonts w:ascii="Arial" w:hAnsi="Arial" w:cs="Arial" w:eastAsia="Arial" w:hint="default"/>
                <w:sz w:val="18"/>
                <w:szCs w:val="18"/>
              </w:rPr>
            </w:pPr>
            <w:r>
              <w:rPr>
                <w:rFonts w:ascii="Arial"/>
                <w:sz w:val="18"/>
              </w:rPr>
              <w:t>(80,446)</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5"/>
              <w:jc w:val="right"/>
              <w:rPr>
                <w:rFonts w:ascii="Arial" w:hAnsi="Arial" w:cs="Arial" w:eastAsia="Arial" w:hint="default"/>
                <w:sz w:val="18"/>
                <w:szCs w:val="18"/>
              </w:rPr>
            </w:pPr>
            <w:r>
              <w:rPr>
                <w:rFonts w:ascii="Arial"/>
                <w:w w:val="99"/>
                <w:sz w:val="18"/>
              </w:rPr>
              <w:t>-</w:t>
            </w:r>
            <w:r>
              <w:rPr>
                <w:rFonts w:ascii="Arial"/>
                <w:sz w:val="18"/>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33" w:right="0"/>
              <w:jc w:val="left"/>
              <w:rPr>
                <w:rFonts w:ascii="Arial" w:hAnsi="Arial" w:cs="Arial" w:eastAsia="Arial" w:hint="default"/>
                <w:sz w:val="18"/>
                <w:szCs w:val="18"/>
              </w:rPr>
            </w:pPr>
            <w:r>
              <w:rPr>
                <w:rFonts w:ascii="Arial"/>
                <w:sz w:val="18"/>
              </w:rPr>
              <w:t>100%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5"/>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88"/>
              <w:jc w:val="right"/>
              <w:rPr>
                <w:rFonts w:ascii="Arial" w:hAnsi="Arial" w:cs="Arial" w:eastAsia="Arial" w:hint="default"/>
                <w:sz w:val="18"/>
                <w:szCs w:val="18"/>
              </w:rPr>
            </w:pPr>
            <w:r>
              <w:rPr>
                <w:rFonts w:ascii="Arial"/>
                <w:spacing w:val="-1"/>
                <w:sz w:val="18"/>
              </w:rPr>
              <w:t>2,612</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25" w:right="0"/>
              <w:jc w:val="left"/>
              <w:rPr>
                <w:rFonts w:ascii="Arial" w:hAnsi="Arial" w:cs="Arial" w:eastAsia="Arial" w:hint="default"/>
                <w:sz w:val="18"/>
                <w:szCs w:val="18"/>
              </w:rPr>
            </w:pPr>
            <w:r>
              <w:rPr>
                <w:rFonts w:ascii="Arial"/>
                <w:sz w:val="18"/>
              </w:rPr>
              <w:t>2,006</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5.53%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76" w:hRule="exact"/>
        </w:trPr>
        <w:tc>
          <w:tcPr>
            <w:tcW w:w="735"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1" w:right="0"/>
              <w:jc w:val="left"/>
              <w:rPr>
                <w:rFonts w:ascii="宋体" w:hAnsi="宋体" w:cs="宋体" w:eastAsia="宋体" w:hint="default"/>
                <w:sz w:val="18"/>
                <w:szCs w:val="18"/>
              </w:rPr>
            </w:pPr>
            <w:r>
              <w:rPr>
                <w:rFonts w:ascii="宋体" w:hAnsi="宋体" w:cs="宋体" w:eastAsia="宋体" w:hint="default"/>
                <w:sz w:val="18"/>
                <w:szCs w:val="18"/>
              </w:rPr>
              <w:t>包头物流基地</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spacing w:val="-1"/>
                <w:sz w:val="18"/>
              </w:rPr>
              <w:t>144,660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4" w:right="0"/>
              <w:jc w:val="left"/>
              <w:rPr>
                <w:rFonts w:ascii="Arial" w:hAnsi="Arial" w:cs="Arial" w:eastAsia="Arial" w:hint="default"/>
                <w:sz w:val="18"/>
                <w:szCs w:val="18"/>
              </w:rPr>
            </w:pPr>
            <w:r>
              <w:rPr>
                <w:rFonts w:ascii="Arial"/>
                <w:sz w:val="18"/>
              </w:rPr>
              <w:t>39,623</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4"/>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4" w:right="0"/>
              <w:jc w:val="left"/>
              <w:rPr>
                <w:rFonts w:ascii="Arial" w:hAnsi="Arial" w:cs="Arial" w:eastAsia="Arial" w:hint="default"/>
                <w:sz w:val="18"/>
                <w:szCs w:val="18"/>
              </w:rPr>
            </w:pPr>
            <w:r>
              <w:rPr>
                <w:rFonts w:ascii="Arial"/>
                <w:sz w:val="18"/>
              </w:rPr>
              <w:t>(38,343)</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2" w:right="0"/>
              <w:jc w:val="left"/>
              <w:rPr>
                <w:rFonts w:ascii="Arial" w:hAnsi="Arial" w:cs="Arial" w:eastAsia="Arial" w:hint="default"/>
                <w:sz w:val="18"/>
                <w:szCs w:val="18"/>
              </w:rPr>
            </w:pPr>
            <w:r>
              <w:rPr>
                <w:rFonts w:ascii="Arial"/>
                <w:sz w:val="18"/>
              </w:rPr>
              <w:t>(1,280)</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3" w:right="0"/>
              <w:jc w:val="left"/>
              <w:rPr>
                <w:rFonts w:ascii="Arial" w:hAnsi="Arial" w:cs="Arial" w:eastAsia="Arial" w:hint="default"/>
                <w:sz w:val="18"/>
                <w:szCs w:val="18"/>
              </w:rPr>
            </w:pPr>
            <w:r>
              <w:rPr>
                <w:rFonts w:ascii="Arial"/>
                <w:sz w:val="18"/>
              </w:rPr>
              <w:t>100%</w:t>
            </w:r>
          </w:p>
        </w:tc>
        <w:tc>
          <w:tcPr>
            <w:tcW w:w="1312" w:type="dxa"/>
            <w:tcBorders>
              <w:top w:val="nil" w:sz="6" w:space="0" w:color="auto"/>
              <w:left w:val="nil" w:sz="6" w:space="0" w:color="auto"/>
              <w:bottom w:val="nil" w:sz="6" w:space="0" w:color="auto"/>
              <w:right w:val="nil" w:sz="6" w:space="0" w:color="auto"/>
            </w:tcBorders>
          </w:tcPr>
          <w:p>
            <w:pPr>
              <w:pStyle w:val="TableParagraph"/>
              <w:spacing w:line="196" w:lineRule="exact"/>
              <w:ind w:right="95"/>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5"/>
              <w:jc w:val="right"/>
              <w:rPr>
                <w:rFonts w:ascii="Arial" w:hAnsi="Arial" w:cs="Arial" w:eastAsia="Arial" w:hint="default"/>
                <w:sz w:val="18"/>
                <w:szCs w:val="18"/>
              </w:rPr>
            </w:pPr>
            <w:r>
              <w:rPr>
                <w:rFonts w:ascii="Arial"/>
                <w:w w:val="99"/>
                <w:sz w:val="18"/>
              </w:rPr>
              <w:t>-</w:t>
            </w:r>
            <w:r>
              <w:rPr>
                <w:rFonts w:ascii="Arial"/>
                <w:sz w:val="18"/>
              </w:rPr>
            </w:r>
          </w:p>
        </w:tc>
        <w:tc>
          <w:tcPr>
            <w:tcW w:w="1206"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76" w:hRule="exact"/>
        </w:trPr>
        <w:tc>
          <w:tcPr>
            <w:tcW w:w="735"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1" w:right="0"/>
              <w:jc w:val="left"/>
              <w:rPr>
                <w:rFonts w:ascii="宋体" w:hAnsi="宋体" w:cs="宋体" w:eastAsia="宋体" w:hint="default"/>
                <w:sz w:val="18"/>
                <w:szCs w:val="18"/>
              </w:rPr>
            </w:pPr>
            <w:r>
              <w:rPr>
                <w:rFonts w:ascii="宋体" w:hAnsi="宋体" w:cs="宋体" w:eastAsia="宋体" w:hint="default"/>
                <w:sz w:val="18"/>
                <w:szCs w:val="18"/>
              </w:rPr>
              <w:t>盱眙苏宁电器广场</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spacing w:val="-1"/>
                <w:sz w:val="18"/>
              </w:rPr>
              <w:t>190,603</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4" w:right="0"/>
              <w:jc w:val="left"/>
              <w:rPr>
                <w:rFonts w:ascii="Arial" w:hAnsi="Arial" w:cs="Arial" w:eastAsia="Arial" w:hint="default"/>
                <w:sz w:val="18"/>
                <w:szCs w:val="18"/>
              </w:rPr>
            </w:pPr>
            <w:r>
              <w:rPr>
                <w:rFonts w:ascii="Arial"/>
                <w:sz w:val="18"/>
              </w:rPr>
              <w:t>32,275</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0" w:right="0"/>
              <w:jc w:val="left"/>
              <w:rPr>
                <w:rFonts w:ascii="Arial" w:hAnsi="Arial" w:cs="Arial" w:eastAsia="Arial" w:hint="default"/>
                <w:sz w:val="18"/>
                <w:szCs w:val="18"/>
              </w:rPr>
            </w:pPr>
            <w:r>
              <w:rPr>
                <w:rFonts w:ascii="Arial"/>
                <w:sz w:val="18"/>
              </w:rPr>
              <w:t>179,148</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98" w:right="0"/>
              <w:jc w:val="left"/>
              <w:rPr>
                <w:rFonts w:ascii="Arial" w:hAnsi="Arial" w:cs="Arial" w:eastAsia="Arial" w:hint="default"/>
                <w:sz w:val="18"/>
                <w:szCs w:val="18"/>
              </w:rPr>
            </w:pPr>
            <w:r>
              <w:rPr>
                <w:rFonts w:ascii="Arial"/>
                <w:sz w:val="18"/>
              </w:rPr>
              <w:t>(211,423)</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5"/>
              <w:jc w:val="right"/>
              <w:rPr>
                <w:rFonts w:ascii="Arial" w:hAnsi="Arial" w:cs="Arial" w:eastAsia="Arial" w:hint="default"/>
                <w:sz w:val="18"/>
                <w:szCs w:val="18"/>
              </w:rPr>
            </w:pPr>
            <w:r>
              <w:rPr>
                <w:rFonts w:ascii="Arial"/>
                <w:w w:val="99"/>
                <w:sz w:val="18"/>
              </w:rPr>
              <w:t>-</w:t>
            </w:r>
            <w:r>
              <w:rPr>
                <w:rFonts w:ascii="Arial"/>
                <w:sz w:val="18"/>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3" w:right="0"/>
              <w:jc w:val="left"/>
              <w:rPr>
                <w:rFonts w:ascii="Arial" w:hAnsi="Arial" w:cs="Arial" w:eastAsia="Arial" w:hint="default"/>
                <w:sz w:val="18"/>
                <w:szCs w:val="18"/>
              </w:rPr>
            </w:pPr>
            <w:r>
              <w:rPr>
                <w:rFonts w:ascii="Arial"/>
                <w:sz w:val="18"/>
              </w:rPr>
              <w:t>100%</w:t>
            </w:r>
          </w:p>
        </w:tc>
        <w:tc>
          <w:tcPr>
            <w:tcW w:w="1312" w:type="dxa"/>
            <w:tcBorders>
              <w:top w:val="nil" w:sz="6" w:space="0" w:color="auto"/>
              <w:left w:val="nil" w:sz="6" w:space="0" w:color="auto"/>
              <w:bottom w:val="nil" w:sz="6" w:space="0" w:color="auto"/>
              <w:right w:val="nil" w:sz="6" w:space="0" w:color="auto"/>
            </w:tcBorders>
          </w:tcPr>
          <w:p>
            <w:pPr>
              <w:pStyle w:val="TableParagraph"/>
              <w:spacing w:line="196" w:lineRule="exact"/>
              <w:ind w:right="95"/>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91" w:right="0"/>
              <w:jc w:val="left"/>
              <w:rPr>
                <w:rFonts w:ascii="Arial" w:hAnsi="Arial" w:cs="Arial" w:eastAsia="Arial" w:hint="default"/>
                <w:sz w:val="18"/>
                <w:szCs w:val="18"/>
              </w:rPr>
            </w:pPr>
            <w:r>
              <w:rPr>
                <w:rFonts w:ascii="Arial"/>
                <w:sz w:val="18"/>
              </w:rPr>
              <w:t>10,733</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26" w:right="0"/>
              <w:jc w:val="left"/>
              <w:rPr>
                <w:rFonts w:ascii="Arial" w:hAnsi="Arial" w:cs="Arial" w:eastAsia="Arial" w:hint="default"/>
                <w:sz w:val="18"/>
                <w:szCs w:val="18"/>
              </w:rPr>
            </w:pPr>
            <w:r>
              <w:rPr>
                <w:rFonts w:ascii="Arial"/>
                <w:sz w:val="18"/>
              </w:rPr>
              <w:t>4,237</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5"/>
              <w:jc w:val="right"/>
              <w:rPr>
                <w:rFonts w:ascii="Arial" w:hAnsi="Arial" w:cs="Arial" w:eastAsia="Arial" w:hint="default"/>
                <w:sz w:val="18"/>
                <w:szCs w:val="18"/>
              </w:rPr>
            </w:pPr>
            <w:r>
              <w:rPr>
                <w:rFonts w:ascii="Arial"/>
                <w:spacing w:val="-1"/>
                <w:sz w:val="18"/>
              </w:rPr>
              <w:t>5.53%</w:t>
            </w:r>
          </w:p>
        </w:tc>
        <w:tc>
          <w:tcPr>
            <w:tcW w:w="1206"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76" w:hRule="exact"/>
        </w:trPr>
        <w:tc>
          <w:tcPr>
            <w:tcW w:w="735"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1" w:right="0"/>
              <w:jc w:val="left"/>
              <w:rPr>
                <w:rFonts w:ascii="宋体" w:hAnsi="宋体" w:cs="宋体" w:eastAsia="宋体" w:hint="default"/>
                <w:sz w:val="18"/>
                <w:szCs w:val="18"/>
              </w:rPr>
            </w:pPr>
            <w:r>
              <w:rPr>
                <w:rFonts w:ascii="宋体" w:hAnsi="宋体" w:cs="宋体" w:eastAsia="宋体" w:hint="default"/>
                <w:sz w:val="18"/>
                <w:szCs w:val="18"/>
              </w:rPr>
              <w:t>芜湖苏宁电器广场</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spacing w:val="-1"/>
                <w:sz w:val="18"/>
              </w:rPr>
              <w:t>535,000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4" w:right="0"/>
              <w:jc w:val="left"/>
              <w:rPr>
                <w:rFonts w:ascii="Arial" w:hAnsi="Arial" w:cs="Arial" w:eastAsia="Arial" w:hint="default"/>
                <w:sz w:val="18"/>
                <w:szCs w:val="18"/>
              </w:rPr>
            </w:pPr>
            <w:r>
              <w:rPr>
                <w:rFonts w:ascii="Arial"/>
                <w:sz w:val="18"/>
              </w:rPr>
              <w:t>20,194</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3"/>
              <w:jc w:val="right"/>
              <w:rPr>
                <w:rFonts w:ascii="Arial" w:hAnsi="Arial" w:cs="Arial" w:eastAsia="Arial" w:hint="default"/>
                <w:sz w:val="18"/>
                <w:szCs w:val="18"/>
              </w:rPr>
            </w:pPr>
            <w:r>
              <w:rPr>
                <w:rFonts w:ascii="Arial"/>
                <w:spacing w:val="-1"/>
                <w:sz w:val="18"/>
              </w:rPr>
              <w:t>9,264</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4" w:right="0"/>
              <w:jc w:val="left"/>
              <w:rPr>
                <w:rFonts w:ascii="Arial" w:hAnsi="Arial" w:cs="Arial" w:eastAsia="Arial" w:hint="default"/>
                <w:sz w:val="18"/>
                <w:szCs w:val="18"/>
              </w:rPr>
            </w:pPr>
            <w:r>
              <w:rPr>
                <w:rFonts w:ascii="Arial"/>
                <w:sz w:val="18"/>
              </w:rPr>
              <w:t>(29,458)</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5"/>
              <w:jc w:val="right"/>
              <w:rPr>
                <w:rFonts w:ascii="Arial" w:hAnsi="Arial" w:cs="Arial" w:eastAsia="Arial" w:hint="default"/>
                <w:sz w:val="18"/>
                <w:szCs w:val="18"/>
              </w:rPr>
            </w:pPr>
            <w:r>
              <w:rPr>
                <w:rFonts w:ascii="Arial"/>
                <w:w w:val="99"/>
                <w:sz w:val="18"/>
              </w:rPr>
              <w:t>-</w:t>
            </w:r>
            <w:r>
              <w:rPr>
                <w:rFonts w:ascii="Arial"/>
                <w:sz w:val="18"/>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3" w:right="0"/>
              <w:jc w:val="left"/>
              <w:rPr>
                <w:rFonts w:ascii="Arial" w:hAnsi="Arial" w:cs="Arial" w:eastAsia="Arial" w:hint="default"/>
                <w:sz w:val="18"/>
                <w:szCs w:val="18"/>
              </w:rPr>
            </w:pPr>
            <w:r>
              <w:rPr>
                <w:rFonts w:ascii="Arial"/>
                <w:sz w:val="18"/>
              </w:rPr>
              <w:t>100%</w:t>
            </w:r>
          </w:p>
        </w:tc>
        <w:tc>
          <w:tcPr>
            <w:tcW w:w="1312" w:type="dxa"/>
            <w:tcBorders>
              <w:top w:val="nil" w:sz="6" w:space="0" w:color="auto"/>
              <w:left w:val="nil" w:sz="6" w:space="0" w:color="auto"/>
              <w:bottom w:val="nil" w:sz="6" w:space="0" w:color="auto"/>
              <w:right w:val="nil" w:sz="6" w:space="0" w:color="auto"/>
            </w:tcBorders>
          </w:tcPr>
          <w:p>
            <w:pPr>
              <w:pStyle w:val="TableParagraph"/>
              <w:spacing w:line="196" w:lineRule="exact"/>
              <w:ind w:right="95"/>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91" w:right="0"/>
              <w:jc w:val="left"/>
              <w:rPr>
                <w:rFonts w:ascii="Arial" w:hAnsi="Arial" w:cs="Arial" w:eastAsia="Arial" w:hint="default"/>
                <w:sz w:val="18"/>
                <w:szCs w:val="18"/>
              </w:rPr>
            </w:pPr>
            <w:r>
              <w:rPr>
                <w:rFonts w:ascii="Arial"/>
                <w:sz w:val="18"/>
              </w:rPr>
              <w:t>19,582</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spacing w:val="-1"/>
                <w:w w:val="95"/>
                <w:sz w:val="18"/>
              </w:rPr>
              <w:t>33</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5"/>
              <w:jc w:val="right"/>
              <w:rPr>
                <w:rFonts w:ascii="Arial" w:hAnsi="Arial" w:cs="Arial" w:eastAsia="Arial" w:hint="default"/>
                <w:sz w:val="18"/>
                <w:szCs w:val="18"/>
              </w:rPr>
            </w:pPr>
            <w:r>
              <w:rPr>
                <w:rFonts w:ascii="Arial"/>
                <w:spacing w:val="-1"/>
                <w:sz w:val="18"/>
              </w:rPr>
              <w:t>5.53%</w:t>
            </w:r>
          </w:p>
        </w:tc>
        <w:tc>
          <w:tcPr>
            <w:tcW w:w="1206"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97" w:hRule="exact"/>
        </w:trPr>
        <w:tc>
          <w:tcPr>
            <w:tcW w:w="735"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1" w:right="0"/>
              <w:jc w:val="left"/>
              <w:rPr>
                <w:rFonts w:ascii="宋体" w:hAnsi="宋体" w:cs="宋体" w:eastAsia="宋体" w:hint="default"/>
                <w:sz w:val="18"/>
                <w:szCs w:val="18"/>
              </w:rPr>
            </w:pPr>
            <w:r>
              <w:rPr>
                <w:rFonts w:ascii="宋体" w:hAnsi="宋体" w:cs="宋体" w:eastAsia="宋体" w:hint="default"/>
                <w:sz w:val="18"/>
                <w:szCs w:val="18"/>
              </w:rPr>
              <w:t>北京京房苏宁广场</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spacing w:val="-1"/>
                <w:sz w:val="18"/>
              </w:rPr>
              <w:t>101,500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4" w:right="0"/>
              <w:jc w:val="left"/>
              <w:rPr>
                <w:rFonts w:ascii="Arial" w:hAnsi="Arial" w:cs="Arial" w:eastAsia="Arial" w:hint="default"/>
                <w:sz w:val="18"/>
                <w:szCs w:val="18"/>
              </w:rPr>
            </w:pPr>
            <w:r>
              <w:rPr>
                <w:rFonts w:ascii="Arial"/>
                <w:sz w:val="18"/>
              </w:rPr>
              <w:t>13,626</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4"/>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85" w:right="0"/>
              <w:jc w:val="left"/>
              <w:rPr>
                <w:rFonts w:ascii="Arial" w:hAnsi="Arial" w:cs="Arial" w:eastAsia="Arial" w:hint="default"/>
                <w:sz w:val="18"/>
                <w:szCs w:val="18"/>
              </w:rPr>
            </w:pPr>
            <w:r>
              <w:rPr>
                <w:rFonts w:ascii="Arial"/>
                <w:sz w:val="18"/>
              </w:rPr>
              <w:t>(8,943)</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2" w:right="0"/>
              <w:jc w:val="left"/>
              <w:rPr>
                <w:rFonts w:ascii="Arial" w:hAnsi="Arial" w:cs="Arial" w:eastAsia="Arial" w:hint="default"/>
                <w:sz w:val="18"/>
                <w:szCs w:val="18"/>
              </w:rPr>
            </w:pPr>
            <w:r>
              <w:rPr>
                <w:rFonts w:ascii="Arial"/>
                <w:sz w:val="18"/>
              </w:rPr>
              <w:t>(4,683)</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3" w:right="0"/>
              <w:jc w:val="left"/>
              <w:rPr>
                <w:rFonts w:ascii="Arial" w:hAnsi="Arial" w:cs="Arial" w:eastAsia="Arial" w:hint="default"/>
                <w:sz w:val="18"/>
                <w:szCs w:val="18"/>
              </w:rPr>
            </w:pPr>
            <w:r>
              <w:rPr>
                <w:rFonts w:ascii="Arial"/>
                <w:sz w:val="18"/>
              </w:rPr>
              <w:t>100%</w:t>
            </w:r>
          </w:p>
        </w:tc>
        <w:tc>
          <w:tcPr>
            <w:tcW w:w="1312" w:type="dxa"/>
            <w:tcBorders>
              <w:top w:val="nil" w:sz="6" w:space="0" w:color="auto"/>
              <w:left w:val="nil" w:sz="6" w:space="0" w:color="auto"/>
              <w:bottom w:val="nil" w:sz="6" w:space="0" w:color="auto"/>
              <w:right w:val="nil" w:sz="6" w:space="0" w:color="auto"/>
            </w:tcBorders>
          </w:tcPr>
          <w:p>
            <w:pPr>
              <w:pStyle w:val="TableParagraph"/>
              <w:spacing w:line="196" w:lineRule="exact"/>
              <w:ind w:right="95"/>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6"/>
              <w:jc w:val="right"/>
              <w:rPr>
                <w:rFonts w:ascii="Arial" w:hAnsi="Arial" w:cs="Arial" w:eastAsia="Arial" w:hint="default"/>
                <w:sz w:val="18"/>
                <w:szCs w:val="18"/>
              </w:rPr>
            </w:pPr>
            <w:r>
              <w:rPr>
                <w:rFonts w:ascii="Arial"/>
                <w:spacing w:val="-1"/>
                <w:sz w:val="18"/>
              </w:rPr>
              <w:t>2,837</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5"/>
              <w:jc w:val="right"/>
              <w:rPr>
                <w:rFonts w:ascii="Arial" w:hAnsi="Arial" w:cs="Arial" w:eastAsia="Arial" w:hint="default"/>
                <w:sz w:val="18"/>
                <w:szCs w:val="18"/>
              </w:rPr>
            </w:pPr>
            <w:r>
              <w:rPr>
                <w:rFonts w:ascii="Arial"/>
                <w:spacing w:val="-1"/>
                <w:sz w:val="18"/>
              </w:rPr>
              <w:t>5.53%</w:t>
            </w:r>
          </w:p>
        </w:tc>
        <w:tc>
          <w:tcPr>
            <w:tcW w:w="1206"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92" w:hRule="exact"/>
        </w:trPr>
        <w:tc>
          <w:tcPr>
            <w:tcW w:w="735"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17" w:lineRule="exact"/>
              <w:ind w:left="1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0"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tabs>
                <w:tab w:pos="293" w:val="left" w:leader="none"/>
                <w:tab w:pos="1035" w:val="left" w:leader="none"/>
              </w:tabs>
              <w:spacing w:line="240" w:lineRule="auto" w:before="36"/>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258,744</w:t>
              <w:tab/>
            </w:r>
            <w:r>
              <w:rPr>
                <w:rFonts w:ascii="Arial"/>
                <w:sz w:val="18"/>
              </w:rPr>
            </w:r>
          </w:p>
        </w:tc>
        <w:tc>
          <w:tcPr>
            <w:tcW w:w="986" w:type="dxa"/>
            <w:tcBorders>
              <w:top w:val="nil" w:sz="6" w:space="0" w:color="auto"/>
              <w:left w:val="nil" w:sz="6" w:space="0" w:color="auto"/>
              <w:bottom w:val="nil" w:sz="6" w:space="0" w:color="auto"/>
              <w:right w:val="nil" w:sz="6" w:space="0" w:color="auto"/>
            </w:tcBorders>
          </w:tcPr>
          <w:p>
            <w:pPr>
              <w:pStyle w:val="TableParagraph"/>
              <w:tabs>
                <w:tab w:pos="358" w:val="left" w:leader="none"/>
                <w:tab w:pos="998" w:val="left" w:leader="none"/>
              </w:tabs>
              <w:spacing w:line="240" w:lineRule="auto" w:before="36"/>
              <w:ind w:left="-4" w:right="-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28,171</w:t>
              <w:tab/>
            </w:r>
            <w:r>
              <w:rPr>
                <w:rFonts w:ascii="Arial"/>
                <w:spacing w:val="-1"/>
                <w:sz w:val="18"/>
              </w:rPr>
            </w:r>
          </w:p>
        </w:tc>
        <w:tc>
          <w:tcPr>
            <w:tcW w:w="1198" w:type="dxa"/>
            <w:tcBorders>
              <w:top w:val="nil" w:sz="6" w:space="0" w:color="auto"/>
              <w:left w:val="nil" w:sz="6" w:space="0" w:color="auto"/>
              <w:bottom w:val="nil" w:sz="6" w:space="0" w:color="auto"/>
              <w:right w:val="nil" w:sz="6" w:space="0" w:color="auto"/>
            </w:tcBorders>
          </w:tcPr>
          <w:p>
            <w:pPr>
              <w:pStyle w:val="TableParagraph"/>
              <w:tabs>
                <w:tab w:pos="1146" w:val="left" w:leader="none"/>
              </w:tabs>
              <w:spacing w:line="240" w:lineRule="auto" w:before="36"/>
              <w:ind w:left="8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5"/>
                <w:sz w:val="18"/>
                <w:u w:val="single" w:color="000000"/>
              </w:rPr>
              <w:t> </w:t>
            </w:r>
            <w:r>
              <w:rPr>
                <w:rFonts w:ascii="Arial"/>
                <w:sz w:val="18"/>
                <w:u w:val="single" w:color="000000"/>
              </w:rPr>
              <w:t>(163,368)</w:t>
              <w:tab/>
            </w:r>
            <w:r>
              <w:rPr>
                <w:rFonts w:ascii="Arial"/>
                <w:sz w:val="18"/>
              </w:rPr>
            </w:r>
          </w:p>
        </w:tc>
        <w:tc>
          <w:tcPr>
            <w:tcW w:w="1011" w:type="dxa"/>
            <w:tcBorders>
              <w:top w:val="nil" w:sz="6" w:space="0" w:color="auto"/>
              <w:left w:val="nil" w:sz="6" w:space="0" w:color="auto"/>
              <w:bottom w:val="nil" w:sz="6" w:space="0" w:color="auto"/>
              <w:right w:val="nil" w:sz="6" w:space="0" w:color="auto"/>
            </w:tcBorders>
          </w:tcPr>
          <w:p>
            <w:pPr>
              <w:pStyle w:val="TableParagraph"/>
              <w:tabs>
                <w:tab w:pos="768" w:val="left" w:leader="none"/>
                <w:tab w:pos="918" w:val="left" w:leader="none"/>
              </w:tabs>
              <w:spacing w:line="240" w:lineRule="auto" w:before="36"/>
              <w:ind w:right="6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017" w:type="dxa"/>
            <w:tcBorders>
              <w:top w:val="nil" w:sz="6" w:space="0" w:color="auto"/>
              <w:left w:val="nil" w:sz="6" w:space="0" w:color="auto"/>
              <w:bottom w:val="nil" w:sz="6" w:space="0" w:color="auto"/>
              <w:right w:val="nil" w:sz="6" w:space="0" w:color="auto"/>
            </w:tcBorders>
          </w:tcPr>
          <w:p>
            <w:pPr>
              <w:pStyle w:val="TableParagraph"/>
              <w:tabs>
                <w:tab w:pos="275" w:val="left" w:leader="none"/>
                <w:tab w:pos="1016" w:val="left" w:leader="none"/>
              </w:tabs>
              <w:spacing w:line="240" w:lineRule="auto" w:before="36"/>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123,547</w:t>
              <w:tab/>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tabs>
                <w:tab w:pos="277" w:val="left" w:leader="none"/>
                <w:tab w:pos="916" w:val="left" w:leader="none"/>
              </w:tabs>
              <w:spacing w:line="240" w:lineRule="auto" w:before="36"/>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55,265</w:t>
              <w:tab/>
            </w:r>
            <w:r>
              <w:rPr>
                <w:rFonts w:ascii="Arial"/>
                <w:spacing w:val="-1"/>
                <w:sz w:val="18"/>
              </w:rPr>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tabs>
                <w:tab w:pos="311" w:val="left" w:leader="none"/>
                <w:tab w:pos="850"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4,726</w:t>
              <w:tab/>
            </w:r>
            <w:r>
              <w:rPr>
                <w:rFonts w:ascii="Arial"/>
                <w:spacing w:val="-1"/>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5"/>
              <w:jc w:val="right"/>
              <w:rPr>
                <w:rFonts w:ascii="Arial" w:hAnsi="Arial" w:cs="Arial" w:eastAsia="Arial" w:hint="default"/>
                <w:sz w:val="18"/>
                <w:szCs w:val="18"/>
              </w:rPr>
            </w:pPr>
            <w:r>
              <w:rPr>
                <w:rFonts w:ascii="Arial"/>
                <w:spacing w:val="-1"/>
                <w:sz w:val="18"/>
              </w:rPr>
              <w:t>5.53%</w:t>
            </w:r>
          </w:p>
        </w:tc>
        <w:tc>
          <w:tcPr>
            <w:tcW w:w="1206" w:type="dxa"/>
            <w:tcBorders>
              <w:top w:val="nil" w:sz="6" w:space="0" w:color="auto"/>
              <w:left w:val="nil" w:sz="6" w:space="0" w:color="auto"/>
              <w:bottom w:val="nil" w:sz="6" w:space="0" w:color="auto"/>
              <w:right w:val="nil" w:sz="6" w:space="0" w:color="auto"/>
            </w:tcBorders>
          </w:tcPr>
          <w:p>
            <w:pPr/>
          </w:p>
        </w:tc>
      </w:tr>
      <w:tr>
        <w:trPr>
          <w:trHeight w:val="254" w:hRule="exact"/>
        </w:trPr>
        <w:tc>
          <w:tcPr>
            <w:tcW w:w="735"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43" w:right="0"/>
              <w:jc w:val="left"/>
              <w:rPr>
                <w:rFonts w:ascii="Arial" w:hAnsi="Arial" w:cs="Arial" w:eastAsia="Arial" w:hint="default"/>
                <w:sz w:val="18"/>
                <w:szCs w:val="18"/>
              </w:rPr>
            </w:pPr>
            <w:r>
              <w:rPr>
                <w:rFonts w:ascii="Arial"/>
                <w:sz w:val="18"/>
              </w:rPr>
              <w:t>3,230,834</w:t>
            </w:r>
          </w:p>
        </w:tc>
        <w:tc>
          <w:tcPr>
            <w:tcW w:w="98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09" w:right="0"/>
              <w:jc w:val="left"/>
              <w:rPr>
                <w:rFonts w:ascii="Arial" w:hAnsi="Arial" w:cs="Arial" w:eastAsia="Arial" w:hint="default"/>
                <w:sz w:val="18"/>
                <w:szCs w:val="18"/>
              </w:rPr>
            </w:pPr>
            <w:r>
              <w:rPr>
                <w:rFonts w:ascii="Arial"/>
                <w:sz w:val="18"/>
              </w:rPr>
              <w:t>2,354,031</w:t>
            </w:r>
          </w:p>
        </w:tc>
        <w:tc>
          <w:tcPr>
            <w:tcW w:w="119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35" w:right="0"/>
              <w:jc w:val="left"/>
              <w:rPr>
                <w:rFonts w:ascii="Arial" w:hAnsi="Arial" w:cs="Arial" w:eastAsia="Arial" w:hint="default"/>
                <w:sz w:val="18"/>
                <w:szCs w:val="18"/>
              </w:rPr>
            </w:pPr>
            <w:r>
              <w:rPr>
                <w:rFonts w:ascii="Arial"/>
                <w:sz w:val="18"/>
              </w:rPr>
              <w:t>(3,659,871)</w:t>
            </w:r>
          </w:p>
        </w:tc>
        <w:tc>
          <w:tcPr>
            <w:tcW w:w="101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316" w:right="0"/>
              <w:jc w:val="left"/>
              <w:rPr>
                <w:rFonts w:ascii="Arial" w:hAnsi="Arial" w:cs="Arial" w:eastAsia="Arial" w:hint="default"/>
                <w:sz w:val="18"/>
                <w:szCs w:val="18"/>
              </w:rPr>
            </w:pPr>
            <w:r>
              <w:rPr>
                <w:rFonts w:ascii="Arial"/>
                <w:sz w:val="18"/>
              </w:rPr>
              <w:t>(9,891)</w:t>
            </w:r>
          </w:p>
        </w:tc>
        <w:tc>
          <w:tcPr>
            <w:tcW w:w="101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25" w:right="0"/>
              <w:jc w:val="left"/>
              <w:rPr>
                <w:rFonts w:ascii="Arial" w:hAnsi="Arial" w:cs="Arial" w:eastAsia="Arial" w:hint="default"/>
                <w:sz w:val="18"/>
                <w:szCs w:val="18"/>
              </w:rPr>
            </w:pPr>
            <w:r>
              <w:rPr>
                <w:rFonts w:ascii="Arial"/>
                <w:sz w:val="18"/>
              </w:rPr>
              <w:t>1,915,103</w:t>
            </w:r>
          </w:p>
        </w:tc>
        <w:tc>
          <w:tcPr>
            <w:tcW w:w="11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90" w:right="0"/>
              <w:jc w:val="left"/>
              <w:rPr>
                <w:rFonts w:ascii="Arial" w:hAnsi="Arial" w:cs="Arial" w:eastAsia="Arial" w:hint="default"/>
                <w:sz w:val="18"/>
                <w:szCs w:val="18"/>
              </w:rPr>
            </w:pPr>
            <w:r>
              <w:rPr>
                <w:rFonts w:ascii="Arial"/>
                <w:sz w:val="18"/>
              </w:rPr>
              <w:t>268,748</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37" w:right="0"/>
              <w:jc w:val="left"/>
              <w:rPr>
                <w:rFonts w:ascii="Arial" w:hAnsi="Arial" w:cs="Arial" w:eastAsia="Arial" w:hint="default"/>
                <w:sz w:val="18"/>
                <w:szCs w:val="18"/>
              </w:rPr>
            </w:pPr>
            <w:r>
              <w:rPr>
                <w:rFonts w:ascii="Arial"/>
                <w:spacing w:val="-3"/>
                <w:sz w:val="18"/>
              </w:rPr>
              <w:t>118,323</w:t>
            </w:r>
          </w:p>
        </w:tc>
        <w:tc>
          <w:tcPr>
            <w:tcW w:w="1038"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755" w:footer="915" w:top="1860" w:bottom="1100" w:left="46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812"/>
        <w:gridCol w:w="2815"/>
        <w:gridCol w:w="1580"/>
        <w:gridCol w:w="1395"/>
        <w:gridCol w:w="1703"/>
        <w:gridCol w:w="1534"/>
        <w:gridCol w:w="1286"/>
        <w:gridCol w:w="2080"/>
        <w:gridCol w:w="1376"/>
      </w:tblGrid>
      <w:tr>
        <w:trPr>
          <w:trHeight w:val="416"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39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9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r>
      <w:tr>
        <w:trPr>
          <w:trHeight w:val="580"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(16)</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黑体" w:hAnsi="黑体" w:cs="黑体" w:eastAsia="黑体" w:hint="default"/>
                <w:sz w:val="24"/>
                <w:szCs w:val="24"/>
              </w:rPr>
            </w:pPr>
            <w:r>
              <w:rPr>
                <w:rFonts w:ascii="黑体" w:hAnsi="黑体" w:cs="黑体" w:eastAsia="黑体" w:hint="default"/>
                <w:sz w:val="24"/>
                <w:szCs w:val="24"/>
              </w:rPr>
              <w:t>无形资产</w:t>
            </w:r>
          </w:p>
        </w:tc>
        <w:tc>
          <w:tcPr>
            <w:tcW w:w="158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r>
      <w:tr>
        <w:trPr>
          <w:trHeight w:val="475" w:hRule="exact"/>
        </w:trPr>
        <w:tc>
          <w:tcPr>
            <w:tcW w:w="812" w:type="dxa"/>
            <w:tcBorders>
              <w:top w:val="nil" w:sz="6" w:space="0" w:color="auto"/>
              <w:left w:val="nil" w:sz="6" w:space="0" w:color="auto"/>
              <w:bottom w:val="nil" w:sz="6" w:space="0" w:color="auto"/>
              <w:right w:val="nil" w:sz="6" w:space="0" w:color="auto"/>
            </w:tcBorders>
          </w:tcPr>
          <w:p>
            <w:pPr/>
          </w:p>
        </w:tc>
        <w:tc>
          <w:tcPr>
            <w:tcW w:w="2815"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99"/>
              <w:jc w:val="right"/>
              <w:rPr>
                <w:rFonts w:ascii="宋体" w:hAnsi="宋体" w:cs="宋体" w:eastAsia="宋体" w:hint="default"/>
                <w:sz w:val="17"/>
                <w:szCs w:val="17"/>
              </w:rPr>
            </w:pPr>
            <w:r>
              <w:rPr>
                <w:rFonts w:ascii="宋体" w:hAnsi="宋体" w:cs="宋体" w:eastAsia="宋体" w:hint="default"/>
                <w:spacing w:val="-1"/>
                <w:sz w:val="17"/>
                <w:szCs w:val="17"/>
              </w:rPr>
              <w:t>土地使用权</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1"/>
              <w:jc w:val="right"/>
              <w:rPr>
                <w:rFonts w:ascii="宋体" w:hAnsi="宋体" w:cs="宋体" w:eastAsia="宋体" w:hint="default"/>
                <w:sz w:val="17"/>
                <w:szCs w:val="17"/>
              </w:rPr>
            </w:pPr>
            <w:r>
              <w:rPr>
                <w:rFonts w:ascii="宋体" w:hAnsi="宋体" w:cs="宋体" w:eastAsia="宋体" w:hint="default"/>
                <w:sz w:val="17"/>
                <w:szCs w:val="17"/>
              </w:rPr>
              <w:t>软件</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411"/>
              <w:jc w:val="right"/>
              <w:rPr>
                <w:rFonts w:ascii="Arial" w:hAnsi="Arial" w:cs="Arial" w:eastAsia="Arial" w:hint="default"/>
                <w:sz w:val="17"/>
                <w:szCs w:val="17"/>
              </w:rPr>
            </w:pPr>
            <w:r>
              <w:rPr>
                <w:rFonts w:ascii="宋体" w:hAnsi="宋体" w:cs="宋体" w:eastAsia="宋体" w:hint="default"/>
                <w:spacing w:val="-1"/>
                <w:sz w:val="17"/>
                <w:szCs w:val="17"/>
              </w:rPr>
              <w:t>优惠承租权</w:t>
            </w:r>
            <w:r>
              <w:rPr>
                <w:rFonts w:ascii="Arial" w:hAnsi="Arial" w:cs="Arial" w:eastAsia="Arial" w:hint="default"/>
                <w:spacing w:val="-1"/>
                <w:sz w:val="17"/>
                <w:szCs w:val="17"/>
              </w:rPr>
              <w:t>(a)</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46" w:right="0"/>
              <w:jc w:val="left"/>
              <w:rPr>
                <w:rFonts w:ascii="宋体" w:hAnsi="宋体" w:cs="宋体" w:eastAsia="宋体" w:hint="default"/>
                <w:sz w:val="17"/>
                <w:szCs w:val="17"/>
              </w:rPr>
            </w:pPr>
            <w:r>
              <w:rPr>
                <w:rFonts w:ascii="宋体" w:hAnsi="宋体" w:cs="宋体" w:eastAsia="宋体" w:hint="default"/>
                <w:sz w:val="17"/>
                <w:szCs w:val="17"/>
              </w:rPr>
              <w:t>商标及域名</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7"/>
              <w:jc w:val="center"/>
              <w:rPr>
                <w:rFonts w:ascii="宋体" w:hAnsi="宋体" w:cs="宋体" w:eastAsia="宋体" w:hint="default"/>
                <w:sz w:val="17"/>
                <w:szCs w:val="17"/>
              </w:rPr>
            </w:pPr>
            <w:r>
              <w:rPr>
                <w:rFonts w:ascii="宋体" w:hAnsi="宋体" w:cs="宋体" w:eastAsia="宋体" w:hint="default"/>
                <w:sz w:val="17"/>
                <w:szCs w:val="17"/>
              </w:rPr>
              <w:t>版权</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455"/>
              <w:jc w:val="right"/>
              <w:rPr>
                <w:rFonts w:ascii="宋体" w:hAnsi="宋体" w:cs="宋体" w:eastAsia="宋体" w:hint="default"/>
                <w:sz w:val="17"/>
                <w:szCs w:val="17"/>
              </w:rPr>
            </w:pPr>
            <w:r>
              <w:rPr>
                <w:rFonts w:ascii="宋体" w:hAnsi="宋体" w:cs="宋体" w:eastAsia="宋体" w:hint="default"/>
                <w:spacing w:val="-1"/>
                <w:sz w:val="17"/>
                <w:szCs w:val="17"/>
              </w:rPr>
              <w:t>客户关系及客户清单</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39"/>
              <w:jc w:val="right"/>
              <w:rPr>
                <w:rFonts w:ascii="宋体" w:hAnsi="宋体" w:cs="宋体" w:eastAsia="宋体" w:hint="default"/>
                <w:sz w:val="17"/>
                <w:szCs w:val="17"/>
              </w:rPr>
            </w:pPr>
            <w:r>
              <w:rPr>
                <w:rFonts w:ascii="宋体" w:hAnsi="宋体" w:cs="宋体" w:eastAsia="宋体" w:hint="default"/>
                <w:sz w:val="17"/>
                <w:szCs w:val="17"/>
              </w:rPr>
              <w:t>合计</w:t>
            </w:r>
          </w:p>
        </w:tc>
      </w:tr>
      <w:tr>
        <w:trPr>
          <w:trHeight w:val="330" w:hRule="exact"/>
        </w:trPr>
        <w:tc>
          <w:tcPr>
            <w:tcW w:w="812" w:type="dxa"/>
            <w:tcBorders>
              <w:top w:val="nil" w:sz="6" w:space="0" w:color="auto"/>
              <w:left w:val="nil" w:sz="6" w:space="0" w:color="auto"/>
              <w:bottom w:val="nil" w:sz="6" w:space="0" w:color="auto"/>
              <w:right w:val="nil" w:sz="6" w:space="0" w:color="auto"/>
            </w:tcBorders>
          </w:tcPr>
          <w:p>
            <w:pPr/>
          </w:p>
        </w:tc>
        <w:tc>
          <w:tcPr>
            <w:tcW w:w="2815"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left="108" w:right="0"/>
              <w:jc w:val="left"/>
              <w:rPr>
                <w:rFonts w:ascii="宋体" w:hAnsi="宋体" w:cs="宋体" w:eastAsia="宋体" w:hint="default"/>
                <w:sz w:val="17"/>
                <w:szCs w:val="17"/>
              </w:rPr>
            </w:pPr>
            <w:r>
              <w:rPr>
                <w:rFonts w:ascii="宋体" w:hAnsi="宋体" w:cs="宋体" w:eastAsia="宋体" w:hint="default"/>
                <w:sz w:val="17"/>
                <w:szCs w:val="17"/>
              </w:rPr>
              <w:t>原价</w:t>
            </w:r>
          </w:p>
        </w:tc>
        <w:tc>
          <w:tcPr>
            <w:tcW w:w="1580" w:type="dxa"/>
            <w:tcBorders>
              <w:top w:val="nil" w:sz="6" w:space="0" w:color="auto"/>
              <w:left w:val="nil" w:sz="6" w:space="0" w:color="auto"/>
              <w:bottom w:val="single" w:sz="4" w:space="0" w:color="000000"/>
              <w:right w:val="nil" w:sz="6" w:space="0" w:color="auto"/>
            </w:tcBorders>
          </w:tcPr>
          <w:p>
            <w:pPr/>
          </w:p>
        </w:tc>
        <w:tc>
          <w:tcPr>
            <w:tcW w:w="1395" w:type="dxa"/>
            <w:tcBorders>
              <w:top w:val="nil" w:sz="6" w:space="0" w:color="auto"/>
              <w:left w:val="nil" w:sz="6" w:space="0" w:color="auto"/>
              <w:bottom w:val="single" w:sz="4" w:space="0" w:color="000000"/>
              <w:right w:val="nil" w:sz="6" w:space="0" w:color="auto"/>
            </w:tcBorders>
          </w:tcPr>
          <w:p>
            <w:pPr/>
          </w:p>
        </w:tc>
        <w:tc>
          <w:tcPr>
            <w:tcW w:w="1703" w:type="dxa"/>
            <w:tcBorders>
              <w:top w:val="nil" w:sz="6" w:space="0" w:color="auto"/>
              <w:left w:val="nil" w:sz="6" w:space="0" w:color="auto"/>
              <w:bottom w:val="single" w:sz="4" w:space="0" w:color="000000"/>
              <w:right w:val="nil" w:sz="6" w:space="0" w:color="auto"/>
            </w:tcBorders>
          </w:tcPr>
          <w:p>
            <w:pPr/>
          </w:p>
        </w:tc>
        <w:tc>
          <w:tcPr>
            <w:tcW w:w="1534" w:type="dxa"/>
            <w:tcBorders>
              <w:top w:val="nil" w:sz="6" w:space="0" w:color="auto"/>
              <w:left w:val="nil" w:sz="6" w:space="0" w:color="auto"/>
              <w:bottom w:val="single" w:sz="4" w:space="0" w:color="000000"/>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
        </w:tc>
        <w:tc>
          <w:tcPr>
            <w:tcW w:w="2080" w:type="dxa"/>
            <w:tcBorders>
              <w:top w:val="nil" w:sz="6" w:space="0" w:color="auto"/>
              <w:left w:val="nil" w:sz="6" w:space="0" w:color="auto"/>
              <w:bottom w:val="single" w:sz="4" w:space="0" w:color="000000"/>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
        </w:tc>
      </w:tr>
      <w:tr>
        <w:trPr>
          <w:trHeight w:val="24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single" w:sz="4" w:space="0" w:color="000000"/>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7"/>
                <w:szCs w:val="17"/>
              </w:rPr>
            </w:pPr>
            <w:r>
              <w:rPr>
                <w:rFonts w:ascii="Arial" w:hAnsi="Arial" w:cs="Arial" w:eastAsia="Arial" w:hint="default"/>
                <w:sz w:val="17"/>
                <w:szCs w:val="17"/>
              </w:rPr>
              <w:t>2014</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158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367"/>
              <w:jc w:val="right"/>
              <w:rPr>
                <w:rFonts w:ascii="Arial" w:hAnsi="Arial" w:cs="Arial" w:eastAsia="Arial" w:hint="default"/>
                <w:sz w:val="18"/>
                <w:szCs w:val="18"/>
              </w:rPr>
            </w:pPr>
            <w:r>
              <w:rPr>
                <w:rFonts w:ascii="Arial"/>
                <w:spacing w:val="-1"/>
                <w:sz w:val="18"/>
              </w:rPr>
              <w:t>6,432,282</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99" w:right="0"/>
              <w:jc w:val="left"/>
              <w:rPr>
                <w:rFonts w:ascii="Arial" w:hAnsi="Arial" w:cs="Arial" w:eastAsia="Arial" w:hint="default"/>
                <w:sz w:val="18"/>
                <w:szCs w:val="18"/>
              </w:rPr>
            </w:pPr>
            <w:r>
              <w:rPr>
                <w:rFonts w:ascii="Arial"/>
                <w:sz w:val="18"/>
              </w:rPr>
              <w:t>1,063,844</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414"/>
              <w:jc w:val="right"/>
              <w:rPr>
                <w:rFonts w:ascii="Arial" w:hAnsi="Arial" w:cs="Arial" w:eastAsia="Arial" w:hint="default"/>
                <w:sz w:val="18"/>
                <w:szCs w:val="18"/>
              </w:rPr>
            </w:pPr>
            <w:r>
              <w:rPr>
                <w:rFonts w:ascii="Arial"/>
                <w:spacing w:val="-1"/>
                <w:sz w:val="18"/>
              </w:rPr>
              <w:t>245,233</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545" w:right="0"/>
              <w:jc w:val="left"/>
              <w:rPr>
                <w:rFonts w:ascii="Arial" w:hAnsi="Arial" w:cs="Arial" w:eastAsia="Arial" w:hint="default"/>
                <w:sz w:val="18"/>
                <w:szCs w:val="18"/>
              </w:rPr>
            </w:pPr>
            <w:r>
              <w:rPr>
                <w:rFonts w:ascii="Arial"/>
                <w:sz w:val="18"/>
              </w:rPr>
              <w:t>634,310</w:t>
            </w: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54"/>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456"/>
              <w:jc w:val="right"/>
              <w:rPr>
                <w:rFonts w:ascii="Arial" w:hAnsi="Arial" w:cs="Arial" w:eastAsia="Arial" w:hint="default"/>
                <w:sz w:val="18"/>
                <w:szCs w:val="18"/>
              </w:rPr>
            </w:pPr>
            <w:r>
              <w:rPr>
                <w:rFonts w:ascii="Arial"/>
                <w:spacing w:val="-1"/>
                <w:sz w:val="18"/>
              </w:rPr>
              <w:t>42,881</w:t>
            </w:r>
          </w:p>
        </w:tc>
        <w:tc>
          <w:tcPr>
            <w:tcW w:w="1376" w:type="dxa"/>
            <w:tcBorders>
              <w:top w:val="single" w:sz="4" w:space="0" w:color="000000"/>
              <w:left w:val="nil" w:sz="6" w:space="0" w:color="auto"/>
              <w:bottom w:val="nil" w:sz="6" w:space="0" w:color="auto"/>
              <w:right w:val="single" w:sz="4" w:space="0" w:color="000000"/>
            </w:tcBorders>
          </w:tcPr>
          <w:p>
            <w:pPr>
              <w:pStyle w:val="TableParagraph"/>
              <w:spacing w:line="240" w:lineRule="auto" w:before="12"/>
              <w:ind w:left="432" w:right="0"/>
              <w:jc w:val="left"/>
              <w:rPr>
                <w:rFonts w:ascii="Arial" w:hAnsi="Arial" w:cs="Arial" w:eastAsia="Arial" w:hint="default"/>
                <w:sz w:val="18"/>
                <w:szCs w:val="18"/>
              </w:rPr>
            </w:pPr>
            <w:r>
              <w:rPr>
                <w:rFonts w:ascii="Arial"/>
                <w:sz w:val="18"/>
              </w:rPr>
              <w:t>8,418,550</w:t>
            </w:r>
          </w:p>
        </w:tc>
      </w:tr>
      <w:tr>
        <w:trPr>
          <w:trHeight w:val="22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158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single" w:sz="4" w:space="0" w:color="000000"/>
            </w:tcBorders>
          </w:tcPr>
          <w:p>
            <w:pPr/>
          </w:p>
        </w:tc>
      </w:tr>
      <w:tr>
        <w:trPr>
          <w:trHeight w:val="24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0" w:lineRule="exact"/>
              <w:ind w:left="301" w:right="0"/>
              <w:jc w:val="left"/>
              <w:rPr>
                <w:rFonts w:ascii="宋体" w:hAnsi="宋体" w:cs="宋体" w:eastAsia="宋体" w:hint="default"/>
                <w:sz w:val="17"/>
                <w:szCs w:val="17"/>
              </w:rPr>
            </w:pPr>
            <w:r>
              <w:rPr>
                <w:rFonts w:ascii="宋体" w:hAnsi="宋体" w:cs="宋体" w:eastAsia="宋体" w:hint="default"/>
                <w:sz w:val="17"/>
                <w:szCs w:val="17"/>
              </w:rPr>
              <w:t>购置</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67"/>
              <w:jc w:val="right"/>
              <w:rPr>
                <w:rFonts w:ascii="Arial" w:hAnsi="Arial" w:cs="Arial" w:eastAsia="Arial" w:hint="default"/>
                <w:sz w:val="18"/>
                <w:szCs w:val="18"/>
              </w:rPr>
            </w:pPr>
            <w:r>
              <w:rPr>
                <w:rFonts w:ascii="Arial"/>
                <w:spacing w:val="-1"/>
                <w:sz w:val="18"/>
              </w:rPr>
              <w:t>729,228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2" w:right="0"/>
              <w:jc w:val="left"/>
              <w:rPr>
                <w:rFonts w:ascii="Arial" w:hAnsi="Arial" w:cs="Arial" w:eastAsia="Arial" w:hint="default"/>
                <w:sz w:val="18"/>
                <w:szCs w:val="18"/>
              </w:rPr>
            </w:pPr>
            <w:r>
              <w:rPr>
                <w:rFonts w:ascii="Arial"/>
                <w:spacing w:val="-3"/>
                <w:sz w:val="18"/>
              </w:rPr>
              <w:t>57,119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6"/>
              <w:jc w:val="right"/>
              <w:rPr>
                <w:rFonts w:ascii="Arial" w:hAnsi="Arial" w:cs="Arial" w:eastAsia="Arial" w:hint="default"/>
                <w:sz w:val="18"/>
                <w:szCs w:val="18"/>
              </w:rPr>
            </w:pPr>
            <w:r>
              <w:rPr>
                <w:rFonts w:ascii="Arial"/>
                <w:spacing w:val="-1"/>
                <w:w w:val="95"/>
                <w:sz w:val="18"/>
              </w:rPr>
              <w:t>539</w:t>
            </w:r>
            <w:r>
              <w:rPr>
                <w:rFonts w:ascii="Arial"/>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4"/>
              <w:jc w:val="right"/>
              <w:rPr>
                <w:rFonts w:ascii="Arial" w:hAnsi="Arial" w:cs="Arial" w:eastAsia="Arial" w:hint="default"/>
                <w:sz w:val="18"/>
                <w:szCs w:val="18"/>
              </w:rPr>
            </w:pPr>
            <w:r>
              <w:rPr>
                <w:rFonts w:ascii="Arial"/>
                <w:spacing w:val="-1"/>
                <w:sz w:val="18"/>
              </w:rPr>
              <w:t>1,157,919</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466" w:right="0"/>
              <w:jc w:val="left"/>
              <w:rPr>
                <w:rFonts w:ascii="Arial" w:hAnsi="Arial" w:cs="Arial" w:eastAsia="Arial" w:hint="default"/>
                <w:sz w:val="18"/>
                <w:szCs w:val="18"/>
              </w:rPr>
            </w:pPr>
            <w:r>
              <w:rPr>
                <w:rFonts w:ascii="Arial"/>
                <w:sz w:val="18"/>
              </w:rPr>
              <w:t>1,944,805</w:t>
            </w:r>
          </w:p>
        </w:tc>
      </w:tr>
      <w:tr>
        <w:trPr>
          <w:trHeight w:val="23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3" w:lineRule="exact"/>
              <w:ind w:left="301" w:right="0"/>
              <w:jc w:val="left"/>
              <w:rPr>
                <w:rFonts w:ascii="Arial" w:hAnsi="Arial" w:cs="Arial" w:eastAsia="Arial" w:hint="default"/>
                <w:sz w:val="17"/>
                <w:szCs w:val="17"/>
              </w:rPr>
            </w:pPr>
            <w:r>
              <w:rPr>
                <w:rFonts w:ascii="宋体" w:hAnsi="宋体" w:cs="宋体" w:eastAsia="宋体" w:hint="default"/>
                <w:sz w:val="17"/>
                <w:szCs w:val="17"/>
              </w:rPr>
              <w:t>开发支出转入</w:t>
            </w:r>
            <w:r>
              <w:rPr>
                <w:rFonts w:ascii="Arial" w:hAnsi="Arial" w:cs="Arial" w:eastAsia="Arial" w:hint="default"/>
                <w:sz w:val="17"/>
                <w:szCs w:val="17"/>
              </w:rPr>
              <w:t>(</w:t>
            </w:r>
            <w:r>
              <w:rPr>
                <w:rFonts w:ascii="宋体" w:hAnsi="宋体" w:cs="宋体" w:eastAsia="宋体" w:hint="default"/>
                <w:sz w:val="17"/>
                <w:szCs w:val="17"/>
              </w:rPr>
              <w:t>附注四</w:t>
            </w:r>
            <w:r>
              <w:rPr>
                <w:rFonts w:ascii="Arial" w:hAnsi="Arial" w:cs="Arial" w:eastAsia="Arial" w:hint="default"/>
                <w:sz w:val="17"/>
                <w:szCs w:val="17"/>
              </w:rPr>
              <w:t>(16(b))</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6"/>
              <w:jc w:val="right"/>
              <w:rPr>
                <w:rFonts w:ascii="Arial" w:hAnsi="Arial" w:cs="Arial" w:eastAsia="Arial" w:hint="default"/>
                <w:sz w:val="18"/>
                <w:szCs w:val="18"/>
              </w:rPr>
            </w:pPr>
            <w:r>
              <w:rPr>
                <w:rFonts w:ascii="Arial"/>
                <w:w w:val="99"/>
                <w:sz w:val="18"/>
              </w:rPr>
              <w:t>-</w:t>
            </w:r>
            <w:r>
              <w:rPr>
                <w:rFonts w:ascii="Arial"/>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0" w:right="0"/>
              <w:jc w:val="left"/>
              <w:rPr>
                <w:rFonts w:ascii="Arial" w:hAnsi="Arial" w:cs="Arial" w:eastAsia="Arial" w:hint="default"/>
                <w:sz w:val="18"/>
                <w:szCs w:val="18"/>
              </w:rPr>
            </w:pPr>
            <w:r>
              <w:rPr>
                <w:rFonts w:ascii="Arial"/>
                <w:sz w:val="18"/>
              </w:rPr>
              <w:t>22,778</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6"/>
              <w:jc w:val="right"/>
              <w:rPr>
                <w:rFonts w:ascii="Arial" w:hAnsi="Arial" w:cs="Arial" w:eastAsia="Arial" w:hint="default"/>
                <w:sz w:val="18"/>
                <w:szCs w:val="18"/>
              </w:rPr>
            </w:pPr>
            <w:r>
              <w:rPr>
                <w:rFonts w:ascii="Arial"/>
                <w:w w:val="99"/>
                <w:sz w:val="18"/>
              </w:rPr>
              <w:t>-</w:t>
            </w:r>
            <w:r>
              <w:rPr>
                <w:rFonts w:ascii="Arial"/>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4"/>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102"/>
              <w:jc w:val="right"/>
              <w:rPr>
                <w:rFonts w:ascii="Arial" w:hAnsi="Arial" w:cs="Arial" w:eastAsia="Arial" w:hint="default"/>
                <w:sz w:val="18"/>
                <w:szCs w:val="18"/>
              </w:rPr>
            </w:pPr>
            <w:r>
              <w:rPr>
                <w:rFonts w:ascii="Arial"/>
                <w:spacing w:val="-1"/>
                <w:sz w:val="18"/>
              </w:rPr>
              <w:t>22,778</w:t>
            </w:r>
          </w:p>
        </w:tc>
      </w:tr>
      <w:tr>
        <w:trPr>
          <w:trHeight w:val="45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89" w:lineRule="exact"/>
              <w:ind w:right="504"/>
              <w:jc w:val="center"/>
              <w:rPr>
                <w:rFonts w:ascii="宋体" w:hAnsi="宋体" w:cs="宋体" w:eastAsia="宋体" w:hint="default"/>
                <w:sz w:val="17"/>
                <w:szCs w:val="17"/>
              </w:rPr>
            </w:pPr>
            <w:r>
              <w:rPr>
                <w:rFonts w:ascii="宋体" w:hAnsi="宋体" w:cs="宋体" w:eastAsia="宋体" w:hint="default"/>
                <w:sz w:val="17"/>
                <w:szCs w:val="17"/>
              </w:rPr>
              <w:t>非同一控制下企业合并</w:t>
            </w:r>
          </w:p>
          <w:p>
            <w:pPr>
              <w:pStyle w:val="TableParagraph"/>
              <w:spacing w:line="233" w:lineRule="exact"/>
              <w:ind w:right="496"/>
              <w:jc w:val="center"/>
              <w:rPr>
                <w:rFonts w:ascii="Arial" w:hAnsi="Arial" w:cs="Arial" w:eastAsia="Arial" w:hint="default"/>
                <w:sz w:val="17"/>
                <w:szCs w:val="17"/>
              </w:rPr>
            </w:pPr>
            <w:r>
              <w:rPr>
                <w:rFonts w:ascii="Arial" w:hAnsi="Arial" w:cs="Arial" w:eastAsia="Arial" w:hint="default"/>
                <w:sz w:val="17"/>
                <w:szCs w:val="17"/>
              </w:rPr>
              <w:t>(</w:t>
            </w:r>
            <w:r>
              <w:rPr>
                <w:rFonts w:ascii="宋体" w:hAnsi="宋体" w:cs="宋体" w:eastAsia="宋体" w:hint="default"/>
                <w:sz w:val="17"/>
                <w:szCs w:val="17"/>
              </w:rPr>
              <w:t>附注五</w:t>
            </w:r>
            <w:r>
              <w:rPr>
                <w:rFonts w:ascii="Arial" w:hAnsi="Arial" w:cs="Arial" w:eastAsia="Arial" w:hint="default"/>
                <w:sz w:val="17"/>
                <w:szCs w:val="17"/>
              </w:rPr>
              <w:t>(1)(c))</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367"/>
              <w:jc w:val="right"/>
              <w:rPr>
                <w:rFonts w:ascii="Arial" w:hAnsi="Arial" w:cs="Arial" w:eastAsia="Arial" w:hint="default"/>
                <w:sz w:val="18"/>
                <w:szCs w:val="18"/>
              </w:rPr>
            </w:pPr>
            <w:r>
              <w:rPr>
                <w:rFonts w:ascii="Arial"/>
                <w:spacing w:val="-1"/>
                <w:sz w:val="18"/>
              </w:rPr>
              <w:t>1,247</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49" w:right="0"/>
              <w:jc w:val="left"/>
              <w:rPr>
                <w:rFonts w:ascii="Arial" w:hAnsi="Arial" w:cs="Arial" w:eastAsia="Arial" w:hint="default"/>
                <w:sz w:val="18"/>
                <w:szCs w:val="18"/>
              </w:rPr>
            </w:pPr>
            <w:r>
              <w:rPr>
                <w:rFonts w:ascii="Arial"/>
                <w:sz w:val="18"/>
              </w:rPr>
              <w:t>137,965</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546" w:right="0"/>
              <w:jc w:val="left"/>
              <w:rPr>
                <w:rFonts w:ascii="Arial" w:hAnsi="Arial" w:cs="Arial" w:eastAsia="Arial" w:hint="default"/>
                <w:sz w:val="18"/>
                <w:szCs w:val="18"/>
              </w:rPr>
            </w:pPr>
            <w:r>
              <w:rPr>
                <w:rFonts w:ascii="Arial"/>
                <w:sz w:val="18"/>
              </w:rPr>
              <w:t>760,000</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Arial" w:hAnsi="Arial" w:cs="Arial" w:eastAsia="Arial" w:hint="default"/>
                <w:sz w:val="18"/>
                <w:szCs w:val="18"/>
              </w:rPr>
            </w:pPr>
            <w:r>
              <w:rPr>
                <w:rFonts w:ascii="Arial"/>
                <w:spacing w:val="-1"/>
                <w:sz w:val="18"/>
              </w:rPr>
              <w:t>360,996</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66" w:right="0"/>
              <w:jc w:val="left"/>
              <w:rPr>
                <w:rFonts w:ascii="Arial" w:hAnsi="Arial" w:cs="Arial" w:eastAsia="Arial" w:hint="default"/>
                <w:sz w:val="18"/>
                <w:szCs w:val="18"/>
              </w:rPr>
            </w:pPr>
            <w:r>
              <w:rPr>
                <w:rFonts w:ascii="Arial"/>
                <w:sz w:val="18"/>
              </w:rPr>
              <w:t>1,260,208</w:t>
            </w:r>
          </w:p>
        </w:tc>
      </w:tr>
      <w:tr>
        <w:trPr>
          <w:trHeight w:val="22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本年减少</w:t>
            </w:r>
          </w:p>
        </w:tc>
        <w:tc>
          <w:tcPr>
            <w:tcW w:w="158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single" w:sz="4" w:space="0" w:color="000000"/>
            </w:tcBorders>
          </w:tcPr>
          <w:p>
            <w:pPr/>
          </w:p>
        </w:tc>
      </w:tr>
      <w:tr>
        <w:trPr>
          <w:trHeight w:val="24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0" w:lineRule="exact"/>
              <w:ind w:left="301" w:right="0"/>
              <w:jc w:val="left"/>
              <w:rPr>
                <w:rFonts w:ascii="宋体" w:hAnsi="宋体" w:cs="宋体" w:eastAsia="宋体" w:hint="default"/>
                <w:sz w:val="17"/>
                <w:szCs w:val="17"/>
              </w:rPr>
            </w:pPr>
            <w:r>
              <w:rPr>
                <w:rFonts w:ascii="宋体" w:hAnsi="宋体" w:cs="宋体" w:eastAsia="宋体" w:hint="default"/>
                <w:sz w:val="17"/>
                <w:szCs w:val="17"/>
              </w:rPr>
              <w:t>处置</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6"/>
              <w:jc w:val="right"/>
              <w:rPr>
                <w:rFonts w:ascii="Arial" w:hAnsi="Arial" w:cs="Arial" w:eastAsia="Arial" w:hint="default"/>
                <w:sz w:val="18"/>
                <w:szCs w:val="18"/>
              </w:rPr>
            </w:pPr>
            <w:r>
              <w:rPr>
                <w:rFonts w:ascii="Arial"/>
                <w:spacing w:val="-1"/>
                <w:sz w:val="18"/>
              </w:rPr>
              <w:t>(88,318)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2"/>
              <w:jc w:val="right"/>
              <w:rPr>
                <w:rFonts w:ascii="Arial" w:hAnsi="Arial" w:cs="Arial" w:eastAsia="Arial" w:hint="default"/>
                <w:sz w:val="18"/>
                <w:szCs w:val="18"/>
              </w:rPr>
            </w:pPr>
            <w:r>
              <w:rPr>
                <w:rFonts w:ascii="Arial"/>
                <w:w w:val="99"/>
                <w:sz w:val="18"/>
              </w:rPr>
              <w:t>-</w:t>
            </w:r>
            <w:r>
              <w:rPr>
                <w:rFonts w:ascii="Arial"/>
                <w:sz w:val="18"/>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6"/>
              <w:jc w:val="right"/>
              <w:rPr>
                <w:rFonts w:ascii="Arial" w:hAnsi="Arial" w:cs="Arial" w:eastAsia="Arial" w:hint="default"/>
                <w:sz w:val="18"/>
                <w:szCs w:val="18"/>
              </w:rPr>
            </w:pPr>
            <w:r>
              <w:rPr>
                <w:rFonts w:ascii="Arial"/>
                <w:w w:val="99"/>
                <w:sz w:val="18"/>
              </w:rPr>
              <w:t>-</w:t>
            </w:r>
            <w:r>
              <w:rPr>
                <w:rFonts w:ascii="Arial"/>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4"/>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right="41"/>
              <w:jc w:val="right"/>
              <w:rPr>
                <w:rFonts w:ascii="Arial" w:hAnsi="Arial" w:cs="Arial" w:eastAsia="Arial" w:hint="default"/>
                <w:sz w:val="18"/>
                <w:szCs w:val="18"/>
              </w:rPr>
            </w:pPr>
            <w:r>
              <w:rPr>
                <w:rFonts w:ascii="Arial"/>
                <w:spacing w:val="-1"/>
                <w:sz w:val="18"/>
              </w:rPr>
              <w:t>(88,318)</w:t>
            </w:r>
          </w:p>
        </w:tc>
      </w:tr>
      <w:tr>
        <w:trPr>
          <w:trHeight w:val="23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301" w:right="0"/>
              <w:jc w:val="left"/>
              <w:rPr>
                <w:rFonts w:ascii="宋体" w:hAnsi="宋体" w:cs="宋体" w:eastAsia="宋体" w:hint="default"/>
                <w:sz w:val="17"/>
                <w:szCs w:val="17"/>
              </w:rPr>
            </w:pPr>
            <w:r>
              <w:rPr>
                <w:rFonts w:ascii="宋体" w:hAnsi="宋体" w:cs="宋体" w:eastAsia="宋体" w:hint="default"/>
                <w:sz w:val="17"/>
                <w:szCs w:val="17"/>
              </w:rPr>
              <w:t>处置子公司减少</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4"/>
              <w:jc w:val="right"/>
              <w:rPr>
                <w:rFonts w:ascii="Arial" w:hAnsi="Arial" w:cs="Arial" w:eastAsia="Arial" w:hint="default"/>
                <w:sz w:val="18"/>
                <w:szCs w:val="18"/>
              </w:rPr>
            </w:pPr>
            <w:r>
              <w:rPr>
                <w:rFonts w:ascii="Arial"/>
                <w:w w:val="99"/>
                <w:sz w:val="18"/>
              </w:rPr>
              <w:t>-</w:t>
            </w:r>
            <w:r>
              <w:rPr>
                <w:rFonts w:ascii="Arial"/>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3" w:right="0"/>
              <w:jc w:val="left"/>
              <w:rPr>
                <w:rFonts w:ascii="Arial" w:hAnsi="Arial" w:cs="Arial" w:eastAsia="Arial" w:hint="default"/>
                <w:sz w:val="18"/>
                <w:szCs w:val="18"/>
              </w:rPr>
            </w:pPr>
            <w:r>
              <w:rPr>
                <w:rFonts w:ascii="Arial"/>
                <w:sz w:val="18"/>
              </w:rPr>
              <w:t>(152,172)</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
              <w:ind w:left="473" w:right="0"/>
              <w:jc w:val="left"/>
              <w:rPr>
                <w:rFonts w:ascii="Arial" w:hAnsi="Arial" w:cs="Arial" w:eastAsia="Arial" w:hint="default"/>
                <w:sz w:val="18"/>
                <w:szCs w:val="18"/>
              </w:rPr>
            </w:pPr>
            <w:r>
              <w:rPr>
                <w:rFonts w:ascii="Arial"/>
                <w:sz w:val="18"/>
              </w:rPr>
              <w:t>(760,000)</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9"/>
              <w:jc w:val="right"/>
              <w:rPr>
                <w:rFonts w:ascii="Arial" w:hAnsi="Arial" w:cs="Arial" w:eastAsia="Arial" w:hint="default"/>
                <w:sz w:val="18"/>
                <w:szCs w:val="18"/>
              </w:rPr>
            </w:pPr>
            <w:r>
              <w:rPr>
                <w:rFonts w:ascii="Arial"/>
                <w:spacing w:val="-1"/>
                <w:sz w:val="18"/>
              </w:rPr>
              <w:t>(1,518,915)</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41"/>
              <w:jc w:val="right"/>
              <w:rPr>
                <w:rFonts w:ascii="Arial" w:hAnsi="Arial" w:cs="Arial" w:eastAsia="Arial" w:hint="default"/>
                <w:sz w:val="18"/>
                <w:szCs w:val="18"/>
              </w:rPr>
            </w:pPr>
            <w:r>
              <w:rPr>
                <w:rFonts w:ascii="Arial"/>
                <w:spacing w:val="-1"/>
                <w:sz w:val="18"/>
              </w:rPr>
              <w:t>(2,431,087)</w:t>
            </w:r>
          </w:p>
        </w:tc>
      </w:tr>
      <w:tr>
        <w:trPr>
          <w:trHeight w:val="23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3" w:lineRule="exact"/>
              <w:ind w:left="301" w:right="0"/>
              <w:jc w:val="left"/>
              <w:rPr>
                <w:rFonts w:ascii="宋体" w:hAnsi="宋体" w:cs="宋体" w:eastAsia="宋体" w:hint="default"/>
                <w:sz w:val="17"/>
                <w:szCs w:val="17"/>
              </w:rPr>
            </w:pPr>
            <w:r>
              <w:rPr>
                <w:rFonts w:ascii="宋体" w:hAnsi="宋体" w:cs="宋体" w:eastAsia="宋体" w:hint="default"/>
                <w:sz w:val="17"/>
                <w:szCs w:val="17"/>
              </w:rPr>
              <w:t>转入存货</w:t>
            </w:r>
            <w:r>
              <w:rPr>
                <w:rFonts w:ascii="Arial" w:hAnsi="Arial" w:cs="Arial" w:eastAsia="Arial" w:hint="default"/>
                <w:sz w:val="17"/>
                <w:szCs w:val="17"/>
              </w:rPr>
              <w:t>-</w:t>
            </w:r>
            <w:r>
              <w:rPr>
                <w:rFonts w:ascii="宋体" w:hAnsi="宋体" w:cs="宋体" w:eastAsia="宋体" w:hint="default"/>
                <w:sz w:val="17"/>
                <w:szCs w:val="17"/>
              </w:rPr>
              <w:t>房地产开发成本</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6"/>
              <w:jc w:val="right"/>
              <w:rPr>
                <w:rFonts w:ascii="Arial" w:hAnsi="Arial" w:cs="Arial" w:eastAsia="Arial" w:hint="default"/>
                <w:sz w:val="18"/>
                <w:szCs w:val="18"/>
              </w:rPr>
            </w:pPr>
            <w:r>
              <w:rPr>
                <w:rFonts w:ascii="Arial"/>
                <w:spacing w:val="-1"/>
                <w:sz w:val="18"/>
              </w:rPr>
              <w:t>(179,038)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6"/>
              <w:jc w:val="right"/>
              <w:rPr>
                <w:rFonts w:ascii="Arial" w:hAnsi="Arial" w:cs="Arial" w:eastAsia="Arial" w:hint="default"/>
                <w:sz w:val="18"/>
                <w:szCs w:val="18"/>
              </w:rPr>
            </w:pPr>
            <w:r>
              <w:rPr>
                <w:rFonts w:ascii="Arial"/>
                <w:w w:val="99"/>
                <w:sz w:val="18"/>
              </w:rPr>
              <w:t>-</w:t>
            </w:r>
            <w:r>
              <w:rPr>
                <w:rFonts w:ascii="Arial"/>
                <w:sz w:val="18"/>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w w:val="99"/>
                <w:sz w:val="18"/>
              </w:rPr>
              <w:t>-</w:t>
            </w:r>
            <w:r>
              <w:rPr>
                <w:rFonts w:ascii="Arial"/>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4"/>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40"/>
              <w:jc w:val="right"/>
              <w:rPr>
                <w:rFonts w:ascii="Arial" w:hAnsi="Arial" w:cs="Arial" w:eastAsia="Arial" w:hint="default"/>
                <w:sz w:val="18"/>
                <w:szCs w:val="18"/>
              </w:rPr>
            </w:pPr>
            <w:r>
              <w:rPr>
                <w:rFonts w:ascii="Arial"/>
                <w:spacing w:val="-1"/>
                <w:sz w:val="18"/>
              </w:rPr>
              <w:t>(179,038)</w:t>
            </w:r>
          </w:p>
        </w:tc>
      </w:tr>
      <w:tr>
        <w:trPr>
          <w:trHeight w:val="23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301" w:right="0"/>
              <w:jc w:val="left"/>
              <w:rPr>
                <w:rFonts w:ascii="宋体" w:hAnsi="宋体" w:cs="宋体" w:eastAsia="宋体" w:hint="default"/>
                <w:sz w:val="17"/>
                <w:szCs w:val="17"/>
              </w:rPr>
            </w:pPr>
            <w:r>
              <w:rPr>
                <w:rFonts w:ascii="宋体" w:hAnsi="宋体" w:cs="宋体" w:eastAsia="宋体" w:hint="default"/>
                <w:sz w:val="17"/>
                <w:szCs w:val="17"/>
              </w:rPr>
              <w:t>外币报表折算差异</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4"/>
              <w:jc w:val="right"/>
              <w:rPr>
                <w:rFonts w:ascii="Arial" w:hAnsi="Arial" w:cs="Arial" w:eastAsia="Arial" w:hint="default"/>
                <w:sz w:val="18"/>
                <w:szCs w:val="18"/>
              </w:rPr>
            </w:pPr>
            <w:r>
              <w:rPr>
                <w:rFonts w:ascii="Arial"/>
                <w:spacing w:val="-1"/>
                <w:w w:val="95"/>
                <w:sz w:val="18"/>
              </w:rPr>
              <w:t>261</w:t>
            </w:r>
            <w:r>
              <w:rPr>
                <w:rFonts w:ascii="Arial"/>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6"/>
              <w:jc w:val="right"/>
              <w:rPr>
                <w:rFonts w:ascii="Arial" w:hAnsi="Arial" w:cs="Arial" w:eastAsia="Arial" w:hint="default"/>
                <w:sz w:val="18"/>
                <w:szCs w:val="18"/>
              </w:rPr>
            </w:pPr>
            <w:r>
              <w:rPr>
                <w:rFonts w:ascii="Arial"/>
                <w:spacing w:val="-1"/>
                <w:w w:val="95"/>
                <w:sz w:val="18"/>
              </w:rPr>
              <w:t>74</w:t>
            </w:r>
            <w:r>
              <w:rPr>
                <w:rFonts w:ascii="Arial"/>
                <w:sz w:val="18"/>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8"/>
              <w:jc w:val="right"/>
              <w:rPr>
                <w:rFonts w:ascii="Arial" w:hAnsi="Arial" w:cs="Arial" w:eastAsia="Arial" w:hint="default"/>
                <w:sz w:val="18"/>
                <w:szCs w:val="18"/>
              </w:rPr>
            </w:pPr>
            <w:r>
              <w:rPr>
                <w:rFonts w:ascii="Arial"/>
                <w:spacing w:val="-7"/>
                <w:w w:val="95"/>
                <w:sz w:val="18"/>
              </w:rPr>
              <w:t>11</w:t>
            </w:r>
            <w:r>
              <w:rPr>
                <w:rFonts w:ascii="Arial"/>
                <w:spacing w:val="-7"/>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4"/>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109"/>
              <w:jc w:val="right"/>
              <w:rPr>
                <w:rFonts w:ascii="Arial" w:hAnsi="Arial" w:cs="Arial" w:eastAsia="Arial" w:hint="default"/>
                <w:sz w:val="18"/>
                <w:szCs w:val="18"/>
              </w:rPr>
            </w:pPr>
            <w:r>
              <w:rPr>
                <w:rFonts w:ascii="Arial"/>
                <w:spacing w:val="-1"/>
                <w:w w:val="95"/>
                <w:sz w:val="18"/>
              </w:rPr>
              <w:t>346</w:t>
            </w:r>
            <w:r>
              <w:rPr>
                <w:rFonts w:ascii="Arial"/>
                <w:sz w:val="18"/>
              </w:rPr>
            </w:r>
          </w:p>
        </w:tc>
      </w:tr>
      <w:tr>
        <w:trPr>
          <w:trHeight w:val="21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3" w:lineRule="exact"/>
              <w:ind w:left="103" w:right="0"/>
              <w:jc w:val="left"/>
              <w:rPr>
                <w:rFonts w:ascii="宋体" w:hAnsi="宋体" w:cs="宋体" w:eastAsia="宋体" w:hint="default"/>
                <w:sz w:val="17"/>
                <w:szCs w:val="17"/>
              </w:rPr>
            </w:pPr>
            <w:r>
              <w:rPr>
                <w:rFonts w:ascii="Arial" w:hAnsi="Arial" w:cs="Arial" w:eastAsia="Arial" w:hint="default"/>
                <w:sz w:val="17"/>
                <w:szCs w:val="17"/>
              </w:rPr>
              <w:t>2015</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158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single" w:sz="4" w:space="0" w:color="000000"/>
            </w:tcBorders>
          </w:tcPr>
          <w:p>
            <w:pPr/>
          </w:p>
        </w:tc>
      </w:tr>
      <w:tr>
        <w:trPr>
          <w:trHeight w:val="204"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single" w:sz="4" w:space="0" w:color="000000"/>
              <w:right w:val="nil" w:sz="6" w:space="0" w:color="auto"/>
            </w:tcBorders>
          </w:tcPr>
          <w:p>
            <w:pPr/>
          </w:p>
        </w:tc>
        <w:tc>
          <w:tcPr>
            <w:tcW w:w="1580" w:type="dxa"/>
            <w:tcBorders>
              <w:top w:val="nil" w:sz="6" w:space="0" w:color="auto"/>
              <w:left w:val="nil" w:sz="6" w:space="0" w:color="auto"/>
              <w:bottom w:val="single" w:sz="4" w:space="0" w:color="000000"/>
              <w:right w:val="nil" w:sz="6" w:space="0" w:color="auto"/>
            </w:tcBorders>
          </w:tcPr>
          <w:p>
            <w:pPr>
              <w:pStyle w:val="TableParagraph"/>
              <w:spacing w:line="196" w:lineRule="exact"/>
              <w:ind w:right="367"/>
              <w:jc w:val="right"/>
              <w:rPr>
                <w:rFonts w:ascii="Arial" w:hAnsi="Arial" w:cs="Arial" w:eastAsia="Arial" w:hint="default"/>
                <w:sz w:val="18"/>
                <w:szCs w:val="18"/>
              </w:rPr>
            </w:pPr>
            <w:r>
              <w:rPr>
                <w:rFonts w:ascii="Arial"/>
                <w:spacing w:val="-1"/>
                <w:sz w:val="18"/>
              </w:rPr>
              <w:t>6,895,662</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196" w:lineRule="exact"/>
              <w:ind w:left="299" w:right="0"/>
              <w:jc w:val="left"/>
              <w:rPr>
                <w:rFonts w:ascii="Arial" w:hAnsi="Arial" w:cs="Arial" w:eastAsia="Arial" w:hint="default"/>
                <w:sz w:val="18"/>
                <w:szCs w:val="18"/>
              </w:rPr>
            </w:pPr>
            <w:r>
              <w:rPr>
                <w:rFonts w:ascii="Arial"/>
                <w:sz w:val="18"/>
              </w:rPr>
              <w:t>1,129,608</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196" w:lineRule="exact"/>
              <w:ind w:right="414"/>
              <w:jc w:val="right"/>
              <w:rPr>
                <w:rFonts w:ascii="Arial" w:hAnsi="Arial" w:cs="Arial" w:eastAsia="Arial" w:hint="default"/>
                <w:sz w:val="18"/>
                <w:szCs w:val="18"/>
              </w:rPr>
            </w:pPr>
            <w:r>
              <w:rPr>
                <w:rFonts w:ascii="Arial"/>
                <w:spacing w:val="-1"/>
                <w:sz w:val="18"/>
              </w:rPr>
              <w:t>245,233</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196" w:lineRule="exact"/>
              <w:ind w:left="546" w:right="0"/>
              <w:jc w:val="left"/>
              <w:rPr>
                <w:rFonts w:ascii="Arial" w:hAnsi="Arial" w:cs="Arial" w:eastAsia="Arial" w:hint="default"/>
                <w:sz w:val="18"/>
                <w:szCs w:val="18"/>
              </w:rPr>
            </w:pPr>
            <w:r>
              <w:rPr>
                <w:rFonts w:ascii="Arial"/>
                <w:sz w:val="18"/>
              </w:rPr>
              <w:t>634,860</w:t>
            </w:r>
          </w:p>
        </w:tc>
        <w:tc>
          <w:tcPr>
            <w:tcW w:w="1286" w:type="dxa"/>
            <w:tcBorders>
              <w:top w:val="nil" w:sz="6" w:space="0" w:color="auto"/>
              <w:left w:val="nil" w:sz="6" w:space="0" w:color="auto"/>
              <w:bottom w:val="single" w:sz="4" w:space="0" w:color="000000"/>
              <w:right w:val="nil" w:sz="6" w:space="0" w:color="auto"/>
            </w:tcBorders>
          </w:tcPr>
          <w:p>
            <w:pPr>
              <w:pStyle w:val="TableParagraph"/>
              <w:spacing w:line="196" w:lineRule="exact"/>
              <w:ind w:right="154"/>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single" w:sz="4" w:space="0" w:color="000000"/>
              <w:right w:val="nil" w:sz="6" w:space="0" w:color="auto"/>
            </w:tcBorders>
          </w:tcPr>
          <w:p>
            <w:pPr>
              <w:pStyle w:val="TableParagraph"/>
              <w:spacing w:line="196" w:lineRule="exact"/>
              <w:ind w:right="456"/>
              <w:jc w:val="right"/>
              <w:rPr>
                <w:rFonts w:ascii="Arial" w:hAnsi="Arial" w:cs="Arial" w:eastAsia="Arial" w:hint="default"/>
                <w:sz w:val="18"/>
                <w:szCs w:val="18"/>
              </w:rPr>
            </w:pPr>
            <w:r>
              <w:rPr>
                <w:rFonts w:ascii="Arial"/>
                <w:spacing w:val="-1"/>
                <w:sz w:val="18"/>
              </w:rPr>
              <w:t>42,881</w:t>
            </w:r>
          </w:p>
        </w:tc>
        <w:tc>
          <w:tcPr>
            <w:tcW w:w="1376" w:type="dxa"/>
            <w:tcBorders>
              <w:top w:val="nil" w:sz="6" w:space="0" w:color="auto"/>
              <w:left w:val="nil" w:sz="6" w:space="0" w:color="auto"/>
              <w:bottom w:val="single" w:sz="4" w:space="0" w:color="000000"/>
              <w:right w:val="single" w:sz="4" w:space="0" w:color="000000"/>
            </w:tcBorders>
          </w:tcPr>
          <w:p>
            <w:pPr>
              <w:pStyle w:val="TableParagraph"/>
              <w:spacing w:line="196" w:lineRule="exact"/>
              <w:ind w:left="486" w:right="0"/>
              <w:jc w:val="left"/>
              <w:rPr>
                <w:rFonts w:ascii="Arial" w:hAnsi="Arial" w:cs="Arial" w:eastAsia="Arial" w:hint="default"/>
                <w:sz w:val="18"/>
                <w:szCs w:val="18"/>
              </w:rPr>
            </w:pPr>
            <w:r>
              <w:rPr>
                <w:rFonts w:ascii="Arial"/>
                <w:sz w:val="18"/>
              </w:rPr>
              <w:t>8,948,244</w:t>
            </w:r>
          </w:p>
        </w:tc>
      </w:tr>
      <w:tr>
        <w:trPr>
          <w:trHeight w:val="448" w:hRule="exact"/>
        </w:trPr>
        <w:tc>
          <w:tcPr>
            <w:tcW w:w="812" w:type="dxa"/>
            <w:tcBorders>
              <w:top w:val="nil" w:sz="6" w:space="0" w:color="auto"/>
              <w:left w:val="nil" w:sz="6" w:space="0" w:color="auto"/>
              <w:bottom w:val="nil" w:sz="6" w:space="0" w:color="auto"/>
              <w:right w:val="nil" w:sz="6" w:space="0" w:color="auto"/>
            </w:tcBorders>
          </w:tcPr>
          <w:p>
            <w:pPr/>
          </w:p>
        </w:tc>
        <w:tc>
          <w:tcPr>
            <w:tcW w:w="281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17"/>
                <w:szCs w:val="17"/>
              </w:rPr>
            </w:pPr>
            <w:r>
              <w:rPr>
                <w:rFonts w:ascii="宋体" w:hAnsi="宋体" w:cs="宋体" w:eastAsia="宋体" w:hint="default"/>
                <w:sz w:val="17"/>
                <w:szCs w:val="17"/>
              </w:rPr>
              <w:t>累计摊销</w:t>
            </w:r>
          </w:p>
        </w:tc>
        <w:tc>
          <w:tcPr>
            <w:tcW w:w="1580" w:type="dxa"/>
            <w:tcBorders>
              <w:top w:val="single" w:sz="4" w:space="0" w:color="000000"/>
              <w:left w:val="nil" w:sz="6" w:space="0" w:color="auto"/>
              <w:bottom w:val="single" w:sz="4" w:space="0" w:color="000000"/>
              <w:right w:val="nil" w:sz="6" w:space="0" w:color="auto"/>
            </w:tcBorders>
          </w:tcPr>
          <w:p>
            <w:pPr/>
          </w:p>
        </w:tc>
        <w:tc>
          <w:tcPr>
            <w:tcW w:w="1395" w:type="dxa"/>
            <w:tcBorders>
              <w:top w:val="single" w:sz="4" w:space="0" w:color="000000"/>
              <w:left w:val="nil" w:sz="6" w:space="0" w:color="auto"/>
              <w:bottom w:val="single" w:sz="4" w:space="0" w:color="000000"/>
              <w:right w:val="nil" w:sz="6" w:space="0" w:color="auto"/>
            </w:tcBorders>
          </w:tcPr>
          <w:p>
            <w:pPr/>
          </w:p>
        </w:tc>
        <w:tc>
          <w:tcPr>
            <w:tcW w:w="1703" w:type="dxa"/>
            <w:tcBorders>
              <w:top w:val="single" w:sz="4" w:space="0" w:color="000000"/>
              <w:left w:val="nil" w:sz="6" w:space="0" w:color="auto"/>
              <w:bottom w:val="single" w:sz="4" w:space="0" w:color="000000"/>
              <w:right w:val="nil" w:sz="6" w:space="0" w:color="auto"/>
            </w:tcBorders>
          </w:tcPr>
          <w:p>
            <w:pPr/>
          </w:p>
        </w:tc>
        <w:tc>
          <w:tcPr>
            <w:tcW w:w="1534" w:type="dxa"/>
            <w:tcBorders>
              <w:top w:val="single" w:sz="4" w:space="0" w:color="000000"/>
              <w:left w:val="nil" w:sz="6" w:space="0" w:color="auto"/>
              <w:bottom w:val="single" w:sz="4" w:space="0" w:color="000000"/>
              <w:right w:val="nil" w:sz="6" w:space="0" w:color="auto"/>
            </w:tcBorders>
          </w:tcPr>
          <w:p>
            <w:pPr/>
          </w:p>
        </w:tc>
        <w:tc>
          <w:tcPr>
            <w:tcW w:w="1286" w:type="dxa"/>
            <w:tcBorders>
              <w:top w:val="single" w:sz="4" w:space="0" w:color="000000"/>
              <w:left w:val="nil" w:sz="6" w:space="0" w:color="auto"/>
              <w:bottom w:val="single" w:sz="4" w:space="0" w:color="000000"/>
              <w:right w:val="nil" w:sz="6" w:space="0" w:color="auto"/>
            </w:tcBorders>
          </w:tcPr>
          <w:p>
            <w:pPr/>
          </w:p>
        </w:tc>
        <w:tc>
          <w:tcPr>
            <w:tcW w:w="2080" w:type="dxa"/>
            <w:tcBorders>
              <w:top w:val="single" w:sz="4" w:space="0" w:color="000000"/>
              <w:left w:val="nil" w:sz="6" w:space="0" w:color="auto"/>
              <w:bottom w:val="single" w:sz="4" w:space="0" w:color="000000"/>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
        </w:tc>
      </w:tr>
      <w:tr>
        <w:trPr>
          <w:trHeight w:val="239"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single" w:sz="4" w:space="0" w:color="000000"/>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7"/>
                <w:szCs w:val="17"/>
              </w:rPr>
            </w:pPr>
            <w:r>
              <w:rPr>
                <w:rFonts w:ascii="Arial" w:hAnsi="Arial" w:cs="Arial" w:eastAsia="Arial" w:hint="default"/>
                <w:sz w:val="17"/>
                <w:szCs w:val="17"/>
              </w:rPr>
              <w:t>2014</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15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10"/>
              <w:jc w:val="right"/>
              <w:rPr>
                <w:rFonts w:ascii="Arial" w:hAnsi="Arial" w:cs="Arial" w:eastAsia="Arial" w:hint="default"/>
                <w:sz w:val="18"/>
                <w:szCs w:val="18"/>
              </w:rPr>
            </w:pPr>
            <w:r>
              <w:rPr>
                <w:rFonts w:ascii="Arial"/>
                <w:spacing w:val="-1"/>
                <w:sz w:val="18"/>
              </w:rPr>
              <w:t>(415,991)</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29"/>
              <w:jc w:val="right"/>
              <w:rPr>
                <w:rFonts w:ascii="Arial" w:hAnsi="Arial" w:cs="Arial" w:eastAsia="Arial" w:hint="default"/>
                <w:sz w:val="18"/>
                <w:szCs w:val="18"/>
              </w:rPr>
            </w:pPr>
            <w:r>
              <w:rPr>
                <w:rFonts w:ascii="Arial"/>
                <w:spacing w:val="-1"/>
                <w:sz w:val="18"/>
              </w:rPr>
              <w:t>(566,584)</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57"/>
              <w:jc w:val="right"/>
              <w:rPr>
                <w:rFonts w:ascii="Arial" w:hAnsi="Arial" w:cs="Arial" w:eastAsia="Arial" w:hint="default"/>
                <w:sz w:val="18"/>
                <w:szCs w:val="18"/>
              </w:rPr>
            </w:pPr>
            <w:r>
              <w:rPr>
                <w:rFonts w:ascii="Arial"/>
                <w:spacing w:val="-1"/>
                <w:sz w:val="18"/>
              </w:rPr>
              <w:t>(245,233)</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74"/>
              <w:jc w:val="right"/>
              <w:rPr>
                <w:rFonts w:ascii="Arial" w:hAnsi="Arial" w:cs="Arial" w:eastAsia="Arial" w:hint="default"/>
                <w:sz w:val="18"/>
                <w:szCs w:val="18"/>
              </w:rPr>
            </w:pPr>
            <w:r>
              <w:rPr>
                <w:rFonts w:ascii="Arial"/>
                <w:spacing w:val="-1"/>
                <w:sz w:val="18"/>
              </w:rPr>
              <w:t>(154,553)</w:t>
            </w: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405"/>
              <w:jc w:val="right"/>
              <w:rPr>
                <w:rFonts w:ascii="Arial" w:hAnsi="Arial" w:cs="Arial" w:eastAsia="Arial" w:hint="default"/>
                <w:sz w:val="18"/>
                <w:szCs w:val="18"/>
              </w:rPr>
            </w:pPr>
            <w:r>
              <w:rPr>
                <w:rFonts w:ascii="Arial"/>
                <w:spacing w:val="-1"/>
                <w:sz w:val="18"/>
              </w:rPr>
              <w:t>(14,023)</w:t>
            </w:r>
          </w:p>
        </w:tc>
        <w:tc>
          <w:tcPr>
            <w:tcW w:w="1376"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left="394" w:right="0"/>
              <w:jc w:val="left"/>
              <w:rPr>
                <w:rFonts w:ascii="Arial" w:hAnsi="Arial" w:cs="Arial" w:eastAsia="Arial" w:hint="default"/>
                <w:sz w:val="18"/>
                <w:szCs w:val="18"/>
              </w:rPr>
            </w:pPr>
            <w:r>
              <w:rPr>
                <w:rFonts w:ascii="Arial"/>
                <w:sz w:val="18"/>
              </w:rPr>
              <w:t>(1,396,384)</w:t>
            </w:r>
          </w:p>
        </w:tc>
      </w:tr>
      <w:tr>
        <w:trPr>
          <w:trHeight w:val="22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158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single" w:sz="4" w:space="0" w:color="000000"/>
            </w:tcBorders>
          </w:tcPr>
          <w:p>
            <w:pPr/>
          </w:p>
        </w:tc>
      </w:tr>
      <w:tr>
        <w:trPr>
          <w:trHeight w:val="24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0" w:lineRule="exact"/>
              <w:ind w:left="301" w:right="0"/>
              <w:jc w:val="left"/>
              <w:rPr>
                <w:rFonts w:ascii="宋体" w:hAnsi="宋体" w:cs="宋体" w:eastAsia="宋体" w:hint="default"/>
                <w:sz w:val="17"/>
                <w:szCs w:val="17"/>
              </w:rPr>
            </w:pPr>
            <w:r>
              <w:rPr>
                <w:rFonts w:ascii="宋体" w:hAnsi="宋体" w:cs="宋体" w:eastAsia="宋体" w:hint="default"/>
                <w:sz w:val="17"/>
                <w:szCs w:val="17"/>
              </w:rPr>
              <w:t>计提</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1"/>
              <w:jc w:val="right"/>
              <w:rPr>
                <w:rFonts w:ascii="Arial" w:hAnsi="Arial" w:cs="Arial" w:eastAsia="Arial" w:hint="default"/>
                <w:sz w:val="18"/>
                <w:szCs w:val="18"/>
              </w:rPr>
            </w:pPr>
            <w:r>
              <w:rPr>
                <w:rFonts w:ascii="Arial"/>
                <w:spacing w:val="-1"/>
                <w:sz w:val="18"/>
              </w:rPr>
              <w:t>(171,849)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0"/>
              <w:jc w:val="right"/>
              <w:rPr>
                <w:rFonts w:ascii="Arial" w:hAnsi="Arial" w:cs="Arial" w:eastAsia="Arial" w:hint="default"/>
                <w:sz w:val="18"/>
                <w:szCs w:val="18"/>
              </w:rPr>
            </w:pPr>
            <w:r>
              <w:rPr>
                <w:rFonts w:ascii="Arial"/>
                <w:spacing w:val="-1"/>
                <w:sz w:val="18"/>
              </w:rPr>
              <w:t>(212,199)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3" w:right="0"/>
              <w:jc w:val="left"/>
              <w:rPr>
                <w:rFonts w:ascii="Arial" w:hAnsi="Arial" w:cs="Arial" w:eastAsia="Arial" w:hint="default"/>
                <w:sz w:val="18"/>
                <w:szCs w:val="18"/>
              </w:rPr>
            </w:pPr>
            <w:r>
              <w:rPr>
                <w:rFonts w:ascii="Arial"/>
                <w:sz w:val="18"/>
              </w:rPr>
              <w:t>(66,031)</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18"/>
                <w:szCs w:val="18"/>
              </w:rPr>
            </w:pPr>
            <w:r>
              <w:rPr>
                <w:rFonts w:ascii="Arial"/>
                <w:spacing w:val="-1"/>
                <w:sz w:val="18"/>
              </w:rPr>
              <w:t>(698,195)</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06"/>
              <w:jc w:val="right"/>
              <w:rPr>
                <w:rFonts w:ascii="Arial" w:hAnsi="Arial" w:cs="Arial" w:eastAsia="Arial" w:hint="default"/>
                <w:sz w:val="18"/>
                <w:szCs w:val="18"/>
              </w:rPr>
            </w:pPr>
            <w:r>
              <w:rPr>
                <w:rFonts w:ascii="Arial"/>
                <w:spacing w:val="-1"/>
                <w:sz w:val="18"/>
              </w:rPr>
              <w:t>(8,754)</w:t>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394" w:right="0"/>
              <w:jc w:val="left"/>
              <w:rPr>
                <w:rFonts w:ascii="Arial" w:hAnsi="Arial" w:cs="Arial" w:eastAsia="Arial" w:hint="default"/>
                <w:sz w:val="18"/>
                <w:szCs w:val="18"/>
              </w:rPr>
            </w:pPr>
            <w:r>
              <w:rPr>
                <w:rFonts w:ascii="Arial"/>
                <w:sz w:val="18"/>
              </w:rPr>
              <w:t>(1,157,028)</w:t>
            </w:r>
          </w:p>
        </w:tc>
      </w:tr>
      <w:tr>
        <w:trPr>
          <w:trHeight w:val="219"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本年减少</w:t>
            </w:r>
          </w:p>
        </w:tc>
        <w:tc>
          <w:tcPr>
            <w:tcW w:w="158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single" w:sz="4" w:space="0" w:color="000000"/>
            </w:tcBorders>
          </w:tcPr>
          <w:p>
            <w:pPr/>
          </w:p>
        </w:tc>
      </w:tr>
      <w:tr>
        <w:trPr>
          <w:trHeight w:val="24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2" w:lineRule="exact"/>
              <w:ind w:left="301" w:right="0"/>
              <w:jc w:val="left"/>
              <w:rPr>
                <w:rFonts w:ascii="宋体" w:hAnsi="宋体" w:cs="宋体" w:eastAsia="宋体" w:hint="default"/>
                <w:sz w:val="17"/>
                <w:szCs w:val="17"/>
              </w:rPr>
            </w:pPr>
            <w:r>
              <w:rPr>
                <w:rFonts w:ascii="宋体" w:hAnsi="宋体" w:cs="宋体" w:eastAsia="宋体" w:hint="default"/>
                <w:sz w:val="17"/>
                <w:szCs w:val="17"/>
              </w:rPr>
              <w:t>处置</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7"/>
              <w:jc w:val="right"/>
              <w:rPr>
                <w:rFonts w:ascii="Arial" w:hAnsi="Arial" w:cs="Arial" w:eastAsia="Arial" w:hint="default"/>
                <w:sz w:val="18"/>
                <w:szCs w:val="18"/>
              </w:rPr>
            </w:pPr>
            <w:r>
              <w:rPr>
                <w:rFonts w:ascii="Arial"/>
                <w:spacing w:val="-1"/>
                <w:sz w:val="18"/>
              </w:rPr>
              <w:t>7,292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2"/>
              <w:jc w:val="right"/>
              <w:rPr>
                <w:rFonts w:ascii="Arial" w:hAnsi="Arial" w:cs="Arial" w:eastAsia="Arial" w:hint="default"/>
                <w:sz w:val="18"/>
                <w:szCs w:val="18"/>
              </w:rPr>
            </w:pPr>
            <w:r>
              <w:rPr>
                <w:rFonts w:ascii="Arial"/>
                <w:w w:val="99"/>
                <w:sz w:val="18"/>
              </w:rPr>
              <w:t>-</w:t>
            </w:r>
            <w:r>
              <w:rPr>
                <w:rFonts w:ascii="Arial"/>
                <w:sz w:val="18"/>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6"/>
              <w:jc w:val="right"/>
              <w:rPr>
                <w:rFonts w:ascii="Arial" w:hAnsi="Arial" w:cs="Arial" w:eastAsia="Arial" w:hint="default"/>
                <w:sz w:val="18"/>
                <w:szCs w:val="18"/>
              </w:rPr>
            </w:pPr>
            <w:r>
              <w:rPr>
                <w:rFonts w:ascii="Arial"/>
                <w:w w:val="99"/>
                <w:sz w:val="18"/>
              </w:rPr>
              <w:t>-</w:t>
            </w:r>
            <w:r>
              <w:rPr>
                <w:rFonts w:ascii="Arial"/>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4"/>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18"/>
              <w:ind w:right="102"/>
              <w:jc w:val="right"/>
              <w:rPr>
                <w:rFonts w:ascii="Arial" w:hAnsi="Arial" w:cs="Arial" w:eastAsia="Arial" w:hint="default"/>
                <w:sz w:val="18"/>
                <w:szCs w:val="18"/>
              </w:rPr>
            </w:pPr>
            <w:r>
              <w:rPr>
                <w:rFonts w:ascii="Arial"/>
                <w:spacing w:val="-1"/>
                <w:sz w:val="18"/>
              </w:rPr>
              <w:t>7,292</w:t>
            </w:r>
          </w:p>
        </w:tc>
      </w:tr>
      <w:tr>
        <w:trPr>
          <w:trHeight w:val="23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2" w:lineRule="exact"/>
              <w:ind w:left="301" w:right="0"/>
              <w:jc w:val="left"/>
              <w:rPr>
                <w:rFonts w:ascii="宋体" w:hAnsi="宋体" w:cs="宋体" w:eastAsia="宋体" w:hint="default"/>
                <w:sz w:val="17"/>
                <w:szCs w:val="17"/>
              </w:rPr>
            </w:pPr>
            <w:r>
              <w:rPr>
                <w:rFonts w:ascii="宋体" w:hAnsi="宋体" w:cs="宋体" w:eastAsia="宋体" w:hint="default"/>
                <w:sz w:val="17"/>
                <w:szCs w:val="17"/>
              </w:rPr>
              <w:t>处置子公司减少</w:t>
            </w:r>
          </w:p>
        </w:tc>
        <w:tc>
          <w:tcPr>
            <w:tcW w:w="1580" w:type="dxa"/>
            <w:tcBorders>
              <w:top w:val="nil" w:sz="6" w:space="0" w:color="auto"/>
              <w:left w:val="nil" w:sz="6" w:space="0" w:color="auto"/>
              <w:bottom w:val="nil" w:sz="6" w:space="0" w:color="auto"/>
              <w:right w:val="nil" w:sz="6" w:space="0" w:color="auto"/>
            </w:tcBorders>
          </w:tcPr>
          <w:p>
            <w:pPr>
              <w:pStyle w:val="TableParagraph"/>
              <w:spacing w:line="203" w:lineRule="exact"/>
              <w:ind w:right="366"/>
              <w:jc w:val="right"/>
              <w:rPr>
                <w:rFonts w:ascii="Arial" w:hAnsi="Arial" w:cs="Arial" w:eastAsia="Arial" w:hint="default"/>
                <w:sz w:val="18"/>
                <w:szCs w:val="18"/>
              </w:rPr>
            </w:pPr>
            <w:r>
              <w:rPr>
                <w:rFonts w:ascii="Arial"/>
                <w:w w:val="99"/>
                <w:sz w:val="18"/>
              </w:rPr>
              <w:t>-</w:t>
            </w:r>
            <w:r>
              <w:rPr>
                <w:rFonts w:ascii="Arial"/>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49" w:right="0"/>
              <w:jc w:val="left"/>
              <w:rPr>
                <w:rFonts w:ascii="Arial" w:hAnsi="Arial" w:cs="Arial" w:eastAsia="Arial" w:hint="default"/>
                <w:sz w:val="18"/>
                <w:szCs w:val="18"/>
              </w:rPr>
            </w:pPr>
            <w:r>
              <w:rPr>
                <w:rFonts w:ascii="Arial"/>
                <w:sz w:val="18"/>
              </w:rPr>
              <w:t>33,699</w:t>
            </w:r>
          </w:p>
        </w:tc>
        <w:tc>
          <w:tcPr>
            <w:tcW w:w="1703" w:type="dxa"/>
            <w:tcBorders>
              <w:top w:val="nil" w:sz="6" w:space="0" w:color="auto"/>
              <w:left w:val="nil" w:sz="6" w:space="0" w:color="auto"/>
              <w:bottom w:val="nil" w:sz="6" w:space="0" w:color="auto"/>
              <w:right w:val="nil" w:sz="6" w:space="0" w:color="auto"/>
            </w:tcBorders>
          </w:tcPr>
          <w:p>
            <w:pPr>
              <w:pStyle w:val="TableParagraph"/>
              <w:spacing w:line="203" w:lineRule="exact"/>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03" w:lineRule="exact"/>
              <w:ind w:right="336"/>
              <w:jc w:val="right"/>
              <w:rPr>
                <w:rFonts w:ascii="Arial" w:hAnsi="Arial" w:cs="Arial" w:eastAsia="Arial" w:hint="default"/>
                <w:sz w:val="18"/>
                <w:szCs w:val="18"/>
              </w:rPr>
            </w:pPr>
            <w:r>
              <w:rPr>
                <w:rFonts w:ascii="Arial"/>
                <w:w w:val="99"/>
                <w:sz w:val="18"/>
              </w:rPr>
              <w:t>-</w:t>
            </w:r>
            <w:r>
              <w:rPr>
                <w:rFonts w:ascii="Arial"/>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4"/>
              <w:jc w:val="right"/>
              <w:rPr>
                <w:rFonts w:ascii="Arial" w:hAnsi="Arial" w:cs="Arial" w:eastAsia="Arial" w:hint="default"/>
                <w:sz w:val="18"/>
                <w:szCs w:val="18"/>
              </w:rPr>
            </w:pPr>
            <w:r>
              <w:rPr>
                <w:rFonts w:ascii="Arial"/>
                <w:spacing w:val="-1"/>
                <w:sz w:val="18"/>
              </w:rPr>
              <w:t>698,195</w:t>
            </w:r>
          </w:p>
        </w:tc>
        <w:tc>
          <w:tcPr>
            <w:tcW w:w="2080" w:type="dxa"/>
            <w:tcBorders>
              <w:top w:val="nil" w:sz="6" w:space="0" w:color="auto"/>
              <w:left w:val="nil" w:sz="6" w:space="0" w:color="auto"/>
              <w:bottom w:val="nil" w:sz="6" w:space="0" w:color="auto"/>
              <w:right w:val="nil" w:sz="6" w:space="0" w:color="auto"/>
            </w:tcBorders>
          </w:tcPr>
          <w:p>
            <w:pPr>
              <w:pStyle w:val="TableParagraph"/>
              <w:spacing w:line="203" w:lineRule="exact"/>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02"/>
              <w:jc w:val="right"/>
              <w:rPr>
                <w:rFonts w:ascii="Arial" w:hAnsi="Arial" w:cs="Arial" w:eastAsia="Arial" w:hint="default"/>
                <w:sz w:val="18"/>
                <w:szCs w:val="18"/>
              </w:rPr>
            </w:pPr>
            <w:r>
              <w:rPr>
                <w:rFonts w:ascii="Arial"/>
                <w:spacing w:val="-1"/>
                <w:sz w:val="18"/>
              </w:rPr>
              <w:t>731,894</w:t>
            </w:r>
          </w:p>
        </w:tc>
      </w:tr>
      <w:tr>
        <w:trPr>
          <w:trHeight w:val="23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3" w:lineRule="exact"/>
              <w:ind w:left="301" w:right="0"/>
              <w:jc w:val="left"/>
              <w:rPr>
                <w:rFonts w:ascii="宋体" w:hAnsi="宋体" w:cs="宋体" w:eastAsia="宋体" w:hint="default"/>
                <w:sz w:val="17"/>
                <w:szCs w:val="17"/>
              </w:rPr>
            </w:pPr>
            <w:r>
              <w:rPr>
                <w:rFonts w:ascii="宋体" w:hAnsi="宋体" w:cs="宋体" w:eastAsia="宋体" w:hint="default"/>
                <w:sz w:val="17"/>
                <w:szCs w:val="17"/>
              </w:rPr>
              <w:t>转入存货</w:t>
            </w:r>
            <w:r>
              <w:rPr>
                <w:rFonts w:ascii="Arial" w:hAnsi="Arial" w:cs="Arial" w:eastAsia="Arial" w:hint="default"/>
                <w:sz w:val="17"/>
                <w:szCs w:val="17"/>
              </w:rPr>
              <w:t>-</w:t>
            </w:r>
            <w:r>
              <w:rPr>
                <w:rFonts w:ascii="宋体" w:hAnsi="宋体" w:cs="宋体" w:eastAsia="宋体" w:hint="default"/>
                <w:sz w:val="17"/>
                <w:szCs w:val="17"/>
              </w:rPr>
              <w:t>房地产开发成本</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7"/>
              <w:jc w:val="right"/>
              <w:rPr>
                <w:rFonts w:ascii="Arial" w:hAnsi="Arial" w:cs="Arial" w:eastAsia="Arial" w:hint="default"/>
                <w:sz w:val="18"/>
                <w:szCs w:val="18"/>
              </w:rPr>
            </w:pPr>
            <w:r>
              <w:rPr>
                <w:rFonts w:ascii="Arial"/>
                <w:spacing w:val="-1"/>
                <w:sz w:val="18"/>
              </w:rPr>
              <w:t>16,450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3"/>
              <w:jc w:val="right"/>
              <w:rPr>
                <w:rFonts w:ascii="Arial" w:hAnsi="Arial" w:cs="Arial" w:eastAsia="Arial" w:hint="default"/>
                <w:sz w:val="18"/>
                <w:szCs w:val="18"/>
              </w:rPr>
            </w:pPr>
            <w:r>
              <w:rPr>
                <w:rFonts w:ascii="Arial"/>
                <w:w w:val="99"/>
                <w:sz w:val="18"/>
              </w:rPr>
              <w:t>-</w:t>
            </w:r>
            <w:r>
              <w:rPr>
                <w:rFonts w:ascii="Arial"/>
                <w:sz w:val="18"/>
              </w:rPr>
            </w:r>
          </w:p>
        </w:tc>
        <w:tc>
          <w:tcPr>
            <w:tcW w:w="1703" w:type="dxa"/>
            <w:tcBorders>
              <w:top w:val="nil" w:sz="6" w:space="0" w:color="auto"/>
              <w:left w:val="nil" w:sz="6" w:space="0" w:color="auto"/>
              <w:bottom w:val="nil" w:sz="6" w:space="0" w:color="auto"/>
              <w:right w:val="nil" w:sz="6" w:space="0" w:color="auto"/>
            </w:tcBorders>
          </w:tcPr>
          <w:p>
            <w:pPr>
              <w:pStyle w:val="TableParagraph"/>
              <w:spacing w:line="202" w:lineRule="exact"/>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02" w:lineRule="exact"/>
              <w:ind w:right="336"/>
              <w:jc w:val="right"/>
              <w:rPr>
                <w:rFonts w:ascii="Arial" w:hAnsi="Arial" w:cs="Arial" w:eastAsia="Arial" w:hint="default"/>
                <w:sz w:val="18"/>
                <w:szCs w:val="18"/>
              </w:rPr>
            </w:pPr>
            <w:r>
              <w:rPr>
                <w:rFonts w:ascii="Arial"/>
                <w:w w:val="99"/>
                <w:sz w:val="18"/>
              </w:rPr>
              <w:t>-</w:t>
            </w:r>
            <w:r>
              <w:rPr>
                <w:rFonts w:ascii="Arial"/>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4"/>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02" w:lineRule="exact"/>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96"/>
              <w:jc w:val="right"/>
              <w:rPr>
                <w:rFonts w:ascii="Arial" w:hAnsi="Arial" w:cs="Arial" w:eastAsia="Arial" w:hint="default"/>
                <w:sz w:val="18"/>
                <w:szCs w:val="18"/>
              </w:rPr>
            </w:pPr>
            <w:r>
              <w:rPr>
                <w:rFonts w:ascii="Arial"/>
                <w:spacing w:val="-1"/>
                <w:sz w:val="18"/>
              </w:rPr>
              <w:t>16,450</w:t>
            </w:r>
          </w:p>
        </w:tc>
      </w:tr>
      <w:tr>
        <w:trPr>
          <w:trHeight w:val="232"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1" w:lineRule="exact"/>
              <w:ind w:left="301" w:right="0"/>
              <w:jc w:val="left"/>
              <w:rPr>
                <w:rFonts w:ascii="宋体" w:hAnsi="宋体" w:cs="宋体" w:eastAsia="宋体" w:hint="default"/>
                <w:sz w:val="17"/>
                <w:szCs w:val="17"/>
              </w:rPr>
            </w:pPr>
            <w:r>
              <w:rPr>
                <w:rFonts w:ascii="宋体" w:hAnsi="宋体" w:cs="宋体" w:eastAsia="宋体" w:hint="default"/>
                <w:sz w:val="17"/>
                <w:szCs w:val="17"/>
              </w:rPr>
              <w:t>外币报表折算差异</w:t>
            </w:r>
          </w:p>
        </w:tc>
        <w:tc>
          <w:tcPr>
            <w:tcW w:w="1580" w:type="dxa"/>
            <w:tcBorders>
              <w:top w:val="nil" w:sz="6" w:space="0" w:color="auto"/>
              <w:left w:val="nil" w:sz="6" w:space="0" w:color="auto"/>
              <w:bottom w:val="nil" w:sz="6" w:space="0" w:color="auto"/>
              <w:right w:val="nil" w:sz="6" w:space="0" w:color="auto"/>
            </w:tcBorders>
          </w:tcPr>
          <w:p>
            <w:pPr>
              <w:pStyle w:val="TableParagraph"/>
              <w:spacing w:line="202" w:lineRule="exact"/>
              <w:ind w:right="366"/>
              <w:jc w:val="right"/>
              <w:rPr>
                <w:rFonts w:ascii="Arial" w:hAnsi="Arial" w:cs="Arial" w:eastAsia="Arial" w:hint="default"/>
                <w:sz w:val="18"/>
                <w:szCs w:val="18"/>
              </w:rPr>
            </w:pPr>
            <w:r>
              <w:rPr>
                <w:rFonts w:ascii="Arial"/>
                <w:w w:val="99"/>
                <w:sz w:val="18"/>
              </w:rPr>
              <w:t>-</w:t>
            </w:r>
            <w:r>
              <w:rPr>
                <w:rFonts w:ascii="Arial"/>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30"/>
              <w:jc w:val="right"/>
              <w:rPr>
                <w:rFonts w:ascii="Arial" w:hAnsi="Arial" w:cs="Arial" w:eastAsia="Arial" w:hint="default"/>
                <w:sz w:val="18"/>
                <w:szCs w:val="18"/>
              </w:rPr>
            </w:pPr>
            <w:r>
              <w:rPr>
                <w:rFonts w:ascii="Arial"/>
                <w:spacing w:val="-1"/>
                <w:sz w:val="18"/>
              </w:rPr>
              <w:t>(35)</w:t>
            </w:r>
          </w:p>
        </w:tc>
        <w:tc>
          <w:tcPr>
            <w:tcW w:w="1703" w:type="dxa"/>
            <w:tcBorders>
              <w:top w:val="nil" w:sz="6" w:space="0" w:color="auto"/>
              <w:left w:val="nil" w:sz="6" w:space="0" w:color="auto"/>
              <w:bottom w:val="nil" w:sz="6" w:space="0" w:color="auto"/>
              <w:right w:val="nil" w:sz="6" w:space="0" w:color="auto"/>
            </w:tcBorders>
          </w:tcPr>
          <w:p>
            <w:pPr>
              <w:pStyle w:val="TableParagraph"/>
              <w:spacing w:line="202" w:lineRule="exact"/>
              <w:ind w:right="413"/>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02" w:lineRule="exact"/>
              <w:ind w:right="336"/>
              <w:jc w:val="right"/>
              <w:rPr>
                <w:rFonts w:ascii="Arial" w:hAnsi="Arial" w:cs="Arial" w:eastAsia="Arial" w:hint="default"/>
                <w:sz w:val="18"/>
                <w:szCs w:val="18"/>
              </w:rPr>
            </w:pPr>
            <w:r>
              <w:rPr>
                <w:rFonts w:ascii="Arial"/>
                <w:spacing w:val="-1"/>
                <w:sz w:val="18"/>
              </w:rPr>
              <w:t>(1)</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4"/>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02" w:lineRule="exact"/>
              <w:ind w:right="455"/>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55"/>
              <w:jc w:val="right"/>
              <w:rPr>
                <w:rFonts w:ascii="Arial" w:hAnsi="Arial" w:cs="Arial" w:eastAsia="Arial" w:hint="default"/>
                <w:sz w:val="18"/>
                <w:szCs w:val="18"/>
              </w:rPr>
            </w:pPr>
            <w:r>
              <w:rPr>
                <w:rFonts w:ascii="Arial"/>
                <w:spacing w:val="-1"/>
                <w:sz w:val="18"/>
              </w:rPr>
              <w:t>(36)</w:t>
            </w:r>
          </w:p>
        </w:tc>
      </w:tr>
      <w:tr>
        <w:trPr>
          <w:trHeight w:val="22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single" w:sz="4" w:space="0" w:color="000000"/>
              <w:right w:val="nil" w:sz="6" w:space="0" w:color="auto"/>
            </w:tcBorders>
          </w:tcPr>
          <w:p>
            <w:pPr>
              <w:pStyle w:val="TableParagraph"/>
              <w:spacing w:line="202" w:lineRule="exact"/>
              <w:ind w:left="103" w:right="0"/>
              <w:jc w:val="left"/>
              <w:rPr>
                <w:rFonts w:ascii="宋体" w:hAnsi="宋体" w:cs="宋体" w:eastAsia="宋体" w:hint="default"/>
                <w:sz w:val="17"/>
                <w:szCs w:val="17"/>
              </w:rPr>
            </w:pPr>
            <w:r>
              <w:rPr>
                <w:rFonts w:ascii="Arial" w:hAnsi="Arial" w:cs="Arial" w:eastAsia="Arial" w:hint="default"/>
                <w:sz w:val="17"/>
                <w:szCs w:val="17"/>
              </w:rPr>
              <w:t>2015</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97"/>
              <w:jc w:val="right"/>
              <w:rPr>
                <w:rFonts w:ascii="Arial" w:hAnsi="Arial" w:cs="Arial" w:eastAsia="Arial" w:hint="default"/>
                <w:sz w:val="18"/>
                <w:szCs w:val="18"/>
              </w:rPr>
            </w:pPr>
            <w:r>
              <w:rPr>
                <w:rFonts w:ascii="Arial"/>
                <w:spacing w:val="-1"/>
                <w:sz w:val="18"/>
              </w:rPr>
              <w:t>(564,098)</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29"/>
              <w:jc w:val="right"/>
              <w:rPr>
                <w:rFonts w:ascii="Arial" w:hAnsi="Arial" w:cs="Arial" w:eastAsia="Arial" w:hint="default"/>
                <w:sz w:val="18"/>
                <w:szCs w:val="18"/>
              </w:rPr>
            </w:pPr>
            <w:r>
              <w:rPr>
                <w:rFonts w:ascii="Arial"/>
                <w:spacing w:val="-2"/>
                <w:sz w:val="18"/>
              </w:rPr>
              <w:t>(745,119)</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spacing w:val="-1"/>
                <w:sz w:val="18"/>
              </w:rPr>
              <w:t>(245,233)</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75"/>
              <w:jc w:val="right"/>
              <w:rPr>
                <w:rFonts w:ascii="Arial" w:hAnsi="Arial" w:cs="Arial" w:eastAsia="Arial" w:hint="default"/>
                <w:sz w:val="18"/>
                <w:szCs w:val="18"/>
              </w:rPr>
            </w:pPr>
            <w:r>
              <w:rPr>
                <w:rFonts w:ascii="Arial"/>
                <w:spacing w:val="-1"/>
                <w:sz w:val="18"/>
              </w:rPr>
              <w:t>(220,585)</w:t>
            </w: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89"/>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392"/>
              <w:jc w:val="right"/>
              <w:rPr>
                <w:rFonts w:ascii="Arial" w:hAnsi="Arial" w:cs="Arial" w:eastAsia="Arial" w:hint="default"/>
                <w:sz w:val="18"/>
                <w:szCs w:val="18"/>
              </w:rPr>
            </w:pPr>
            <w:r>
              <w:rPr>
                <w:rFonts w:ascii="Arial"/>
                <w:spacing w:val="-1"/>
                <w:sz w:val="18"/>
              </w:rPr>
              <w:t>(22,777)</w:t>
            </w:r>
          </w:p>
        </w:tc>
        <w:tc>
          <w:tcPr>
            <w:tcW w:w="1376" w:type="dxa"/>
            <w:tcBorders>
              <w:top w:val="nil" w:sz="6" w:space="0" w:color="auto"/>
              <w:left w:val="nil" w:sz="6" w:space="0" w:color="auto"/>
              <w:bottom w:val="single" w:sz="4" w:space="0" w:color="000000"/>
              <w:right w:val="single" w:sz="4" w:space="0" w:color="000000"/>
            </w:tcBorders>
          </w:tcPr>
          <w:p>
            <w:pPr>
              <w:pStyle w:val="TableParagraph"/>
              <w:spacing w:line="240" w:lineRule="auto" w:before="8"/>
              <w:ind w:left="394" w:right="0"/>
              <w:jc w:val="left"/>
              <w:rPr>
                <w:rFonts w:ascii="Arial" w:hAnsi="Arial" w:cs="Arial" w:eastAsia="Arial" w:hint="default"/>
                <w:sz w:val="18"/>
                <w:szCs w:val="18"/>
              </w:rPr>
            </w:pPr>
            <w:r>
              <w:rPr>
                <w:rFonts w:ascii="Arial"/>
                <w:sz w:val="18"/>
              </w:rPr>
              <w:t>(1,797,812)</w:t>
            </w:r>
          </w:p>
        </w:tc>
      </w:tr>
    </w:tbl>
    <w:p>
      <w:pPr>
        <w:spacing w:after="0" w:line="240" w:lineRule="auto"/>
        <w:jc w:val="left"/>
        <w:rPr>
          <w:rFonts w:ascii="Arial" w:hAnsi="Arial" w:cs="Arial" w:eastAsia="Arial" w:hint="default"/>
          <w:sz w:val="18"/>
          <w:szCs w:val="18"/>
        </w:rPr>
        <w:sectPr>
          <w:pgSz w:w="16840" w:h="11910" w:orient="landscape"/>
          <w:pgMar w:header="755" w:footer="915" w:top="1860" w:bottom="1100" w:left="11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812"/>
        <w:gridCol w:w="2476"/>
        <w:gridCol w:w="2051"/>
        <w:gridCol w:w="1260"/>
        <w:gridCol w:w="1672"/>
        <w:gridCol w:w="1788"/>
        <w:gridCol w:w="1036"/>
        <w:gridCol w:w="2104"/>
        <w:gridCol w:w="1407"/>
      </w:tblGrid>
      <w:tr>
        <w:trPr>
          <w:trHeight w:val="420"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2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0"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617"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(16)</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5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547" w:hRule="exact"/>
        </w:trPr>
        <w:tc>
          <w:tcPr>
            <w:tcW w:w="81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58"/>
              <w:jc w:val="right"/>
              <w:rPr>
                <w:rFonts w:ascii="宋体" w:hAnsi="宋体" w:cs="宋体" w:eastAsia="宋体" w:hint="default"/>
                <w:sz w:val="17"/>
                <w:szCs w:val="17"/>
              </w:rPr>
            </w:pPr>
            <w:r>
              <w:rPr>
                <w:rFonts w:ascii="宋体" w:hAnsi="宋体" w:cs="宋体" w:eastAsia="宋体" w:hint="default"/>
                <w:spacing w:val="-1"/>
                <w:sz w:val="17"/>
                <w:szCs w:val="17"/>
              </w:rPr>
              <w:t>土地使用权</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45"/>
              <w:jc w:val="right"/>
              <w:rPr>
                <w:rFonts w:ascii="宋体" w:hAnsi="宋体" w:cs="宋体" w:eastAsia="宋体" w:hint="default"/>
                <w:sz w:val="17"/>
                <w:szCs w:val="17"/>
              </w:rPr>
            </w:pPr>
            <w:r>
              <w:rPr>
                <w:rFonts w:ascii="宋体" w:hAnsi="宋体" w:cs="宋体" w:eastAsia="宋体" w:hint="default"/>
                <w:sz w:val="17"/>
                <w:szCs w:val="17"/>
              </w:rPr>
              <w:t>软件</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3"/>
              <w:jc w:val="right"/>
              <w:rPr>
                <w:rFonts w:ascii="Arial" w:hAnsi="Arial" w:cs="Arial" w:eastAsia="Arial" w:hint="default"/>
                <w:sz w:val="17"/>
                <w:szCs w:val="17"/>
              </w:rPr>
            </w:pPr>
            <w:r>
              <w:rPr>
                <w:rFonts w:ascii="宋体" w:hAnsi="宋体" w:cs="宋体" w:eastAsia="宋体" w:hint="default"/>
                <w:spacing w:val="-1"/>
                <w:sz w:val="17"/>
                <w:szCs w:val="17"/>
              </w:rPr>
              <w:t>优惠承租权</w:t>
            </w:r>
            <w:r>
              <w:rPr>
                <w:rFonts w:ascii="Arial" w:hAnsi="Arial" w:cs="Arial" w:eastAsia="Arial" w:hint="default"/>
                <w:spacing w:val="-1"/>
                <w:sz w:val="17"/>
                <w:szCs w:val="17"/>
              </w:rPr>
              <w:t>(a)</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69"/>
              <w:jc w:val="right"/>
              <w:rPr>
                <w:rFonts w:ascii="宋体" w:hAnsi="宋体" w:cs="宋体" w:eastAsia="宋体" w:hint="default"/>
                <w:sz w:val="17"/>
                <w:szCs w:val="17"/>
              </w:rPr>
            </w:pPr>
            <w:r>
              <w:rPr>
                <w:rFonts w:ascii="宋体" w:hAnsi="宋体" w:cs="宋体" w:eastAsia="宋体" w:hint="default"/>
                <w:spacing w:val="-1"/>
                <w:sz w:val="17"/>
                <w:szCs w:val="17"/>
              </w:rPr>
              <w:t>商标及域名</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2"/>
              <w:jc w:val="right"/>
              <w:rPr>
                <w:rFonts w:ascii="宋体" w:hAnsi="宋体" w:cs="宋体" w:eastAsia="宋体" w:hint="default"/>
                <w:sz w:val="17"/>
                <w:szCs w:val="17"/>
              </w:rPr>
            </w:pPr>
            <w:r>
              <w:rPr>
                <w:rFonts w:ascii="宋体" w:hAnsi="宋体" w:cs="宋体" w:eastAsia="宋体" w:hint="default"/>
                <w:sz w:val="17"/>
                <w:szCs w:val="17"/>
              </w:rPr>
              <w:t>版权</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47"/>
              <w:jc w:val="right"/>
              <w:rPr>
                <w:rFonts w:ascii="宋体" w:hAnsi="宋体" w:cs="宋体" w:eastAsia="宋体" w:hint="default"/>
                <w:sz w:val="17"/>
                <w:szCs w:val="17"/>
              </w:rPr>
            </w:pPr>
            <w:r>
              <w:rPr>
                <w:rFonts w:ascii="宋体" w:hAnsi="宋体" w:cs="宋体" w:eastAsia="宋体" w:hint="default"/>
                <w:spacing w:val="-1"/>
                <w:sz w:val="17"/>
                <w:szCs w:val="17"/>
              </w:rPr>
              <w:t>客户关系及客户清单</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8"/>
              <w:jc w:val="right"/>
              <w:rPr>
                <w:rFonts w:ascii="宋体" w:hAnsi="宋体" w:cs="宋体" w:eastAsia="宋体" w:hint="default"/>
                <w:sz w:val="17"/>
                <w:szCs w:val="17"/>
              </w:rPr>
            </w:pPr>
            <w:r>
              <w:rPr>
                <w:rFonts w:ascii="宋体" w:hAnsi="宋体" w:cs="宋体" w:eastAsia="宋体" w:hint="default"/>
                <w:sz w:val="17"/>
                <w:szCs w:val="17"/>
              </w:rPr>
              <w:t>合计</w:t>
            </w:r>
          </w:p>
        </w:tc>
      </w:tr>
      <w:tr>
        <w:trPr>
          <w:trHeight w:val="388" w:hRule="exact"/>
        </w:trPr>
        <w:tc>
          <w:tcPr>
            <w:tcW w:w="81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left="108"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2051"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c>
          <w:tcPr>
            <w:tcW w:w="1672" w:type="dxa"/>
            <w:tcBorders>
              <w:top w:val="nil" w:sz="6" w:space="0" w:color="auto"/>
              <w:left w:val="nil" w:sz="6" w:space="0" w:color="auto"/>
              <w:bottom w:val="single" w:sz="4" w:space="0" w:color="000000"/>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
        </w:tc>
        <w:tc>
          <w:tcPr>
            <w:tcW w:w="1036" w:type="dxa"/>
            <w:tcBorders>
              <w:top w:val="nil" w:sz="6" w:space="0" w:color="auto"/>
              <w:left w:val="nil" w:sz="6" w:space="0" w:color="auto"/>
              <w:bottom w:val="single" w:sz="4" w:space="0" w:color="000000"/>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
        </w:tc>
      </w:tr>
      <w:tr>
        <w:trPr>
          <w:trHeight w:val="289" w:hRule="exact"/>
        </w:trPr>
        <w:tc>
          <w:tcPr>
            <w:tcW w:w="812" w:type="dxa"/>
            <w:tcBorders>
              <w:top w:val="nil" w:sz="6" w:space="0" w:color="auto"/>
              <w:left w:val="nil" w:sz="6" w:space="0" w:color="auto"/>
              <w:bottom w:val="nil" w:sz="6" w:space="0" w:color="auto"/>
              <w:right w:val="single" w:sz="4" w:space="0" w:color="000000"/>
            </w:tcBorders>
          </w:tcPr>
          <w:p>
            <w:pPr/>
          </w:p>
        </w:tc>
        <w:tc>
          <w:tcPr>
            <w:tcW w:w="2476" w:type="dxa"/>
            <w:tcBorders>
              <w:top w:val="single" w:sz="4" w:space="0" w:color="000000"/>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17"/>
                <w:szCs w:val="17"/>
              </w:rPr>
            </w:pPr>
            <w:r>
              <w:rPr>
                <w:rFonts w:ascii="Arial" w:hAnsi="Arial" w:cs="Arial" w:eastAsia="Arial" w:hint="default"/>
                <w:sz w:val="17"/>
                <w:szCs w:val="17"/>
              </w:rPr>
              <w:t>2014</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59"/>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6"/>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64"/>
              <w:jc w:val="right"/>
              <w:rPr>
                <w:rFonts w:ascii="Arial" w:hAnsi="Arial" w:cs="Arial" w:eastAsia="Arial" w:hint="default"/>
                <w:sz w:val="18"/>
                <w:szCs w:val="18"/>
              </w:rPr>
            </w:pPr>
            <w:r>
              <w:rPr>
                <w:rFonts w:ascii="Arial"/>
                <w:w w:val="99"/>
                <w:sz w:val="18"/>
              </w:rPr>
              <w:t>-</w:t>
            </w:r>
            <w:r>
              <w:rPr>
                <w:rFonts w:ascii="Arial"/>
                <w:sz w:val="18"/>
              </w:rPr>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572"/>
              <w:jc w:val="right"/>
              <w:rPr>
                <w:rFonts w:ascii="Arial" w:hAnsi="Arial" w:cs="Arial" w:eastAsia="Arial" w:hint="default"/>
                <w:sz w:val="18"/>
                <w:szCs w:val="18"/>
              </w:rPr>
            </w:pPr>
            <w:r>
              <w:rPr>
                <w:rFonts w:ascii="Arial"/>
                <w:spacing w:val="-1"/>
                <w:sz w:val="18"/>
              </w:rPr>
              <w:t>(6,753)</w:t>
            </w: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22"/>
              <w:jc w:val="right"/>
              <w:rPr>
                <w:rFonts w:ascii="Arial" w:hAnsi="Arial" w:cs="Arial" w:eastAsia="Arial" w:hint="default"/>
                <w:sz w:val="18"/>
                <w:szCs w:val="18"/>
              </w:rPr>
            </w:pPr>
            <w:r>
              <w:rPr>
                <w:rFonts w:ascii="Arial"/>
                <w:w w:val="99"/>
                <w:sz w:val="18"/>
              </w:rPr>
              <w:t>-</w:t>
            </w:r>
            <w:r>
              <w:rPr>
                <w:rFonts w:ascii="Arial"/>
                <w:sz w:val="18"/>
              </w:rPr>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48"/>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single" w:sz="4" w:space="0" w:color="000000"/>
              <w:left w:val="nil" w:sz="6" w:space="0" w:color="auto"/>
              <w:bottom w:val="nil" w:sz="6" w:space="0" w:color="auto"/>
              <w:right w:val="single" w:sz="4" w:space="0" w:color="000000"/>
            </w:tcBorders>
          </w:tcPr>
          <w:p>
            <w:pPr>
              <w:pStyle w:val="TableParagraph"/>
              <w:spacing w:line="240" w:lineRule="auto" w:before="67"/>
              <w:ind w:right="102"/>
              <w:jc w:val="right"/>
              <w:rPr>
                <w:rFonts w:ascii="Arial" w:hAnsi="Arial" w:cs="Arial" w:eastAsia="Arial" w:hint="default"/>
                <w:sz w:val="18"/>
                <w:szCs w:val="18"/>
              </w:rPr>
            </w:pPr>
            <w:r>
              <w:rPr>
                <w:rFonts w:ascii="Arial"/>
                <w:spacing w:val="-1"/>
                <w:sz w:val="18"/>
              </w:rPr>
              <w:t>(6,753)</w:t>
            </w:r>
          </w:p>
        </w:tc>
      </w:tr>
      <w:tr>
        <w:trPr>
          <w:trHeight w:val="273" w:hRule="exact"/>
        </w:trPr>
        <w:tc>
          <w:tcPr>
            <w:tcW w:w="812" w:type="dxa"/>
            <w:tcBorders>
              <w:top w:val="nil" w:sz="6" w:space="0" w:color="auto"/>
              <w:left w:val="nil" w:sz="6" w:space="0" w:color="auto"/>
              <w:bottom w:val="nil" w:sz="6" w:space="0" w:color="auto"/>
              <w:right w:val="single" w:sz="4" w:space="0" w:color="000000"/>
            </w:tcBorders>
          </w:tcPr>
          <w:p>
            <w:pPr/>
          </w:p>
        </w:tc>
        <w:tc>
          <w:tcPr>
            <w:tcW w:w="2476" w:type="dxa"/>
            <w:tcBorders>
              <w:top w:val="nil" w:sz="6" w:space="0" w:color="auto"/>
              <w:left w:val="single" w:sz="4" w:space="0" w:color="000000"/>
              <w:bottom w:val="single"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7"/>
                <w:szCs w:val="17"/>
              </w:rPr>
            </w:pPr>
            <w:r>
              <w:rPr>
                <w:rFonts w:ascii="Arial" w:hAnsi="Arial" w:cs="Arial" w:eastAsia="Arial" w:hint="default"/>
                <w:sz w:val="17"/>
                <w:szCs w:val="17"/>
              </w:rPr>
              <w:t>2015</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197" w:lineRule="exact"/>
              <w:ind w:right="359"/>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197" w:lineRule="exact"/>
              <w:ind w:right="246"/>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nil" w:sz="6" w:space="0" w:color="auto"/>
              <w:left w:val="nil" w:sz="6" w:space="0" w:color="auto"/>
              <w:bottom w:val="single" w:sz="4" w:space="0" w:color="000000"/>
              <w:right w:val="nil" w:sz="6" w:space="0" w:color="auto"/>
            </w:tcBorders>
          </w:tcPr>
          <w:p>
            <w:pPr>
              <w:pStyle w:val="TableParagraph"/>
              <w:spacing w:line="197" w:lineRule="exact"/>
              <w:ind w:right="364"/>
              <w:jc w:val="right"/>
              <w:rPr>
                <w:rFonts w:ascii="Arial" w:hAnsi="Arial" w:cs="Arial" w:eastAsia="Arial" w:hint="default"/>
                <w:sz w:val="18"/>
                <w:szCs w:val="18"/>
              </w:rPr>
            </w:pPr>
            <w:r>
              <w:rPr>
                <w:rFonts w:ascii="Arial"/>
                <w:w w:val="99"/>
                <w:sz w:val="18"/>
              </w:rPr>
              <w:t>-</w:t>
            </w:r>
            <w:r>
              <w:rPr>
                <w:rFonts w:ascii="Arial"/>
                <w:sz w:val="18"/>
              </w:rPr>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572"/>
              <w:jc w:val="right"/>
              <w:rPr>
                <w:rFonts w:ascii="Arial" w:hAnsi="Arial" w:cs="Arial" w:eastAsia="Arial" w:hint="default"/>
                <w:sz w:val="18"/>
                <w:szCs w:val="18"/>
              </w:rPr>
            </w:pPr>
            <w:r>
              <w:rPr>
                <w:rFonts w:ascii="Arial"/>
                <w:spacing w:val="-1"/>
                <w:sz w:val="18"/>
              </w:rPr>
              <w:t>(6,753)</w:t>
            </w:r>
          </w:p>
        </w:tc>
        <w:tc>
          <w:tcPr>
            <w:tcW w:w="103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22"/>
              <w:jc w:val="right"/>
              <w:rPr>
                <w:rFonts w:ascii="Arial" w:hAnsi="Arial" w:cs="Arial" w:eastAsia="Arial" w:hint="default"/>
                <w:sz w:val="18"/>
                <w:szCs w:val="18"/>
              </w:rPr>
            </w:pPr>
            <w:r>
              <w:rPr>
                <w:rFonts w:ascii="Arial"/>
                <w:w w:val="99"/>
                <w:sz w:val="18"/>
              </w:rPr>
              <w:t>-</w:t>
            </w:r>
            <w:r>
              <w:rPr>
                <w:rFonts w:ascii="Arial"/>
                <w:sz w:val="18"/>
              </w:rPr>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448"/>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right="102"/>
              <w:jc w:val="right"/>
              <w:rPr>
                <w:rFonts w:ascii="Arial" w:hAnsi="Arial" w:cs="Arial" w:eastAsia="Arial" w:hint="default"/>
                <w:sz w:val="18"/>
                <w:szCs w:val="18"/>
              </w:rPr>
            </w:pPr>
            <w:r>
              <w:rPr>
                <w:rFonts w:ascii="Arial"/>
                <w:spacing w:val="-1"/>
                <w:sz w:val="18"/>
              </w:rPr>
              <w:t>(6,753)</w:t>
            </w:r>
          </w:p>
        </w:tc>
      </w:tr>
      <w:tr>
        <w:trPr>
          <w:trHeight w:val="563" w:hRule="exact"/>
        </w:trPr>
        <w:tc>
          <w:tcPr>
            <w:tcW w:w="812" w:type="dxa"/>
            <w:tcBorders>
              <w:top w:val="nil" w:sz="6" w:space="0" w:color="auto"/>
              <w:left w:val="nil" w:sz="6" w:space="0" w:color="auto"/>
              <w:bottom w:val="nil" w:sz="6" w:space="0" w:color="auto"/>
              <w:right w:val="nil" w:sz="6" w:space="0" w:color="auto"/>
            </w:tcBorders>
          </w:tcPr>
          <w:p>
            <w:pPr/>
          </w:p>
        </w:tc>
        <w:tc>
          <w:tcPr>
            <w:tcW w:w="247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0"/>
              <w:ind w:left="108"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2051" w:type="dxa"/>
            <w:tcBorders>
              <w:top w:val="single" w:sz="4" w:space="0" w:color="000000"/>
              <w:left w:val="nil" w:sz="6" w:space="0" w:color="auto"/>
              <w:bottom w:val="single" w:sz="4" w:space="0" w:color="000000"/>
              <w:right w:val="nil" w:sz="6" w:space="0" w:color="auto"/>
            </w:tcBorders>
          </w:tcPr>
          <w:p>
            <w:pPr/>
          </w:p>
        </w:tc>
        <w:tc>
          <w:tcPr>
            <w:tcW w:w="1260" w:type="dxa"/>
            <w:tcBorders>
              <w:top w:val="single" w:sz="4" w:space="0" w:color="000000"/>
              <w:left w:val="nil" w:sz="6" w:space="0" w:color="auto"/>
              <w:bottom w:val="single" w:sz="4" w:space="0" w:color="000000"/>
              <w:right w:val="nil" w:sz="6" w:space="0" w:color="auto"/>
            </w:tcBorders>
          </w:tcPr>
          <w:p>
            <w:pPr/>
          </w:p>
        </w:tc>
        <w:tc>
          <w:tcPr>
            <w:tcW w:w="1672" w:type="dxa"/>
            <w:tcBorders>
              <w:top w:val="single" w:sz="4" w:space="0" w:color="000000"/>
              <w:left w:val="nil" w:sz="6" w:space="0" w:color="auto"/>
              <w:bottom w:val="single" w:sz="4" w:space="0" w:color="000000"/>
              <w:right w:val="nil" w:sz="6" w:space="0" w:color="auto"/>
            </w:tcBorders>
          </w:tcPr>
          <w:p>
            <w:pPr/>
          </w:p>
        </w:tc>
        <w:tc>
          <w:tcPr>
            <w:tcW w:w="1788" w:type="dxa"/>
            <w:tcBorders>
              <w:top w:val="single" w:sz="4" w:space="0" w:color="000000"/>
              <w:left w:val="nil" w:sz="6" w:space="0" w:color="auto"/>
              <w:bottom w:val="single" w:sz="4" w:space="0" w:color="000000"/>
              <w:right w:val="nil" w:sz="6" w:space="0" w:color="auto"/>
            </w:tcBorders>
          </w:tcPr>
          <w:p>
            <w:pPr/>
          </w:p>
        </w:tc>
        <w:tc>
          <w:tcPr>
            <w:tcW w:w="1036" w:type="dxa"/>
            <w:tcBorders>
              <w:top w:val="single" w:sz="4" w:space="0" w:color="000000"/>
              <w:left w:val="nil" w:sz="6" w:space="0" w:color="auto"/>
              <w:bottom w:val="single" w:sz="4" w:space="0" w:color="000000"/>
              <w:right w:val="nil" w:sz="6" w:space="0" w:color="auto"/>
            </w:tcBorders>
          </w:tcPr>
          <w:p>
            <w:pPr/>
          </w:p>
        </w:tc>
        <w:tc>
          <w:tcPr>
            <w:tcW w:w="2104" w:type="dxa"/>
            <w:tcBorders>
              <w:top w:val="single" w:sz="4" w:space="0" w:color="000000"/>
              <w:left w:val="nil" w:sz="6" w:space="0" w:color="auto"/>
              <w:bottom w:val="single" w:sz="4" w:space="0" w:color="000000"/>
              <w:right w:val="nil" w:sz="6" w:space="0" w:color="auto"/>
            </w:tcBorders>
          </w:tcPr>
          <w:p>
            <w:pPr/>
          </w:p>
        </w:tc>
        <w:tc>
          <w:tcPr>
            <w:tcW w:w="1407" w:type="dxa"/>
            <w:tcBorders>
              <w:top w:val="single" w:sz="4" w:space="0" w:color="000000"/>
              <w:left w:val="nil" w:sz="6" w:space="0" w:color="auto"/>
              <w:bottom w:val="single" w:sz="4" w:space="0" w:color="000000"/>
              <w:right w:val="nil" w:sz="6" w:space="0" w:color="auto"/>
            </w:tcBorders>
          </w:tcPr>
          <w:p>
            <w:pPr/>
          </w:p>
        </w:tc>
      </w:tr>
      <w:tr>
        <w:trPr>
          <w:trHeight w:val="318" w:hRule="exact"/>
        </w:trPr>
        <w:tc>
          <w:tcPr>
            <w:tcW w:w="812" w:type="dxa"/>
            <w:tcBorders>
              <w:top w:val="nil" w:sz="6" w:space="0" w:color="auto"/>
              <w:left w:val="nil" w:sz="6" w:space="0" w:color="auto"/>
              <w:bottom w:val="nil" w:sz="6" w:space="0" w:color="auto"/>
              <w:right w:val="single" w:sz="4" w:space="0" w:color="000000"/>
            </w:tcBorders>
          </w:tcPr>
          <w:p>
            <w:pPr/>
          </w:p>
        </w:tc>
        <w:tc>
          <w:tcPr>
            <w:tcW w:w="2476" w:type="dxa"/>
            <w:tcBorders>
              <w:top w:val="single" w:sz="4" w:space="0" w:color="000000"/>
              <w:left w:val="single" w:sz="4" w:space="0" w:color="000000"/>
              <w:bottom w:val="nil" w:sz="6" w:space="0" w:color="auto"/>
              <w:right w:val="nil" w:sz="6" w:space="0" w:color="auto"/>
            </w:tcBorders>
          </w:tcPr>
          <w:p>
            <w:pPr>
              <w:pStyle w:val="TableParagraph"/>
              <w:spacing w:line="240" w:lineRule="auto" w:before="27"/>
              <w:ind w:left="103" w:right="0"/>
              <w:jc w:val="left"/>
              <w:rPr>
                <w:rFonts w:ascii="宋体" w:hAnsi="宋体" w:cs="宋体" w:eastAsia="宋体" w:hint="default"/>
                <w:sz w:val="17"/>
                <w:szCs w:val="17"/>
              </w:rPr>
            </w:pPr>
            <w:r>
              <w:rPr>
                <w:rFonts w:ascii="Arial" w:hAnsi="Arial" w:cs="Arial" w:eastAsia="Arial" w:hint="default"/>
                <w:sz w:val="17"/>
                <w:szCs w:val="17"/>
              </w:rPr>
              <w:t>2015</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60"/>
              <w:jc w:val="right"/>
              <w:rPr>
                <w:rFonts w:ascii="Arial" w:hAnsi="Arial" w:cs="Arial" w:eastAsia="Arial" w:hint="default"/>
                <w:sz w:val="18"/>
                <w:szCs w:val="18"/>
              </w:rPr>
            </w:pPr>
            <w:r>
              <w:rPr>
                <w:rFonts w:ascii="Arial"/>
                <w:spacing w:val="-1"/>
                <w:sz w:val="18"/>
              </w:rPr>
              <w:t>6,331,564</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7"/>
              <w:jc w:val="right"/>
              <w:rPr>
                <w:rFonts w:ascii="Arial" w:hAnsi="Arial" w:cs="Arial" w:eastAsia="Arial" w:hint="default"/>
                <w:sz w:val="18"/>
                <w:szCs w:val="18"/>
              </w:rPr>
            </w:pPr>
            <w:r>
              <w:rPr>
                <w:rFonts w:ascii="Arial"/>
                <w:spacing w:val="-1"/>
                <w:sz w:val="18"/>
              </w:rPr>
              <w:t>384,489</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64"/>
              <w:jc w:val="right"/>
              <w:rPr>
                <w:rFonts w:ascii="Arial" w:hAnsi="Arial" w:cs="Arial" w:eastAsia="Arial" w:hint="default"/>
                <w:sz w:val="18"/>
                <w:szCs w:val="18"/>
              </w:rPr>
            </w:pPr>
            <w:r>
              <w:rPr>
                <w:rFonts w:ascii="Arial"/>
                <w:w w:val="99"/>
                <w:sz w:val="18"/>
              </w:rPr>
              <w:t>-</w:t>
            </w:r>
            <w:r>
              <w:rPr>
                <w:rFonts w:ascii="Arial"/>
                <w:sz w:val="18"/>
              </w:rPr>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504" w:right="0"/>
              <w:jc w:val="left"/>
              <w:rPr>
                <w:rFonts w:ascii="Arial" w:hAnsi="Arial" w:cs="Arial" w:eastAsia="Arial" w:hint="default"/>
                <w:sz w:val="18"/>
                <w:szCs w:val="18"/>
              </w:rPr>
            </w:pPr>
            <w:r>
              <w:rPr>
                <w:rFonts w:ascii="Arial"/>
                <w:sz w:val="18"/>
              </w:rPr>
              <w:t>407,522</w:t>
            </w: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22"/>
              <w:jc w:val="right"/>
              <w:rPr>
                <w:rFonts w:ascii="Arial" w:hAnsi="Arial" w:cs="Arial" w:eastAsia="Arial" w:hint="default"/>
                <w:sz w:val="18"/>
                <w:szCs w:val="18"/>
              </w:rPr>
            </w:pPr>
            <w:r>
              <w:rPr>
                <w:rFonts w:ascii="Arial"/>
                <w:w w:val="99"/>
                <w:sz w:val="18"/>
              </w:rPr>
              <w:t>-</w:t>
            </w:r>
            <w:r>
              <w:rPr>
                <w:rFonts w:ascii="Arial"/>
                <w:sz w:val="18"/>
              </w:rPr>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49"/>
              <w:jc w:val="right"/>
              <w:rPr>
                <w:rFonts w:ascii="Arial" w:hAnsi="Arial" w:cs="Arial" w:eastAsia="Arial" w:hint="default"/>
                <w:sz w:val="18"/>
                <w:szCs w:val="18"/>
              </w:rPr>
            </w:pPr>
            <w:r>
              <w:rPr>
                <w:rFonts w:ascii="Arial"/>
                <w:spacing w:val="-1"/>
                <w:sz w:val="18"/>
              </w:rPr>
              <w:t>20,104</w:t>
            </w:r>
          </w:p>
        </w:tc>
        <w:tc>
          <w:tcPr>
            <w:tcW w:w="1407" w:type="dxa"/>
            <w:tcBorders>
              <w:top w:val="single" w:sz="4" w:space="0" w:color="000000"/>
              <w:left w:val="nil" w:sz="6" w:space="0" w:color="auto"/>
              <w:bottom w:val="nil" w:sz="6" w:space="0" w:color="auto"/>
              <w:right w:val="single" w:sz="4" w:space="0" w:color="000000"/>
            </w:tcBorders>
          </w:tcPr>
          <w:p>
            <w:pPr>
              <w:pStyle w:val="TableParagraph"/>
              <w:spacing w:line="240" w:lineRule="auto" w:before="67"/>
              <w:ind w:right="150"/>
              <w:jc w:val="right"/>
              <w:rPr>
                <w:rFonts w:ascii="Arial" w:hAnsi="Arial" w:cs="Arial" w:eastAsia="Arial" w:hint="default"/>
                <w:sz w:val="18"/>
                <w:szCs w:val="18"/>
              </w:rPr>
            </w:pPr>
            <w:r>
              <w:rPr>
                <w:rFonts w:ascii="Arial"/>
                <w:spacing w:val="-1"/>
                <w:sz w:val="18"/>
              </w:rPr>
              <w:t>7,143,679</w:t>
            </w:r>
          </w:p>
        </w:tc>
      </w:tr>
      <w:tr>
        <w:trPr>
          <w:trHeight w:val="244" w:hRule="exact"/>
        </w:trPr>
        <w:tc>
          <w:tcPr>
            <w:tcW w:w="812" w:type="dxa"/>
            <w:tcBorders>
              <w:top w:val="nil" w:sz="6" w:space="0" w:color="auto"/>
              <w:left w:val="nil" w:sz="6" w:space="0" w:color="auto"/>
              <w:bottom w:val="nil" w:sz="6" w:space="0" w:color="auto"/>
              <w:right w:val="single" w:sz="4" w:space="0" w:color="000000"/>
            </w:tcBorders>
          </w:tcPr>
          <w:p>
            <w:pPr/>
          </w:p>
        </w:tc>
        <w:tc>
          <w:tcPr>
            <w:tcW w:w="2476" w:type="dxa"/>
            <w:tcBorders>
              <w:top w:val="nil" w:sz="6" w:space="0" w:color="auto"/>
              <w:left w:val="single" w:sz="4" w:space="0" w:color="000000"/>
              <w:bottom w:val="single" w:sz="4" w:space="0" w:color="000000"/>
              <w:right w:val="nil" w:sz="6" w:space="0" w:color="auto"/>
            </w:tcBorders>
          </w:tcPr>
          <w:p>
            <w:pPr>
              <w:pStyle w:val="TableParagraph"/>
              <w:spacing w:line="225" w:lineRule="exact"/>
              <w:ind w:left="103" w:right="0"/>
              <w:jc w:val="left"/>
              <w:rPr>
                <w:rFonts w:ascii="宋体" w:hAnsi="宋体" w:cs="宋体" w:eastAsia="宋体" w:hint="default"/>
                <w:sz w:val="17"/>
                <w:szCs w:val="17"/>
              </w:rPr>
            </w:pPr>
            <w:r>
              <w:rPr>
                <w:rFonts w:ascii="Arial" w:hAnsi="Arial" w:cs="Arial" w:eastAsia="Arial" w:hint="default"/>
                <w:sz w:val="17"/>
                <w:szCs w:val="17"/>
              </w:rPr>
              <w:t>2014</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58"/>
              <w:jc w:val="right"/>
              <w:rPr>
                <w:rFonts w:ascii="Arial" w:hAnsi="Arial" w:cs="Arial" w:eastAsia="Arial" w:hint="default"/>
                <w:sz w:val="18"/>
                <w:szCs w:val="18"/>
              </w:rPr>
            </w:pPr>
            <w:r>
              <w:rPr>
                <w:rFonts w:ascii="Arial"/>
                <w:spacing w:val="-1"/>
                <w:sz w:val="18"/>
              </w:rPr>
              <w:t>6,016,291</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247"/>
              <w:jc w:val="right"/>
              <w:rPr>
                <w:rFonts w:ascii="Arial" w:hAnsi="Arial" w:cs="Arial" w:eastAsia="Arial" w:hint="default"/>
                <w:sz w:val="18"/>
                <w:szCs w:val="18"/>
              </w:rPr>
            </w:pPr>
            <w:r>
              <w:rPr>
                <w:rFonts w:ascii="Arial"/>
                <w:spacing w:val="-1"/>
                <w:sz w:val="18"/>
              </w:rPr>
              <w:t>497,260</w:t>
            </w: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64"/>
              <w:jc w:val="right"/>
              <w:rPr>
                <w:rFonts w:ascii="Arial" w:hAnsi="Arial" w:cs="Arial" w:eastAsia="Arial" w:hint="default"/>
                <w:sz w:val="18"/>
                <w:szCs w:val="18"/>
              </w:rPr>
            </w:pPr>
            <w:r>
              <w:rPr>
                <w:rFonts w:ascii="Arial"/>
                <w:w w:val="99"/>
                <w:sz w:val="18"/>
              </w:rPr>
              <w:t>-</w:t>
            </w:r>
            <w:r>
              <w:rPr>
                <w:rFonts w:ascii="Arial"/>
                <w:sz w:val="18"/>
              </w:rPr>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504" w:right="0"/>
              <w:jc w:val="left"/>
              <w:rPr>
                <w:rFonts w:ascii="Arial" w:hAnsi="Arial" w:cs="Arial" w:eastAsia="Arial" w:hint="default"/>
                <w:sz w:val="18"/>
                <w:szCs w:val="18"/>
              </w:rPr>
            </w:pPr>
            <w:r>
              <w:rPr>
                <w:rFonts w:ascii="Arial"/>
                <w:sz w:val="18"/>
              </w:rPr>
              <w:t>473,004</w:t>
            </w:r>
          </w:p>
        </w:tc>
        <w:tc>
          <w:tcPr>
            <w:tcW w:w="103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22"/>
              <w:jc w:val="right"/>
              <w:rPr>
                <w:rFonts w:ascii="Arial" w:hAnsi="Arial" w:cs="Arial" w:eastAsia="Arial" w:hint="default"/>
                <w:sz w:val="18"/>
                <w:szCs w:val="18"/>
              </w:rPr>
            </w:pPr>
            <w:r>
              <w:rPr>
                <w:rFonts w:ascii="Arial"/>
                <w:w w:val="99"/>
                <w:sz w:val="18"/>
              </w:rPr>
              <w:t>-</w:t>
            </w:r>
            <w:r>
              <w:rPr>
                <w:rFonts w:ascii="Arial"/>
                <w:sz w:val="18"/>
              </w:rPr>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448"/>
              <w:jc w:val="right"/>
              <w:rPr>
                <w:rFonts w:ascii="Arial" w:hAnsi="Arial" w:cs="Arial" w:eastAsia="Arial" w:hint="default"/>
                <w:sz w:val="18"/>
                <w:szCs w:val="18"/>
              </w:rPr>
            </w:pPr>
            <w:r>
              <w:rPr>
                <w:rFonts w:ascii="Arial"/>
                <w:spacing w:val="-1"/>
                <w:sz w:val="18"/>
              </w:rPr>
              <w:t>28,858</w:t>
            </w:r>
          </w:p>
        </w:tc>
        <w:tc>
          <w:tcPr>
            <w:tcW w:w="1407"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right="150"/>
              <w:jc w:val="right"/>
              <w:rPr>
                <w:rFonts w:ascii="Arial" w:hAnsi="Arial" w:cs="Arial" w:eastAsia="Arial" w:hint="default"/>
                <w:sz w:val="18"/>
                <w:szCs w:val="18"/>
              </w:rPr>
            </w:pPr>
            <w:r>
              <w:rPr>
                <w:rFonts w:ascii="Arial"/>
                <w:spacing w:val="-1"/>
                <w:sz w:val="18"/>
              </w:rPr>
              <w:t>7,015,413</w:t>
            </w:r>
          </w:p>
        </w:tc>
      </w:tr>
      <w:tr>
        <w:trPr>
          <w:trHeight w:val="736" w:hRule="exact"/>
        </w:trPr>
        <w:tc>
          <w:tcPr>
            <w:tcW w:w="812" w:type="dxa"/>
            <w:tcBorders>
              <w:top w:val="nil" w:sz="6" w:space="0" w:color="auto"/>
              <w:left w:val="nil" w:sz="6" w:space="0" w:color="auto"/>
              <w:bottom w:val="nil" w:sz="6" w:space="0" w:color="auto"/>
              <w:right w:val="nil" w:sz="6" w:space="0" w:color="auto"/>
            </w:tcBorders>
          </w:tcPr>
          <w:p>
            <w:pPr/>
          </w:p>
        </w:tc>
        <w:tc>
          <w:tcPr>
            <w:tcW w:w="9246"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年度无形资产的摊销金额约人民币</w:t>
            </w:r>
            <w:r>
              <w:rPr>
                <w:rFonts w:ascii="宋体" w:hAnsi="宋体" w:cs="宋体" w:eastAsia="宋体" w:hint="default"/>
                <w:spacing w:val="-61"/>
                <w:sz w:val="24"/>
                <w:szCs w:val="24"/>
              </w:rPr>
              <w:t> </w:t>
            </w:r>
            <w:r>
              <w:rPr>
                <w:rFonts w:ascii="Arial" w:hAnsi="Arial" w:cs="Arial" w:eastAsia="Arial" w:hint="default"/>
                <w:spacing w:val="-5"/>
                <w:sz w:val="24"/>
                <w:szCs w:val="24"/>
              </w:rPr>
              <w:t>11.6</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年度：约人民币</w:t>
            </w:r>
            <w:r>
              <w:rPr>
                <w:rFonts w:ascii="宋体" w:hAnsi="宋体" w:cs="宋体" w:eastAsia="宋体" w:hint="default"/>
                <w:spacing w:val="-61"/>
                <w:sz w:val="24"/>
                <w:szCs w:val="24"/>
              </w:rPr>
              <w:t> </w:t>
            </w:r>
            <w:r>
              <w:rPr>
                <w:rFonts w:ascii="Arial" w:hAnsi="Arial" w:cs="Arial" w:eastAsia="Arial" w:hint="default"/>
                <w:sz w:val="24"/>
                <w:szCs w:val="24"/>
              </w:rPr>
              <w:t>3.65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c>
          <w:tcPr>
            <w:tcW w:w="1036" w:type="dxa"/>
            <w:tcBorders>
              <w:top w:val="single" w:sz="4" w:space="0" w:color="000000"/>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nil" w:sz="6" w:space="0" w:color="auto"/>
              <w:right w:val="nil" w:sz="6" w:space="0" w:color="auto"/>
            </w:tcBorders>
          </w:tcPr>
          <w:p>
            <w:pPr/>
          </w:p>
        </w:tc>
      </w:tr>
      <w:tr>
        <w:trPr>
          <w:trHeight w:val="899" w:hRule="exact"/>
        </w:trPr>
        <w:tc>
          <w:tcPr>
            <w:tcW w:w="812" w:type="dxa"/>
            <w:tcBorders>
              <w:top w:val="nil" w:sz="6" w:space="0" w:color="auto"/>
              <w:left w:val="nil" w:sz="6" w:space="0" w:color="auto"/>
              <w:bottom w:val="nil" w:sz="6" w:space="0" w:color="auto"/>
              <w:right w:val="nil" w:sz="6" w:space="0" w:color="auto"/>
            </w:tcBorders>
          </w:tcPr>
          <w:p>
            <w:pPr/>
          </w:p>
        </w:tc>
        <w:tc>
          <w:tcPr>
            <w:tcW w:w="13793" w:type="dxa"/>
            <w:gridSpan w:val="8"/>
            <w:tcBorders>
              <w:top w:val="nil" w:sz="6" w:space="0" w:color="auto"/>
              <w:left w:val="nil" w:sz="6" w:space="0" w:color="auto"/>
              <w:bottom w:val="nil" w:sz="6" w:space="0" w:color="auto"/>
              <w:right w:val="nil" w:sz="6" w:space="0" w:color="auto"/>
            </w:tcBorders>
          </w:tcPr>
          <w:p>
            <w:pPr>
              <w:pStyle w:val="TableParagraph"/>
              <w:spacing w:line="312" w:lineRule="exact" w:before="124"/>
              <w:ind w:left="108" w:right="169"/>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2015</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日，无未办妥产权证的土地使用权</w:t>
            </w:r>
            <w:r>
              <w:rPr>
                <w:rFonts w:ascii="Arial" w:hAnsi="Arial" w:cs="Arial" w:eastAsia="Arial" w:hint="default"/>
                <w:sz w:val="24"/>
                <w:szCs w:val="24"/>
              </w:rPr>
              <w:t>(2014</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日：账面价值约人民币</w:t>
            </w:r>
            <w:r>
              <w:rPr>
                <w:rFonts w:ascii="宋体" w:hAnsi="宋体" w:cs="宋体" w:eastAsia="宋体" w:hint="default"/>
                <w:spacing w:val="-60"/>
                <w:sz w:val="24"/>
                <w:szCs w:val="24"/>
              </w:rPr>
              <w:t> </w:t>
            </w:r>
            <w:r>
              <w:rPr>
                <w:rFonts w:ascii="Arial" w:hAnsi="Arial" w:cs="Arial" w:eastAsia="Arial" w:hint="default"/>
                <w:sz w:val="24"/>
                <w:szCs w:val="24"/>
              </w:rPr>
              <w:t>3.03</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60"/>
                <w:sz w:val="24"/>
                <w:szCs w:val="24"/>
              </w:rPr>
              <w:t> </w:t>
            </w:r>
            <w:r>
              <w:rPr>
                <w:rFonts w:ascii="Arial" w:hAnsi="Arial" w:cs="Arial" w:eastAsia="Arial" w:hint="default"/>
                <w:sz w:val="24"/>
                <w:szCs w:val="24"/>
              </w:rPr>
              <w:t>3.09</w:t>
            </w:r>
            <w:r>
              <w:rPr>
                <w:rFonts w:ascii="Arial" w:hAnsi="Arial" w:cs="Arial" w:eastAsia="Arial" w:hint="default"/>
                <w:spacing w:val="-7"/>
                <w:sz w:val="24"/>
                <w:szCs w:val="24"/>
              </w:rPr>
              <w:t> </w:t>
            </w:r>
            <w:r>
              <w:rPr>
                <w:rFonts w:ascii="宋体" w:hAnsi="宋体" w:cs="宋体" w:eastAsia="宋体" w:hint="default"/>
                <w:sz w:val="24"/>
                <w:szCs w:val="24"/>
              </w:rPr>
              <w:t>亿 元</w:t>
            </w:r>
            <w:r>
              <w:rPr>
                <w:rFonts w:ascii="Arial" w:hAnsi="Arial" w:cs="Arial" w:eastAsia="Arial" w:hint="default"/>
                <w:sz w:val="24"/>
                <w:szCs w:val="24"/>
              </w:rPr>
              <w:t>)</w:t>
            </w:r>
            <w:r>
              <w:rPr>
                <w:rFonts w:ascii="宋体" w:hAnsi="宋体" w:cs="宋体" w:eastAsia="宋体" w:hint="default"/>
                <w:sz w:val="24"/>
                <w:szCs w:val="24"/>
              </w:rPr>
              <w:t>的土地使用权因手续原因尚未办妥权证。</w:t>
            </w:r>
          </w:p>
        </w:tc>
      </w:tr>
      <w:tr>
        <w:trPr>
          <w:trHeight w:val="419" w:hRule="exact"/>
        </w:trPr>
        <w:tc>
          <w:tcPr>
            <w:tcW w:w="812" w:type="dxa"/>
            <w:tcBorders>
              <w:top w:val="nil" w:sz="6" w:space="0" w:color="auto"/>
              <w:left w:val="nil" w:sz="6" w:space="0" w:color="auto"/>
              <w:bottom w:val="nil" w:sz="6" w:space="0" w:color="auto"/>
              <w:right w:val="nil" w:sz="6" w:space="0" w:color="auto"/>
            </w:tcBorders>
          </w:tcPr>
          <w:p>
            <w:pPr/>
          </w:p>
        </w:tc>
        <w:tc>
          <w:tcPr>
            <w:tcW w:w="1028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3"/>
              <w:ind w:left="10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日，本集团无土地使用权作为借款的抵押物</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c>
          <w:tcPr>
            <w:tcW w:w="210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755" w:footer="915" w:top="1860" w:bottom="1100" w:left="114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781"/>
        <w:gridCol w:w="1602"/>
        <w:gridCol w:w="1289"/>
        <w:gridCol w:w="1906"/>
        <w:gridCol w:w="1902"/>
        <w:gridCol w:w="1805"/>
      </w:tblGrid>
      <w:tr>
        <w:trPr>
          <w:trHeight w:val="416"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797"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5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0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r>
      <w:tr>
        <w:trPr>
          <w:trHeight w:val="588"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(16)</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4"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89"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r>
      <w:tr>
        <w:trPr>
          <w:trHeight w:val="585"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4" w:right="0"/>
              <w:jc w:val="left"/>
              <w:rPr>
                <w:rFonts w:ascii="宋体" w:hAnsi="宋体" w:cs="宋体" w:eastAsia="宋体" w:hint="default"/>
                <w:sz w:val="24"/>
                <w:szCs w:val="24"/>
              </w:rPr>
            </w:pPr>
            <w:r>
              <w:rPr>
                <w:rFonts w:ascii="宋体" w:hAnsi="宋体" w:cs="宋体" w:eastAsia="宋体" w:hint="default"/>
                <w:sz w:val="24"/>
                <w:szCs w:val="24"/>
              </w:rPr>
              <w:t>优惠承租权</w:t>
            </w:r>
          </w:p>
        </w:tc>
        <w:tc>
          <w:tcPr>
            <w:tcW w:w="1289"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r>
      <w:tr>
        <w:trPr>
          <w:trHeight w:val="1828" w:hRule="exact"/>
        </w:trPr>
        <w:tc>
          <w:tcPr>
            <w:tcW w:w="9284" w:type="dxa"/>
            <w:gridSpan w:val="6"/>
            <w:tcBorders>
              <w:top w:val="nil" w:sz="6" w:space="0" w:color="auto"/>
              <w:left w:val="nil" w:sz="6" w:space="0" w:color="auto"/>
              <w:bottom w:val="nil" w:sz="6" w:space="0" w:color="auto"/>
              <w:right w:val="nil" w:sz="6" w:space="0" w:color="auto"/>
            </w:tcBorders>
          </w:tcPr>
          <w:p>
            <w:pPr>
              <w:pStyle w:val="TableParagraph"/>
              <w:spacing w:line="235" w:lineRule="auto" w:before="105"/>
              <w:ind w:left="934" w:right="319"/>
              <w:jc w:val="both"/>
              <w:rPr>
                <w:rFonts w:ascii="宋体" w:hAnsi="宋体" w:cs="宋体" w:eastAsia="宋体" w:hint="default"/>
                <w:sz w:val="24"/>
                <w:szCs w:val="24"/>
              </w:rPr>
            </w:pPr>
            <w:r>
              <w:rPr>
                <w:rFonts w:ascii="宋体" w:hAnsi="宋体" w:cs="宋体" w:eastAsia="宋体" w:hint="default"/>
                <w:sz w:val="24"/>
                <w:szCs w:val="24"/>
              </w:rPr>
              <w:t>优惠承租权系</w:t>
            </w:r>
            <w:r>
              <w:rPr>
                <w:rFonts w:ascii="Arial" w:hAnsi="Arial" w:cs="Arial" w:eastAsia="Arial" w:hint="default"/>
                <w:sz w:val="24"/>
                <w:szCs w:val="24"/>
              </w:rPr>
              <w:t>2007</w:t>
            </w:r>
            <w:r>
              <w:rPr>
                <w:rFonts w:ascii="宋体" w:hAnsi="宋体" w:cs="宋体" w:eastAsia="宋体" w:hint="default"/>
                <w:sz w:val="24"/>
                <w:szCs w:val="24"/>
              </w:rPr>
              <w:t>年度本集团对加盟店进行业务合并的过程中确认的无形资</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4"/>
                <w:sz w:val="24"/>
                <w:szCs w:val="24"/>
              </w:rPr>
              <w:t>产。根据本集团与加盟公司签署《特许加盟终止协议》，加盟公司须协助本集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团承接原加盟店的租约。由于部分租约的租金较市场租金优惠，本集团按照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评估值确认该优惠承租权作为本集团的无形资产，并依照预计受益期以直线</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法摊销。</w:t>
            </w:r>
          </w:p>
        </w:tc>
      </w:tr>
      <w:tr>
        <w:trPr>
          <w:trHeight w:val="590"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479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54" w:right="0"/>
              <w:jc w:val="left"/>
              <w:rPr>
                <w:rFonts w:ascii="宋体" w:hAnsi="宋体" w:cs="宋体" w:eastAsia="宋体" w:hint="default"/>
                <w:sz w:val="24"/>
                <w:szCs w:val="24"/>
              </w:rPr>
            </w:pPr>
            <w:r>
              <w:rPr>
                <w:rFonts w:ascii="宋体" w:hAnsi="宋体" w:cs="宋体" w:eastAsia="宋体" w:hint="default"/>
                <w:sz w:val="24"/>
                <w:szCs w:val="24"/>
              </w:rPr>
              <w:t>本集团开发支出列示如下：</w:t>
            </w:r>
          </w:p>
        </w:tc>
        <w:tc>
          <w:tcPr>
            <w:tcW w:w="190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r>
      <w:tr>
        <w:trPr>
          <w:trHeight w:val="855" w:hRule="exact"/>
        </w:trPr>
        <w:tc>
          <w:tcPr>
            <w:tcW w:w="781"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95" w:lineRule="exact" w:before="104"/>
              <w:ind w:left="396"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66"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right="236"/>
              <w:jc w:val="right"/>
              <w:rPr>
                <w:rFonts w:ascii="宋体" w:hAnsi="宋体" w:cs="宋体" w:eastAsia="宋体" w:hint="default"/>
                <w:sz w:val="22"/>
                <w:szCs w:val="22"/>
              </w:rPr>
            </w:pPr>
            <w:r>
              <w:rPr>
                <w:rFonts w:ascii="宋体" w:hAnsi="宋体" w:cs="宋体" w:eastAsia="宋体" w:hint="default"/>
                <w:w w:val="95"/>
                <w:sz w:val="22"/>
                <w:szCs w:val="22"/>
              </w:rPr>
              <w:t>确认为无形资产</w:t>
            </w:r>
            <w:r>
              <w:rPr>
                <w:rFonts w:ascii="宋体" w:hAnsi="宋体" w:cs="宋体" w:eastAsia="宋体" w:hint="default"/>
                <w:sz w:val="22"/>
                <w:szCs w:val="22"/>
              </w:rPr>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left="190" w:right="0"/>
              <w:jc w:val="left"/>
              <w:rPr>
                <w:rFonts w:ascii="宋体" w:hAnsi="宋体" w:cs="宋体" w:eastAsia="宋体" w:hint="default"/>
                <w:sz w:val="22"/>
                <w:szCs w:val="22"/>
              </w:rPr>
            </w:pPr>
            <w:r>
              <w:rPr>
                <w:rFonts w:ascii="宋体" w:hAnsi="宋体" w:cs="宋体" w:eastAsia="宋体" w:hint="default"/>
                <w:sz w:val="22"/>
                <w:szCs w:val="22"/>
              </w:rPr>
              <w:t>本年其他减少</w:t>
            </w:r>
          </w:p>
        </w:tc>
        <w:tc>
          <w:tcPr>
            <w:tcW w:w="1805" w:type="dxa"/>
            <w:tcBorders>
              <w:top w:val="nil" w:sz="6" w:space="0" w:color="auto"/>
              <w:left w:val="nil" w:sz="6" w:space="0" w:color="auto"/>
              <w:bottom w:val="nil" w:sz="6" w:space="0" w:color="auto"/>
              <w:right w:val="nil" w:sz="6" w:space="0" w:color="auto"/>
            </w:tcBorders>
          </w:tcPr>
          <w:p>
            <w:pPr>
              <w:pStyle w:val="TableParagraph"/>
              <w:spacing w:line="295" w:lineRule="exact" w:before="104"/>
              <w:ind w:left="721" w:right="0"/>
              <w:jc w:val="lef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391"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98" w:hRule="exact"/>
        </w:trPr>
        <w:tc>
          <w:tcPr>
            <w:tcW w:w="781"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tabs>
                <w:tab w:pos="2089" w:val="left" w:leader="none"/>
              </w:tabs>
              <w:spacing w:line="240" w:lineRule="auto" w:before="92"/>
              <w:ind w:left="154" w:right="-488"/>
              <w:jc w:val="left"/>
              <w:rPr>
                <w:rFonts w:ascii="Arial" w:hAnsi="Arial" w:cs="Arial" w:eastAsia="Arial" w:hint="default"/>
                <w:sz w:val="22"/>
                <w:szCs w:val="22"/>
              </w:rPr>
            </w:pPr>
            <w:r>
              <w:rPr>
                <w:rFonts w:ascii="宋体" w:hAnsi="宋体" w:cs="宋体" w:eastAsia="宋体" w:hint="default"/>
                <w:sz w:val="24"/>
                <w:szCs w:val="24"/>
              </w:rPr>
              <w:t>软件开发</w:t>
            </w:r>
            <w:r>
              <w:rPr>
                <w:rFonts w:ascii="宋体" w:hAnsi="宋体" w:cs="宋体" w:eastAsia="宋体" w:hint="default"/>
                <w:spacing w:val="27"/>
                <w:sz w:val="24"/>
                <w:szCs w:val="24"/>
              </w:rPr>
              <w:t> </w:t>
            </w:r>
            <w:r>
              <w:rPr>
                <w:rFonts w:ascii="Arial" w:hAnsi="Arial" w:cs="Arial" w:eastAsia="Arial" w:hint="default"/>
                <w:spacing w:val="27"/>
                <w:w w:val="99"/>
                <w:position w:val="-1"/>
                <w:sz w:val="22"/>
                <w:szCs w:val="22"/>
              </w:rPr>
            </w:r>
            <w:r>
              <w:rPr>
                <w:rFonts w:ascii="Arial" w:hAnsi="Arial" w:cs="Arial" w:eastAsia="Arial" w:hint="default"/>
                <w:w w:val="99"/>
                <w:position w:val="-1"/>
                <w:sz w:val="22"/>
                <w:szCs w:val="22"/>
                <w:u w:val="thick" w:color="000000"/>
              </w:rPr>
              <w:t> </w:t>
            </w:r>
            <w:r>
              <w:rPr>
                <w:rFonts w:ascii="Arial" w:hAnsi="Arial" w:cs="Arial" w:eastAsia="Arial" w:hint="default"/>
                <w:position w:val="-1"/>
                <w:sz w:val="22"/>
                <w:szCs w:val="22"/>
                <w:u w:val="thick" w:color="000000"/>
              </w:rPr>
              <w:tab/>
            </w:r>
            <w:r>
              <w:rPr>
                <w:rFonts w:ascii="Arial" w:hAnsi="Arial" w:cs="Arial" w:eastAsia="Arial" w:hint="default"/>
                <w:sz w:val="22"/>
                <w:szCs w:val="22"/>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487" w:right="0"/>
              <w:jc w:val="left"/>
              <w:rPr>
                <w:rFonts w:ascii="Arial" w:hAnsi="Arial" w:cs="Arial" w:eastAsia="Arial" w:hint="default"/>
                <w:sz w:val="22"/>
                <w:szCs w:val="22"/>
              </w:rPr>
            </w:pPr>
            <w:r>
              <w:rPr>
                <w:rFonts w:ascii="Arial"/>
                <w:w w:val="99"/>
                <w:sz w:val="22"/>
              </w:rPr>
            </w:r>
            <w:r>
              <w:rPr>
                <w:rFonts w:ascii="Arial"/>
                <w:sz w:val="22"/>
                <w:u w:val="thick" w:color="000000"/>
              </w:rPr>
              <w:t>36,023</w:t>
            </w:r>
            <w:r>
              <w:rPr>
                <w:rFonts w:ascii="Arial"/>
                <w:sz w:val="22"/>
              </w:rPr>
            </w:r>
          </w:p>
        </w:tc>
        <w:tc>
          <w:tcPr>
            <w:tcW w:w="1906" w:type="dxa"/>
            <w:tcBorders>
              <w:top w:val="nil" w:sz="6" w:space="0" w:color="auto"/>
              <w:left w:val="nil" w:sz="6" w:space="0" w:color="auto"/>
              <w:bottom w:val="nil" w:sz="6" w:space="0" w:color="auto"/>
              <w:right w:val="nil" w:sz="6" w:space="0" w:color="auto"/>
            </w:tcBorders>
          </w:tcPr>
          <w:p>
            <w:pPr>
              <w:pStyle w:val="TableParagraph"/>
              <w:tabs>
                <w:tab w:pos="825" w:val="left" w:leader="none"/>
              </w:tabs>
              <w:spacing w:line="240" w:lineRule="auto" w:before="188"/>
              <w:ind w:right="188"/>
              <w:jc w:val="righ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r>
            <w:r>
              <w:rPr>
                <w:rFonts w:ascii="Arial"/>
                <w:w w:val="95"/>
                <w:sz w:val="22"/>
                <w:u w:val="thick" w:color="000000"/>
              </w:rPr>
              <w:t>(22,778)</w:t>
            </w:r>
            <w:r>
              <w:rPr>
                <w:rFonts w:ascii="Arial"/>
                <w:w w:val="95"/>
                <w:sz w:val="22"/>
              </w:rPr>
            </w:r>
            <w:r>
              <w:rPr>
                <w:rFonts w:ascii="Arial"/>
                <w:sz w:val="22"/>
              </w:rPr>
            </w:r>
          </w:p>
        </w:tc>
        <w:tc>
          <w:tcPr>
            <w:tcW w:w="1902" w:type="dxa"/>
            <w:tcBorders>
              <w:top w:val="nil" w:sz="6" w:space="0" w:color="auto"/>
              <w:left w:val="nil" w:sz="6" w:space="0" w:color="auto"/>
              <w:bottom w:val="nil" w:sz="6" w:space="0" w:color="auto"/>
              <w:right w:val="nil" w:sz="6" w:space="0" w:color="auto"/>
            </w:tcBorders>
          </w:tcPr>
          <w:p>
            <w:pPr>
              <w:pStyle w:val="TableParagraph"/>
              <w:tabs>
                <w:tab w:pos="807" w:val="left" w:leader="none"/>
                <w:tab w:pos="2845" w:val="left" w:leader="none"/>
              </w:tabs>
              <w:spacing w:line="240" w:lineRule="auto" w:before="188"/>
              <w:ind w:left="8" w:right="-944"/>
              <w:jc w:val="lef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t>(4,182)</w:t>
            </w:r>
            <w:r>
              <w:rPr>
                <w:rFonts w:ascii="Arial"/>
                <w:spacing w:val="1"/>
                <w:sz w:val="22"/>
                <w:u w:val="thick" w:color="000000"/>
              </w:rPr>
              <w:t> </w:t>
            </w:r>
            <w:r>
              <w:rPr>
                <w:rFonts w:ascii="Arial"/>
                <w:spacing w:val="1"/>
                <w:sz w:val="22"/>
              </w:rPr>
            </w:r>
            <w:r>
              <w:rPr>
                <w:rFonts w:ascii="Arial"/>
                <w:sz w:val="22"/>
              </w:rPr>
              <w:t> </w:t>
            </w:r>
            <w:r>
              <w:rPr>
                <w:rFonts w:ascii="Arial"/>
                <w:spacing w:val="20"/>
                <w:sz w:val="22"/>
              </w:rPr>
              <w:t> </w:t>
            </w:r>
            <w:r>
              <w:rPr>
                <w:rFonts w:ascii="Arial"/>
                <w:spacing w:val="20"/>
                <w:w w:val="99"/>
                <w:sz w:val="22"/>
              </w:rPr>
            </w:r>
            <w:r>
              <w:rPr>
                <w:rFonts w:ascii="Arial"/>
                <w:w w:val="99"/>
                <w:sz w:val="22"/>
                <w:u w:val="thick" w:color="000000"/>
              </w:rPr>
              <w:t> </w:t>
            </w:r>
            <w:r>
              <w:rPr>
                <w:rFonts w:ascii="Arial"/>
                <w:sz w:val="22"/>
                <w:u w:val="thick" w:color="000000"/>
              </w:rPr>
              <w:tab/>
            </w:r>
            <w:r>
              <w:rPr>
                <w:rFonts w:ascii="Arial"/>
                <w:sz w:val="22"/>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943" w:right="0"/>
              <w:jc w:val="left"/>
              <w:rPr>
                <w:rFonts w:ascii="Arial" w:hAnsi="Arial" w:cs="Arial" w:eastAsia="Arial" w:hint="default"/>
                <w:sz w:val="22"/>
                <w:szCs w:val="22"/>
              </w:rPr>
            </w:pPr>
            <w:r>
              <w:rPr>
                <w:rFonts w:ascii="Arial"/>
                <w:w w:val="99"/>
                <w:sz w:val="22"/>
              </w:rPr>
            </w:r>
            <w:r>
              <w:rPr>
                <w:rFonts w:ascii="Arial"/>
                <w:sz w:val="22"/>
                <w:u w:val="thick" w:color="000000"/>
              </w:rPr>
              <w:t>9,063</w:t>
            </w:r>
            <w:r>
              <w:rPr>
                <w:rFonts w:ascii="Arial"/>
                <w:sz w:val="22"/>
              </w:rPr>
            </w:r>
          </w:p>
        </w:tc>
      </w:tr>
      <w:tr>
        <w:trPr>
          <w:trHeight w:val="1660" w:hRule="exact"/>
        </w:trPr>
        <w:tc>
          <w:tcPr>
            <w:tcW w:w="781" w:type="dxa"/>
            <w:tcBorders>
              <w:top w:val="nil" w:sz="6" w:space="0" w:color="auto"/>
              <w:left w:val="nil" w:sz="6" w:space="0" w:color="auto"/>
              <w:bottom w:val="nil" w:sz="6" w:space="0" w:color="auto"/>
              <w:right w:val="nil" w:sz="6" w:space="0" w:color="auto"/>
            </w:tcBorders>
          </w:tcPr>
          <w:p>
            <w:pPr/>
          </w:p>
        </w:tc>
        <w:tc>
          <w:tcPr>
            <w:tcW w:w="8503" w:type="dxa"/>
            <w:gridSpan w:val="5"/>
            <w:tcBorders>
              <w:top w:val="nil" w:sz="6" w:space="0" w:color="auto"/>
              <w:left w:val="nil" w:sz="6" w:space="0" w:color="auto"/>
              <w:bottom w:val="nil" w:sz="6" w:space="0" w:color="auto"/>
              <w:right w:val="nil" w:sz="6" w:space="0" w:color="auto"/>
            </w:tcBorders>
          </w:tcPr>
          <w:p>
            <w:pPr>
              <w:pStyle w:val="TableParagraph"/>
              <w:spacing w:line="225" w:lineRule="auto" w:before="105"/>
              <w:ind w:left="154" w:right="198"/>
              <w:jc w:val="left"/>
              <w:rPr>
                <w:rFonts w:ascii="宋体" w:hAnsi="宋体" w:cs="宋体" w:eastAsia="宋体" w:hint="default"/>
                <w:sz w:val="24"/>
                <w:szCs w:val="24"/>
              </w:rPr>
            </w:pPr>
            <w:r>
              <w:rPr>
                <w:rFonts w:ascii="Arial" w:hAnsi="Arial" w:cs="Arial" w:eastAsia="Arial" w:hint="default"/>
                <w:sz w:val="24"/>
                <w:szCs w:val="24"/>
              </w:rPr>
              <w:t>2015</w:t>
            </w:r>
            <w:r>
              <w:rPr>
                <w:rFonts w:ascii="宋体" w:hAnsi="宋体" w:cs="宋体" w:eastAsia="宋体" w:hint="default"/>
                <w:sz w:val="24"/>
                <w:szCs w:val="24"/>
              </w:rPr>
              <w:t>年度，本集团无新增软件开发支出 </w:t>
            </w:r>
            <w:r>
              <w:rPr>
                <w:rFonts w:ascii="Arial" w:hAnsi="Arial" w:cs="Arial" w:eastAsia="Arial" w:hint="default"/>
                <w:sz w:val="24"/>
                <w:szCs w:val="24"/>
              </w:rPr>
              <w:t>(2014</w:t>
            </w:r>
            <w:r>
              <w:rPr>
                <w:rFonts w:ascii="宋体" w:hAnsi="宋体" w:cs="宋体" w:eastAsia="宋体" w:hint="default"/>
                <w:sz w:val="24"/>
                <w:szCs w:val="24"/>
              </w:rPr>
              <w:t>年度新增软件开发支出：约人</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民币</w:t>
            </w:r>
            <w:r>
              <w:rPr>
                <w:rFonts w:ascii="Arial" w:hAnsi="Arial" w:cs="Arial" w:eastAsia="Arial" w:hint="default"/>
                <w:sz w:val="24"/>
                <w:szCs w:val="24"/>
              </w:rPr>
              <w:t>7,300</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，约人民币</w:t>
            </w:r>
            <w:r>
              <w:rPr>
                <w:rFonts w:ascii="Arial" w:hAnsi="Arial" w:cs="Arial" w:eastAsia="Arial" w:hint="default"/>
                <w:sz w:val="24"/>
                <w:szCs w:val="24"/>
              </w:rPr>
              <w:t>2,278</w:t>
            </w:r>
            <w:r>
              <w:rPr>
                <w:rFonts w:ascii="宋体" w:hAnsi="宋体" w:cs="宋体" w:eastAsia="宋体" w:hint="default"/>
                <w:sz w:val="24"/>
                <w:szCs w:val="24"/>
              </w:rPr>
              <w:t>万元</w:t>
            </w:r>
            <w:r>
              <w:rPr>
                <w:rFonts w:ascii="Arial" w:hAnsi="Arial" w:cs="Arial" w:eastAsia="Arial" w:hint="default"/>
                <w:sz w:val="24"/>
                <w:szCs w:val="24"/>
              </w:rPr>
              <w:t>(2014</w:t>
            </w:r>
            <w:r>
              <w:rPr>
                <w:rFonts w:ascii="宋体" w:hAnsi="宋体" w:cs="宋体" w:eastAsia="宋体" w:hint="default"/>
                <w:sz w:val="24"/>
                <w:szCs w:val="24"/>
              </w:rPr>
              <w:t>年度：约人民币</w:t>
            </w:r>
            <w:r>
              <w:rPr>
                <w:rFonts w:ascii="Arial" w:hAnsi="Arial" w:cs="Arial" w:eastAsia="Arial" w:hint="default"/>
                <w:sz w:val="24"/>
                <w:szCs w:val="24"/>
              </w:rPr>
              <w:t>3,716</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于当期 </w:t>
            </w:r>
            <w:r>
              <w:rPr>
                <w:rFonts w:ascii="宋体" w:hAnsi="宋体" w:cs="宋体" w:eastAsia="宋体" w:hint="default"/>
                <w:spacing w:val="2"/>
                <w:sz w:val="24"/>
                <w:szCs w:val="24"/>
              </w:rPr>
              <w:t>确认为无形资产，约人民币</w:t>
            </w:r>
            <w:r>
              <w:rPr>
                <w:rFonts w:ascii="Arial" w:hAnsi="Arial" w:cs="Arial" w:eastAsia="Arial" w:hint="default"/>
                <w:spacing w:val="2"/>
                <w:sz w:val="24"/>
                <w:szCs w:val="24"/>
              </w:rPr>
              <w:t>906</w:t>
            </w:r>
            <w:r>
              <w:rPr>
                <w:rFonts w:ascii="宋体" w:hAnsi="宋体" w:cs="宋体" w:eastAsia="宋体" w:hint="default"/>
                <w:spacing w:val="2"/>
                <w:sz w:val="24"/>
                <w:szCs w:val="24"/>
              </w:rPr>
              <w:t>万元</w:t>
            </w:r>
            <w:r>
              <w:rPr>
                <w:rFonts w:ascii="Arial" w:hAnsi="Arial" w:cs="Arial" w:eastAsia="Arial" w:hint="default"/>
                <w:spacing w:val="2"/>
                <w:sz w:val="24"/>
                <w:szCs w:val="24"/>
              </w:rPr>
              <w:t>(2014</w:t>
            </w:r>
            <w:r>
              <w:rPr>
                <w:rFonts w:ascii="宋体" w:hAnsi="宋体" w:cs="宋体" w:eastAsia="宋体" w:hint="default"/>
                <w:spacing w:val="2"/>
                <w:sz w:val="24"/>
                <w:szCs w:val="24"/>
              </w:rPr>
              <w:t>年度：约人民币</w:t>
            </w:r>
            <w:r>
              <w:rPr>
                <w:rFonts w:ascii="Arial" w:hAnsi="Arial" w:cs="Arial" w:eastAsia="Arial" w:hint="default"/>
                <w:spacing w:val="2"/>
                <w:sz w:val="24"/>
                <w:szCs w:val="24"/>
              </w:rPr>
              <w:t>3,602</w:t>
            </w:r>
            <w:r>
              <w:rPr>
                <w:rFonts w:ascii="宋体" w:hAnsi="宋体" w:cs="宋体" w:eastAsia="宋体" w:hint="default"/>
                <w:spacing w:val="2"/>
                <w:sz w:val="24"/>
                <w:szCs w:val="24"/>
              </w:rPr>
              <w:t>万元</w:t>
            </w:r>
            <w:r>
              <w:rPr>
                <w:rFonts w:ascii="Arial" w:hAnsi="Arial" w:cs="Arial" w:eastAsia="Arial" w:hint="default"/>
                <w:spacing w:val="2"/>
                <w:sz w:val="24"/>
                <w:szCs w:val="24"/>
              </w:rPr>
              <w:t>)</w:t>
            </w:r>
            <w:r>
              <w:rPr>
                <w:rFonts w:ascii="宋体" w:hAnsi="宋体" w:cs="宋体" w:eastAsia="宋体" w:hint="default"/>
                <w:spacing w:val="2"/>
                <w:sz w:val="24"/>
                <w:szCs w:val="24"/>
              </w:rPr>
              <w:t>包含在</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开发支出的年末余额中。于</w:t>
            </w:r>
            <w:r>
              <w:rPr>
                <w:rFonts w:ascii="Arial" w:hAnsi="Arial" w:cs="Arial" w:eastAsia="Arial" w:hint="default"/>
                <w:spacing w:val="-2"/>
                <w:sz w:val="24"/>
                <w:szCs w:val="24"/>
              </w:rPr>
              <w:t>2015</w:t>
            </w:r>
            <w:r>
              <w:rPr>
                <w:rFonts w:ascii="宋体" w:hAnsi="宋体" w:cs="宋体" w:eastAsia="宋体" w:hint="default"/>
                <w:spacing w:val="-2"/>
                <w:sz w:val="24"/>
                <w:szCs w:val="24"/>
              </w:rPr>
              <w:t>年度，本集团软件开发支出系交由外部研发，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无通过内部研发形成的无形资产</w:t>
            </w:r>
            <w:r>
              <w:rPr>
                <w:rFonts w:ascii="Arial" w:hAnsi="Arial" w:cs="Arial" w:eastAsia="Arial" w:hint="default"/>
                <w:sz w:val="24"/>
                <w:szCs w:val="24"/>
              </w:rPr>
              <w:t>(2014</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225" w:lineRule="auto"/>
        <w:jc w:val="left"/>
        <w:rPr>
          <w:rFonts w:ascii="宋体" w:hAnsi="宋体" w:cs="宋体" w:eastAsia="宋体" w:hint="default"/>
          <w:sz w:val="24"/>
          <w:szCs w:val="24"/>
        </w:rPr>
        <w:sectPr>
          <w:headerReference w:type="default" r:id="rId57"/>
          <w:footerReference w:type="default" r:id="rId58"/>
          <w:pgSz w:w="11910" w:h="16840"/>
          <w:pgMar w:header="755" w:footer="914" w:top="1860" w:bottom="1100" w:left="1420" w:right="0"/>
          <w:pgNumType w:start="178"/>
        </w:sectPr>
      </w:pPr>
    </w:p>
    <w:p>
      <w:pPr>
        <w:spacing w:line="240" w:lineRule="auto" w:before="2"/>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777"/>
        <w:gridCol w:w="2399"/>
        <w:gridCol w:w="1111"/>
        <w:gridCol w:w="164"/>
        <w:gridCol w:w="1559"/>
        <w:gridCol w:w="143"/>
        <w:gridCol w:w="1134"/>
        <w:gridCol w:w="142"/>
        <w:gridCol w:w="992"/>
        <w:gridCol w:w="142"/>
        <w:gridCol w:w="1134"/>
      </w:tblGrid>
      <w:tr>
        <w:trPr>
          <w:trHeight w:val="41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613"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(17)</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0" w:right="0"/>
              <w:jc w:val="left"/>
              <w:rPr>
                <w:rFonts w:ascii="黑体" w:hAnsi="黑体" w:cs="黑体" w:eastAsia="黑体" w:hint="default"/>
                <w:sz w:val="24"/>
                <w:szCs w:val="24"/>
              </w:rPr>
            </w:pPr>
            <w:r>
              <w:rPr>
                <w:rFonts w:ascii="黑体" w:hAnsi="黑体" w:cs="黑体" w:eastAsia="黑体" w:hint="default"/>
                <w:sz w:val="24"/>
                <w:szCs w:val="24"/>
              </w:rPr>
              <w:t>商誉</w:t>
            </w:r>
          </w:p>
        </w:tc>
        <w:tc>
          <w:tcPr>
            <w:tcW w:w="1111"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783"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1" w:lineRule="exact" w:before="145"/>
              <w:ind w:left="42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15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34" w:lineRule="exact" w:before="145"/>
              <w:ind w:left="781"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47" w:lineRule="exact"/>
              <w:ind w:left="40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附注五</w:t>
            </w:r>
            <w:r>
              <w:rPr>
                <w:rFonts w:ascii="Arial" w:hAnsi="Arial" w:cs="Arial" w:eastAsia="Arial" w:hint="default"/>
                <w:sz w:val="18"/>
                <w:szCs w:val="18"/>
              </w:rPr>
              <w:t>(1)(b))</w:t>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32" w:lineRule="exact"/>
              <w:ind w:left="142" w:right="127"/>
              <w:jc w:val="left"/>
              <w:rPr>
                <w:rFonts w:ascii="宋体" w:hAnsi="宋体" w:cs="宋体" w:eastAsia="宋体" w:hint="default"/>
                <w:sz w:val="18"/>
                <w:szCs w:val="18"/>
              </w:rPr>
            </w:pPr>
            <w:r>
              <w:rPr>
                <w:rFonts w:ascii="宋体" w:hAnsi="宋体" w:cs="宋体" w:eastAsia="宋体" w:hint="default"/>
                <w:sz w:val="18"/>
                <w:szCs w:val="18"/>
              </w:rPr>
              <w:t>外币报表 折算差异</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1" w:lineRule="exact" w:before="145"/>
              <w:ind w:left="41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14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93"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50" w:right="0"/>
              <w:jc w:val="left"/>
              <w:rPr>
                <w:rFonts w:ascii="Arial" w:hAnsi="Arial" w:cs="Arial" w:eastAsia="Arial" w:hint="default"/>
                <w:sz w:val="18"/>
                <w:szCs w:val="18"/>
              </w:rPr>
            </w:pPr>
            <w:r>
              <w:rPr>
                <w:rFonts w:ascii="宋体" w:hAnsi="宋体" w:cs="宋体" w:eastAsia="宋体" w:hint="default"/>
                <w:sz w:val="18"/>
                <w:szCs w:val="18"/>
              </w:rPr>
              <w:t>商誉 </w:t>
            </w:r>
            <w:r>
              <w:rPr>
                <w:rFonts w:ascii="Arial" w:hAnsi="Arial" w:cs="Arial" w:eastAsia="Arial" w:hint="default"/>
                <w:sz w:val="18"/>
                <w:szCs w:val="18"/>
              </w:rPr>
              <w:t>-</w:t>
            </w:r>
          </w:p>
        </w:tc>
        <w:tc>
          <w:tcPr>
            <w:tcW w:w="1111"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301"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36" w:lineRule="exact"/>
              <w:ind w:left="150"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9" w:right="0"/>
              <w:jc w:val="left"/>
              <w:rPr>
                <w:rFonts w:ascii="Arial" w:hAnsi="Arial" w:cs="Arial" w:eastAsia="Arial" w:hint="default"/>
                <w:sz w:val="18"/>
                <w:szCs w:val="18"/>
              </w:rPr>
            </w:pPr>
            <w:r>
              <w:rPr>
                <w:rFonts w:ascii="Arial"/>
                <w:sz w:val="18"/>
              </w:rPr>
              <w:t>161,620</w:t>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
              <w:jc w:val="right"/>
              <w:rPr>
                <w:rFonts w:ascii="Arial" w:hAnsi="Arial" w:cs="Arial" w:eastAsia="Arial" w:hint="default"/>
                <w:sz w:val="18"/>
                <w:szCs w:val="18"/>
              </w:rPr>
            </w:pPr>
            <w:r>
              <w:rPr>
                <w:rFonts w:ascii="Arial"/>
                <w:spacing w:val="-1"/>
                <w:sz w:val="18"/>
              </w:rPr>
              <w:t>7,878</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Arial" w:hAnsi="Arial" w:cs="Arial" w:eastAsia="Arial" w:hint="default"/>
                <w:sz w:val="18"/>
                <w:szCs w:val="18"/>
              </w:rPr>
            </w:pPr>
            <w:r>
              <w:rPr>
                <w:rFonts w:ascii="Arial"/>
                <w:spacing w:val="-1"/>
                <w:sz w:val="18"/>
              </w:rPr>
              <w:t>169,498</w:t>
            </w:r>
          </w:p>
        </w:tc>
      </w:tr>
      <w:tr>
        <w:trPr>
          <w:trHeight w:val="647"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198" w:lineRule="exact"/>
              <w:ind w:left="156" w:right="0"/>
              <w:jc w:val="left"/>
              <w:rPr>
                <w:rFonts w:ascii="Arial" w:hAnsi="Arial" w:cs="Arial" w:eastAsia="Arial" w:hint="default"/>
                <w:sz w:val="18"/>
                <w:szCs w:val="18"/>
              </w:rPr>
            </w:pPr>
            <w:r>
              <w:rPr>
                <w:rFonts w:ascii="Arial"/>
                <w:sz w:val="18"/>
              </w:rPr>
              <w:t>Citicall</w:t>
            </w:r>
            <w:r>
              <w:rPr>
                <w:rFonts w:ascii="Arial"/>
                <w:spacing w:val="-4"/>
                <w:sz w:val="18"/>
              </w:rPr>
              <w:t> </w:t>
            </w:r>
            <w:r>
              <w:rPr>
                <w:rFonts w:ascii="Arial"/>
                <w:sz w:val="18"/>
              </w:rPr>
              <w:t>Retain</w:t>
            </w:r>
          </w:p>
          <w:p>
            <w:pPr>
              <w:pStyle w:val="TableParagraph"/>
              <w:spacing w:line="193" w:lineRule="exact"/>
              <w:ind w:left="510" w:right="0"/>
              <w:jc w:val="left"/>
              <w:rPr>
                <w:rFonts w:ascii="Arial" w:hAnsi="Arial" w:cs="Arial" w:eastAsia="Arial" w:hint="default"/>
                <w:sz w:val="18"/>
                <w:szCs w:val="18"/>
              </w:rPr>
            </w:pPr>
            <w:r>
              <w:rPr>
                <w:rFonts w:ascii="Arial"/>
                <w:sz w:val="18"/>
              </w:rPr>
              <w:t>Management</w:t>
            </w:r>
            <w:r>
              <w:rPr>
                <w:rFonts w:ascii="Arial"/>
                <w:spacing w:val="-3"/>
                <w:sz w:val="18"/>
              </w:rPr>
              <w:t> </w:t>
            </w:r>
            <w:r>
              <w:rPr>
                <w:rFonts w:ascii="Arial"/>
                <w:sz w:val="18"/>
              </w:rPr>
              <w:t>Limited</w:t>
            </w:r>
          </w:p>
          <w:p>
            <w:pPr>
              <w:pStyle w:val="TableParagraph"/>
              <w:spacing w:line="222" w:lineRule="exact"/>
              <w:ind w:left="510" w:right="0"/>
              <w:jc w:val="left"/>
              <w:rPr>
                <w:rFonts w:ascii="宋体" w:hAnsi="宋体" w:cs="宋体" w:eastAsia="宋体" w:hint="default"/>
                <w:sz w:val="18"/>
                <w:szCs w:val="18"/>
              </w:rPr>
            </w:pPr>
            <w:r>
              <w:rPr>
                <w:rFonts w:ascii="宋体" w:hAnsi="宋体" w:cs="宋体" w:eastAsia="宋体" w:hint="default"/>
                <w:sz w:val="18"/>
                <w:szCs w:val="18"/>
              </w:rPr>
              <w:t>之零售批发业务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689" w:right="0"/>
              <w:jc w:val="left"/>
              <w:rPr>
                <w:rFonts w:ascii="Arial" w:hAnsi="Arial" w:cs="Arial" w:eastAsia="Arial" w:hint="default"/>
                <w:sz w:val="18"/>
                <w:szCs w:val="18"/>
              </w:rPr>
            </w:pPr>
            <w:r>
              <w:rPr>
                <w:rFonts w:ascii="Arial"/>
                <w:sz w:val="18"/>
              </w:rPr>
              <w:t>616</w:t>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1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616</w:t>
            </w:r>
            <w:r>
              <w:rPr>
                <w:rFonts w:ascii="Arial"/>
                <w:sz w:val="18"/>
              </w:rPr>
            </w:r>
          </w:p>
        </w:tc>
      </w:tr>
      <w:tr>
        <w:trPr>
          <w:trHeight w:val="233" w:hRule="exact"/>
        </w:trPr>
        <w:tc>
          <w:tcPr>
            <w:tcW w:w="777" w:type="dxa"/>
            <w:tcBorders>
              <w:top w:val="nil" w:sz="6" w:space="0" w:color="auto"/>
              <w:left w:val="nil" w:sz="6" w:space="0" w:color="auto"/>
              <w:bottom w:val="nil" w:sz="6" w:space="0" w:color="auto"/>
              <w:right w:val="nil" w:sz="6" w:space="0" w:color="auto"/>
            </w:tcBorders>
          </w:tcPr>
          <w:p>
            <w:pPr/>
          </w:p>
        </w:tc>
        <w:tc>
          <w:tcPr>
            <w:tcW w:w="2399" w:type="dxa"/>
            <w:vMerge w:val="restart"/>
            <w:tcBorders>
              <w:top w:val="nil" w:sz="6" w:space="0" w:color="auto"/>
              <w:left w:val="nil" w:sz="6" w:space="0" w:color="auto"/>
              <w:right w:val="nil" w:sz="6" w:space="0" w:color="auto"/>
            </w:tcBorders>
          </w:tcPr>
          <w:p>
            <w:pPr>
              <w:pStyle w:val="TableParagraph"/>
              <w:spacing w:line="197"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无锡胜利门苏宁云商销售有</w:t>
            </w:r>
            <w:r>
              <w:rPr>
                <w:rFonts w:ascii="宋体" w:hAnsi="宋体" w:cs="宋体" w:eastAsia="宋体" w:hint="default"/>
                <w:sz w:val="18"/>
                <w:szCs w:val="18"/>
              </w:rPr>
            </w:r>
          </w:p>
          <w:p>
            <w:pPr>
              <w:pStyle w:val="TableParagraph"/>
              <w:spacing w:line="235" w:lineRule="exact"/>
              <w:ind w:left="38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11"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197" w:lineRule="exact"/>
              <w:ind w:right="11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233" w:hRule="exact"/>
        </w:trPr>
        <w:tc>
          <w:tcPr>
            <w:tcW w:w="777" w:type="dxa"/>
            <w:tcBorders>
              <w:top w:val="nil" w:sz="6" w:space="0" w:color="auto"/>
              <w:left w:val="nil" w:sz="6" w:space="0" w:color="auto"/>
              <w:bottom w:val="nil" w:sz="6" w:space="0" w:color="auto"/>
              <w:right w:val="nil" w:sz="6" w:space="0" w:color="auto"/>
            </w:tcBorders>
          </w:tcPr>
          <w:p>
            <w:pPr/>
          </w:p>
        </w:tc>
        <w:tc>
          <w:tcPr>
            <w:tcW w:w="2399" w:type="dxa"/>
            <w:vMerge/>
            <w:tcBorders>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89" w:right="0"/>
              <w:jc w:val="left"/>
              <w:rPr>
                <w:rFonts w:ascii="Arial" w:hAnsi="Arial" w:cs="Arial" w:eastAsia="Arial" w:hint="default"/>
                <w:sz w:val="18"/>
                <w:szCs w:val="18"/>
              </w:rPr>
            </w:pPr>
            <w:r>
              <w:rPr>
                <w:rFonts w:ascii="Arial"/>
                <w:sz w:val="18"/>
              </w:rPr>
              <w:t>569</w:t>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Arial" w:hAnsi="Arial" w:cs="Arial" w:eastAsia="Arial" w:hint="default"/>
                <w:sz w:val="18"/>
                <w:szCs w:val="18"/>
              </w:rPr>
            </w:pPr>
            <w:r>
              <w:rPr>
                <w:rFonts w:ascii="Arial"/>
                <w:spacing w:val="-1"/>
                <w:w w:val="95"/>
                <w:sz w:val="18"/>
              </w:rPr>
              <w:t>569</w:t>
            </w:r>
            <w:r>
              <w:rPr>
                <w:rFonts w:ascii="Arial"/>
                <w:sz w:val="18"/>
              </w:rPr>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198" w:lineRule="exact"/>
              <w:ind w:left="150" w:right="0"/>
              <w:jc w:val="left"/>
              <w:rPr>
                <w:rFonts w:ascii="宋体" w:hAnsi="宋体" w:cs="宋体" w:eastAsia="宋体" w:hint="default"/>
                <w:sz w:val="18"/>
                <w:szCs w:val="18"/>
              </w:rPr>
            </w:pPr>
            <w:r>
              <w:rPr>
                <w:rFonts w:ascii="宋体" w:hAnsi="宋体" w:cs="宋体" w:eastAsia="宋体" w:hint="default"/>
                <w:sz w:val="18"/>
                <w:szCs w:val="18"/>
              </w:rPr>
              <w:t>红孩子母婴及美妆业务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39" w:right="0"/>
              <w:jc w:val="left"/>
              <w:rPr>
                <w:rFonts w:ascii="Arial" w:hAnsi="Arial" w:cs="Arial" w:eastAsia="Arial" w:hint="default"/>
                <w:sz w:val="18"/>
                <w:szCs w:val="18"/>
              </w:rPr>
            </w:pPr>
            <w:r>
              <w:rPr>
                <w:rFonts w:ascii="Arial"/>
                <w:sz w:val="18"/>
              </w:rPr>
              <w:t>270,670</w:t>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0"/>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197" w:lineRule="exact"/>
              <w:ind w:right="11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Arial" w:hAnsi="Arial" w:cs="Arial" w:eastAsia="Arial" w:hint="default"/>
                <w:sz w:val="18"/>
                <w:szCs w:val="18"/>
              </w:rPr>
            </w:pPr>
            <w:r>
              <w:rPr>
                <w:rFonts w:ascii="Arial"/>
                <w:spacing w:val="-1"/>
                <w:sz w:val="18"/>
              </w:rPr>
              <w:t>270,670</w:t>
            </w:r>
          </w:p>
        </w:tc>
      </w:tr>
      <w:tr>
        <w:trPr>
          <w:trHeight w:val="278"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198" w:lineRule="exact"/>
              <w:ind w:left="150" w:right="0"/>
              <w:jc w:val="left"/>
              <w:rPr>
                <w:rFonts w:ascii="宋体" w:hAnsi="宋体" w:cs="宋体" w:eastAsia="宋体" w:hint="default"/>
                <w:sz w:val="18"/>
                <w:szCs w:val="18"/>
              </w:rPr>
            </w:pPr>
            <w:r>
              <w:rPr>
                <w:rFonts w:ascii="宋体" w:hAnsi="宋体" w:cs="宋体" w:eastAsia="宋体" w:hint="default"/>
                <w:sz w:val="18"/>
                <w:szCs w:val="18"/>
              </w:rPr>
              <w:t>满座网业务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38" w:right="0"/>
              <w:jc w:val="left"/>
              <w:rPr>
                <w:rFonts w:ascii="Arial" w:hAnsi="Arial" w:cs="Arial" w:eastAsia="Arial" w:hint="default"/>
                <w:sz w:val="18"/>
                <w:szCs w:val="18"/>
              </w:rPr>
            </w:pPr>
            <w:r>
              <w:rPr>
                <w:rFonts w:ascii="Arial"/>
                <w:sz w:val="18"/>
              </w:rPr>
              <w:t>33,372</w:t>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0"/>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197" w:lineRule="exact"/>
              <w:ind w:right="11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1"/>
              <w:jc w:val="right"/>
              <w:rPr>
                <w:rFonts w:ascii="Arial" w:hAnsi="Arial" w:cs="Arial" w:eastAsia="Arial" w:hint="default"/>
                <w:sz w:val="18"/>
                <w:szCs w:val="18"/>
              </w:rPr>
            </w:pPr>
            <w:r>
              <w:rPr>
                <w:rFonts w:ascii="Arial"/>
                <w:spacing w:val="-1"/>
                <w:sz w:val="18"/>
              </w:rPr>
              <w:t>33,372</w:t>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好耶广告技术板块业务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40" w:right="0"/>
              <w:jc w:val="left"/>
              <w:rPr>
                <w:rFonts w:ascii="Arial" w:hAnsi="Arial" w:cs="Arial" w:eastAsia="Arial" w:hint="default"/>
                <w:sz w:val="18"/>
                <w:szCs w:val="18"/>
              </w:rPr>
            </w:pPr>
            <w:r>
              <w:rPr>
                <w:rFonts w:ascii="Arial"/>
                <w:sz w:val="18"/>
              </w:rPr>
              <w:t>25,109</w:t>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0"/>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1"/>
              <w:jc w:val="right"/>
              <w:rPr>
                <w:rFonts w:ascii="Arial" w:hAnsi="Arial" w:cs="Arial" w:eastAsia="Arial" w:hint="default"/>
                <w:sz w:val="18"/>
                <w:szCs w:val="18"/>
              </w:rPr>
            </w:pPr>
            <w:r>
              <w:rPr>
                <w:rFonts w:ascii="Arial"/>
                <w:spacing w:val="-1"/>
                <w:sz w:val="18"/>
              </w:rPr>
              <w:t>25,109</w:t>
            </w:r>
          </w:p>
        </w:tc>
      </w:tr>
      <w:tr>
        <w:trPr>
          <w:trHeight w:val="313"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08" w:lineRule="exact"/>
              <w:ind w:left="150" w:right="0"/>
              <w:jc w:val="left"/>
              <w:rPr>
                <w:rFonts w:ascii="宋体" w:hAnsi="宋体" w:cs="宋体" w:eastAsia="宋体" w:hint="default"/>
                <w:sz w:val="18"/>
                <w:szCs w:val="18"/>
              </w:rPr>
            </w:pPr>
            <w:r>
              <w:rPr>
                <w:rFonts w:ascii="Arial" w:hAnsi="Arial" w:cs="Arial" w:eastAsia="Arial" w:hint="default"/>
                <w:sz w:val="18"/>
                <w:szCs w:val="18"/>
              </w:rPr>
              <w:t>PPTV</w:t>
            </w:r>
            <w:r>
              <w:rPr>
                <w:rFonts w:ascii="Arial" w:hAnsi="Arial" w:cs="Arial" w:eastAsia="Arial" w:hint="default"/>
                <w:spacing w:val="-5"/>
                <w:sz w:val="18"/>
                <w:szCs w:val="18"/>
              </w:rPr>
              <w:t> </w:t>
            </w:r>
            <w:r>
              <w:rPr>
                <w:rFonts w:ascii="宋体" w:hAnsi="宋体" w:cs="宋体" w:eastAsia="宋体" w:hint="default"/>
                <w:sz w:val="18"/>
                <w:szCs w:val="18"/>
              </w:rPr>
              <w:t>业务</w:t>
            </w:r>
          </w:p>
        </w:tc>
        <w:tc>
          <w:tcPr>
            <w:tcW w:w="1111" w:type="dxa"/>
            <w:tcBorders>
              <w:top w:val="nil" w:sz="6" w:space="0" w:color="auto"/>
              <w:left w:val="nil" w:sz="6" w:space="0" w:color="auto"/>
              <w:bottom w:val="nil" w:sz="6" w:space="0" w:color="auto"/>
              <w:right w:val="nil" w:sz="6" w:space="0" w:color="auto"/>
            </w:tcBorders>
          </w:tcPr>
          <w:p>
            <w:pPr>
              <w:pStyle w:val="TableParagraph"/>
              <w:tabs>
                <w:tab w:pos="928" w:val="left" w:leader="none"/>
                <w:tab w:pos="1111" w:val="left" w:leader="none"/>
              </w:tabs>
              <w:spacing w:line="240" w:lineRule="auto" w:before="57"/>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tabs>
                <w:tab w:pos="649" w:val="left" w:leader="none"/>
                <w:tab w:pos="1559"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2"/>
                <w:sz w:val="18"/>
                <w:u w:val="single" w:color="000000"/>
              </w:rPr>
              <w:t>1,711,958</w:t>
              <w:tab/>
            </w:r>
            <w:r>
              <w:rPr>
                <w:rFonts w:ascii="Arial"/>
                <w:spacing w:val="-2"/>
                <w:sz w:val="18"/>
              </w:rPr>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4"/>
                <w:sz w:val="18"/>
                <w:u w:val="single" w:color="000000"/>
              </w:rPr>
              <w:t> </w:t>
            </w:r>
            <w:r>
              <w:rPr>
                <w:rFonts w:ascii="Arial"/>
                <w:spacing w:val="-2"/>
                <w:sz w:val="18"/>
                <w:u w:val="single" w:color="000000"/>
              </w:rPr>
              <w:t>(1,711,958)</w:t>
            </w:r>
            <w:r>
              <w:rPr>
                <w:rFonts w:ascii="Arial"/>
                <w:spacing w:val="-2"/>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tabs>
                <w:tab w:pos="815"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tabs>
                <w:tab w:pos="951" w:val="left" w:leader="none"/>
                <w:tab w:pos="1133"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392" w:hRule="exact"/>
        </w:trPr>
        <w:tc>
          <w:tcPr>
            <w:tcW w:w="777" w:type="dxa"/>
            <w:tcBorders>
              <w:top w:val="nil" w:sz="6" w:space="0" w:color="auto"/>
              <w:left w:val="nil" w:sz="6" w:space="0" w:color="auto"/>
              <w:bottom w:val="nil" w:sz="6" w:space="0" w:color="auto"/>
              <w:right w:val="nil" w:sz="6" w:space="0" w:color="auto"/>
            </w:tcBorders>
          </w:tcPr>
          <w:p>
            <w:pPr/>
          </w:p>
        </w:tc>
        <w:tc>
          <w:tcPr>
            <w:tcW w:w="3511" w:type="dxa"/>
            <w:gridSpan w:val="2"/>
            <w:tcBorders>
              <w:top w:val="nil" w:sz="6" w:space="0" w:color="auto"/>
              <w:left w:val="nil" w:sz="6" w:space="0" w:color="auto"/>
              <w:bottom w:val="nil" w:sz="6" w:space="0" w:color="auto"/>
              <w:right w:val="nil" w:sz="6" w:space="0" w:color="auto"/>
            </w:tcBorders>
          </w:tcPr>
          <w:p>
            <w:pPr>
              <w:pStyle w:val="TableParagraph"/>
              <w:tabs>
                <w:tab w:pos="338" w:val="left" w:leader="none"/>
                <w:tab w:pos="1111" w:val="left" w:leader="none"/>
              </w:tabs>
              <w:spacing w:line="240" w:lineRule="auto" w:before="3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491,956</w:t>
              <w:tab/>
            </w:r>
            <w:r>
              <w:rPr>
                <w:rFonts w:ascii="Arial"/>
                <w:spacing w:val="-1"/>
                <w:sz w:val="18"/>
              </w:rPr>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tabs>
                <w:tab w:pos="649" w:val="left" w:leader="none"/>
                <w:tab w:pos="1559" w:val="left" w:leader="none"/>
              </w:tabs>
              <w:spacing w:line="240" w:lineRule="auto" w:before="3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2"/>
                <w:sz w:val="18"/>
                <w:u w:val="single" w:color="000000"/>
              </w:rPr>
              <w:t>1,711,958</w:t>
              <w:tab/>
            </w:r>
            <w:r>
              <w:rPr>
                <w:rFonts w:ascii="Arial"/>
                <w:spacing w:val="-2"/>
                <w:sz w:val="18"/>
              </w:rPr>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4"/>
                <w:sz w:val="18"/>
                <w:u w:val="single" w:color="000000"/>
              </w:rPr>
              <w:t> </w:t>
            </w:r>
            <w:r>
              <w:rPr>
                <w:rFonts w:ascii="Arial"/>
                <w:spacing w:val="-2"/>
                <w:sz w:val="18"/>
                <w:u w:val="single" w:color="000000"/>
              </w:rPr>
              <w:t>(1,711,958)</w:t>
            </w:r>
            <w:r>
              <w:rPr>
                <w:rFonts w:ascii="Arial"/>
                <w:spacing w:val="-2"/>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tabs>
                <w:tab w:pos="425" w:val="left" w:leader="none"/>
                <w:tab w:pos="992" w:val="left" w:leader="none"/>
              </w:tabs>
              <w:spacing w:line="240" w:lineRule="auto" w:before="3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7,878</w:t>
              <w:tab/>
            </w:r>
            <w:r>
              <w:rPr>
                <w:rFonts w:ascii="Arial"/>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tabs>
                <w:tab w:pos="361" w:val="left" w:leader="none"/>
                <w:tab w:pos="1133" w:val="left" w:leader="none"/>
              </w:tabs>
              <w:spacing w:line="240" w:lineRule="auto" w:before="3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499,834</w:t>
              <w:tab/>
            </w:r>
            <w:r>
              <w:rPr>
                <w:rFonts w:ascii="Arial"/>
                <w:spacing w:val="-1"/>
                <w:sz w:val="18"/>
              </w:rPr>
            </w:r>
          </w:p>
        </w:tc>
      </w:tr>
      <w:tr>
        <w:trPr>
          <w:trHeight w:val="391"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Arial" w:hAnsi="Arial" w:cs="Arial" w:eastAsia="Arial" w:hint="default"/>
                <w:sz w:val="18"/>
                <w:szCs w:val="18"/>
              </w:rPr>
            </w:pPr>
            <w:r>
              <w:rPr>
                <w:rFonts w:ascii="宋体" w:hAnsi="宋体" w:cs="宋体" w:eastAsia="宋体" w:hint="default"/>
                <w:sz w:val="18"/>
                <w:szCs w:val="18"/>
              </w:rPr>
              <w:t>减：减值准备</w:t>
            </w:r>
            <w:r>
              <w:rPr>
                <w:rFonts w:ascii="Arial" w:hAnsi="Arial" w:cs="Arial" w:eastAsia="Arial" w:hint="default"/>
                <w:sz w:val="18"/>
                <w:szCs w:val="18"/>
              </w:rPr>
              <w:t>(a)</w:t>
            </w:r>
            <w:r>
              <w:rPr>
                <w:rFonts w:ascii="Arial" w:hAnsi="Arial" w:cs="Arial" w:eastAsia="Arial" w:hint="default"/>
                <w:spacing w:val="-1"/>
                <w:sz w:val="18"/>
                <w:szCs w:val="18"/>
              </w:rPr>
              <w:t> </w:t>
            </w:r>
            <w:r>
              <w:rPr>
                <w:rFonts w:ascii="Arial" w:hAnsi="Arial" w:cs="Arial" w:eastAsia="Arial" w:hint="default"/>
                <w:sz w:val="18"/>
                <w:szCs w:val="18"/>
              </w:rPr>
              <w:t>-</w:t>
            </w:r>
          </w:p>
        </w:tc>
        <w:tc>
          <w:tcPr>
            <w:tcW w:w="1111"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341"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36" w:lineRule="exact"/>
              <w:ind w:left="150"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111" w:type="dxa"/>
            <w:tcBorders>
              <w:top w:val="nil" w:sz="6" w:space="0" w:color="auto"/>
              <w:left w:val="nil" w:sz="6" w:space="0" w:color="auto"/>
              <w:bottom w:val="nil" w:sz="6" w:space="0" w:color="auto"/>
              <w:right w:val="nil" w:sz="6" w:space="0" w:color="auto"/>
            </w:tcBorders>
          </w:tcPr>
          <w:p>
            <w:pPr>
              <w:pStyle w:val="TableParagraph"/>
              <w:tabs>
                <w:tab w:pos="383" w:val="left" w:leader="none"/>
                <w:tab w:pos="1111" w:val="left" w:leader="none"/>
              </w:tabs>
              <w:spacing w:line="240" w:lineRule="auto" w:before="8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(30,104)</w:t>
              <w:tab/>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tabs>
                <w:tab w:pos="1376" w:val="left" w:leader="none"/>
                <w:tab w:pos="1559" w:val="left" w:leader="none"/>
              </w:tabs>
              <w:spacing w:line="240" w:lineRule="auto" w:before="8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tabs>
                <w:tab w:pos="951" w:val="left" w:leader="none"/>
                <w:tab w:pos="1133" w:val="left" w:leader="none"/>
              </w:tabs>
              <w:spacing w:line="240" w:lineRule="auto" w:before="8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tabs>
                <w:tab w:pos="364" w:val="left" w:leader="none"/>
                <w:tab w:pos="992" w:val="left" w:leader="none"/>
              </w:tabs>
              <w:spacing w:line="240" w:lineRule="auto" w:before="8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(1,467)</w:t>
              <w:tab/>
            </w:r>
            <w:r>
              <w:rPr>
                <w:rFonts w:ascii="Arial"/>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tabs>
                <w:tab w:pos="405" w:val="left" w:leader="none"/>
                <w:tab w:pos="1133" w:val="left" w:leader="none"/>
              </w:tabs>
              <w:spacing w:line="240" w:lineRule="auto" w:before="8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(31,571)</w:t>
              <w:tab/>
            </w:r>
            <w:r>
              <w:rPr>
                <w:rFonts w:ascii="Arial"/>
                <w:spacing w:val="-1"/>
                <w:sz w:val="18"/>
              </w:rPr>
            </w:r>
          </w:p>
        </w:tc>
      </w:tr>
      <w:tr>
        <w:trPr>
          <w:trHeight w:val="254" w:hRule="exact"/>
        </w:trPr>
        <w:tc>
          <w:tcPr>
            <w:tcW w:w="777" w:type="dxa"/>
            <w:tcBorders>
              <w:top w:val="nil" w:sz="6" w:space="0" w:color="auto"/>
              <w:left w:val="nil" w:sz="6" w:space="0" w:color="auto"/>
              <w:bottom w:val="nil" w:sz="6" w:space="0" w:color="auto"/>
              <w:right w:val="nil" w:sz="6" w:space="0" w:color="auto"/>
            </w:tcBorders>
          </w:tcPr>
          <w:p>
            <w:pPr/>
          </w:p>
        </w:tc>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20"/>
              <w:jc w:val="right"/>
              <w:rPr>
                <w:rFonts w:ascii="Arial" w:hAnsi="Arial" w:cs="Arial" w:eastAsia="Arial" w:hint="default"/>
                <w:sz w:val="18"/>
                <w:szCs w:val="18"/>
              </w:rPr>
            </w:pPr>
            <w:r>
              <w:rPr>
                <w:rFonts w:ascii="Arial"/>
                <w:spacing w:val="-1"/>
                <w:sz w:val="18"/>
              </w:rPr>
              <w:t>461,852</w:t>
            </w:r>
          </w:p>
        </w:tc>
        <w:tc>
          <w:tcPr>
            <w:tcW w:w="16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21"/>
              <w:jc w:val="right"/>
              <w:rPr>
                <w:rFonts w:ascii="Arial" w:hAnsi="Arial" w:cs="Arial" w:eastAsia="Arial" w:hint="default"/>
                <w:sz w:val="18"/>
                <w:szCs w:val="18"/>
              </w:rPr>
            </w:pPr>
            <w:r>
              <w:rPr>
                <w:rFonts w:ascii="Arial"/>
                <w:spacing w:val="-2"/>
                <w:sz w:val="18"/>
              </w:rPr>
              <w:t>1,711,958</w:t>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
              <w:jc w:val="right"/>
              <w:rPr>
                <w:rFonts w:ascii="Arial" w:hAnsi="Arial" w:cs="Arial" w:eastAsia="Arial" w:hint="default"/>
                <w:sz w:val="18"/>
                <w:szCs w:val="18"/>
              </w:rPr>
            </w:pPr>
            <w:r>
              <w:rPr>
                <w:rFonts w:ascii="Arial"/>
                <w:spacing w:val="-2"/>
                <w:sz w:val="18"/>
              </w:rPr>
              <w:t>(1,711,958)</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15"/>
              <w:jc w:val="right"/>
              <w:rPr>
                <w:rFonts w:ascii="Arial" w:hAnsi="Arial" w:cs="Arial" w:eastAsia="Arial" w:hint="default"/>
                <w:sz w:val="18"/>
                <w:szCs w:val="18"/>
              </w:rPr>
            </w:pPr>
            <w:r>
              <w:rPr>
                <w:rFonts w:ascii="Arial"/>
                <w:spacing w:val="-3"/>
                <w:w w:val="95"/>
                <w:sz w:val="18"/>
              </w:rPr>
              <w:t>6,411</w:t>
            </w:r>
            <w:r>
              <w:rPr>
                <w:rFonts w:ascii="Arial"/>
                <w:spacing w:val="-3"/>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20"/>
              <w:jc w:val="right"/>
              <w:rPr>
                <w:rFonts w:ascii="Arial" w:hAnsi="Arial" w:cs="Arial" w:eastAsia="Arial" w:hint="default"/>
                <w:sz w:val="18"/>
                <w:szCs w:val="18"/>
              </w:rPr>
            </w:pPr>
            <w:r>
              <w:rPr>
                <w:rFonts w:ascii="Arial"/>
                <w:spacing w:val="-1"/>
                <w:sz w:val="18"/>
              </w:rPr>
              <w:t>468,263</w:t>
            </w:r>
          </w:p>
        </w:tc>
      </w:tr>
      <w:tr>
        <w:trPr>
          <w:trHeight w:val="578" w:hRule="exact"/>
        </w:trPr>
        <w:tc>
          <w:tcPr>
            <w:tcW w:w="777" w:type="dxa"/>
            <w:tcBorders>
              <w:top w:val="nil" w:sz="6" w:space="0" w:color="auto"/>
              <w:left w:val="nil" w:sz="6" w:space="0" w:color="auto"/>
              <w:bottom w:val="nil" w:sz="6" w:space="0" w:color="auto"/>
              <w:right w:val="nil" w:sz="6" w:space="0" w:color="auto"/>
            </w:tcBorders>
          </w:tcPr>
          <w:p>
            <w:pPr/>
          </w:p>
        </w:tc>
        <w:tc>
          <w:tcPr>
            <w:tcW w:w="764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宋体" w:hAnsi="宋体" w:cs="宋体" w:eastAsia="宋体" w:hint="default"/>
                <w:sz w:val="24"/>
                <w:szCs w:val="24"/>
              </w:rPr>
            </w:pPr>
            <w:r>
              <w:rPr>
                <w:rFonts w:ascii="宋体" w:hAnsi="宋体" w:cs="宋体" w:eastAsia="宋体" w:hint="default"/>
                <w:sz w:val="24"/>
                <w:szCs w:val="24"/>
              </w:rPr>
              <w:t>本年度增加的商誉系购买</w:t>
            </w:r>
            <w:r>
              <w:rPr>
                <w:rFonts w:ascii="Arial" w:hAnsi="Arial" w:cs="Arial" w:eastAsia="Arial" w:hint="default"/>
                <w:sz w:val="24"/>
                <w:szCs w:val="24"/>
              </w:rPr>
              <w:t>PPTV</w:t>
            </w:r>
            <w:r>
              <w:rPr>
                <w:rFonts w:ascii="宋体" w:hAnsi="宋体" w:cs="宋体" w:eastAsia="宋体" w:hint="default"/>
                <w:sz w:val="24"/>
                <w:szCs w:val="24"/>
              </w:rPr>
              <w:t>互联网视频业务所致</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(1)(b))</w:t>
            </w:r>
            <w:r>
              <w:rPr>
                <w:rFonts w:ascii="宋体" w:hAnsi="宋体" w:cs="宋体" w:eastAsia="宋体" w:hint="default"/>
                <w:sz w:val="24"/>
                <w:szCs w:val="24"/>
              </w:rPr>
              <w:t>。</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single" w:sz="12" w:space="0" w:color="000000"/>
              <w:left w:val="nil" w:sz="6" w:space="0" w:color="auto"/>
              <w:bottom w:val="nil" w:sz="6" w:space="0" w:color="auto"/>
              <w:right w:val="nil" w:sz="6" w:space="0" w:color="auto"/>
            </w:tcBorders>
          </w:tcPr>
          <w:p>
            <w:pPr/>
          </w:p>
        </w:tc>
      </w:tr>
    </w:tbl>
    <w:p>
      <w:pPr>
        <w:spacing w:line="240" w:lineRule="auto" w:before="3"/>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07"/>
        <w:gridCol w:w="4073"/>
        <w:gridCol w:w="2038"/>
        <w:gridCol w:w="2455"/>
      </w:tblGrid>
      <w:tr>
        <w:trPr>
          <w:trHeight w:val="435"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4073" w:type="dxa"/>
            <w:tcBorders>
              <w:top w:val="nil" w:sz="6" w:space="0" w:color="auto"/>
              <w:left w:val="nil" w:sz="6" w:space="0" w:color="auto"/>
              <w:bottom w:val="nil" w:sz="6" w:space="0" w:color="auto"/>
              <w:right w:val="nil" w:sz="6" w:space="0" w:color="auto"/>
            </w:tcBorders>
          </w:tcPr>
          <w:p>
            <w:pPr>
              <w:pStyle w:val="TableParagraph"/>
              <w:spacing w:line="262" w:lineRule="exact"/>
              <w:ind w:left="213" w:right="0"/>
              <w:jc w:val="left"/>
              <w:rPr>
                <w:rFonts w:ascii="宋体" w:hAnsi="宋体" w:cs="宋体" w:eastAsia="宋体" w:hint="default"/>
                <w:sz w:val="24"/>
                <w:szCs w:val="24"/>
              </w:rPr>
            </w:pPr>
            <w:r>
              <w:rPr>
                <w:rFonts w:ascii="宋体" w:hAnsi="宋体" w:cs="宋体" w:eastAsia="宋体" w:hint="default"/>
                <w:sz w:val="24"/>
                <w:szCs w:val="24"/>
              </w:rPr>
              <w:t>减值</w:t>
            </w:r>
          </w:p>
        </w:tc>
        <w:tc>
          <w:tcPr>
            <w:tcW w:w="2038"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
        </w:tc>
      </w:tr>
      <w:tr>
        <w:trPr>
          <w:trHeight w:val="562" w:hRule="exact"/>
        </w:trPr>
        <w:tc>
          <w:tcPr>
            <w:tcW w:w="707" w:type="dxa"/>
            <w:tcBorders>
              <w:top w:val="nil" w:sz="6" w:space="0" w:color="auto"/>
              <w:left w:val="nil" w:sz="6" w:space="0" w:color="auto"/>
              <w:bottom w:val="nil" w:sz="6" w:space="0" w:color="auto"/>
              <w:right w:val="nil" w:sz="6" w:space="0" w:color="auto"/>
            </w:tcBorders>
          </w:tcPr>
          <w:p>
            <w:pPr/>
          </w:p>
        </w:tc>
        <w:tc>
          <w:tcPr>
            <w:tcW w:w="61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213" w:right="0"/>
              <w:jc w:val="left"/>
              <w:rPr>
                <w:rFonts w:ascii="宋体" w:hAnsi="宋体" w:cs="宋体" w:eastAsia="宋体" w:hint="default"/>
                <w:sz w:val="24"/>
                <w:szCs w:val="24"/>
              </w:rPr>
            </w:pPr>
            <w:r>
              <w:rPr>
                <w:rFonts w:ascii="宋体" w:hAnsi="宋体" w:cs="宋体" w:eastAsia="宋体" w:hint="default"/>
                <w:sz w:val="24"/>
                <w:szCs w:val="24"/>
              </w:rPr>
              <w:t>分摊至本集团资产组和资产组组合的商誉汇总如下：</w:t>
            </w:r>
          </w:p>
        </w:tc>
        <w:tc>
          <w:tcPr>
            <w:tcW w:w="2455" w:type="dxa"/>
            <w:tcBorders>
              <w:top w:val="nil" w:sz="6" w:space="0" w:color="auto"/>
              <w:left w:val="nil" w:sz="6" w:space="0" w:color="auto"/>
              <w:bottom w:val="nil" w:sz="6" w:space="0" w:color="auto"/>
              <w:right w:val="nil" w:sz="6" w:space="0" w:color="auto"/>
            </w:tcBorders>
          </w:tcPr>
          <w:p>
            <w:pPr/>
          </w:p>
        </w:tc>
      </w:tr>
      <w:tr>
        <w:trPr>
          <w:trHeight w:val="534" w:hRule="exact"/>
        </w:trPr>
        <w:tc>
          <w:tcPr>
            <w:tcW w:w="707" w:type="dxa"/>
            <w:tcBorders>
              <w:top w:val="nil" w:sz="6" w:space="0" w:color="auto"/>
              <w:left w:val="nil" w:sz="6" w:space="0" w:color="auto"/>
              <w:bottom w:val="nil" w:sz="6" w:space="0" w:color="auto"/>
              <w:right w:val="nil" w:sz="6" w:space="0" w:color="auto"/>
            </w:tcBorders>
          </w:tcPr>
          <w:p>
            <w:pPr/>
          </w:p>
        </w:tc>
        <w:tc>
          <w:tcPr>
            <w:tcW w:w="61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3873"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0"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03" w:hRule="exact"/>
        </w:trPr>
        <w:tc>
          <w:tcPr>
            <w:tcW w:w="707" w:type="dxa"/>
            <w:tcBorders>
              <w:top w:val="nil" w:sz="6" w:space="0" w:color="auto"/>
              <w:left w:val="nil" w:sz="6" w:space="0" w:color="auto"/>
              <w:bottom w:val="nil" w:sz="6" w:space="0" w:color="auto"/>
              <w:right w:val="nil" w:sz="6" w:space="0" w:color="auto"/>
            </w:tcBorders>
          </w:tcPr>
          <w:p>
            <w:pPr/>
          </w:p>
        </w:tc>
        <w:tc>
          <w:tcPr>
            <w:tcW w:w="407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13" w:right="0"/>
              <w:jc w:val="left"/>
              <w:rPr>
                <w:rFonts w:ascii="Arial" w:hAnsi="Arial" w:cs="Arial" w:eastAsia="Arial" w:hint="default"/>
                <w:sz w:val="24"/>
                <w:szCs w:val="24"/>
              </w:rPr>
            </w:pPr>
            <w:r>
              <w:rPr>
                <w:rFonts w:ascii="宋体" w:hAnsi="宋体" w:cs="宋体" w:eastAsia="宋体" w:hint="default"/>
                <w:sz w:val="24"/>
                <w:szCs w:val="24"/>
              </w:rPr>
              <w:t>日本</w:t>
            </w:r>
            <w:r>
              <w:rPr>
                <w:rFonts w:ascii="宋体" w:hAnsi="宋体" w:cs="宋体" w:eastAsia="宋体" w:hint="default"/>
                <w:spacing w:val="-61"/>
                <w:sz w:val="24"/>
                <w:szCs w:val="24"/>
              </w:rPr>
              <w:t> </w:t>
            </w:r>
            <w:r>
              <w:rPr>
                <w:rFonts w:ascii="Arial" w:hAnsi="Arial" w:cs="Arial" w:eastAsia="Arial" w:hint="default"/>
                <w:sz w:val="24"/>
                <w:szCs w:val="24"/>
              </w:rPr>
              <w:t>LAOX</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9"/>
              <w:jc w:val="right"/>
              <w:rPr>
                <w:rFonts w:ascii="Arial" w:hAnsi="Arial" w:cs="Arial" w:eastAsia="Arial" w:hint="default"/>
                <w:sz w:val="24"/>
                <w:szCs w:val="24"/>
              </w:rPr>
            </w:pPr>
            <w:r>
              <w:rPr>
                <w:rFonts w:ascii="Arial"/>
                <w:spacing w:val="-1"/>
                <w:sz w:val="24"/>
              </w:rPr>
              <w:t>169,498</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44"/>
              <w:jc w:val="right"/>
              <w:rPr>
                <w:rFonts w:ascii="Arial" w:hAnsi="Arial" w:cs="Arial" w:eastAsia="Arial" w:hint="default"/>
                <w:sz w:val="24"/>
                <w:szCs w:val="24"/>
              </w:rPr>
            </w:pPr>
            <w:r>
              <w:rPr>
                <w:rFonts w:ascii="Arial"/>
                <w:spacing w:val="-1"/>
                <w:sz w:val="24"/>
              </w:rPr>
              <w:t>161,620</w:t>
            </w:r>
          </w:p>
        </w:tc>
      </w:tr>
      <w:tr>
        <w:trPr>
          <w:trHeight w:val="540" w:hRule="exact"/>
        </w:trPr>
        <w:tc>
          <w:tcPr>
            <w:tcW w:w="707" w:type="dxa"/>
            <w:tcBorders>
              <w:top w:val="nil" w:sz="6" w:space="0" w:color="auto"/>
              <w:left w:val="nil" w:sz="6" w:space="0" w:color="auto"/>
              <w:bottom w:val="nil" w:sz="6" w:space="0" w:color="auto"/>
              <w:right w:val="nil" w:sz="6" w:space="0" w:color="auto"/>
            </w:tcBorders>
          </w:tcPr>
          <w:p>
            <w:pPr/>
          </w:p>
        </w:tc>
        <w:tc>
          <w:tcPr>
            <w:tcW w:w="4073" w:type="dxa"/>
            <w:tcBorders>
              <w:top w:val="nil" w:sz="6" w:space="0" w:color="auto"/>
              <w:left w:val="nil" w:sz="6" w:space="0" w:color="auto"/>
              <w:bottom w:val="nil" w:sz="6" w:space="0" w:color="auto"/>
              <w:right w:val="nil" w:sz="6" w:space="0" w:color="auto"/>
            </w:tcBorders>
          </w:tcPr>
          <w:p>
            <w:pPr>
              <w:pStyle w:val="TableParagraph"/>
              <w:spacing w:line="180" w:lineRule="auto" w:before="43"/>
              <w:ind w:left="478" w:right="968" w:hanging="259"/>
              <w:jc w:val="left"/>
              <w:rPr>
                <w:rFonts w:ascii="宋体" w:hAnsi="宋体" w:cs="宋体" w:eastAsia="宋体" w:hint="default"/>
                <w:sz w:val="24"/>
                <w:szCs w:val="24"/>
              </w:rPr>
            </w:pPr>
            <w:r>
              <w:rPr>
                <w:rFonts w:ascii="Arial" w:hAnsi="Arial" w:cs="Arial" w:eastAsia="Arial" w:hint="default"/>
                <w:sz w:val="24"/>
                <w:szCs w:val="24"/>
              </w:rPr>
              <w:t>Citical Retain</w:t>
            </w:r>
            <w:r>
              <w:rPr>
                <w:rFonts w:ascii="Arial" w:hAnsi="Arial" w:cs="Arial" w:eastAsia="Arial" w:hint="default"/>
                <w:spacing w:val="-2"/>
                <w:sz w:val="24"/>
                <w:szCs w:val="24"/>
              </w:rPr>
              <w:t> </w:t>
            </w:r>
            <w:r>
              <w:rPr>
                <w:rFonts w:ascii="Arial" w:hAnsi="Arial" w:cs="Arial" w:eastAsia="Arial" w:hint="default"/>
                <w:sz w:val="24"/>
                <w:szCs w:val="24"/>
              </w:rPr>
              <w:t>Management</w:t>
            </w:r>
            <w:r>
              <w:rPr>
                <w:rFonts w:ascii="Arial" w:hAnsi="Arial" w:cs="Arial" w:eastAsia="Arial" w:hint="default"/>
                <w:w w:val="99"/>
                <w:sz w:val="24"/>
                <w:szCs w:val="24"/>
              </w:rPr>
              <w:t> </w:t>
            </w:r>
            <w:r>
              <w:rPr>
                <w:rFonts w:ascii="Arial" w:hAnsi="Arial" w:cs="Arial" w:eastAsia="Arial" w:hint="default"/>
                <w:sz w:val="24"/>
                <w:szCs w:val="24"/>
              </w:rPr>
              <w:t>Limited</w:t>
            </w:r>
            <w:r>
              <w:rPr>
                <w:rFonts w:ascii="Arial" w:hAnsi="Arial" w:cs="Arial" w:eastAsia="Arial" w:hint="default"/>
                <w:spacing w:val="-9"/>
                <w:sz w:val="24"/>
                <w:szCs w:val="24"/>
              </w:rPr>
              <w:t> </w:t>
            </w:r>
            <w:r>
              <w:rPr>
                <w:rFonts w:ascii="宋体" w:hAnsi="宋体" w:cs="宋体" w:eastAsia="宋体" w:hint="default"/>
                <w:sz w:val="24"/>
                <w:szCs w:val="24"/>
              </w:rPr>
              <w:t>之零售批发业务</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0"/>
              <w:jc w:val="right"/>
              <w:rPr>
                <w:rFonts w:ascii="Arial" w:hAnsi="Arial" w:cs="Arial" w:eastAsia="Arial" w:hint="default"/>
                <w:sz w:val="24"/>
                <w:szCs w:val="24"/>
              </w:rPr>
            </w:pPr>
            <w:r>
              <w:rPr>
                <w:rFonts w:ascii="Arial"/>
                <w:spacing w:val="-1"/>
                <w:w w:val="95"/>
                <w:sz w:val="24"/>
              </w:rPr>
              <w:t>616</w:t>
            </w:r>
            <w:r>
              <w:rPr>
                <w:rFonts w:ascii="Arial"/>
                <w:sz w:val="24"/>
              </w:rPr>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46"/>
              <w:jc w:val="right"/>
              <w:rPr>
                <w:rFonts w:ascii="Arial" w:hAnsi="Arial" w:cs="Arial" w:eastAsia="Arial" w:hint="default"/>
                <w:sz w:val="24"/>
                <w:szCs w:val="24"/>
              </w:rPr>
            </w:pPr>
            <w:r>
              <w:rPr>
                <w:rFonts w:ascii="Arial"/>
                <w:spacing w:val="-1"/>
                <w:w w:val="95"/>
                <w:sz w:val="24"/>
              </w:rPr>
              <w:t>616</w:t>
            </w:r>
            <w:r>
              <w:rPr>
                <w:rFonts w:ascii="Arial"/>
                <w:sz w:val="24"/>
              </w:rPr>
            </w:r>
          </w:p>
        </w:tc>
      </w:tr>
      <w:tr>
        <w:trPr>
          <w:trHeight w:val="622" w:hRule="exact"/>
        </w:trPr>
        <w:tc>
          <w:tcPr>
            <w:tcW w:w="707" w:type="dxa"/>
            <w:tcBorders>
              <w:top w:val="nil" w:sz="6" w:space="0" w:color="auto"/>
              <w:left w:val="nil" w:sz="6" w:space="0" w:color="auto"/>
              <w:bottom w:val="nil" w:sz="6" w:space="0" w:color="auto"/>
              <w:right w:val="nil" w:sz="6" w:space="0" w:color="auto"/>
            </w:tcBorders>
          </w:tcPr>
          <w:p>
            <w:pPr/>
          </w:p>
        </w:tc>
        <w:tc>
          <w:tcPr>
            <w:tcW w:w="4073" w:type="dxa"/>
            <w:tcBorders>
              <w:top w:val="nil" w:sz="6" w:space="0" w:color="auto"/>
              <w:left w:val="nil" w:sz="6" w:space="0" w:color="auto"/>
              <w:bottom w:val="nil" w:sz="6" w:space="0" w:color="auto"/>
              <w:right w:val="nil" w:sz="6" w:space="0" w:color="auto"/>
            </w:tcBorders>
          </w:tcPr>
          <w:p>
            <w:pPr>
              <w:pStyle w:val="TableParagraph"/>
              <w:spacing w:line="259" w:lineRule="exact"/>
              <w:ind w:left="219" w:right="0"/>
              <w:jc w:val="left"/>
              <w:rPr>
                <w:rFonts w:ascii="宋体" w:hAnsi="宋体" w:cs="宋体" w:eastAsia="宋体" w:hint="default"/>
                <w:sz w:val="24"/>
                <w:szCs w:val="24"/>
              </w:rPr>
            </w:pPr>
            <w:r>
              <w:rPr>
                <w:rFonts w:ascii="宋体" w:hAnsi="宋体" w:cs="宋体" w:eastAsia="宋体" w:hint="default"/>
                <w:sz w:val="24"/>
                <w:szCs w:val="24"/>
              </w:rPr>
              <w:t>无锡胜利门苏宁云商销售</w:t>
            </w:r>
          </w:p>
          <w:p>
            <w:pPr>
              <w:pStyle w:val="TableParagraph"/>
              <w:spacing w:line="312" w:lineRule="exact"/>
              <w:ind w:left="7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200"/>
              <w:jc w:val="right"/>
              <w:rPr>
                <w:rFonts w:ascii="Arial" w:hAnsi="Arial" w:cs="Arial" w:eastAsia="Arial" w:hint="default"/>
                <w:sz w:val="24"/>
                <w:szCs w:val="24"/>
              </w:rPr>
            </w:pPr>
            <w:r>
              <w:rPr>
                <w:rFonts w:ascii="Arial"/>
                <w:spacing w:val="-1"/>
                <w:w w:val="95"/>
                <w:sz w:val="24"/>
              </w:rPr>
              <w:t>569</w:t>
            </w:r>
            <w:r>
              <w:rPr>
                <w:rFonts w:ascii="Arial"/>
                <w:sz w:val="24"/>
              </w:rPr>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246"/>
              <w:jc w:val="right"/>
              <w:rPr>
                <w:rFonts w:ascii="Arial" w:hAnsi="Arial" w:cs="Arial" w:eastAsia="Arial" w:hint="default"/>
                <w:sz w:val="24"/>
                <w:szCs w:val="24"/>
              </w:rPr>
            </w:pPr>
            <w:r>
              <w:rPr>
                <w:rFonts w:ascii="Arial"/>
                <w:spacing w:val="-1"/>
                <w:w w:val="95"/>
                <w:sz w:val="24"/>
              </w:rPr>
              <w:t>569</w:t>
            </w:r>
            <w:r>
              <w:rPr>
                <w:rFonts w:ascii="Arial"/>
                <w:sz w:val="24"/>
              </w:rPr>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4073" w:type="dxa"/>
            <w:tcBorders>
              <w:top w:val="nil" w:sz="6" w:space="0" w:color="auto"/>
              <w:left w:val="nil" w:sz="6" w:space="0" w:color="auto"/>
              <w:bottom w:val="nil" w:sz="6" w:space="0" w:color="auto"/>
              <w:right w:val="nil" w:sz="6" w:space="0" w:color="auto"/>
            </w:tcBorders>
          </w:tcPr>
          <w:p>
            <w:pPr>
              <w:pStyle w:val="TableParagraph"/>
              <w:spacing w:line="261" w:lineRule="exact"/>
              <w:ind w:left="213" w:right="0"/>
              <w:jc w:val="left"/>
              <w:rPr>
                <w:rFonts w:ascii="宋体" w:hAnsi="宋体" w:cs="宋体" w:eastAsia="宋体" w:hint="default"/>
                <w:sz w:val="24"/>
                <w:szCs w:val="24"/>
              </w:rPr>
            </w:pPr>
            <w:r>
              <w:rPr>
                <w:rFonts w:ascii="宋体" w:hAnsi="宋体" w:cs="宋体" w:eastAsia="宋体" w:hint="default"/>
                <w:sz w:val="24"/>
                <w:szCs w:val="24"/>
              </w:rPr>
              <w:t>红孩子母婴及美妆业务</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Arial" w:hAnsi="Arial" w:cs="Arial" w:eastAsia="Arial" w:hint="default"/>
                <w:sz w:val="24"/>
                <w:szCs w:val="24"/>
              </w:rPr>
            </w:pPr>
            <w:r>
              <w:rPr>
                <w:rFonts w:ascii="Arial"/>
                <w:spacing w:val="-1"/>
                <w:sz w:val="24"/>
              </w:rPr>
              <w:t>270,670</w:t>
            </w:r>
            <w:r>
              <w:rPr>
                <w:rFonts w:ascii="Arial"/>
                <w:sz w:val="24"/>
              </w:rPr>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6"/>
              <w:jc w:val="right"/>
              <w:rPr>
                <w:rFonts w:ascii="Arial" w:hAnsi="Arial" w:cs="Arial" w:eastAsia="Arial" w:hint="default"/>
                <w:sz w:val="24"/>
                <w:szCs w:val="24"/>
              </w:rPr>
            </w:pPr>
            <w:r>
              <w:rPr>
                <w:rFonts w:ascii="Arial"/>
                <w:spacing w:val="-1"/>
                <w:sz w:val="24"/>
              </w:rPr>
              <w:t>270,670</w:t>
            </w:r>
            <w:r>
              <w:rPr>
                <w:rFonts w:ascii="Arial"/>
                <w:sz w:val="24"/>
              </w:rPr>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4073" w:type="dxa"/>
            <w:tcBorders>
              <w:top w:val="nil" w:sz="6" w:space="0" w:color="auto"/>
              <w:left w:val="nil" w:sz="6" w:space="0" w:color="auto"/>
              <w:bottom w:val="nil" w:sz="6" w:space="0" w:color="auto"/>
              <w:right w:val="nil" w:sz="6" w:space="0" w:color="auto"/>
            </w:tcBorders>
          </w:tcPr>
          <w:p>
            <w:pPr>
              <w:pStyle w:val="TableParagraph"/>
              <w:spacing w:line="261" w:lineRule="exact"/>
              <w:ind w:left="213" w:right="0"/>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spacing w:val="-1"/>
                <w:sz w:val="24"/>
              </w:rPr>
              <w:t>33,372</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6"/>
              <w:jc w:val="right"/>
              <w:rPr>
                <w:rFonts w:ascii="Arial" w:hAnsi="Arial" w:cs="Arial" w:eastAsia="Arial" w:hint="default"/>
                <w:sz w:val="24"/>
                <w:szCs w:val="24"/>
              </w:rPr>
            </w:pPr>
            <w:r>
              <w:rPr>
                <w:rFonts w:ascii="Arial"/>
                <w:spacing w:val="-1"/>
                <w:sz w:val="24"/>
              </w:rPr>
              <w:t>33,372</w:t>
            </w:r>
            <w:r>
              <w:rPr>
                <w:rFonts w:ascii="Arial"/>
                <w:sz w:val="24"/>
              </w:rPr>
            </w:r>
          </w:p>
        </w:tc>
      </w:tr>
      <w:tr>
        <w:trPr>
          <w:trHeight w:val="306" w:hRule="exact"/>
        </w:trPr>
        <w:tc>
          <w:tcPr>
            <w:tcW w:w="707" w:type="dxa"/>
            <w:tcBorders>
              <w:top w:val="nil" w:sz="6" w:space="0" w:color="auto"/>
              <w:left w:val="nil" w:sz="6" w:space="0" w:color="auto"/>
              <w:bottom w:val="nil" w:sz="6" w:space="0" w:color="auto"/>
              <w:right w:val="nil" w:sz="6" w:space="0" w:color="auto"/>
            </w:tcBorders>
          </w:tcPr>
          <w:p>
            <w:pPr/>
          </w:p>
        </w:tc>
        <w:tc>
          <w:tcPr>
            <w:tcW w:w="4073" w:type="dxa"/>
            <w:tcBorders>
              <w:top w:val="nil" w:sz="6" w:space="0" w:color="auto"/>
              <w:left w:val="nil" w:sz="6" w:space="0" w:color="auto"/>
              <w:bottom w:val="nil" w:sz="6" w:space="0" w:color="auto"/>
              <w:right w:val="nil" w:sz="6" w:space="0" w:color="auto"/>
            </w:tcBorders>
          </w:tcPr>
          <w:p>
            <w:pPr>
              <w:pStyle w:val="TableParagraph"/>
              <w:tabs>
                <w:tab w:pos="3705" w:val="left" w:leader="none"/>
                <w:tab w:pos="5198" w:val="left" w:leader="none"/>
              </w:tabs>
              <w:spacing w:line="259" w:lineRule="exact"/>
              <w:ind w:left="213" w:right="-1126"/>
              <w:jc w:val="left"/>
              <w:rPr>
                <w:rFonts w:ascii="Arial" w:hAnsi="Arial" w:cs="Arial" w:eastAsia="Arial" w:hint="default"/>
                <w:sz w:val="24"/>
                <w:szCs w:val="24"/>
              </w:rPr>
            </w:pPr>
            <w:r>
              <w:rPr>
                <w:rFonts w:ascii="宋体" w:hAnsi="宋体" w:cs="宋体" w:eastAsia="宋体" w:hint="default"/>
                <w:position w:val="2"/>
                <w:sz w:val="24"/>
                <w:szCs w:val="24"/>
              </w:rPr>
              <w:t>好耶广告技术板块业务</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38" w:type="dxa"/>
            <w:tcBorders>
              <w:top w:val="nil" w:sz="6" w:space="0" w:color="auto"/>
              <w:left w:val="nil" w:sz="6" w:space="0" w:color="auto"/>
              <w:bottom w:val="nil" w:sz="6" w:space="0" w:color="auto"/>
              <w:right w:val="nil" w:sz="6" w:space="0" w:color="auto"/>
            </w:tcBorders>
          </w:tcPr>
          <w:p>
            <w:pPr>
              <w:pStyle w:val="TableParagraph"/>
              <w:tabs>
                <w:tab w:pos="802" w:val="left" w:leader="none"/>
              </w:tabs>
              <w:spacing w:line="240" w:lineRule="auto" w:before="20"/>
              <w:ind w:right="107"/>
              <w:jc w:val="right"/>
              <w:rPr>
                <w:rFonts w:ascii="Arial" w:hAnsi="Arial" w:cs="Arial" w:eastAsia="Arial" w:hint="default"/>
                <w:sz w:val="24"/>
                <w:szCs w:val="24"/>
              </w:rPr>
            </w:pPr>
            <w:r>
              <w:rPr>
                <w:rFonts w:ascii="Arial"/>
                <w:w w:val="99"/>
                <w:sz w:val="24"/>
              </w:rPr>
            </w:r>
            <w:r>
              <w:rPr>
                <w:rFonts w:ascii="Arial"/>
                <w:w w:val="95"/>
                <w:sz w:val="24"/>
                <w:u w:val="single" w:color="000000"/>
              </w:rPr>
              <w:t>25,109</w:t>
            </w:r>
            <w:r>
              <w:rPr>
                <w:rFonts w:ascii="Arial"/>
                <w:sz w:val="24"/>
                <w:u w:val="single" w:color="000000"/>
              </w:rPr>
              <w:tab/>
            </w:r>
            <w:r>
              <w:rPr>
                <w:rFonts w:ascii="Arial"/>
                <w:sz w:val="24"/>
              </w:rPr>
            </w:r>
          </w:p>
        </w:tc>
        <w:tc>
          <w:tcPr>
            <w:tcW w:w="2455" w:type="dxa"/>
            <w:tcBorders>
              <w:top w:val="nil" w:sz="6" w:space="0" w:color="auto"/>
              <w:left w:val="nil" w:sz="6" w:space="0" w:color="auto"/>
              <w:bottom w:val="nil" w:sz="6" w:space="0" w:color="auto"/>
              <w:right w:val="nil" w:sz="6" w:space="0" w:color="auto"/>
            </w:tcBorders>
          </w:tcPr>
          <w:p>
            <w:pPr>
              <w:pStyle w:val="TableParagraph"/>
              <w:tabs>
                <w:tab w:pos="1474" w:val="left" w:leader="none"/>
                <w:tab w:pos="2299" w:val="left" w:leader="none"/>
              </w:tabs>
              <w:spacing w:line="240" w:lineRule="auto" w:before="20"/>
              <w:ind w:left="127"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25,109</w:t>
              <w:tab/>
            </w:r>
            <w:r>
              <w:rPr>
                <w:rFonts w:ascii="Arial"/>
                <w:sz w:val="24"/>
              </w:rPr>
            </w:r>
          </w:p>
        </w:tc>
      </w:tr>
      <w:tr>
        <w:trPr>
          <w:trHeight w:val="421" w:hRule="exact"/>
        </w:trPr>
        <w:tc>
          <w:tcPr>
            <w:tcW w:w="707" w:type="dxa"/>
            <w:tcBorders>
              <w:top w:val="nil" w:sz="6" w:space="0" w:color="auto"/>
              <w:left w:val="nil" w:sz="6" w:space="0" w:color="auto"/>
              <w:bottom w:val="nil" w:sz="6" w:space="0" w:color="auto"/>
              <w:right w:val="nil" w:sz="6" w:space="0" w:color="auto"/>
            </w:tcBorders>
          </w:tcPr>
          <w:p>
            <w:pPr/>
          </w:p>
        </w:tc>
        <w:tc>
          <w:tcPr>
            <w:tcW w:w="6111" w:type="dxa"/>
            <w:gridSpan w:val="2"/>
            <w:tcBorders>
              <w:top w:val="nil" w:sz="6" w:space="0" w:color="auto"/>
              <w:left w:val="nil" w:sz="6" w:space="0" w:color="auto"/>
              <w:bottom w:val="nil" w:sz="6" w:space="0" w:color="auto"/>
              <w:right w:val="nil" w:sz="6" w:space="0" w:color="auto"/>
            </w:tcBorders>
          </w:tcPr>
          <w:p>
            <w:pPr>
              <w:pStyle w:val="TableParagraph"/>
              <w:tabs>
                <w:tab w:pos="5079" w:val="left" w:leader="none"/>
              </w:tabs>
              <w:spacing w:line="261" w:lineRule="exact"/>
              <w:ind w:left="370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499,834</w:t>
            </w:r>
            <w:r>
              <w:rPr>
                <w:rFonts w:ascii="Arial"/>
                <w:sz w:val="24"/>
              </w:rPr>
            </w:r>
          </w:p>
        </w:tc>
        <w:tc>
          <w:tcPr>
            <w:tcW w:w="2455" w:type="dxa"/>
            <w:tcBorders>
              <w:top w:val="nil" w:sz="6" w:space="0" w:color="auto"/>
              <w:left w:val="nil" w:sz="6" w:space="0" w:color="auto"/>
              <w:bottom w:val="nil" w:sz="6" w:space="0" w:color="auto"/>
              <w:right w:val="nil" w:sz="6" w:space="0" w:color="auto"/>
            </w:tcBorders>
          </w:tcPr>
          <w:p>
            <w:pPr>
              <w:pStyle w:val="TableParagraph"/>
              <w:tabs>
                <w:tab w:pos="1340" w:val="left" w:leader="none"/>
                <w:tab w:pos="2299" w:val="left" w:leader="none"/>
              </w:tabs>
              <w:spacing w:line="261" w:lineRule="exact"/>
              <w:ind w:left="12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491,956</w:t>
              <w:tab/>
            </w:r>
            <w:r>
              <w:rPr>
                <w:rFonts w:ascii="Arial"/>
                <w:sz w:val="24"/>
              </w:rPr>
            </w:r>
          </w:p>
        </w:tc>
      </w:tr>
      <w:tr>
        <w:trPr>
          <w:trHeight w:val="1029" w:hRule="exact"/>
        </w:trPr>
        <w:tc>
          <w:tcPr>
            <w:tcW w:w="707" w:type="dxa"/>
            <w:tcBorders>
              <w:top w:val="nil" w:sz="6" w:space="0" w:color="auto"/>
              <w:left w:val="nil" w:sz="6" w:space="0" w:color="auto"/>
              <w:bottom w:val="nil" w:sz="6" w:space="0" w:color="auto"/>
              <w:right w:val="nil" w:sz="6" w:space="0" w:color="auto"/>
            </w:tcBorders>
          </w:tcPr>
          <w:p>
            <w:pPr/>
          </w:p>
        </w:tc>
        <w:tc>
          <w:tcPr>
            <w:tcW w:w="8566"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94"/>
              <w:ind w:left="213" w:right="198"/>
              <w:jc w:val="both"/>
              <w:rPr>
                <w:rFonts w:ascii="宋体" w:hAnsi="宋体" w:cs="宋体" w:eastAsia="宋体" w:hint="default"/>
                <w:sz w:val="24"/>
                <w:szCs w:val="24"/>
              </w:rPr>
            </w:pPr>
            <w:r>
              <w:rPr>
                <w:rFonts w:ascii="宋体" w:hAnsi="宋体" w:cs="宋体" w:eastAsia="宋体" w:hint="default"/>
                <w:spacing w:val="-1"/>
                <w:sz w:val="24"/>
                <w:szCs w:val="24"/>
              </w:rPr>
              <w:t>资产组和资产组组合的可收回金额是依据管理层制定的五年期预算，采用现金</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1"/>
                <w:sz w:val="24"/>
                <w:szCs w:val="24"/>
              </w:rPr>
              <w:t>流量预测方法计算。超过该五年期的现金流量采用以下所述的估计增长率作出</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推算。</w:t>
            </w:r>
          </w:p>
        </w:tc>
      </w:tr>
    </w:tbl>
    <w:p>
      <w:pPr>
        <w:spacing w:after="0" w:line="237" w:lineRule="auto"/>
        <w:jc w:val="both"/>
        <w:rPr>
          <w:rFonts w:ascii="宋体" w:hAnsi="宋体" w:cs="宋体" w:eastAsia="宋体" w:hint="default"/>
          <w:sz w:val="24"/>
          <w:szCs w:val="24"/>
        </w:rPr>
        <w:sectPr>
          <w:pgSz w:w="11910" w:h="16840"/>
          <w:pgMar w:header="755" w:footer="914"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71"/>
        <w:gridCol w:w="2265"/>
        <w:gridCol w:w="1134"/>
        <w:gridCol w:w="142"/>
        <w:gridCol w:w="992"/>
        <w:gridCol w:w="142"/>
        <w:gridCol w:w="1026"/>
        <w:gridCol w:w="106"/>
        <w:gridCol w:w="1364"/>
        <w:gridCol w:w="112"/>
        <w:gridCol w:w="1163"/>
      </w:tblGrid>
      <w:tr>
        <w:trPr>
          <w:trHeight w:val="386"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39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r>
      <w:tr>
        <w:trPr>
          <w:trHeight w:val="52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0" w:right="0"/>
              <w:jc w:val="left"/>
              <w:rPr>
                <w:rFonts w:ascii="Arial" w:hAnsi="Arial" w:cs="Arial" w:eastAsia="Arial" w:hint="default"/>
                <w:sz w:val="24"/>
                <w:szCs w:val="24"/>
              </w:rPr>
            </w:pPr>
            <w:r>
              <w:rPr>
                <w:rFonts w:ascii="Arial"/>
                <w:sz w:val="24"/>
              </w:rPr>
              <w:t>(17)</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1" w:right="0"/>
              <w:jc w:val="left"/>
              <w:rPr>
                <w:rFonts w:ascii="Arial" w:hAnsi="Arial" w:cs="Arial" w:eastAsia="Arial" w:hint="default"/>
                <w:sz w:val="24"/>
                <w:szCs w:val="24"/>
              </w:rPr>
            </w:pPr>
            <w:r>
              <w:rPr>
                <w:rFonts w:ascii="黑体" w:hAnsi="黑体" w:cs="黑体" w:eastAsia="黑体" w:hint="default"/>
                <w:sz w:val="24"/>
                <w:szCs w:val="24"/>
              </w:rPr>
              <w:t>商誉</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r>
      <w:tr>
        <w:trPr>
          <w:trHeight w:val="52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0" w:right="0"/>
              <w:jc w:val="left"/>
              <w:rPr>
                <w:rFonts w:ascii="Arial" w:hAnsi="Arial" w:cs="Arial" w:eastAsia="Arial" w:hint="default"/>
                <w:sz w:val="24"/>
                <w:szCs w:val="24"/>
              </w:rPr>
            </w:pPr>
            <w:r>
              <w:rPr>
                <w:rFonts w:ascii="Arial"/>
                <w:sz w:val="24"/>
              </w:rPr>
              <w:t>(a)</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1" w:right="0"/>
              <w:jc w:val="left"/>
              <w:rPr>
                <w:rFonts w:ascii="Arial" w:hAnsi="Arial" w:cs="Arial" w:eastAsia="Arial" w:hint="default"/>
                <w:sz w:val="24"/>
                <w:szCs w:val="24"/>
              </w:rPr>
            </w:pPr>
            <w:r>
              <w:rPr>
                <w:rFonts w:ascii="宋体" w:hAnsi="宋体" w:cs="宋体" w:eastAsia="宋体" w:hint="default"/>
                <w:sz w:val="24"/>
                <w:szCs w:val="24"/>
              </w:rPr>
              <w:t>减值</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r>
      <w:tr>
        <w:trPr>
          <w:trHeight w:val="514"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0"/>
              <w:ind w:left="922" w:right="0"/>
              <w:jc w:val="left"/>
              <w:rPr>
                <w:rFonts w:ascii="宋体" w:hAnsi="宋体" w:cs="宋体" w:eastAsia="宋体" w:hint="default"/>
                <w:sz w:val="24"/>
                <w:szCs w:val="24"/>
              </w:rPr>
            </w:pPr>
            <w:r>
              <w:rPr>
                <w:rFonts w:ascii="宋体" w:hAnsi="宋体" w:cs="宋体" w:eastAsia="宋体" w:hint="default"/>
                <w:sz w:val="24"/>
                <w:szCs w:val="24"/>
              </w:rPr>
              <w:t>采用未来现金流量折现方法的主要假设：</w:t>
            </w:r>
          </w:p>
        </w:tc>
      </w:tr>
      <w:tr>
        <w:trPr>
          <w:trHeight w:val="404"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5"/>
              <w:ind w:right="41"/>
              <w:jc w:val="right"/>
              <w:rPr>
                <w:rFonts w:ascii="宋体" w:hAnsi="宋体" w:cs="宋体" w:eastAsia="宋体" w:hint="default"/>
                <w:sz w:val="24"/>
                <w:szCs w:val="24"/>
              </w:rPr>
            </w:pPr>
            <w:r>
              <w:rPr>
                <w:rFonts w:ascii="宋体" w:hAnsi="宋体" w:cs="宋体" w:eastAsia="宋体" w:hint="default"/>
                <w:sz w:val="24"/>
                <w:szCs w:val="24"/>
              </w:rPr>
              <w:t>红孩子母婴及美妆业务</w:t>
            </w:r>
          </w:p>
        </w:tc>
      </w:tr>
      <w:tr>
        <w:trPr>
          <w:trHeight w:val="331"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80" w:lineRule="exact"/>
              <w:ind w:left="151"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
        </w:tc>
        <w:tc>
          <w:tcPr>
            <w:tcW w:w="112" w:type="dxa"/>
            <w:tcBorders>
              <w:top w:val="single" w:sz="4" w:space="0" w:color="000000"/>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41"/>
              <w:jc w:val="right"/>
              <w:rPr>
                <w:rFonts w:ascii="Arial" w:hAnsi="Arial" w:cs="Arial" w:eastAsia="Arial" w:hint="default"/>
                <w:sz w:val="24"/>
                <w:szCs w:val="24"/>
              </w:rPr>
            </w:pPr>
            <w:r>
              <w:rPr>
                <w:rFonts w:ascii="Arial"/>
                <w:spacing w:val="-1"/>
                <w:sz w:val="24"/>
              </w:rPr>
              <w:t>3.00%</w:t>
            </w:r>
          </w:p>
        </w:tc>
      </w:tr>
      <w:tr>
        <w:trPr>
          <w:trHeight w:val="311"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
              <w:jc w:val="right"/>
              <w:rPr>
                <w:rFonts w:ascii="Arial" w:hAnsi="Arial" w:cs="Arial" w:eastAsia="Arial" w:hint="default"/>
                <w:sz w:val="24"/>
                <w:szCs w:val="24"/>
              </w:rPr>
            </w:pPr>
            <w:r>
              <w:rPr>
                <w:rFonts w:ascii="Arial"/>
                <w:spacing w:val="-1"/>
                <w:sz w:val="24"/>
              </w:rPr>
              <w:t>13.28%</w:t>
            </w:r>
          </w:p>
        </w:tc>
      </w:tr>
      <w:tr>
        <w:trPr>
          <w:trHeight w:val="440"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税后折现率</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
              <w:jc w:val="right"/>
              <w:rPr>
                <w:rFonts w:ascii="Arial" w:hAnsi="Arial" w:cs="Arial" w:eastAsia="Arial" w:hint="default"/>
                <w:sz w:val="24"/>
                <w:szCs w:val="24"/>
              </w:rPr>
            </w:pPr>
            <w:r>
              <w:rPr>
                <w:rFonts w:ascii="Arial"/>
                <w:w w:val="95"/>
                <w:sz w:val="24"/>
              </w:rPr>
              <w:t>13.00%</w:t>
            </w:r>
            <w:r>
              <w:rPr>
                <w:rFonts w:ascii="Arial"/>
                <w:sz w:val="24"/>
              </w:rPr>
            </w:r>
          </w:p>
        </w:tc>
      </w:tr>
      <w:tr>
        <w:trPr>
          <w:trHeight w:val="414"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76"/>
              <w:ind w:right="41"/>
              <w:jc w:val="right"/>
              <w:rPr>
                <w:rFonts w:ascii="宋体" w:hAnsi="宋体" w:cs="宋体" w:eastAsia="宋体" w:hint="default"/>
                <w:sz w:val="24"/>
                <w:szCs w:val="24"/>
              </w:rPr>
            </w:pPr>
            <w:r>
              <w:rPr>
                <w:rFonts w:ascii="宋体" w:hAnsi="宋体" w:cs="宋体" w:eastAsia="宋体" w:hint="default"/>
                <w:sz w:val="24"/>
                <w:szCs w:val="24"/>
              </w:rPr>
              <w:t>满座网业务</w:t>
            </w:r>
          </w:p>
        </w:tc>
      </w:tr>
      <w:tr>
        <w:trPr>
          <w:trHeight w:val="330"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80" w:lineRule="exact"/>
              <w:ind w:left="151"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
        </w:tc>
        <w:tc>
          <w:tcPr>
            <w:tcW w:w="112" w:type="dxa"/>
            <w:tcBorders>
              <w:top w:val="single" w:sz="4" w:space="0" w:color="000000"/>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24"/>
                <w:szCs w:val="24"/>
              </w:rPr>
            </w:pPr>
            <w:r>
              <w:rPr>
                <w:rFonts w:ascii="Arial"/>
                <w:spacing w:val="-1"/>
                <w:sz w:val="24"/>
              </w:rPr>
              <w:t>3.00%</w:t>
            </w:r>
          </w:p>
        </w:tc>
      </w:tr>
      <w:tr>
        <w:trPr>
          <w:trHeight w:val="295"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8"/>
              <w:jc w:val="right"/>
              <w:rPr>
                <w:rFonts w:ascii="Arial" w:hAnsi="Arial" w:cs="Arial" w:eastAsia="Arial" w:hint="default"/>
                <w:sz w:val="24"/>
                <w:szCs w:val="24"/>
              </w:rPr>
            </w:pPr>
            <w:r>
              <w:rPr>
                <w:rFonts w:ascii="Arial"/>
                <w:w w:val="95"/>
                <w:sz w:val="24"/>
              </w:rPr>
              <w:t>29.52%</w:t>
            </w:r>
            <w:r>
              <w:rPr>
                <w:rFonts w:ascii="Arial"/>
                <w:sz w:val="24"/>
              </w:rPr>
            </w:r>
          </w:p>
        </w:tc>
      </w:tr>
      <w:tr>
        <w:trPr>
          <w:trHeight w:val="390"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4" w:lineRule="exact"/>
              <w:ind w:left="151" w:right="0"/>
              <w:jc w:val="left"/>
              <w:rPr>
                <w:rFonts w:ascii="宋体" w:hAnsi="宋体" w:cs="宋体" w:eastAsia="宋体" w:hint="default"/>
                <w:sz w:val="24"/>
                <w:szCs w:val="24"/>
              </w:rPr>
            </w:pPr>
            <w:r>
              <w:rPr>
                <w:rFonts w:ascii="宋体" w:hAnsi="宋体" w:cs="宋体" w:eastAsia="宋体" w:hint="default"/>
                <w:sz w:val="24"/>
                <w:szCs w:val="24"/>
              </w:rPr>
              <w:t>税后折现率</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61" w:lineRule="exact"/>
              <w:ind w:right="87"/>
              <w:jc w:val="right"/>
              <w:rPr>
                <w:rFonts w:ascii="Arial" w:hAnsi="Arial" w:cs="Arial" w:eastAsia="Arial" w:hint="default"/>
                <w:sz w:val="24"/>
                <w:szCs w:val="24"/>
              </w:rPr>
            </w:pPr>
            <w:r>
              <w:rPr>
                <w:rFonts w:ascii="Arial"/>
                <w:spacing w:val="-1"/>
                <w:sz w:val="24"/>
              </w:rPr>
              <w:t>17.00%</w:t>
            </w:r>
            <w:r>
              <w:rPr>
                <w:rFonts w:ascii="Arial"/>
                <w:sz w:val="24"/>
              </w:rPr>
            </w:r>
          </w:p>
        </w:tc>
      </w:tr>
      <w:tr>
        <w:trPr>
          <w:trHeight w:val="398"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0"/>
              <w:ind w:right="41"/>
              <w:jc w:val="right"/>
              <w:rPr>
                <w:rFonts w:ascii="宋体" w:hAnsi="宋体" w:cs="宋体" w:eastAsia="宋体" w:hint="default"/>
                <w:sz w:val="24"/>
                <w:szCs w:val="24"/>
              </w:rPr>
            </w:pPr>
            <w:r>
              <w:rPr>
                <w:rFonts w:ascii="宋体" w:hAnsi="宋体" w:cs="宋体" w:eastAsia="宋体" w:hint="default"/>
                <w:sz w:val="24"/>
                <w:szCs w:val="24"/>
              </w:rPr>
              <w:t>好耶广告技术板块业务</w:t>
            </w:r>
          </w:p>
        </w:tc>
      </w:tr>
      <w:tr>
        <w:trPr>
          <w:trHeight w:val="262"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6" w:lineRule="exact"/>
              <w:ind w:left="151"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
        </w:tc>
        <w:tc>
          <w:tcPr>
            <w:tcW w:w="112" w:type="dxa"/>
            <w:tcBorders>
              <w:top w:val="single" w:sz="4" w:space="0" w:color="000000"/>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Style w:val="TableParagraph"/>
              <w:spacing w:line="258" w:lineRule="exact"/>
              <w:ind w:right="41"/>
              <w:jc w:val="right"/>
              <w:rPr>
                <w:rFonts w:ascii="Arial" w:hAnsi="Arial" w:cs="Arial" w:eastAsia="Arial" w:hint="default"/>
                <w:sz w:val="24"/>
                <w:szCs w:val="24"/>
              </w:rPr>
            </w:pPr>
            <w:r>
              <w:rPr>
                <w:rFonts w:ascii="Arial"/>
                <w:spacing w:val="-1"/>
                <w:sz w:val="24"/>
              </w:rPr>
              <w:t>3.00%</w:t>
            </w: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5" w:lineRule="exact"/>
              <w:ind w:left="151"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62" w:lineRule="exact"/>
              <w:ind w:right="41"/>
              <w:jc w:val="right"/>
              <w:rPr>
                <w:rFonts w:ascii="Arial" w:hAnsi="Arial" w:cs="Arial" w:eastAsia="Arial" w:hint="default"/>
                <w:sz w:val="24"/>
                <w:szCs w:val="24"/>
              </w:rPr>
            </w:pPr>
            <w:r>
              <w:rPr>
                <w:rFonts w:ascii="Arial"/>
                <w:spacing w:val="-1"/>
                <w:sz w:val="24"/>
              </w:rPr>
              <w:t>87.90%</w:t>
            </w:r>
          </w:p>
        </w:tc>
      </w:tr>
      <w:tr>
        <w:trPr>
          <w:trHeight w:val="407"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4" w:lineRule="exact"/>
              <w:ind w:left="151" w:right="0"/>
              <w:jc w:val="left"/>
              <w:rPr>
                <w:rFonts w:ascii="宋体" w:hAnsi="宋体" w:cs="宋体" w:eastAsia="宋体" w:hint="default"/>
                <w:sz w:val="24"/>
                <w:szCs w:val="24"/>
              </w:rPr>
            </w:pPr>
            <w:r>
              <w:rPr>
                <w:rFonts w:ascii="宋体" w:hAnsi="宋体" w:cs="宋体" w:eastAsia="宋体" w:hint="default"/>
                <w:sz w:val="24"/>
                <w:szCs w:val="24"/>
              </w:rPr>
              <w:t>税后折现率</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61" w:lineRule="exact"/>
              <w:ind w:right="41"/>
              <w:jc w:val="right"/>
              <w:rPr>
                <w:rFonts w:ascii="Arial" w:hAnsi="Arial" w:cs="Arial" w:eastAsia="Arial" w:hint="default"/>
                <w:sz w:val="24"/>
                <w:szCs w:val="24"/>
              </w:rPr>
            </w:pPr>
            <w:r>
              <w:rPr>
                <w:rFonts w:ascii="Arial"/>
                <w:spacing w:val="-1"/>
                <w:sz w:val="24"/>
              </w:rPr>
              <w:t>17.00%</w:t>
            </w:r>
            <w:r>
              <w:rPr>
                <w:rFonts w:ascii="Arial"/>
                <w:sz w:val="24"/>
              </w:rPr>
            </w:r>
          </w:p>
        </w:tc>
      </w:tr>
      <w:tr>
        <w:trPr>
          <w:trHeight w:val="1474"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37" w:lineRule="auto" w:before="80"/>
              <w:ind w:left="922" w:right="44"/>
              <w:jc w:val="both"/>
              <w:rPr>
                <w:rFonts w:ascii="宋体" w:hAnsi="宋体" w:cs="宋体" w:eastAsia="宋体" w:hint="default"/>
                <w:sz w:val="24"/>
                <w:szCs w:val="24"/>
              </w:rPr>
            </w:pPr>
            <w:r>
              <w:rPr>
                <w:rFonts w:ascii="宋体" w:hAnsi="宋体" w:cs="宋体" w:eastAsia="宋体" w:hint="default"/>
                <w:spacing w:val="2"/>
                <w:sz w:val="24"/>
                <w:szCs w:val="24"/>
              </w:rPr>
              <w:t>管理层所采用的永续增长率与行业报告所载的预测数据一致，不超过各业务的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2"/>
                <w:sz w:val="24"/>
                <w:szCs w:val="24"/>
              </w:rPr>
              <w:t>长期平均增长率。管理层根据历史经验及对市场发展的预测确定预算毛利率，</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并采用能够反映相关资产组和资产组组合的特定风险的税后折现率。上述假设</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用以分析该业务内各资产组和资产组组合的可收回金额。</w:t>
            </w:r>
          </w:p>
        </w:tc>
      </w:tr>
      <w:tr>
        <w:trPr>
          <w:trHeight w:val="56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0" w:right="0"/>
              <w:jc w:val="left"/>
              <w:rPr>
                <w:rFonts w:ascii="Arial" w:hAnsi="Arial" w:cs="Arial" w:eastAsia="Arial" w:hint="default"/>
                <w:sz w:val="24"/>
                <w:szCs w:val="24"/>
              </w:rPr>
            </w:pPr>
            <w:r>
              <w:rPr>
                <w:rFonts w:ascii="Arial"/>
                <w:sz w:val="24"/>
              </w:rPr>
              <w:t>(18)</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4" w:right="0"/>
              <w:jc w:val="left"/>
              <w:rPr>
                <w:rFonts w:ascii="黑体" w:hAnsi="黑体" w:cs="黑体" w:eastAsia="黑体" w:hint="default"/>
                <w:sz w:val="24"/>
                <w:szCs w:val="24"/>
              </w:rPr>
            </w:pPr>
            <w:r>
              <w:rPr>
                <w:rFonts w:ascii="黑体" w:hAnsi="黑体" w:cs="黑体" w:eastAsia="黑体" w:hint="default"/>
                <w:sz w:val="24"/>
                <w:szCs w:val="24"/>
              </w:rPr>
              <w:t>长期待摊费用</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r>
      <w:tr>
        <w:trPr>
          <w:trHeight w:val="774"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6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12"/>
              <w:ind w:left="19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42"/>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3"/>
              <w:jc w:val="right"/>
              <w:rPr>
                <w:rFonts w:ascii="宋体" w:hAnsi="宋体" w:cs="宋体" w:eastAsia="宋体" w:hint="default"/>
                <w:sz w:val="18"/>
                <w:szCs w:val="18"/>
              </w:rPr>
            </w:pPr>
            <w:r>
              <w:rPr>
                <w:rFonts w:ascii="宋体" w:hAnsi="宋体" w:cs="宋体" w:eastAsia="宋体" w:hint="default"/>
                <w:sz w:val="18"/>
                <w:szCs w:val="18"/>
              </w:rPr>
              <w:t>本年摊销</w:t>
            </w: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41"/>
              <w:jc w:val="right"/>
              <w:rPr>
                <w:rFonts w:ascii="宋体" w:hAnsi="宋体" w:cs="宋体" w:eastAsia="宋体" w:hint="default"/>
                <w:sz w:val="18"/>
                <w:szCs w:val="18"/>
              </w:rPr>
            </w:pPr>
            <w:r>
              <w:rPr>
                <w:rFonts w:ascii="宋体" w:hAnsi="宋体" w:cs="宋体" w:eastAsia="宋体" w:hint="default"/>
                <w:sz w:val="18"/>
                <w:szCs w:val="18"/>
              </w:rPr>
              <w:t>减值准备核销</w:t>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12"/>
              <w:ind w:left="23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96"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44"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1"/>
              <w:jc w:val="right"/>
              <w:rPr>
                <w:rFonts w:ascii="Arial" w:hAnsi="Arial" w:cs="Arial" w:eastAsia="Arial" w:hint="default"/>
                <w:sz w:val="18"/>
                <w:szCs w:val="18"/>
              </w:rPr>
            </w:pPr>
            <w:r>
              <w:rPr>
                <w:rFonts w:ascii="Arial"/>
                <w:spacing w:val="-1"/>
                <w:sz w:val="18"/>
              </w:rPr>
              <w:t>918,685</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2"/>
              <w:jc w:val="right"/>
              <w:rPr>
                <w:rFonts w:ascii="Arial" w:hAnsi="Arial" w:cs="Arial" w:eastAsia="Arial" w:hint="default"/>
                <w:sz w:val="18"/>
                <w:szCs w:val="18"/>
              </w:rPr>
            </w:pPr>
            <w:r>
              <w:rPr>
                <w:rFonts w:ascii="Arial"/>
                <w:spacing w:val="-1"/>
                <w:sz w:val="18"/>
              </w:rPr>
              <w:t>354,074</w:t>
            </w: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4"/>
              <w:jc w:val="right"/>
              <w:rPr>
                <w:rFonts w:ascii="Arial" w:hAnsi="Arial" w:cs="Arial" w:eastAsia="Arial" w:hint="default"/>
                <w:sz w:val="18"/>
                <w:szCs w:val="18"/>
              </w:rPr>
            </w:pPr>
            <w:r>
              <w:rPr>
                <w:rFonts w:ascii="Arial"/>
                <w:spacing w:val="-1"/>
                <w:sz w:val="18"/>
              </w:rPr>
              <w:t>(489,013)</w:t>
            </w: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2"/>
              <w:jc w:val="right"/>
              <w:rPr>
                <w:rFonts w:ascii="Arial" w:hAnsi="Arial" w:cs="Arial" w:eastAsia="Arial" w:hint="default"/>
                <w:sz w:val="18"/>
                <w:szCs w:val="18"/>
              </w:rPr>
            </w:pPr>
            <w:r>
              <w:rPr>
                <w:rFonts w:ascii="Arial"/>
                <w:spacing w:val="-1"/>
                <w:sz w:val="18"/>
              </w:rPr>
              <w:t>14,183</w:t>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1"/>
              <w:jc w:val="right"/>
              <w:rPr>
                <w:rFonts w:ascii="Arial" w:hAnsi="Arial" w:cs="Arial" w:eastAsia="Arial" w:hint="default"/>
                <w:sz w:val="18"/>
                <w:szCs w:val="18"/>
              </w:rPr>
            </w:pPr>
            <w:r>
              <w:rPr>
                <w:rFonts w:ascii="Arial"/>
                <w:spacing w:val="-1"/>
                <w:sz w:val="18"/>
              </w:rPr>
              <w:t>797,929</w:t>
            </w: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23" w:lineRule="exact"/>
              <w:ind w:left="144" w:right="0"/>
              <w:jc w:val="left"/>
              <w:rPr>
                <w:rFonts w:ascii="Arial" w:hAnsi="Arial" w:cs="Arial" w:eastAsia="Arial" w:hint="default"/>
                <w:sz w:val="18"/>
                <w:szCs w:val="18"/>
              </w:rPr>
            </w:pPr>
            <w:r>
              <w:rPr>
                <w:rFonts w:ascii="宋体" w:hAnsi="宋体" w:cs="宋体" w:eastAsia="宋体" w:hint="default"/>
                <w:sz w:val="18"/>
                <w:szCs w:val="18"/>
              </w:rPr>
              <w:t>递延延保业务费用</w:t>
            </w:r>
            <w:r>
              <w:rPr>
                <w:rFonts w:ascii="Arial" w:hAnsi="Arial" w:cs="Arial" w:eastAsia="Arial" w:hint="default"/>
                <w:sz w:val="18"/>
                <w:szCs w:val="18"/>
              </w:rPr>
              <w:t>(a)</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spacing w:val="-1"/>
                <w:sz w:val="18"/>
              </w:rPr>
              <w:t>291,899</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2"/>
              <w:jc w:val="right"/>
              <w:rPr>
                <w:rFonts w:ascii="Arial" w:hAnsi="Arial" w:cs="Arial" w:eastAsia="Arial" w:hint="default"/>
                <w:sz w:val="18"/>
                <w:szCs w:val="18"/>
              </w:rPr>
            </w:pPr>
            <w:r>
              <w:rPr>
                <w:rFonts w:ascii="Arial"/>
                <w:spacing w:val="-1"/>
                <w:sz w:val="18"/>
              </w:rPr>
              <w:t>166,705</w:t>
            </w: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4"/>
              <w:jc w:val="right"/>
              <w:rPr>
                <w:rFonts w:ascii="Arial" w:hAnsi="Arial" w:cs="Arial" w:eastAsia="Arial" w:hint="default"/>
                <w:sz w:val="18"/>
                <w:szCs w:val="18"/>
              </w:rPr>
            </w:pPr>
            <w:r>
              <w:rPr>
                <w:rFonts w:ascii="Arial"/>
                <w:spacing w:val="-1"/>
                <w:sz w:val="18"/>
              </w:rPr>
              <w:t>(109,197)</w:t>
            </w: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spacing w:val="-1"/>
                <w:sz w:val="18"/>
              </w:rPr>
              <w:t>349,407</w:t>
            </w: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09" w:lineRule="exact"/>
              <w:ind w:left="144" w:right="0"/>
              <w:jc w:val="left"/>
              <w:rPr>
                <w:rFonts w:ascii="宋体" w:hAnsi="宋体" w:cs="宋体" w:eastAsia="宋体" w:hint="default"/>
                <w:sz w:val="18"/>
                <w:szCs w:val="18"/>
              </w:rPr>
            </w:pPr>
            <w:r>
              <w:rPr>
                <w:rFonts w:ascii="宋体" w:hAnsi="宋体" w:cs="宋体" w:eastAsia="宋体" w:hint="default"/>
                <w:sz w:val="18"/>
                <w:szCs w:val="18"/>
              </w:rPr>
              <w:t>预付长期房屋租赁费</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Arial" w:hAnsi="Arial" w:cs="Arial" w:eastAsia="Arial" w:hint="default"/>
                <w:sz w:val="18"/>
                <w:szCs w:val="18"/>
              </w:rPr>
            </w:pPr>
            <w:r>
              <w:rPr>
                <w:rFonts w:ascii="Arial"/>
                <w:spacing w:val="-1"/>
                <w:sz w:val="18"/>
              </w:rPr>
              <w:t>52,237</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Arial" w:hAnsi="Arial" w:cs="Arial" w:eastAsia="Arial" w:hint="default"/>
                <w:sz w:val="18"/>
                <w:szCs w:val="18"/>
              </w:rPr>
            </w:pPr>
            <w:r>
              <w:rPr>
                <w:rFonts w:ascii="Arial"/>
                <w:spacing w:val="-1"/>
                <w:sz w:val="18"/>
              </w:rPr>
              <w:t>91,523</w:t>
            </w: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Arial" w:hAnsi="Arial" w:cs="Arial" w:eastAsia="Arial" w:hint="default"/>
                <w:sz w:val="18"/>
                <w:szCs w:val="18"/>
              </w:rPr>
            </w:pPr>
            <w:r>
              <w:rPr>
                <w:rFonts w:ascii="Arial"/>
                <w:spacing w:val="-1"/>
                <w:sz w:val="18"/>
              </w:rPr>
              <w:t>(26,356)</w:t>
            </w: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Arial" w:hAnsi="Arial" w:cs="Arial" w:eastAsia="Arial" w:hint="default"/>
                <w:sz w:val="18"/>
                <w:szCs w:val="18"/>
              </w:rPr>
            </w:pPr>
            <w:r>
              <w:rPr>
                <w:rFonts w:ascii="Arial"/>
                <w:spacing w:val="-3"/>
                <w:sz w:val="18"/>
              </w:rPr>
              <w:t>117,404</w:t>
            </w:r>
            <w:r>
              <w:rPr>
                <w:rFonts w:ascii="Arial"/>
                <w:sz w:val="18"/>
              </w:rPr>
            </w:r>
          </w:p>
        </w:tc>
      </w:tr>
      <w:tr>
        <w:trPr>
          <w:trHeight w:val="275"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09" w:lineRule="exact"/>
              <w:ind w:left="144" w:right="0"/>
              <w:jc w:val="left"/>
              <w:rPr>
                <w:rFonts w:ascii="宋体" w:hAnsi="宋体" w:cs="宋体" w:eastAsia="宋体" w:hint="default"/>
                <w:sz w:val="18"/>
                <w:szCs w:val="18"/>
              </w:rPr>
            </w:pPr>
            <w:r>
              <w:rPr>
                <w:rFonts w:ascii="宋体" w:hAnsi="宋体" w:cs="宋体" w:eastAsia="宋体" w:hint="default"/>
                <w:sz w:val="18"/>
                <w:szCs w:val="18"/>
              </w:rPr>
              <w:t>水电设施使用费</w:t>
            </w:r>
          </w:p>
        </w:tc>
        <w:tc>
          <w:tcPr>
            <w:tcW w:w="1134"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27"/>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2,291</w:t>
            </w:r>
            <w:r>
              <w:rPr>
                <w:rFonts w:ascii="Arial"/>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tabs>
                <w:tab w:pos="887" w:val="left" w:leader="none"/>
              </w:tabs>
              <w:spacing w:line="240" w:lineRule="auto" w:before="27"/>
              <w:ind w:right="4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tabs>
                <w:tab w:pos="411" w:val="left" w:leader="none"/>
              </w:tabs>
              <w:spacing w:line="240" w:lineRule="auto" w:before="27"/>
              <w:ind w:right="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(1,019)</w:t>
            </w:r>
            <w:r>
              <w:rPr>
                <w:rFonts w:ascii="Arial"/>
                <w:spacing w:val="-1"/>
                <w:sz w:val="18"/>
              </w:rPr>
            </w: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tabs>
                <w:tab w:pos="1261" w:val="left" w:leader="none"/>
              </w:tabs>
              <w:spacing w:line="240" w:lineRule="auto" w:before="27"/>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tabs>
                <w:tab w:pos="669" w:val="left" w:leader="none"/>
              </w:tabs>
              <w:spacing w:line="240" w:lineRule="auto" w:before="27"/>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1,272</w:t>
            </w:r>
            <w:r>
              <w:rPr>
                <w:rFonts w:ascii="Arial"/>
                <w:spacing w:val="-1"/>
                <w:sz w:val="18"/>
              </w:rPr>
            </w:r>
          </w:p>
        </w:tc>
      </w:tr>
      <w:tr>
        <w:trPr>
          <w:trHeight w:val="247" w:hRule="exact"/>
        </w:trPr>
        <w:tc>
          <w:tcPr>
            <w:tcW w:w="771"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41"/>
              <w:jc w:val="right"/>
              <w:rPr>
                <w:rFonts w:ascii="Arial" w:hAnsi="Arial" w:cs="Arial" w:eastAsia="Arial" w:hint="default"/>
                <w:sz w:val="18"/>
                <w:szCs w:val="18"/>
              </w:rPr>
            </w:pPr>
            <w:r>
              <w:rPr>
                <w:rFonts w:ascii="Arial"/>
                <w:spacing w:val="-2"/>
                <w:sz w:val="18"/>
              </w:rPr>
              <w:t>1,265,112</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42"/>
              <w:jc w:val="right"/>
              <w:rPr>
                <w:rFonts w:ascii="Arial" w:hAnsi="Arial" w:cs="Arial" w:eastAsia="Arial" w:hint="default"/>
                <w:sz w:val="18"/>
                <w:szCs w:val="18"/>
              </w:rPr>
            </w:pPr>
            <w:r>
              <w:rPr>
                <w:rFonts w:ascii="Arial"/>
                <w:spacing w:val="-1"/>
                <w:sz w:val="18"/>
              </w:rPr>
              <w:t>612,302</w:t>
            </w:r>
          </w:p>
        </w:tc>
        <w:tc>
          <w:tcPr>
            <w:tcW w:w="142"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44"/>
              <w:jc w:val="right"/>
              <w:rPr>
                <w:rFonts w:ascii="Arial" w:hAnsi="Arial" w:cs="Arial" w:eastAsia="Arial" w:hint="default"/>
                <w:sz w:val="18"/>
                <w:szCs w:val="18"/>
              </w:rPr>
            </w:pPr>
            <w:r>
              <w:rPr>
                <w:rFonts w:ascii="Arial"/>
                <w:spacing w:val="-1"/>
                <w:sz w:val="18"/>
              </w:rPr>
              <w:t>(625,585)</w:t>
            </w: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42"/>
              <w:jc w:val="right"/>
              <w:rPr>
                <w:rFonts w:ascii="Arial" w:hAnsi="Arial" w:cs="Arial" w:eastAsia="Arial" w:hint="default"/>
                <w:sz w:val="18"/>
                <w:szCs w:val="18"/>
              </w:rPr>
            </w:pPr>
            <w:r>
              <w:rPr>
                <w:rFonts w:ascii="Arial"/>
                <w:spacing w:val="-1"/>
                <w:sz w:val="18"/>
              </w:rPr>
              <w:t>14,183</w:t>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41"/>
              <w:jc w:val="right"/>
              <w:rPr>
                <w:rFonts w:ascii="Arial" w:hAnsi="Arial" w:cs="Arial" w:eastAsia="Arial" w:hint="default"/>
                <w:sz w:val="18"/>
                <w:szCs w:val="18"/>
              </w:rPr>
            </w:pPr>
            <w:r>
              <w:rPr>
                <w:rFonts w:ascii="Arial"/>
                <w:spacing w:val="-1"/>
                <w:sz w:val="18"/>
              </w:rPr>
              <w:t>1,266,012</w:t>
            </w:r>
          </w:p>
        </w:tc>
      </w:tr>
    </w:tbl>
    <w:p>
      <w:pPr>
        <w:spacing w:after="0" w:line="240" w:lineRule="auto"/>
        <w:jc w:val="right"/>
        <w:rPr>
          <w:rFonts w:ascii="Arial" w:hAnsi="Arial" w:cs="Arial" w:eastAsia="Arial" w:hint="default"/>
          <w:sz w:val="18"/>
          <w:szCs w:val="18"/>
        </w:rPr>
        <w:sectPr>
          <w:pgSz w:w="11910" w:h="16840"/>
          <w:pgMar w:header="755" w:footer="914"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93"/>
        <w:gridCol w:w="8589"/>
      </w:tblGrid>
      <w:tr>
        <w:trPr>
          <w:trHeight w:val="445"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589" w:type="dxa"/>
            <w:tcBorders>
              <w:top w:val="nil" w:sz="6" w:space="0" w:color="auto"/>
              <w:left w:val="nil" w:sz="6" w:space="0" w:color="auto"/>
              <w:bottom w:val="nil" w:sz="6" w:space="0" w:color="auto"/>
              <w:right w:val="nil" w:sz="6" w:space="0" w:color="auto"/>
            </w:tcBorders>
          </w:tcPr>
          <w:p>
            <w:pPr>
              <w:pStyle w:val="TableParagraph"/>
              <w:spacing w:line="291" w:lineRule="exact"/>
              <w:ind w:left="15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78"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00" w:right="0"/>
              <w:jc w:val="left"/>
              <w:rPr>
                <w:rFonts w:ascii="Arial" w:hAnsi="Arial" w:cs="Arial" w:eastAsia="Arial" w:hint="default"/>
                <w:sz w:val="24"/>
                <w:szCs w:val="24"/>
              </w:rPr>
            </w:pPr>
            <w:r>
              <w:rPr>
                <w:rFonts w:ascii="Arial"/>
                <w:sz w:val="24"/>
              </w:rPr>
              <w:t>(18)</w:t>
            </w:r>
          </w:p>
        </w:tc>
        <w:tc>
          <w:tcPr>
            <w:tcW w:w="85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2" w:right="0"/>
              <w:jc w:val="left"/>
              <w:rPr>
                <w:rFonts w:ascii="Arial" w:hAnsi="Arial" w:cs="Arial" w:eastAsia="Arial" w:hint="default"/>
                <w:sz w:val="24"/>
                <w:szCs w:val="24"/>
              </w:rPr>
            </w:pPr>
            <w:r>
              <w:rPr>
                <w:rFonts w:ascii="黑体" w:hAnsi="黑体" w:cs="黑体" w:eastAsia="黑体" w:hint="default"/>
                <w:sz w:val="24"/>
                <w:szCs w:val="24"/>
              </w:rPr>
              <w:t>长期待摊费用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2111"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00" w:right="0"/>
              <w:jc w:val="left"/>
              <w:rPr>
                <w:rFonts w:ascii="Arial" w:hAnsi="Arial" w:cs="Arial" w:eastAsia="Arial" w:hint="default"/>
                <w:sz w:val="24"/>
                <w:szCs w:val="24"/>
              </w:rPr>
            </w:pPr>
            <w:r>
              <w:rPr>
                <w:rFonts w:ascii="Arial"/>
                <w:sz w:val="24"/>
              </w:rPr>
              <w:t>(a)</w:t>
            </w:r>
          </w:p>
        </w:tc>
        <w:tc>
          <w:tcPr>
            <w:tcW w:w="8589" w:type="dxa"/>
            <w:tcBorders>
              <w:top w:val="nil" w:sz="6" w:space="0" w:color="auto"/>
              <w:left w:val="nil" w:sz="6" w:space="0" w:color="auto"/>
              <w:bottom w:val="nil" w:sz="6" w:space="0" w:color="auto"/>
              <w:right w:val="nil" w:sz="6" w:space="0" w:color="auto"/>
            </w:tcBorders>
          </w:tcPr>
          <w:p>
            <w:pPr>
              <w:pStyle w:val="TableParagraph"/>
              <w:spacing w:line="232" w:lineRule="auto" w:before="104"/>
              <w:ind w:left="152" w:right="198"/>
              <w:jc w:val="both"/>
              <w:rPr>
                <w:rFonts w:ascii="宋体" w:hAnsi="宋体" w:cs="宋体" w:eastAsia="宋体" w:hint="default"/>
                <w:sz w:val="24"/>
                <w:szCs w:val="24"/>
              </w:rPr>
            </w:pPr>
            <w:r>
              <w:rPr>
                <w:rFonts w:ascii="宋体" w:hAnsi="宋体" w:cs="宋体" w:eastAsia="宋体" w:hint="default"/>
                <w:sz w:val="24"/>
                <w:szCs w:val="24"/>
              </w:rPr>
              <w:t>本集团向顾客提供电器延长保修业务，并就提供的延长保修业务与第三方保险</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公司签订保险服务协议书，支付相应保险费用以确保在日后提供延长保修期服</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pacing w:val="-2"/>
                <w:sz w:val="24"/>
                <w:szCs w:val="24"/>
              </w:rPr>
              <w:t>务时可按合同规定向保险公司收取相关赔偿。于</w:t>
            </w:r>
            <w:r>
              <w:rPr>
                <w:rFonts w:ascii="Arial" w:hAnsi="Arial" w:cs="Arial" w:eastAsia="Arial" w:hint="default"/>
                <w:spacing w:val="-2"/>
                <w:sz w:val="24"/>
                <w:szCs w:val="24"/>
              </w:rPr>
              <w:t>2015</w:t>
            </w:r>
            <w:r>
              <w:rPr>
                <w:rFonts w:ascii="宋体" w:hAnsi="宋体" w:cs="宋体" w:eastAsia="宋体" w:hint="default"/>
                <w:spacing w:val="-2"/>
                <w:sz w:val="24"/>
                <w:szCs w:val="24"/>
              </w:rPr>
              <w:t>年</w:t>
            </w:r>
            <w:r>
              <w:rPr>
                <w:rFonts w:ascii="Arial" w:hAnsi="Arial" w:cs="Arial" w:eastAsia="Arial" w:hint="default"/>
                <w:spacing w:val="-2"/>
                <w:sz w:val="24"/>
                <w:szCs w:val="24"/>
              </w:rPr>
              <w:t>12</w:t>
            </w:r>
            <w:r>
              <w:rPr>
                <w:rFonts w:ascii="宋体" w:hAnsi="宋体" w:cs="宋体" w:eastAsia="宋体" w:hint="default"/>
                <w:spacing w:val="-2"/>
                <w:sz w:val="24"/>
                <w:szCs w:val="24"/>
              </w:rPr>
              <w:t>月</w:t>
            </w:r>
            <w:r>
              <w:rPr>
                <w:rFonts w:ascii="Arial" w:hAnsi="Arial" w:cs="Arial" w:eastAsia="Arial" w:hint="default"/>
                <w:spacing w:val="-2"/>
                <w:sz w:val="24"/>
                <w:szCs w:val="24"/>
              </w:rPr>
              <w:t>31</w:t>
            </w:r>
            <w:r>
              <w:rPr>
                <w:rFonts w:ascii="宋体" w:hAnsi="宋体" w:cs="宋体" w:eastAsia="宋体" w:hint="default"/>
                <w:spacing w:val="-2"/>
                <w:sz w:val="24"/>
                <w:szCs w:val="24"/>
              </w:rPr>
              <w:t>日，本集团收到</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9"/>
                <w:sz w:val="24"/>
                <w:szCs w:val="24"/>
              </w:rPr>
              <w:t>的递延延保业务收入和支付的递延保险费用累计未摊销余额分别约人民币约</w:t>
            </w:r>
            <w:r>
              <w:rPr>
                <w:rFonts w:ascii="宋体" w:hAnsi="宋体" w:cs="宋体" w:eastAsia="宋体" w:hint="default"/>
                <w:spacing w:val="9"/>
                <w:sz w:val="24"/>
                <w:szCs w:val="24"/>
              </w:rPr>
              <w:t> </w:t>
            </w:r>
            <w:r>
              <w:rPr>
                <w:rFonts w:ascii="Arial" w:hAnsi="Arial" w:cs="Arial" w:eastAsia="Arial" w:hint="default"/>
                <w:sz w:val="24"/>
                <w:szCs w:val="24"/>
              </w:rPr>
              <w:t>12.15</w:t>
            </w:r>
            <w:r>
              <w:rPr>
                <w:rFonts w:ascii="宋体" w:hAnsi="宋体" w:cs="宋体" w:eastAsia="宋体" w:hint="default"/>
                <w:sz w:val="24"/>
                <w:szCs w:val="24"/>
              </w:rPr>
              <w:t>亿元</w:t>
            </w:r>
            <w:r>
              <w:rPr>
                <w:rFonts w:ascii="Arial" w:hAnsi="Arial" w:cs="Arial" w:eastAsia="Arial" w:hint="default"/>
                <w:sz w:val="24"/>
                <w:szCs w:val="24"/>
              </w:rPr>
              <w:t>(2014</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日：约人民币</w:t>
            </w:r>
            <w:r>
              <w:rPr>
                <w:rFonts w:ascii="Arial" w:hAnsi="Arial" w:cs="Arial" w:eastAsia="Arial" w:hint="default"/>
                <w:sz w:val="24"/>
                <w:szCs w:val="24"/>
              </w:rPr>
              <w:t>10.56</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(36))</w:t>
            </w:r>
            <w:r>
              <w:rPr>
                <w:rFonts w:ascii="宋体" w:hAnsi="宋体" w:cs="宋体" w:eastAsia="宋体" w:hint="default"/>
                <w:sz w:val="24"/>
                <w:szCs w:val="24"/>
              </w:rPr>
              <w:t>和约人民币</w:t>
            </w:r>
            <w:r>
              <w:rPr>
                <w:rFonts w:ascii="Arial" w:hAnsi="Arial" w:cs="Arial" w:eastAsia="Arial" w:hint="default"/>
                <w:sz w:val="24"/>
                <w:szCs w:val="24"/>
              </w:rPr>
              <w:t>3.5</w:t>
            </w:r>
            <w:r>
              <w:rPr>
                <w:rFonts w:ascii="Arial" w:hAnsi="Arial" w:cs="Arial" w:eastAsia="Arial" w:hint="default"/>
                <w:spacing w:val="-11"/>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日：约人民币</w:t>
            </w:r>
            <w:r>
              <w:rPr>
                <w:rFonts w:ascii="Arial" w:hAnsi="Arial" w:cs="Arial" w:eastAsia="Arial" w:hint="default"/>
                <w:sz w:val="24"/>
                <w:szCs w:val="24"/>
              </w:rPr>
              <w:t>2.92</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401"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14" w:right="0"/>
              <w:jc w:val="left"/>
              <w:rPr>
                <w:rFonts w:ascii="Arial" w:hAnsi="Arial" w:cs="Arial" w:eastAsia="Arial" w:hint="default"/>
                <w:sz w:val="24"/>
                <w:szCs w:val="24"/>
              </w:rPr>
            </w:pPr>
            <w:r>
              <w:rPr>
                <w:rFonts w:ascii="Arial"/>
                <w:sz w:val="24"/>
              </w:rPr>
              <w:t>(19)</w:t>
            </w:r>
          </w:p>
        </w:tc>
        <w:tc>
          <w:tcPr>
            <w:tcW w:w="858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6" w:right="0"/>
              <w:jc w:val="left"/>
              <w:rPr>
                <w:rFonts w:ascii="黑体" w:hAnsi="黑体" w:cs="黑体" w:eastAsia="黑体" w:hint="default"/>
                <w:sz w:val="24"/>
                <w:szCs w:val="24"/>
              </w:rPr>
            </w:pPr>
            <w:r>
              <w:rPr>
                <w:rFonts w:ascii="黑体" w:hAnsi="黑体" w:cs="黑体" w:eastAsia="黑体" w:hint="default"/>
                <w:sz w:val="24"/>
                <w:szCs w:val="24"/>
              </w:rPr>
              <w:t>其他非流动资产</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823" w:type="dxa"/>
        <w:tblLayout w:type="fixed"/>
        <w:tblCellMar>
          <w:top w:w="0" w:type="dxa"/>
          <w:left w:w="0" w:type="dxa"/>
          <w:bottom w:w="0" w:type="dxa"/>
          <w:right w:w="0" w:type="dxa"/>
        </w:tblCellMar>
        <w:tblLook w:val="01E0"/>
      </w:tblPr>
      <w:tblGrid>
        <w:gridCol w:w="3573"/>
        <w:gridCol w:w="2583"/>
        <w:gridCol w:w="2560"/>
      </w:tblGrid>
      <w:tr>
        <w:trPr>
          <w:trHeight w:val="386" w:hRule="exact"/>
        </w:trPr>
        <w:tc>
          <w:tcPr>
            <w:tcW w:w="3573"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60" w:type="dxa"/>
            <w:tcBorders>
              <w:top w:val="nil" w:sz="6" w:space="0" w:color="auto"/>
              <w:left w:val="nil" w:sz="6" w:space="0" w:color="auto"/>
              <w:bottom w:val="nil" w:sz="6" w:space="0" w:color="auto"/>
              <w:right w:val="nil" w:sz="6" w:space="0" w:color="auto"/>
            </w:tcBorders>
          </w:tcPr>
          <w:p>
            <w:pPr>
              <w:pStyle w:val="TableParagraph"/>
              <w:spacing w:line="257" w:lineRule="exact"/>
              <w:ind w:left="25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390"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0" w:right="0"/>
              <w:jc w:val="left"/>
              <w:rPr>
                <w:rFonts w:ascii="宋体" w:hAnsi="宋体" w:cs="宋体" w:eastAsia="宋体" w:hint="default"/>
                <w:sz w:val="24"/>
                <w:szCs w:val="24"/>
              </w:rPr>
            </w:pPr>
            <w:r>
              <w:rPr>
                <w:rFonts w:ascii="宋体" w:hAnsi="宋体" w:cs="宋体" w:eastAsia="宋体" w:hint="default"/>
                <w:sz w:val="24"/>
                <w:szCs w:val="24"/>
              </w:rPr>
              <w:t>预付土地及购房款</w:t>
            </w:r>
          </w:p>
        </w:tc>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61"/>
              <w:jc w:val="right"/>
              <w:rPr>
                <w:rFonts w:ascii="Arial" w:hAnsi="Arial" w:cs="Arial" w:eastAsia="Arial" w:hint="default"/>
                <w:sz w:val="24"/>
                <w:szCs w:val="24"/>
              </w:rPr>
            </w:pPr>
            <w:r>
              <w:rPr>
                <w:rFonts w:ascii="Arial"/>
                <w:spacing w:val="-1"/>
                <w:sz w:val="24"/>
              </w:rPr>
              <w:t>372,945</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62"/>
              <w:jc w:val="right"/>
              <w:rPr>
                <w:rFonts w:ascii="Arial" w:hAnsi="Arial" w:cs="Arial" w:eastAsia="Arial" w:hint="default"/>
                <w:sz w:val="24"/>
                <w:szCs w:val="24"/>
              </w:rPr>
            </w:pPr>
            <w:r>
              <w:rPr>
                <w:rFonts w:ascii="Arial"/>
                <w:spacing w:val="-1"/>
                <w:sz w:val="24"/>
              </w:rPr>
              <w:t>499,346</w:t>
            </w:r>
          </w:p>
        </w:tc>
      </w:tr>
      <w:tr>
        <w:trPr>
          <w:trHeight w:val="260"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4" w:lineRule="exact"/>
              <w:ind w:left="207" w:right="0"/>
              <w:jc w:val="left"/>
              <w:rPr>
                <w:rFonts w:ascii="宋体" w:hAnsi="宋体" w:cs="宋体" w:eastAsia="宋体" w:hint="default"/>
                <w:sz w:val="24"/>
                <w:szCs w:val="24"/>
              </w:rPr>
            </w:pPr>
            <w:r>
              <w:rPr>
                <w:rFonts w:ascii="宋体" w:hAnsi="宋体" w:cs="宋体" w:eastAsia="宋体" w:hint="default"/>
                <w:sz w:val="24"/>
                <w:szCs w:val="24"/>
              </w:rPr>
              <w:t>预付工程设备款</w:t>
            </w:r>
          </w:p>
        </w:tc>
        <w:tc>
          <w:tcPr>
            <w:tcW w:w="2583" w:type="dxa"/>
            <w:tcBorders>
              <w:top w:val="nil" w:sz="6" w:space="0" w:color="auto"/>
              <w:left w:val="nil" w:sz="6" w:space="0" w:color="auto"/>
              <w:bottom w:val="nil" w:sz="6" w:space="0" w:color="auto"/>
              <w:right w:val="nil" w:sz="6" w:space="0" w:color="auto"/>
            </w:tcBorders>
          </w:tcPr>
          <w:p>
            <w:pPr>
              <w:pStyle w:val="TableParagraph"/>
              <w:spacing w:line="261" w:lineRule="exact"/>
              <w:ind w:right="257"/>
              <w:jc w:val="right"/>
              <w:rPr>
                <w:rFonts w:ascii="Arial" w:hAnsi="Arial" w:cs="Arial" w:eastAsia="Arial" w:hint="default"/>
                <w:sz w:val="24"/>
                <w:szCs w:val="24"/>
              </w:rPr>
            </w:pPr>
            <w:r>
              <w:rPr>
                <w:rFonts w:ascii="Arial"/>
                <w:spacing w:val="-1"/>
                <w:sz w:val="24"/>
              </w:rPr>
              <w:t>389,816</w:t>
            </w:r>
            <w:r>
              <w:rPr>
                <w:rFonts w:ascii="Arial"/>
                <w:sz w:val="24"/>
              </w:rPr>
            </w:r>
          </w:p>
        </w:tc>
        <w:tc>
          <w:tcPr>
            <w:tcW w:w="2560" w:type="dxa"/>
            <w:tcBorders>
              <w:top w:val="nil" w:sz="6" w:space="0" w:color="auto"/>
              <w:left w:val="nil" w:sz="6" w:space="0" w:color="auto"/>
              <w:bottom w:val="nil" w:sz="6" w:space="0" w:color="auto"/>
              <w:right w:val="nil" w:sz="6" w:space="0" w:color="auto"/>
            </w:tcBorders>
          </w:tcPr>
          <w:p>
            <w:pPr>
              <w:pStyle w:val="TableParagraph"/>
              <w:spacing w:line="261" w:lineRule="exact"/>
              <w:ind w:right="263"/>
              <w:jc w:val="right"/>
              <w:rPr>
                <w:rFonts w:ascii="Arial" w:hAnsi="Arial" w:cs="Arial" w:eastAsia="Arial" w:hint="default"/>
                <w:sz w:val="24"/>
                <w:szCs w:val="24"/>
              </w:rPr>
            </w:pPr>
            <w:r>
              <w:rPr>
                <w:rFonts w:ascii="Arial"/>
                <w:w w:val="95"/>
                <w:sz w:val="24"/>
              </w:rPr>
              <w:t>79,352</w:t>
            </w:r>
            <w:r>
              <w:rPr>
                <w:rFonts w:ascii="Arial"/>
                <w:sz w:val="24"/>
              </w:rPr>
            </w:r>
          </w:p>
        </w:tc>
      </w:tr>
      <w:tr>
        <w:trPr>
          <w:trHeight w:val="271"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61" w:lineRule="exact"/>
              <w:ind w:left="207" w:right="0"/>
              <w:jc w:val="left"/>
              <w:rPr>
                <w:rFonts w:ascii="Arial" w:hAnsi="Arial" w:cs="Arial" w:eastAsia="Arial" w:hint="default"/>
                <w:sz w:val="24"/>
                <w:szCs w:val="24"/>
              </w:rPr>
            </w:pPr>
            <w:r>
              <w:rPr>
                <w:rFonts w:ascii="宋体" w:hAnsi="宋体" w:cs="宋体" w:eastAsia="宋体" w:hint="default"/>
                <w:sz w:val="24"/>
                <w:szCs w:val="24"/>
              </w:rPr>
              <w:t>预付股权收购款</w:t>
            </w:r>
            <w:r>
              <w:rPr>
                <w:rFonts w:ascii="Arial" w:hAnsi="Arial" w:cs="Arial" w:eastAsia="Arial" w:hint="default"/>
                <w:sz w:val="24"/>
                <w:szCs w:val="24"/>
              </w:rPr>
              <w:t>(i)</w:t>
            </w:r>
          </w:p>
        </w:tc>
        <w:tc>
          <w:tcPr>
            <w:tcW w:w="2583" w:type="dxa"/>
            <w:tcBorders>
              <w:top w:val="nil" w:sz="6" w:space="0" w:color="auto"/>
              <w:left w:val="nil" w:sz="6" w:space="0" w:color="auto"/>
              <w:bottom w:val="nil" w:sz="6" w:space="0" w:color="auto"/>
              <w:right w:val="nil" w:sz="6" w:space="0" w:color="auto"/>
            </w:tcBorders>
          </w:tcPr>
          <w:p>
            <w:pPr>
              <w:pStyle w:val="TableParagraph"/>
              <w:tabs>
                <w:tab w:pos="2223" w:val="left" w:leader="none"/>
                <w:tab w:pos="2409" w:val="left" w:leader="none"/>
              </w:tabs>
              <w:spacing w:line="261" w:lineRule="exact"/>
              <w:ind w:right="14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2560" w:type="dxa"/>
            <w:tcBorders>
              <w:top w:val="nil" w:sz="6" w:space="0" w:color="auto"/>
              <w:left w:val="nil" w:sz="6" w:space="0" w:color="auto"/>
              <w:bottom w:val="nil" w:sz="6" w:space="0" w:color="auto"/>
              <w:right w:val="nil" w:sz="6" w:space="0" w:color="auto"/>
            </w:tcBorders>
          </w:tcPr>
          <w:p>
            <w:pPr>
              <w:pStyle w:val="TableParagraph"/>
              <w:tabs>
                <w:tab w:pos="1292" w:val="left" w:leader="none"/>
                <w:tab w:pos="2267" w:val="left" w:leader="none"/>
              </w:tabs>
              <w:spacing w:line="261" w:lineRule="exact"/>
              <w:ind w:right="1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710,586</w:t>
              <w:tab/>
            </w:r>
            <w:r>
              <w:rPr>
                <w:rFonts w:ascii="Arial"/>
                <w:spacing w:val="-1"/>
                <w:sz w:val="24"/>
              </w:rPr>
            </w:r>
          </w:p>
        </w:tc>
      </w:tr>
      <w:tr>
        <w:trPr>
          <w:trHeight w:val="421" w:hRule="exact"/>
        </w:trPr>
        <w:tc>
          <w:tcPr>
            <w:tcW w:w="3573"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Style w:val="TableParagraph"/>
              <w:tabs>
                <w:tab w:pos="1436" w:val="left" w:leader="none"/>
                <w:tab w:pos="2409" w:val="left" w:leader="none"/>
              </w:tabs>
              <w:spacing w:line="260" w:lineRule="exact"/>
              <w:ind w:right="14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762,761</w:t>
              <w:tab/>
            </w:r>
            <w:r>
              <w:rPr>
                <w:rFonts w:ascii="Arial"/>
                <w:spacing w:val="-1"/>
                <w:sz w:val="24"/>
              </w:rPr>
            </w:r>
          </w:p>
        </w:tc>
        <w:tc>
          <w:tcPr>
            <w:tcW w:w="2560" w:type="dxa"/>
            <w:tcBorders>
              <w:top w:val="nil" w:sz="6" w:space="0" w:color="auto"/>
              <w:left w:val="nil" w:sz="6" w:space="0" w:color="auto"/>
              <w:bottom w:val="nil" w:sz="6" w:space="0" w:color="auto"/>
              <w:right w:val="nil" w:sz="6" w:space="0" w:color="auto"/>
            </w:tcBorders>
          </w:tcPr>
          <w:p>
            <w:pPr>
              <w:pStyle w:val="TableParagraph"/>
              <w:tabs>
                <w:tab w:pos="1111" w:val="left" w:leader="none"/>
                <w:tab w:pos="2267" w:val="left" w:leader="none"/>
              </w:tabs>
              <w:spacing w:line="260" w:lineRule="exact"/>
              <w:ind w:right="1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1,289,284</w:t>
            </w:r>
            <w:r>
              <w:rPr>
                <w:rFonts w:ascii="Arial"/>
                <w:sz w:val="24"/>
                <w:u w:val="thick" w:color="000000"/>
              </w:rPr>
              <w:tab/>
            </w:r>
            <w:r>
              <w:rPr>
                <w:rFonts w:ascii="Arial"/>
                <w:sz w:val="24"/>
              </w:rPr>
            </w:r>
          </w:p>
        </w:tc>
      </w:tr>
      <w:tr>
        <w:trPr>
          <w:trHeight w:val="730" w:hRule="exact"/>
        </w:trPr>
        <w:tc>
          <w:tcPr>
            <w:tcW w:w="8715"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22"/>
              <w:ind w:left="207" w:right="198"/>
              <w:jc w:val="left"/>
              <w:rPr>
                <w:rFonts w:ascii="宋体" w:hAnsi="宋体" w:cs="宋体" w:eastAsia="宋体" w:hint="default"/>
                <w:sz w:val="24"/>
                <w:szCs w:val="24"/>
              </w:rPr>
            </w:pPr>
            <w:r>
              <w:rPr>
                <w:rFonts w:ascii="Arial" w:hAnsi="Arial" w:cs="Arial" w:eastAsia="Arial" w:hint="default"/>
                <w:spacing w:val="-3"/>
                <w:sz w:val="24"/>
                <w:szCs w:val="24"/>
              </w:rPr>
              <w:t>(i)</w:t>
            </w:r>
            <w:r>
              <w:rPr>
                <w:rFonts w:ascii="宋体" w:hAnsi="宋体" w:cs="宋体" w:eastAsia="宋体" w:hint="default"/>
                <w:spacing w:val="-3"/>
                <w:sz w:val="24"/>
                <w:szCs w:val="24"/>
              </w:rPr>
              <w:t>于</w:t>
            </w:r>
            <w:r>
              <w:rPr>
                <w:rFonts w:ascii="Arial" w:hAnsi="Arial" w:cs="Arial" w:eastAsia="Arial" w:hint="default"/>
                <w:spacing w:val="-3"/>
                <w:sz w:val="24"/>
                <w:szCs w:val="24"/>
              </w:rPr>
              <w:t>2014</w:t>
            </w:r>
            <w:r>
              <w:rPr>
                <w:rFonts w:ascii="宋体" w:hAnsi="宋体" w:cs="宋体" w:eastAsia="宋体" w:hint="default"/>
                <w:spacing w:val="-3"/>
                <w:sz w:val="24"/>
                <w:szCs w:val="24"/>
              </w:rPr>
              <w:t>年</w:t>
            </w:r>
            <w:r>
              <w:rPr>
                <w:rFonts w:ascii="Arial" w:hAnsi="Arial" w:cs="Arial" w:eastAsia="Arial" w:hint="default"/>
                <w:spacing w:val="-3"/>
                <w:sz w:val="24"/>
                <w:szCs w:val="24"/>
              </w:rPr>
              <w:t>12</w:t>
            </w:r>
            <w:r>
              <w:rPr>
                <w:rFonts w:ascii="宋体" w:hAnsi="宋体" w:cs="宋体" w:eastAsia="宋体" w:hint="default"/>
                <w:spacing w:val="-3"/>
                <w:sz w:val="24"/>
                <w:szCs w:val="24"/>
              </w:rPr>
              <w:t>月</w:t>
            </w:r>
            <w:r>
              <w:rPr>
                <w:rFonts w:ascii="Arial" w:hAnsi="Arial" w:cs="Arial" w:eastAsia="Arial" w:hint="default"/>
                <w:spacing w:val="-3"/>
                <w:sz w:val="24"/>
                <w:szCs w:val="24"/>
              </w:rPr>
              <w:t>31</w:t>
            </w:r>
            <w:r>
              <w:rPr>
                <w:rFonts w:ascii="宋体" w:hAnsi="宋体" w:cs="宋体" w:eastAsia="宋体" w:hint="default"/>
                <w:spacing w:val="-3"/>
                <w:sz w:val="24"/>
                <w:szCs w:val="24"/>
              </w:rPr>
              <w:t>日，预付股权收购款系本集团预付的收购</w:t>
            </w:r>
            <w:r>
              <w:rPr>
                <w:rFonts w:ascii="Arial" w:hAnsi="Arial" w:cs="Arial" w:eastAsia="Arial" w:hint="default"/>
                <w:spacing w:val="-3"/>
                <w:sz w:val="24"/>
                <w:szCs w:val="24"/>
              </w:rPr>
              <w:t>PPTV</w:t>
            </w:r>
            <w:r>
              <w:rPr>
                <w:rFonts w:ascii="宋体" w:hAnsi="宋体" w:cs="宋体" w:eastAsia="宋体" w:hint="default"/>
                <w:spacing w:val="-3"/>
                <w:sz w:val="24"/>
                <w:szCs w:val="24"/>
              </w:rPr>
              <w:t>两位原始股东</w:t>
            </w:r>
            <w:r>
              <w:rPr>
                <w:rFonts w:ascii="宋体" w:hAnsi="宋体" w:cs="宋体" w:eastAsia="宋体" w:hint="default"/>
                <w:spacing w:val="-84"/>
                <w:sz w:val="24"/>
                <w:szCs w:val="24"/>
              </w:rPr>
              <w:t> </w:t>
            </w:r>
            <w:r>
              <w:rPr>
                <w:rFonts w:ascii="宋体" w:hAnsi="宋体" w:cs="宋体" w:eastAsia="宋体" w:hint="default"/>
                <w:sz w:val="24"/>
                <w:szCs w:val="24"/>
              </w:rPr>
              <w:t>所持有的</w:t>
            </w:r>
            <w:r>
              <w:rPr>
                <w:rFonts w:ascii="Arial" w:hAnsi="Arial" w:cs="Arial" w:eastAsia="Arial" w:hint="default"/>
                <w:sz w:val="24"/>
                <w:szCs w:val="24"/>
              </w:rPr>
              <w:t>21.28%</w:t>
            </w:r>
            <w:r>
              <w:rPr>
                <w:rFonts w:ascii="Arial" w:hAnsi="Arial" w:cs="Arial" w:eastAsia="Arial" w:hint="default"/>
                <w:spacing w:val="-8"/>
                <w:sz w:val="24"/>
                <w:szCs w:val="24"/>
              </w:rPr>
              <w:t> </w:t>
            </w:r>
            <w:r>
              <w:rPr>
                <w:rFonts w:ascii="Arial" w:hAnsi="Arial" w:cs="Arial" w:eastAsia="Arial" w:hint="default"/>
                <w:sz w:val="24"/>
                <w:szCs w:val="24"/>
              </w:rPr>
              <w:t>PPTV</w:t>
            </w:r>
            <w:r>
              <w:rPr>
                <w:rFonts w:ascii="宋体" w:hAnsi="宋体" w:cs="宋体" w:eastAsia="宋体" w:hint="default"/>
                <w:sz w:val="24"/>
                <w:szCs w:val="24"/>
              </w:rPr>
              <w:t>股权的款项，该收购交易已于</w:t>
            </w:r>
            <w:r>
              <w:rPr>
                <w:rFonts w:ascii="Arial" w:hAnsi="Arial" w:cs="Arial" w:eastAsia="Arial" w:hint="default"/>
                <w:sz w:val="24"/>
                <w:szCs w:val="24"/>
              </w:rPr>
              <w:t>2015</w:t>
            </w:r>
            <w:r>
              <w:rPr>
                <w:rFonts w:ascii="宋体" w:hAnsi="宋体" w:cs="宋体" w:eastAsia="宋体" w:hint="default"/>
                <w:sz w:val="24"/>
                <w:szCs w:val="24"/>
              </w:rPr>
              <w:t>年</w:t>
            </w:r>
            <w:r>
              <w:rPr>
                <w:rFonts w:ascii="Arial" w:hAnsi="Arial" w:cs="Arial" w:eastAsia="Arial" w:hint="default"/>
                <w:sz w:val="24"/>
                <w:szCs w:val="24"/>
              </w:rPr>
              <w:t>1</w:t>
            </w:r>
            <w:r>
              <w:rPr>
                <w:rFonts w:ascii="宋体" w:hAnsi="宋体" w:cs="宋体" w:eastAsia="宋体" w:hint="default"/>
                <w:sz w:val="24"/>
                <w:szCs w:val="24"/>
              </w:rPr>
              <w:t>月完成。</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tbl>
      <w:tblPr>
        <w:tblW w:w="0" w:type="auto"/>
        <w:jc w:val="left"/>
        <w:tblInd w:w="128" w:type="dxa"/>
        <w:tblLayout w:type="fixed"/>
        <w:tblCellMar>
          <w:top w:w="0" w:type="dxa"/>
          <w:left w:w="0" w:type="dxa"/>
          <w:bottom w:w="0" w:type="dxa"/>
          <w:right w:w="0" w:type="dxa"/>
        </w:tblCellMar>
        <w:tblLook w:val="01E0"/>
      </w:tblPr>
      <w:tblGrid>
        <w:gridCol w:w="768"/>
        <w:gridCol w:w="2099"/>
        <w:gridCol w:w="1554"/>
        <w:gridCol w:w="127"/>
        <w:gridCol w:w="1445"/>
        <w:gridCol w:w="277"/>
        <w:gridCol w:w="1560"/>
        <w:gridCol w:w="128"/>
        <w:gridCol w:w="1316"/>
      </w:tblGrid>
      <w:tr>
        <w:trPr>
          <w:trHeight w:val="44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73" w:lineRule="exact"/>
              <w:ind w:left="200" w:right="0"/>
              <w:jc w:val="left"/>
              <w:rPr>
                <w:rFonts w:ascii="Arial" w:hAnsi="Arial" w:cs="Arial" w:eastAsia="Arial" w:hint="default"/>
                <w:sz w:val="24"/>
                <w:szCs w:val="24"/>
              </w:rPr>
            </w:pPr>
            <w:r>
              <w:rPr>
                <w:rFonts w:ascii="Arial"/>
                <w:sz w:val="24"/>
              </w:rPr>
              <w:t>(20)</w:t>
            </w:r>
          </w:p>
        </w:tc>
        <w:tc>
          <w:tcPr>
            <w:tcW w:w="365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41" w:right="0"/>
              <w:jc w:val="left"/>
              <w:rPr>
                <w:rFonts w:ascii="黑体" w:hAnsi="黑体" w:cs="黑体" w:eastAsia="黑体" w:hint="default"/>
                <w:sz w:val="24"/>
                <w:szCs w:val="24"/>
              </w:rPr>
            </w:pPr>
            <w:r>
              <w:rPr>
                <w:rFonts w:ascii="黑体" w:hAnsi="黑体" w:cs="黑体" w:eastAsia="黑体" w:hint="default"/>
                <w:sz w:val="24"/>
                <w:szCs w:val="24"/>
              </w:rPr>
              <w:t>递延所得税资产和递延所得税负</w:t>
            </w:r>
          </w:p>
        </w:tc>
        <w:tc>
          <w:tcPr>
            <w:tcW w:w="127" w:type="dxa"/>
            <w:tcBorders>
              <w:top w:val="nil" w:sz="6" w:space="0" w:color="auto"/>
              <w:left w:val="nil" w:sz="6" w:space="0" w:color="auto"/>
              <w:bottom w:val="nil" w:sz="6" w:space="0" w:color="auto"/>
              <w:right w:val="nil" w:sz="6" w:space="0" w:color="auto"/>
            </w:tcBorders>
          </w:tcPr>
          <w:p>
            <w:pPr>
              <w:pStyle w:val="TableParagraph"/>
              <w:spacing w:line="240" w:lineRule="exact"/>
              <w:ind w:left="-152" w:right="0"/>
              <w:jc w:val="left"/>
              <w:rPr>
                <w:rFonts w:ascii="黑体" w:hAnsi="黑体" w:cs="黑体" w:eastAsia="黑体" w:hint="default"/>
                <w:sz w:val="24"/>
                <w:szCs w:val="24"/>
              </w:rPr>
            </w:pPr>
            <w:r>
              <w:rPr>
                <w:rFonts w:ascii="黑体" w:hAnsi="黑体" w:cs="黑体" w:eastAsia="黑体" w:hint="default"/>
                <w:sz w:val="24"/>
                <w:szCs w:val="24"/>
              </w:rPr>
              <w:t>债</w:t>
            </w:r>
          </w:p>
        </w:tc>
        <w:tc>
          <w:tcPr>
            <w:tcW w:w="1445"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r>
      <w:tr>
        <w:trPr>
          <w:trHeight w:val="609"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00" w:right="0"/>
              <w:jc w:val="left"/>
              <w:rPr>
                <w:rFonts w:ascii="Arial" w:hAnsi="Arial" w:cs="Arial" w:eastAsia="Arial" w:hint="default"/>
                <w:sz w:val="24"/>
                <w:szCs w:val="24"/>
              </w:rPr>
            </w:pPr>
            <w:r>
              <w:rPr>
                <w:rFonts w:ascii="Arial"/>
                <w:sz w:val="24"/>
              </w:rPr>
              <w:t>(a)</w:t>
            </w:r>
          </w:p>
        </w:tc>
        <w:tc>
          <w:tcPr>
            <w:tcW w:w="36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141" w:right="0"/>
              <w:jc w:val="left"/>
              <w:rPr>
                <w:rFonts w:ascii="宋体" w:hAnsi="宋体" w:cs="宋体" w:eastAsia="宋体" w:hint="default"/>
                <w:sz w:val="24"/>
                <w:szCs w:val="24"/>
              </w:rPr>
            </w:pPr>
            <w:r>
              <w:rPr>
                <w:rFonts w:ascii="宋体" w:hAnsi="宋体" w:cs="宋体" w:eastAsia="宋体" w:hint="default"/>
                <w:sz w:val="24"/>
                <w:szCs w:val="24"/>
              </w:rPr>
              <w:t>未经抵销的递延所得税资产</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r>
      <w:tr>
        <w:trPr>
          <w:trHeight w:val="399"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312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31"/>
              <w:ind w:left="78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28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31"/>
              <w:ind w:left="99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74" w:hRule="exact"/>
        </w:trPr>
        <w:tc>
          <w:tcPr>
            <w:tcW w:w="768" w:type="dxa"/>
            <w:tcBorders>
              <w:top w:val="nil" w:sz="6" w:space="0" w:color="auto"/>
              <w:left w:val="nil" w:sz="6" w:space="0" w:color="auto"/>
              <w:bottom w:val="nil" w:sz="6" w:space="0" w:color="auto"/>
              <w:right w:val="nil" w:sz="6" w:space="0" w:color="auto"/>
            </w:tcBorders>
          </w:tcPr>
          <w:p>
            <w:pPr/>
          </w:p>
        </w:tc>
        <w:tc>
          <w:tcPr>
            <w:tcW w:w="3653"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right="55"/>
              <w:jc w:val="right"/>
              <w:rPr>
                <w:rFonts w:ascii="宋体" w:hAnsi="宋体" w:cs="宋体" w:eastAsia="宋体" w:hint="default"/>
                <w:sz w:val="18"/>
                <w:szCs w:val="18"/>
              </w:rPr>
            </w:pPr>
            <w:r>
              <w:rPr>
                <w:rFonts w:ascii="宋体" w:hAnsi="宋体" w:cs="宋体" w:eastAsia="宋体" w:hint="default"/>
                <w:sz w:val="18"/>
                <w:szCs w:val="18"/>
              </w:rPr>
              <w:t>可抵扣暂时性差异</w:t>
            </w:r>
          </w:p>
          <w:p>
            <w:pPr>
              <w:pStyle w:val="TableParagraph"/>
              <w:spacing w:line="234" w:lineRule="exact"/>
              <w:ind w:right="55"/>
              <w:jc w:val="right"/>
              <w:rPr>
                <w:rFonts w:ascii="宋体" w:hAnsi="宋体" w:cs="宋体" w:eastAsia="宋体" w:hint="default"/>
                <w:sz w:val="18"/>
                <w:szCs w:val="18"/>
              </w:rPr>
            </w:pPr>
            <w:r>
              <w:rPr>
                <w:rFonts w:ascii="宋体" w:hAnsi="宋体" w:cs="宋体" w:eastAsia="宋体" w:hint="default"/>
                <w:sz w:val="18"/>
                <w:szCs w:val="18"/>
              </w:rPr>
              <w:t>及可抵扣亏损</w:t>
            </w:r>
          </w:p>
        </w:tc>
        <w:tc>
          <w:tcPr>
            <w:tcW w:w="127" w:type="dxa"/>
            <w:tcBorders>
              <w:top w:val="single" w:sz="4" w:space="0" w:color="000000"/>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05" w:lineRule="exact"/>
              <w:ind w:right="42"/>
              <w:jc w:val="righ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42"/>
              <w:jc w:val="right"/>
              <w:rPr>
                <w:rFonts w:ascii="宋体" w:hAnsi="宋体" w:cs="宋体" w:eastAsia="宋体" w:hint="default"/>
                <w:sz w:val="18"/>
                <w:szCs w:val="18"/>
              </w:rPr>
            </w:pPr>
            <w:r>
              <w:rPr>
                <w:rFonts w:ascii="宋体" w:hAnsi="宋体" w:cs="宋体" w:eastAsia="宋体" w:hint="default"/>
                <w:sz w:val="18"/>
                <w:szCs w:val="18"/>
              </w:rPr>
              <w:t>资产</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05" w:lineRule="exact"/>
              <w:ind w:left="427" w:right="0" w:hanging="360"/>
              <w:jc w:val="left"/>
              <w:rPr>
                <w:rFonts w:ascii="宋体" w:hAnsi="宋体" w:cs="宋体" w:eastAsia="宋体" w:hint="default"/>
                <w:sz w:val="18"/>
                <w:szCs w:val="18"/>
              </w:rPr>
            </w:pPr>
            <w:r>
              <w:rPr>
                <w:rFonts w:ascii="宋体" w:hAnsi="宋体" w:cs="宋体" w:eastAsia="宋体" w:hint="default"/>
                <w:sz w:val="18"/>
                <w:szCs w:val="18"/>
              </w:rPr>
              <w:t>可抵扣暂时性差异</w:t>
            </w:r>
          </w:p>
          <w:p>
            <w:pPr>
              <w:pStyle w:val="TableParagraph"/>
              <w:spacing w:line="234" w:lineRule="exact"/>
              <w:ind w:left="427" w:right="0"/>
              <w:jc w:val="left"/>
              <w:rPr>
                <w:rFonts w:ascii="宋体" w:hAnsi="宋体" w:cs="宋体" w:eastAsia="宋体" w:hint="default"/>
                <w:sz w:val="18"/>
                <w:szCs w:val="18"/>
              </w:rPr>
            </w:pPr>
            <w:r>
              <w:rPr>
                <w:rFonts w:ascii="宋体" w:hAnsi="宋体" w:cs="宋体" w:eastAsia="宋体" w:hint="default"/>
                <w:sz w:val="18"/>
                <w:szCs w:val="18"/>
              </w:rPr>
              <w:t>及可抵扣亏损</w:t>
            </w:r>
          </w:p>
        </w:tc>
        <w:tc>
          <w:tcPr>
            <w:tcW w:w="128" w:type="dxa"/>
            <w:tcBorders>
              <w:top w:val="single" w:sz="4" w:space="0" w:color="000000"/>
              <w:left w:val="nil" w:sz="6" w:space="0" w:color="auto"/>
              <w:bottom w:val="nil" w:sz="6" w:space="0" w:color="auto"/>
              <w:right w:val="nil" w:sz="6" w:space="0" w:color="auto"/>
            </w:tcBorders>
          </w:tcPr>
          <w:p>
            <w:pPr/>
          </w:p>
        </w:tc>
        <w:tc>
          <w:tcPr>
            <w:tcW w:w="1316" w:type="dxa"/>
            <w:tcBorders>
              <w:top w:val="single" w:sz="4" w:space="0" w:color="000000"/>
              <w:left w:val="nil" w:sz="6" w:space="0" w:color="auto"/>
              <w:bottom w:val="nil" w:sz="6" w:space="0" w:color="auto"/>
              <w:right w:val="nil" w:sz="6" w:space="0" w:color="auto"/>
            </w:tcBorders>
          </w:tcPr>
          <w:p>
            <w:pPr>
              <w:pStyle w:val="TableParagraph"/>
              <w:spacing w:line="205" w:lineRule="exact"/>
              <w:ind w:right="55"/>
              <w:jc w:val="righ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55"/>
              <w:jc w:val="right"/>
              <w:rPr>
                <w:rFonts w:ascii="宋体" w:hAnsi="宋体" w:cs="宋体" w:eastAsia="宋体" w:hint="default"/>
                <w:sz w:val="18"/>
                <w:szCs w:val="18"/>
              </w:rPr>
            </w:pPr>
            <w:r>
              <w:rPr>
                <w:rFonts w:ascii="宋体" w:hAnsi="宋体" w:cs="宋体" w:eastAsia="宋体" w:hint="default"/>
                <w:sz w:val="18"/>
                <w:szCs w:val="18"/>
              </w:rPr>
              <w:t>资产</w:t>
            </w:r>
          </w:p>
        </w:tc>
      </w:tr>
      <w:tr>
        <w:trPr>
          <w:trHeight w:val="348"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
              <w:jc w:val="right"/>
              <w:rPr>
                <w:rFonts w:ascii="Arial" w:hAnsi="Arial" w:cs="Arial" w:eastAsia="Arial" w:hint="default"/>
                <w:sz w:val="18"/>
                <w:szCs w:val="18"/>
              </w:rPr>
            </w:pPr>
            <w:r>
              <w:rPr>
                <w:rFonts w:ascii="Arial"/>
                <w:spacing w:val="-1"/>
                <w:sz w:val="18"/>
              </w:rPr>
              <w:t>7,524</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
              <w:jc w:val="right"/>
              <w:rPr>
                <w:rFonts w:ascii="Arial" w:hAnsi="Arial" w:cs="Arial" w:eastAsia="Arial" w:hint="default"/>
                <w:sz w:val="18"/>
                <w:szCs w:val="18"/>
              </w:rPr>
            </w:pPr>
            <w:r>
              <w:rPr>
                <w:rFonts w:ascii="Arial"/>
                <w:spacing w:val="-1"/>
                <w:sz w:val="18"/>
              </w:rPr>
              <w:t>1,788</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
              <w:jc w:val="right"/>
              <w:rPr>
                <w:rFonts w:ascii="Arial" w:hAnsi="Arial" w:cs="Arial" w:eastAsia="Arial" w:hint="default"/>
                <w:sz w:val="18"/>
                <w:szCs w:val="18"/>
              </w:rPr>
            </w:pPr>
            <w:r>
              <w:rPr>
                <w:rFonts w:ascii="Arial"/>
                <w:spacing w:val="-1"/>
                <w:sz w:val="18"/>
              </w:rPr>
              <w:t>51,601</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
              <w:jc w:val="right"/>
              <w:rPr>
                <w:rFonts w:ascii="Arial" w:hAnsi="Arial" w:cs="Arial" w:eastAsia="Arial" w:hint="default"/>
                <w:sz w:val="18"/>
                <w:szCs w:val="18"/>
              </w:rPr>
            </w:pPr>
            <w:r>
              <w:rPr>
                <w:rFonts w:ascii="Arial"/>
                <w:spacing w:val="-1"/>
                <w:sz w:val="18"/>
              </w:rPr>
              <w:t>12,900</w:t>
            </w:r>
          </w:p>
        </w:tc>
      </w:tr>
      <w:tr>
        <w:trPr>
          <w:trHeight w:val="233"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196" w:lineRule="exact"/>
              <w:ind w:left="141" w:right="0"/>
              <w:jc w:val="left"/>
              <w:rPr>
                <w:rFonts w:ascii="宋体" w:hAnsi="宋体" w:cs="宋体" w:eastAsia="宋体" w:hint="default"/>
                <w:sz w:val="18"/>
                <w:szCs w:val="18"/>
              </w:rPr>
            </w:pPr>
            <w:r>
              <w:rPr>
                <w:rFonts w:ascii="宋体" w:hAnsi="宋体" w:cs="宋体" w:eastAsia="宋体" w:hint="default"/>
                <w:sz w:val="18"/>
                <w:szCs w:val="18"/>
              </w:rPr>
              <w:t>尚未支付的广告费</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1,132,983</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3"/>
                <w:sz w:val="18"/>
              </w:rPr>
              <w:t>277,611</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802,388</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188,496</w:t>
            </w:r>
          </w:p>
        </w:tc>
      </w:tr>
      <w:tr>
        <w:trPr>
          <w:trHeight w:val="254"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195" w:lineRule="exact"/>
              <w:ind w:left="141" w:right="0"/>
              <w:jc w:val="left"/>
              <w:rPr>
                <w:rFonts w:ascii="宋体" w:hAnsi="宋体" w:cs="宋体" w:eastAsia="宋体" w:hint="default"/>
                <w:sz w:val="18"/>
                <w:szCs w:val="18"/>
              </w:rPr>
            </w:pPr>
            <w:r>
              <w:rPr>
                <w:rFonts w:ascii="宋体" w:hAnsi="宋体" w:cs="宋体" w:eastAsia="宋体" w:hint="default"/>
                <w:sz w:val="18"/>
                <w:szCs w:val="18"/>
              </w:rPr>
              <w:t>预提租赁费</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430,245</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spacing w:val="-1"/>
                <w:sz w:val="18"/>
              </w:rPr>
              <w:t>107,561</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spacing w:val="-1"/>
                <w:sz w:val="18"/>
              </w:rPr>
              <w:t>359,475</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89,869</w:t>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2"/>
                <w:sz w:val="18"/>
              </w:rPr>
              <w:t>6,110,772</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1,506,539</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4,548,193</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1,120,313</w:t>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409,718</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97,557</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328,263</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78,198</w:t>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14,648</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3,662</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13,896</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3,474</w:t>
            </w:r>
          </w:p>
        </w:tc>
      </w:tr>
      <w:tr>
        <w:trPr>
          <w:trHeight w:val="255"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资产性政府补助</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591,024</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146,325</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365,782</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91,084</w:t>
            </w:r>
          </w:p>
        </w:tc>
      </w:tr>
      <w:tr>
        <w:trPr>
          <w:trHeight w:val="700"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195" w:lineRule="exact"/>
              <w:ind w:left="141" w:right="0"/>
              <w:jc w:val="left"/>
              <w:rPr>
                <w:rFonts w:ascii="宋体" w:hAnsi="宋体" w:cs="宋体" w:eastAsia="宋体" w:hint="default"/>
                <w:sz w:val="18"/>
                <w:szCs w:val="18"/>
              </w:rPr>
            </w:pPr>
            <w:r>
              <w:rPr>
                <w:rFonts w:ascii="宋体" w:hAnsi="宋体" w:cs="宋体" w:eastAsia="宋体" w:hint="default"/>
                <w:sz w:val="18"/>
                <w:szCs w:val="18"/>
              </w:rPr>
              <w:t>以公允价值计量且其</w:t>
            </w:r>
          </w:p>
          <w:p>
            <w:pPr>
              <w:pStyle w:val="TableParagraph"/>
              <w:spacing w:line="240" w:lineRule="auto"/>
              <w:ind w:left="501" w:right="155"/>
              <w:jc w:val="left"/>
              <w:rPr>
                <w:rFonts w:ascii="宋体" w:hAnsi="宋体" w:cs="宋体" w:eastAsia="宋体" w:hint="default"/>
                <w:sz w:val="18"/>
                <w:szCs w:val="18"/>
              </w:rPr>
            </w:pPr>
            <w:r>
              <w:rPr>
                <w:rFonts w:ascii="宋体" w:hAnsi="宋体" w:cs="宋体" w:eastAsia="宋体" w:hint="default"/>
                <w:sz w:val="18"/>
                <w:szCs w:val="18"/>
              </w:rPr>
              <w:t>变动计入当期损益 的金融负债</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14,910</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4"/>
              <w:jc w:val="right"/>
              <w:rPr>
                <w:rFonts w:ascii="Arial" w:hAnsi="Arial" w:cs="Arial" w:eastAsia="Arial" w:hint="default"/>
                <w:sz w:val="18"/>
                <w:szCs w:val="18"/>
              </w:rPr>
            </w:pPr>
            <w:r>
              <w:rPr>
                <w:rFonts w:ascii="Arial"/>
                <w:spacing w:val="-1"/>
                <w:sz w:val="18"/>
              </w:rPr>
              <w:t>3,728</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46,800</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3"/>
                <w:sz w:val="18"/>
              </w:rPr>
              <w:t>11,700</w:t>
            </w:r>
          </w:p>
        </w:tc>
      </w:tr>
      <w:tr>
        <w:trPr>
          <w:trHeight w:val="722"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195" w:lineRule="exact"/>
              <w:ind w:left="141" w:right="0"/>
              <w:jc w:val="left"/>
              <w:rPr>
                <w:rFonts w:ascii="宋体" w:hAnsi="宋体" w:cs="宋体" w:eastAsia="宋体" w:hint="default"/>
                <w:sz w:val="18"/>
                <w:szCs w:val="18"/>
              </w:rPr>
            </w:pPr>
            <w:r>
              <w:rPr>
                <w:rFonts w:ascii="宋体" w:hAnsi="宋体" w:cs="宋体" w:eastAsia="宋体" w:hint="default"/>
                <w:sz w:val="18"/>
                <w:szCs w:val="18"/>
              </w:rPr>
              <w:t>广告费和业务宣传费</w:t>
            </w:r>
          </w:p>
          <w:p>
            <w:pPr>
              <w:pStyle w:val="TableParagraph"/>
              <w:spacing w:line="233" w:lineRule="exact"/>
              <w:ind w:left="501" w:right="0"/>
              <w:jc w:val="left"/>
              <w:rPr>
                <w:rFonts w:ascii="宋体" w:hAnsi="宋体" w:cs="宋体" w:eastAsia="宋体" w:hint="default"/>
                <w:sz w:val="18"/>
                <w:szCs w:val="18"/>
              </w:rPr>
            </w:pPr>
            <w:r>
              <w:rPr>
                <w:rFonts w:ascii="宋体" w:hAnsi="宋体" w:cs="宋体" w:eastAsia="宋体" w:hint="default"/>
                <w:sz w:val="18"/>
                <w:szCs w:val="18"/>
              </w:rPr>
              <w:t>超过当年营业收入</w:t>
            </w:r>
          </w:p>
          <w:p>
            <w:pPr>
              <w:pStyle w:val="TableParagraph"/>
              <w:spacing w:line="247" w:lineRule="exact"/>
              <w:ind w:left="501" w:right="0"/>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部分</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572,506</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1"/>
                <w:sz w:val="18"/>
              </w:rPr>
              <w:t>143,129</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474,464</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3"/>
                <w:sz w:val="18"/>
              </w:rPr>
              <w:t>118,616</w:t>
            </w:r>
          </w:p>
        </w:tc>
      </w:tr>
      <w:tr>
        <w:trPr>
          <w:trHeight w:val="275"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6" w:lineRule="exact"/>
              <w:ind w:left="141" w:right="0"/>
              <w:jc w:val="left"/>
              <w:rPr>
                <w:rFonts w:ascii="宋体" w:hAnsi="宋体" w:cs="宋体" w:eastAsia="宋体" w:hint="default"/>
                <w:sz w:val="18"/>
                <w:szCs w:val="18"/>
              </w:rPr>
            </w:pPr>
            <w:r>
              <w:rPr>
                <w:rFonts w:ascii="宋体" w:hAnsi="宋体" w:cs="宋体" w:eastAsia="宋体" w:hint="default"/>
                <w:sz w:val="18"/>
                <w:szCs w:val="18"/>
              </w:rPr>
              <w:t>房地产企业预计利润</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Arial" w:hAnsi="Arial" w:cs="Arial" w:eastAsia="Arial" w:hint="default"/>
                <w:sz w:val="18"/>
                <w:szCs w:val="18"/>
              </w:rPr>
            </w:pPr>
            <w:r>
              <w:rPr>
                <w:rFonts w:ascii="Arial"/>
                <w:spacing w:val="-1"/>
                <w:sz w:val="18"/>
              </w:rPr>
              <w:t>5,615</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Arial" w:hAnsi="Arial" w:cs="Arial" w:eastAsia="Arial" w:hint="default"/>
                <w:sz w:val="18"/>
                <w:szCs w:val="18"/>
              </w:rPr>
            </w:pPr>
            <w:r>
              <w:rPr>
                <w:rFonts w:ascii="Arial"/>
                <w:spacing w:val="-1"/>
                <w:sz w:val="18"/>
              </w:rPr>
              <w:t>1,404</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6"/>
              <w:jc w:val="right"/>
              <w:rPr>
                <w:rFonts w:ascii="Arial" w:hAnsi="Arial" w:cs="Arial" w:eastAsia="Arial" w:hint="default"/>
                <w:sz w:val="18"/>
                <w:szCs w:val="18"/>
              </w:rPr>
            </w:pPr>
            <w:r>
              <w:rPr>
                <w:rFonts w:ascii="Arial"/>
                <w:spacing w:val="-1"/>
                <w:sz w:val="18"/>
              </w:rPr>
              <w:t>81,410</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6"/>
              <w:jc w:val="right"/>
              <w:rPr>
                <w:rFonts w:ascii="Arial" w:hAnsi="Arial" w:cs="Arial" w:eastAsia="Arial" w:hint="default"/>
                <w:sz w:val="18"/>
                <w:szCs w:val="18"/>
              </w:rPr>
            </w:pPr>
            <w:r>
              <w:rPr>
                <w:rFonts w:ascii="Arial"/>
                <w:spacing w:val="-1"/>
                <w:sz w:val="18"/>
              </w:rPr>
              <w:t>20,352</w:t>
            </w:r>
          </w:p>
        </w:tc>
      </w:tr>
      <w:tr>
        <w:trPr>
          <w:trHeight w:val="292"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4" w:type="dxa"/>
            <w:tcBorders>
              <w:top w:val="nil" w:sz="6" w:space="0" w:color="auto"/>
              <w:left w:val="nil" w:sz="6" w:space="0" w:color="auto"/>
              <w:bottom w:val="nil" w:sz="6" w:space="0" w:color="auto"/>
              <w:right w:val="nil" w:sz="6" w:space="0" w:color="auto"/>
            </w:tcBorders>
          </w:tcPr>
          <w:p>
            <w:pPr>
              <w:pStyle w:val="TableParagraph"/>
              <w:tabs>
                <w:tab w:pos="945" w:val="left" w:leader="none"/>
                <w:tab w:pos="1553"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58,406</w:t>
              <w:tab/>
            </w:r>
            <w:r>
              <w:rPr>
                <w:rFonts w:ascii="Arial"/>
                <w:spacing w:val="-1"/>
                <w:sz w:val="18"/>
              </w:rPr>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823" w:val="left" w:leader="none"/>
                <w:tab w:pos="1430" w:val="left" w:leader="none"/>
              </w:tabs>
              <w:spacing w:line="240" w:lineRule="auto" w:before="36"/>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14,601</w:t>
              <w:tab/>
            </w:r>
            <w:r>
              <w:rPr>
                <w:rFonts w:ascii="Arial"/>
                <w:spacing w:val="-1"/>
                <w:sz w:val="18"/>
              </w:rPr>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945" w:val="left" w:leader="none"/>
                <w:tab w:pos="1552"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20,787</w:t>
              <w:tab/>
            </w:r>
            <w:r>
              <w:rPr>
                <w:rFonts w:ascii="Arial"/>
                <w:spacing w:val="-1"/>
                <w:sz w:val="18"/>
              </w:rPr>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tabs>
                <w:tab w:pos="795" w:val="left" w:leader="none"/>
                <w:tab w:pos="1301"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5,197</w:t>
              <w:tab/>
            </w:r>
            <w:r>
              <w:rPr>
                <w:rFonts w:ascii="Arial"/>
                <w:spacing w:val="-1"/>
                <w:sz w:val="18"/>
              </w:rPr>
            </w:r>
          </w:p>
        </w:tc>
      </w:tr>
      <w:tr>
        <w:trPr>
          <w:trHeight w:val="254"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9,348,351</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2,303,905</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7,093,059</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1,740,199</w:t>
            </w:r>
          </w:p>
        </w:tc>
      </w:tr>
    </w:tbl>
    <w:p>
      <w:pPr>
        <w:spacing w:after="0" w:line="240" w:lineRule="auto"/>
        <w:jc w:val="right"/>
        <w:rPr>
          <w:rFonts w:ascii="Arial" w:hAnsi="Arial" w:cs="Arial" w:eastAsia="Arial" w:hint="default"/>
          <w:sz w:val="18"/>
          <w:szCs w:val="18"/>
        </w:rPr>
        <w:sectPr>
          <w:pgSz w:w="11910" w:h="16840"/>
          <w:pgMar w:header="755" w:footer="914" w:top="186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35" w:type="dxa"/>
        <w:tblLayout w:type="fixed"/>
        <w:tblCellMar>
          <w:top w:w="0" w:type="dxa"/>
          <w:left w:w="0" w:type="dxa"/>
          <w:bottom w:w="0" w:type="dxa"/>
          <w:right w:w="0" w:type="dxa"/>
        </w:tblCellMar>
        <w:tblLook w:val="01E0"/>
      </w:tblPr>
      <w:tblGrid>
        <w:gridCol w:w="778"/>
        <w:gridCol w:w="2995"/>
        <w:gridCol w:w="892"/>
        <w:gridCol w:w="127"/>
        <w:gridCol w:w="1509"/>
        <w:gridCol w:w="57"/>
        <w:gridCol w:w="1417"/>
        <w:gridCol w:w="127"/>
        <w:gridCol w:w="1294"/>
      </w:tblGrid>
      <w:tr>
        <w:trPr>
          <w:trHeight w:val="41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995"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9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r>
      <w:tr>
        <w:trPr>
          <w:trHeight w:val="588"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(20)</w:t>
            </w:r>
          </w:p>
        </w:tc>
        <w:tc>
          <w:tcPr>
            <w:tcW w:w="38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150" w:right="0"/>
              <w:jc w:val="left"/>
              <w:rPr>
                <w:rFonts w:ascii="Arial" w:hAnsi="Arial" w:cs="Arial" w:eastAsia="Arial" w:hint="default"/>
                <w:sz w:val="24"/>
                <w:szCs w:val="24"/>
              </w:rPr>
            </w:pPr>
            <w:r>
              <w:rPr>
                <w:rFonts w:ascii="黑体" w:hAnsi="黑体" w:cs="黑体" w:eastAsia="黑体" w:hint="default"/>
                <w:sz w:val="24"/>
                <w:szCs w:val="24"/>
              </w:rPr>
              <w:t>递延所得税资产和递延所得税负债</w:t>
            </w:r>
            <w:r>
              <w:rPr>
                <w:rFonts w:ascii="Arial" w:hAnsi="Arial" w:cs="Arial" w:eastAsia="Arial" w:hint="default"/>
                <w:sz w:val="24"/>
                <w:szCs w:val="24"/>
              </w:rPr>
              <w:t>(</w:t>
            </w:r>
          </w:p>
        </w:tc>
        <w:tc>
          <w:tcPr>
            <w:tcW w:w="12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6" w:right="-58"/>
              <w:jc w:val="left"/>
              <w:rPr>
                <w:rFonts w:ascii="黑体" w:hAnsi="黑体" w:cs="黑体" w:eastAsia="黑体" w:hint="default"/>
                <w:sz w:val="24"/>
                <w:szCs w:val="24"/>
              </w:rPr>
            </w:pPr>
            <w:r>
              <w:rPr>
                <w:rFonts w:ascii="黑体" w:hAnsi="黑体" w:cs="黑体" w:eastAsia="黑体" w:hint="default"/>
                <w:sz w:val="24"/>
                <w:szCs w:val="24"/>
              </w:rPr>
              <w:t>续</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57" w:right="0"/>
              <w:jc w:val="left"/>
              <w:rPr>
                <w:rFonts w:ascii="Arial" w:hAnsi="Arial" w:cs="Arial" w:eastAsia="Arial" w:hint="default"/>
                <w:sz w:val="24"/>
                <w:szCs w:val="24"/>
              </w:rPr>
            </w:pPr>
            <w:r>
              <w:rPr>
                <w:rFonts w:ascii="Arial"/>
                <w:w w:val="99"/>
                <w:sz w:val="24"/>
              </w:rPr>
              <w:t>)</w:t>
            </w:r>
            <w:r>
              <w:rPr>
                <w:rFonts w:ascii="Arial"/>
                <w:sz w:val="24"/>
              </w:rPr>
            </w: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r>
      <w:tr>
        <w:trPr>
          <w:trHeight w:val="703"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8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宋体" w:hAnsi="宋体" w:cs="宋体" w:eastAsia="宋体" w:hint="default"/>
                <w:sz w:val="24"/>
                <w:szCs w:val="24"/>
              </w:rPr>
              <w:t>未经抵销的递延所得税资产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27"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r>
      <w:tr>
        <w:trPr>
          <w:trHeight w:val="491"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
        </w:tc>
        <w:tc>
          <w:tcPr>
            <w:tcW w:w="258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6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21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29"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Style w:val="TableParagraph"/>
              <w:spacing w:line="203" w:lineRule="exact"/>
              <w:ind w:left="15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9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r>
      <w:tr>
        <w:trPr>
          <w:trHeight w:val="244"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Style w:val="TableParagraph"/>
              <w:spacing w:line="219" w:lineRule="exact"/>
              <w:ind w:left="150"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年内</w:t>
            </w:r>
            <w:r>
              <w:rPr>
                <w:rFonts w:ascii="Arial" w:hAnsi="Arial" w:cs="Arial" w:eastAsia="Arial"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Arial" w:hAnsi="Arial" w:cs="Arial" w:eastAsia="Arial" w:hint="default"/>
                <w:sz w:val="18"/>
                <w:szCs w:val="18"/>
              </w:rPr>
              <w:t>)</w:t>
            </w:r>
            <w:r>
              <w:rPr>
                <w:rFonts w:ascii="宋体" w:hAnsi="宋体" w:cs="宋体" w:eastAsia="宋体" w:hint="default"/>
                <w:sz w:val="18"/>
                <w:szCs w:val="18"/>
              </w:rPr>
              <w:t>转回的金额</w:t>
            </w:r>
          </w:p>
        </w:tc>
        <w:tc>
          <w:tcPr>
            <w:tcW w:w="89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59" w:right="0"/>
              <w:jc w:val="left"/>
              <w:rPr>
                <w:rFonts w:ascii="Arial" w:hAnsi="Arial" w:cs="Arial" w:eastAsia="Arial" w:hint="default"/>
                <w:sz w:val="18"/>
                <w:szCs w:val="18"/>
              </w:rPr>
            </w:pPr>
            <w:r>
              <w:rPr>
                <w:rFonts w:ascii="Arial"/>
                <w:spacing w:val="-1"/>
                <w:sz w:val="18"/>
              </w:rPr>
              <w:t>454,334</w:t>
            </w: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18"/>
                <w:szCs w:val="18"/>
              </w:rPr>
            </w:pPr>
            <w:r>
              <w:rPr>
                <w:rFonts w:ascii="Arial"/>
                <w:spacing w:val="-1"/>
                <w:sz w:val="18"/>
              </w:rPr>
              <w:t>425,149</w:t>
            </w:r>
          </w:p>
        </w:tc>
      </w:tr>
      <w:tr>
        <w:trPr>
          <w:trHeight w:val="313"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Style w:val="TableParagraph"/>
              <w:spacing w:line="209" w:lineRule="exact"/>
              <w:ind w:left="150"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年后转回的金额</w:t>
            </w:r>
          </w:p>
        </w:tc>
        <w:tc>
          <w:tcPr>
            <w:tcW w:w="2585" w:type="dxa"/>
            <w:gridSpan w:val="4"/>
            <w:tcBorders>
              <w:top w:val="nil" w:sz="6" w:space="0" w:color="auto"/>
              <w:left w:val="nil" w:sz="6" w:space="0" w:color="auto"/>
              <w:bottom w:val="nil" w:sz="6" w:space="0" w:color="auto"/>
              <w:right w:val="nil" w:sz="6" w:space="0" w:color="auto"/>
            </w:tcBorders>
          </w:tcPr>
          <w:p>
            <w:pPr>
              <w:pStyle w:val="TableParagraph"/>
              <w:tabs>
                <w:tab w:pos="1727" w:val="left" w:leader="none"/>
                <w:tab w:pos="2585" w:val="left" w:leader="none"/>
              </w:tabs>
              <w:spacing w:line="240" w:lineRule="auto" w:before="57"/>
              <w:ind w:left="47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1,849,571</w:t>
              <w:tab/>
            </w:r>
            <w:r>
              <w:rPr>
                <w:rFonts w:ascii="Arial"/>
                <w:sz w:val="18"/>
              </w:rPr>
            </w:r>
          </w:p>
        </w:tc>
        <w:tc>
          <w:tcPr>
            <w:tcW w:w="2838" w:type="dxa"/>
            <w:gridSpan w:val="3"/>
            <w:tcBorders>
              <w:top w:val="nil" w:sz="6" w:space="0" w:color="auto"/>
              <w:left w:val="nil" w:sz="6" w:space="0" w:color="auto"/>
              <w:bottom w:val="nil" w:sz="6" w:space="0" w:color="auto"/>
              <w:right w:val="nil" w:sz="6" w:space="0" w:color="auto"/>
            </w:tcBorders>
          </w:tcPr>
          <w:p>
            <w:pPr>
              <w:pStyle w:val="TableParagraph"/>
              <w:tabs>
                <w:tab w:pos="1979" w:val="left" w:leader="none"/>
                <w:tab w:pos="2837" w:val="left" w:leader="none"/>
              </w:tabs>
              <w:spacing w:line="240" w:lineRule="auto" w:before="57"/>
              <w:ind w:left="42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1,315,050</w:t>
              <w:tab/>
            </w:r>
            <w:r>
              <w:rPr>
                <w:rFonts w:ascii="Arial"/>
                <w:sz w:val="18"/>
              </w:rPr>
            </w:r>
          </w:p>
        </w:tc>
      </w:tr>
      <w:tr>
        <w:trPr>
          <w:trHeight w:val="254"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
        </w:tc>
        <w:tc>
          <w:tcPr>
            <w:tcW w:w="258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2,303,905</w:t>
            </w:r>
          </w:p>
        </w:tc>
        <w:tc>
          <w:tcPr>
            <w:tcW w:w="28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1,740,199</w:t>
            </w:r>
          </w:p>
        </w:tc>
      </w:tr>
      <w:tr>
        <w:trPr>
          <w:trHeight w:val="700"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0" w:right="-36"/>
              <w:jc w:val="left"/>
              <w:rPr>
                <w:rFonts w:ascii="宋体" w:hAnsi="宋体" w:cs="宋体" w:eastAsia="宋体" w:hint="default"/>
                <w:sz w:val="24"/>
                <w:szCs w:val="24"/>
              </w:rPr>
            </w:pPr>
            <w:r>
              <w:rPr>
                <w:rFonts w:ascii="宋体" w:hAnsi="宋体" w:cs="宋体" w:eastAsia="宋体" w:hint="default"/>
                <w:sz w:val="24"/>
                <w:szCs w:val="24"/>
              </w:rPr>
              <w:t>未经抵销的递延所得税负债</w:t>
            </w:r>
          </w:p>
        </w:tc>
        <w:tc>
          <w:tcPr>
            <w:tcW w:w="892" w:type="dxa"/>
            <w:tcBorders>
              <w:top w:val="single" w:sz="12" w:space="0" w:color="000000"/>
              <w:left w:val="nil" w:sz="6" w:space="0" w:color="auto"/>
              <w:bottom w:val="nil" w:sz="6" w:space="0" w:color="auto"/>
              <w:right w:val="nil" w:sz="6" w:space="0" w:color="auto"/>
            </w:tcBorders>
          </w:tcPr>
          <w:p>
            <w:pPr/>
          </w:p>
        </w:tc>
        <w:tc>
          <w:tcPr>
            <w:tcW w:w="127" w:type="dxa"/>
            <w:tcBorders>
              <w:top w:val="single" w:sz="12" w:space="0" w:color="000000"/>
              <w:left w:val="nil" w:sz="6" w:space="0" w:color="auto"/>
              <w:bottom w:val="nil" w:sz="6" w:space="0" w:color="auto"/>
              <w:right w:val="nil" w:sz="6" w:space="0" w:color="auto"/>
            </w:tcBorders>
          </w:tcPr>
          <w:p>
            <w:pPr/>
          </w:p>
        </w:tc>
        <w:tc>
          <w:tcPr>
            <w:tcW w:w="1509" w:type="dxa"/>
            <w:tcBorders>
              <w:top w:val="single" w:sz="12" w:space="0" w:color="000000"/>
              <w:left w:val="nil" w:sz="6" w:space="0" w:color="auto"/>
              <w:bottom w:val="nil" w:sz="6" w:space="0" w:color="auto"/>
              <w:right w:val="nil" w:sz="6" w:space="0" w:color="auto"/>
            </w:tcBorders>
          </w:tcPr>
          <w:p>
            <w:pPr/>
          </w:p>
        </w:tc>
        <w:tc>
          <w:tcPr>
            <w:tcW w:w="57" w:type="dxa"/>
            <w:tcBorders>
              <w:top w:val="single" w:sz="12" w:space="0" w:color="000000"/>
              <w:left w:val="nil" w:sz="6" w:space="0" w:color="auto"/>
              <w:bottom w:val="nil" w:sz="6" w:space="0" w:color="auto"/>
              <w:right w:val="nil" w:sz="6" w:space="0" w:color="auto"/>
            </w:tcBorders>
          </w:tcPr>
          <w:p>
            <w:pPr/>
          </w:p>
        </w:tc>
        <w:tc>
          <w:tcPr>
            <w:tcW w:w="1417" w:type="dxa"/>
            <w:tcBorders>
              <w:top w:val="single" w:sz="12" w:space="0" w:color="000000"/>
              <w:left w:val="nil" w:sz="6" w:space="0" w:color="auto"/>
              <w:bottom w:val="nil" w:sz="6" w:space="0" w:color="auto"/>
              <w:right w:val="nil" w:sz="6" w:space="0" w:color="auto"/>
            </w:tcBorders>
          </w:tcPr>
          <w:p>
            <w:pPr/>
          </w:p>
        </w:tc>
        <w:tc>
          <w:tcPr>
            <w:tcW w:w="127" w:type="dxa"/>
            <w:tcBorders>
              <w:top w:val="single" w:sz="12" w:space="0" w:color="000000"/>
              <w:left w:val="nil" w:sz="6" w:space="0" w:color="auto"/>
              <w:bottom w:val="nil" w:sz="6" w:space="0" w:color="auto"/>
              <w:right w:val="nil" w:sz="6" w:space="0" w:color="auto"/>
            </w:tcBorders>
          </w:tcPr>
          <w:p>
            <w:pPr/>
          </w:p>
        </w:tc>
        <w:tc>
          <w:tcPr>
            <w:tcW w:w="1294" w:type="dxa"/>
            <w:tcBorders>
              <w:top w:val="single" w:sz="12" w:space="0" w:color="000000"/>
              <w:left w:val="nil" w:sz="6" w:space="0" w:color="auto"/>
              <w:bottom w:val="nil" w:sz="6" w:space="0" w:color="auto"/>
              <w:right w:val="nil" w:sz="6" w:space="0" w:color="auto"/>
            </w:tcBorders>
          </w:tcPr>
          <w:p>
            <w:pPr/>
          </w:p>
        </w:tc>
      </w:tr>
      <w:tr>
        <w:trPr>
          <w:trHeight w:val="347"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single" w:sz="4" w:space="0" w:color="000000"/>
              <w:right w:val="nil" w:sz="6" w:space="0" w:color="auto"/>
            </w:tcBorders>
          </w:tcPr>
          <w:p>
            <w:pPr/>
          </w:p>
        </w:tc>
        <w:tc>
          <w:tcPr>
            <w:tcW w:w="2585"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79"/>
              <w:ind w:left="10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63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30" w:hRule="exact"/>
        </w:trPr>
        <w:tc>
          <w:tcPr>
            <w:tcW w:w="778" w:type="dxa"/>
            <w:tcBorders>
              <w:top w:val="nil" w:sz="6" w:space="0" w:color="auto"/>
              <w:left w:val="nil" w:sz="6" w:space="0" w:color="auto"/>
              <w:bottom w:val="nil" w:sz="6" w:space="0" w:color="auto"/>
              <w:right w:val="nil" w:sz="6" w:space="0" w:color="auto"/>
            </w:tcBorders>
          </w:tcPr>
          <w:p>
            <w:pPr/>
          </w:p>
        </w:tc>
        <w:tc>
          <w:tcPr>
            <w:tcW w:w="3887"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right="23"/>
              <w:jc w:val="right"/>
              <w:rPr>
                <w:rFonts w:ascii="宋体" w:hAnsi="宋体" w:cs="宋体" w:eastAsia="宋体" w:hint="default"/>
                <w:sz w:val="18"/>
                <w:szCs w:val="18"/>
              </w:rPr>
            </w:pPr>
            <w:r>
              <w:rPr>
                <w:rFonts w:ascii="宋体" w:hAnsi="宋体" w:cs="宋体" w:eastAsia="宋体" w:hint="default"/>
                <w:sz w:val="18"/>
                <w:szCs w:val="18"/>
              </w:rPr>
              <w:t>应纳税暂时性</w:t>
            </w:r>
          </w:p>
          <w:p>
            <w:pPr>
              <w:pStyle w:val="TableParagraph"/>
              <w:spacing w:line="234" w:lineRule="exact"/>
              <w:ind w:right="23"/>
              <w:jc w:val="right"/>
              <w:rPr>
                <w:rFonts w:ascii="宋体" w:hAnsi="宋体" w:cs="宋体" w:eastAsia="宋体" w:hint="default"/>
                <w:sz w:val="18"/>
                <w:szCs w:val="18"/>
              </w:rPr>
            </w:pPr>
            <w:r>
              <w:rPr>
                <w:rFonts w:ascii="宋体" w:hAnsi="宋体" w:cs="宋体" w:eastAsia="宋体" w:hint="default"/>
                <w:sz w:val="18"/>
                <w:szCs w:val="18"/>
              </w:rPr>
              <w:t>差异</w:t>
            </w:r>
          </w:p>
        </w:tc>
        <w:tc>
          <w:tcPr>
            <w:tcW w:w="127" w:type="dxa"/>
            <w:tcBorders>
              <w:top w:val="single" w:sz="4" w:space="0" w:color="000000"/>
              <w:left w:val="nil" w:sz="6" w:space="0" w:color="auto"/>
              <w:bottom w:val="nil" w:sz="6" w:space="0" w:color="auto"/>
              <w:right w:val="nil" w:sz="6" w:space="0" w:color="auto"/>
            </w:tcBorders>
          </w:tcPr>
          <w:p>
            <w:pPr/>
          </w:p>
        </w:tc>
        <w:tc>
          <w:tcPr>
            <w:tcW w:w="1509" w:type="dxa"/>
            <w:tcBorders>
              <w:top w:val="single" w:sz="4" w:space="0" w:color="000000"/>
              <w:left w:val="nil" w:sz="6" w:space="0" w:color="auto"/>
              <w:bottom w:val="nil" w:sz="6" w:space="0" w:color="auto"/>
              <w:right w:val="nil" w:sz="6" w:space="0" w:color="auto"/>
            </w:tcBorders>
          </w:tcPr>
          <w:p>
            <w:pPr>
              <w:pStyle w:val="TableParagraph"/>
              <w:spacing w:line="205" w:lineRule="exact"/>
              <w:ind w:right="121"/>
              <w:jc w:val="righ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121"/>
              <w:jc w:val="right"/>
              <w:rPr>
                <w:rFonts w:ascii="宋体" w:hAnsi="宋体" w:cs="宋体" w:eastAsia="宋体" w:hint="default"/>
                <w:sz w:val="18"/>
                <w:szCs w:val="18"/>
              </w:rPr>
            </w:pPr>
            <w:r>
              <w:rPr>
                <w:rFonts w:ascii="宋体" w:hAnsi="宋体" w:cs="宋体" w:eastAsia="宋体" w:hint="default"/>
                <w:sz w:val="18"/>
                <w:szCs w:val="18"/>
              </w:rPr>
              <w:t>负债</w:t>
            </w: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05" w:lineRule="exact"/>
              <w:ind w:right="30"/>
              <w:jc w:val="right"/>
              <w:rPr>
                <w:rFonts w:ascii="宋体" w:hAnsi="宋体" w:cs="宋体" w:eastAsia="宋体" w:hint="default"/>
                <w:sz w:val="18"/>
                <w:szCs w:val="18"/>
              </w:rPr>
            </w:pPr>
            <w:r>
              <w:rPr>
                <w:rFonts w:ascii="宋体" w:hAnsi="宋体" w:cs="宋体" w:eastAsia="宋体" w:hint="default"/>
                <w:sz w:val="18"/>
                <w:szCs w:val="18"/>
              </w:rPr>
              <w:t>应纳税暂时性</w:t>
            </w:r>
          </w:p>
          <w:p>
            <w:pPr>
              <w:pStyle w:val="TableParagraph"/>
              <w:spacing w:line="234" w:lineRule="exact"/>
              <w:ind w:right="30"/>
              <w:jc w:val="right"/>
              <w:rPr>
                <w:rFonts w:ascii="宋体" w:hAnsi="宋体" w:cs="宋体" w:eastAsia="宋体" w:hint="default"/>
                <w:sz w:val="18"/>
                <w:szCs w:val="18"/>
              </w:rPr>
            </w:pPr>
            <w:r>
              <w:rPr>
                <w:rFonts w:ascii="宋体" w:hAnsi="宋体" w:cs="宋体" w:eastAsia="宋体" w:hint="default"/>
                <w:sz w:val="18"/>
                <w:szCs w:val="18"/>
              </w:rPr>
              <w:t>差异</w:t>
            </w:r>
          </w:p>
        </w:tc>
        <w:tc>
          <w:tcPr>
            <w:tcW w:w="127" w:type="dxa"/>
            <w:tcBorders>
              <w:top w:val="single" w:sz="4" w:space="0" w:color="000000"/>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17"/>
              <w:jc w:val="right"/>
              <w:rPr>
                <w:rFonts w:ascii="宋体" w:hAnsi="宋体" w:cs="宋体" w:eastAsia="宋体" w:hint="default"/>
                <w:sz w:val="18"/>
                <w:szCs w:val="18"/>
              </w:rPr>
            </w:pPr>
            <w:r>
              <w:rPr>
                <w:rFonts w:ascii="宋体" w:hAnsi="宋体" w:cs="宋体" w:eastAsia="宋体" w:hint="default"/>
                <w:sz w:val="18"/>
                <w:szCs w:val="18"/>
              </w:rPr>
              <w:t>负债</w:t>
            </w:r>
          </w:p>
        </w:tc>
      </w:tr>
      <w:tr>
        <w:trPr>
          <w:trHeight w:val="425"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5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4"/>
              <w:jc w:val="right"/>
              <w:rPr>
                <w:rFonts w:ascii="Arial" w:hAnsi="Arial" w:cs="Arial" w:eastAsia="Arial" w:hint="default"/>
                <w:sz w:val="18"/>
                <w:szCs w:val="18"/>
              </w:rPr>
            </w:pPr>
            <w:r>
              <w:rPr>
                <w:rFonts w:ascii="Arial"/>
                <w:spacing w:val="-1"/>
                <w:sz w:val="18"/>
              </w:rPr>
              <w:t>410,949</w:t>
            </w:r>
          </w:p>
        </w:tc>
        <w:tc>
          <w:tcPr>
            <w:tcW w:w="127"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716" w:right="0"/>
              <w:jc w:val="left"/>
              <w:rPr>
                <w:rFonts w:ascii="Arial" w:hAnsi="Arial" w:cs="Arial" w:eastAsia="Arial" w:hint="default"/>
                <w:sz w:val="18"/>
                <w:szCs w:val="18"/>
              </w:rPr>
            </w:pPr>
            <w:r>
              <w:rPr>
                <w:rFonts w:ascii="Arial"/>
                <w:sz w:val="18"/>
              </w:rPr>
              <w:t>132,603</w:t>
            </w: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6"/>
              <w:jc w:val="right"/>
              <w:rPr>
                <w:rFonts w:ascii="Arial" w:hAnsi="Arial" w:cs="Arial" w:eastAsia="Arial" w:hint="default"/>
                <w:sz w:val="18"/>
                <w:szCs w:val="18"/>
              </w:rPr>
            </w:pPr>
            <w:r>
              <w:rPr>
                <w:rFonts w:ascii="Arial"/>
                <w:spacing w:val="-1"/>
                <w:sz w:val="18"/>
              </w:rPr>
              <w:t>414,395</w:t>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6"/>
              <w:jc w:val="right"/>
              <w:rPr>
                <w:rFonts w:ascii="Arial" w:hAnsi="Arial" w:cs="Arial" w:eastAsia="Arial" w:hint="default"/>
                <w:sz w:val="18"/>
                <w:szCs w:val="18"/>
              </w:rPr>
            </w:pPr>
            <w:r>
              <w:rPr>
                <w:rFonts w:ascii="Arial"/>
                <w:spacing w:val="-1"/>
                <w:sz w:val="18"/>
              </w:rPr>
              <w:t>132,028</w:t>
            </w:r>
          </w:p>
        </w:tc>
      </w:tr>
      <w:tr>
        <w:trPr>
          <w:trHeight w:val="276"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Style w:val="TableParagraph"/>
              <w:spacing w:line="217" w:lineRule="exact"/>
              <w:ind w:left="150" w:right="0"/>
              <w:jc w:val="left"/>
              <w:rPr>
                <w:rFonts w:ascii="宋体" w:hAnsi="宋体" w:cs="宋体" w:eastAsia="宋体" w:hint="default"/>
                <w:sz w:val="18"/>
                <w:szCs w:val="18"/>
              </w:rPr>
            </w:pPr>
            <w:r>
              <w:rPr>
                <w:rFonts w:ascii="宋体" w:hAnsi="宋体" w:cs="宋体" w:eastAsia="宋体" w:hint="default"/>
                <w:sz w:val="18"/>
                <w:szCs w:val="18"/>
              </w:rPr>
              <w:t>未实现公允价值变动</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369,247</w:t>
            </w:r>
          </w:p>
        </w:tc>
        <w:tc>
          <w:tcPr>
            <w:tcW w:w="127"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16" w:right="0"/>
              <w:jc w:val="left"/>
              <w:rPr>
                <w:rFonts w:ascii="Arial" w:hAnsi="Arial" w:cs="Arial" w:eastAsia="Arial" w:hint="default"/>
                <w:sz w:val="18"/>
                <w:szCs w:val="18"/>
              </w:rPr>
            </w:pPr>
            <w:r>
              <w:rPr>
                <w:rFonts w:ascii="Arial"/>
                <w:sz w:val="18"/>
              </w:rPr>
              <w:t>91,502</w:t>
            </w: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221,525</w:t>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55,466</w:t>
            </w:r>
          </w:p>
        </w:tc>
      </w:tr>
      <w:tr>
        <w:trPr>
          <w:trHeight w:val="276"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Style w:val="TableParagraph"/>
              <w:spacing w:line="217" w:lineRule="exact"/>
              <w:ind w:left="172" w:right="0"/>
              <w:jc w:val="left"/>
              <w:rPr>
                <w:rFonts w:ascii="宋体" w:hAnsi="宋体" w:cs="宋体" w:eastAsia="宋体" w:hint="default"/>
                <w:sz w:val="18"/>
                <w:szCs w:val="18"/>
              </w:rPr>
            </w:pPr>
            <w:r>
              <w:rPr>
                <w:rFonts w:ascii="宋体" w:hAnsi="宋体" w:cs="宋体" w:eastAsia="宋体" w:hint="default"/>
                <w:sz w:val="18"/>
                <w:szCs w:val="18"/>
              </w:rPr>
              <w:t>利息资本化</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280,383</w:t>
            </w:r>
          </w:p>
        </w:tc>
        <w:tc>
          <w:tcPr>
            <w:tcW w:w="127"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16" w:right="0"/>
              <w:jc w:val="left"/>
              <w:rPr>
                <w:rFonts w:ascii="Arial" w:hAnsi="Arial" w:cs="Arial" w:eastAsia="Arial" w:hint="default"/>
                <w:sz w:val="18"/>
                <w:szCs w:val="18"/>
              </w:rPr>
            </w:pPr>
            <w:r>
              <w:rPr>
                <w:rFonts w:ascii="Arial"/>
                <w:sz w:val="18"/>
              </w:rPr>
              <w:t>70,096</w:t>
            </w: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159,485</w:t>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39,871</w:t>
            </w:r>
          </w:p>
        </w:tc>
      </w:tr>
      <w:tr>
        <w:trPr>
          <w:trHeight w:val="292"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Style w:val="TableParagraph"/>
              <w:tabs>
                <w:tab w:pos="2318" w:val="left" w:leader="none"/>
                <w:tab w:pos="3279" w:val="left" w:leader="none"/>
              </w:tabs>
              <w:spacing w:line="220" w:lineRule="exact"/>
              <w:ind w:left="172" w:right="-285"/>
              <w:jc w:val="left"/>
              <w:rPr>
                <w:rFonts w:ascii="Arial" w:hAnsi="Arial" w:cs="Arial" w:eastAsia="Arial" w:hint="default"/>
                <w:sz w:val="18"/>
                <w:szCs w:val="18"/>
              </w:rPr>
            </w:pPr>
            <w:r>
              <w:rPr>
                <w:rFonts w:ascii="宋体" w:hAnsi="宋体" w:cs="宋体" w:eastAsia="宋体" w:hint="default"/>
                <w:position w:val="1"/>
                <w:sz w:val="18"/>
                <w:szCs w:val="18"/>
              </w:rPr>
              <w:t>其他</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892"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36"/>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30,913</w:t>
              <w:tab/>
            </w:r>
            <w:r>
              <w:rPr>
                <w:rFonts w:ascii="Arial"/>
                <w:spacing w:val="-1"/>
                <w:sz w:val="18"/>
              </w:rPr>
            </w:r>
          </w:p>
        </w:tc>
        <w:tc>
          <w:tcPr>
            <w:tcW w:w="127"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tabs>
                <w:tab w:pos="916" w:val="left" w:leader="none"/>
                <w:tab w:pos="1424" w:val="left" w:leader="none"/>
              </w:tabs>
              <w:spacing w:line="240" w:lineRule="auto" w:before="36"/>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7,728</w:t>
              <w:tab/>
            </w:r>
            <w:r>
              <w:rPr>
                <w:rFonts w:ascii="Arial"/>
                <w:sz w:val="18"/>
              </w:rPr>
            </w:r>
          </w:p>
        </w:tc>
        <w:tc>
          <w:tcPr>
            <w:tcW w:w="5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tabs>
                <w:tab w:pos="808" w:val="left" w:leader="none"/>
                <w:tab w:pos="1417" w:val="left" w:leader="none"/>
              </w:tabs>
              <w:spacing w:line="240" w:lineRule="auto" w:before="36"/>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31,315</w:t>
              <w:tab/>
            </w:r>
            <w:r>
              <w:rPr>
                <w:rFonts w:ascii="Arial"/>
                <w:spacing w:val="-1"/>
                <w:sz w:val="18"/>
              </w:rPr>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tabs>
                <w:tab w:pos="771" w:val="left" w:leader="none"/>
                <w:tab w:pos="1279"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7,829</w:t>
              <w:tab/>
            </w:r>
            <w:r>
              <w:rPr>
                <w:rFonts w:ascii="Arial"/>
                <w:spacing w:val="-1"/>
                <w:sz w:val="18"/>
              </w:rPr>
            </w:r>
          </w:p>
        </w:tc>
      </w:tr>
      <w:tr>
        <w:trPr>
          <w:trHeight w:val="254" w:hRule="exact"/>
        </w:trPr>
        <w:tc>
          <w:tcPr>
            <w:tcW w:w="778"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single" w:sz="12" w:space="0" w:color="000000"/>
              <w:right w:val="nil" w:sz="6" w:space="0" w:color="auto"/>
            </w:tcBorders>
          </w:tcPr>
          <w:p>
            <w:pPr/>
          </w:p>
        </w:tc>
        <w:tc>
          <w:tcPr>
            <w:tcW w:w="89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4"/>
              <w:jc w:val="right"/>
              <w:rPr>
                <w:rFonts w:ascii="Arial" w:hAnsi="Arial" w:cs="Arial" w:eastAsia="Arial" w:hint="default"/>
                <w:sz w:val="18"/>
                <w:szCs w:val="18"/>
              </w:rPr>
            </w:pPr>
            <w:r>
              <w:rPr>
                <w:rFonts w:ascii="Arial"/>
                <w:spacing w:val="-1"/>
                <w:sz w:val="18"/>
              </w:rPr>
              <w:t>1,091,492</w:t>
            </w:r>
          </w:p>
        </w:tc>
        <w:tc>
          <w:tcPr>
            <w:tcW w:w="127"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716" w:right="0"/>
              <w:jc w:val="left"/>
              <w:rPr>
                <w:rFonts w:ascii="Arial" w:hAnsi="Arial" w:cs="Arial" w:eastAsia="Arial" w:hint="default"/>
                <w:sz w:val="18"/>
                <w:szCs w:val="18"/>
              </w:rPr>
            </w:pPr>
            <w:r>
              <w:rPr>
                <w:rFonts w:ascii="Arial"/>
                <w:sz w:val="18"/>
              </w:rPr>
              <w:t>301,929</w:t>
            </w:r>
          </w:p>
        </w:tc>
        <w:tc>
          <w:tcPr>
            <w:tcW w:w="57" w:type="dxa"/>
            <w:tcBorders>
              <w:top w:val="nil" w:sz="6" w:space="0" w:color="auto"/>
              <w:left w:val="nil" w:sz="6" w:space="0" w:color="auto"/>
              <w:bottom w:val="single" w:sz="12" w:space="0" w:color="000000"/>
              <w:right w:val="nil" w:sz="6" w:space="0" w:color="auto"/>
            </w:tcBorders>
          </w:tcPr>
          <w:p>
            <w:pPr/>
          </w:p>
        </w:tc>
        <w:tc>
          <w:tcPr>
            <w:tcW w:w="141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826,720</w:t>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235,194</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694"/>
        <w:gridCol w:w="4070"/>
        <w:gridCol w:w="1879"/>
        <w:gridCol w:w="2573"/>
      </w:tblGrid>
      <w:tr>
        <w:trPr>
          <w:trHeight w:val="206" w:hRule="exact"/>
        </w:trPr>
        <w:tc>
          <w:tcPr>
            <w:tcW w:w="694" w:type="dxa"/>
            <w:tcBorders>
              <w:top w:val="nil" w:sz="6" w:space="0" w:color="auto"/>
              <w:left w:val="nil" w:sz="6" w:space="0" w:color="auto"/>
              <w:bottom w:val="nil" w:sz="6" w:space="0" w:color="auto"/>
              <w:right w:val="nil" w:sz="6" w:space="0" w:color="auto"/>
            </w:tcBorders>
          </w:tcPr>
          <w:p>
            <w:pPr/>
          </w:p>
        </w:tc>
        <w:tc>
          <w:tcPr>
            <w:tcW w:w="4070" w:type="dxa"/>
            <w:tcBorders>
              <w:top w:val="nil" w:sz="6" w:space="0" w:color="auto"/>
              <w:left w:val="nil" w:sz="6" w:space="0" w:color="auto"/>
              <w:bottom w:val="nil" w:sz="6" w:space="0" w:color="auto"/>
              <w:right w:val="nil" w:sz="6" w:space="0" w:color="auto"/>
            </w:tcBorders>
          </w:tcPr>
          <w:p>
            <w:pPr>
              <w:pStyle w:val="TableParagraph"/>
              <w:spacing w:line="180" w:lineRule="exact"/>
              <w:ind w:left="27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79" w:type="dxa"/>
            <w:tcBorders>
              <w:top w:val="nil" w:sz="6" w:space="0" w:color="auto"/>
              <w:left w:val="nil" w:sz="6" w:space="0" w:color="auto"/>
              <w:bottom w:val="nil" w:sz="6" w:space="0" w:color="auto"/>
              <w:right w:val="nil" w:sz="6" w:space="0" w:color="auto"/>
            </w:tcBorders>
          </w:tcPr>
          <w:p>
            <w:pPr/>
          </w:p>
        </w:tc>
        <w:tc>
          <w:tcPr>
            <w:tcW w:w="2573" w:type="dxa"/>
            <w:tcBorders>
              <w:top w:val="nil" w:sz="6" w:space="0" w:color="auto"/>
              <w:left w:val="nil" w:sz="6" w:space="0" w:color="auto"/>
              <w:bottom w:val="nil" w:sz="6" w:space="0" w:color="auto"/>
              <w:right w:val="nil" w:sz="6" w:space="0" w:color="auto"/>
            </w:tcBorders>
          </w:tcPr>
          <w:p>
            <w:pPr/>
          </w:p>
        </w:tc>
      </w:tr>
      <w:tr>
        <w:trPr>
          <w:trHeight w:val="244" w:hRule="exact"/>
        </w:trPr>
        <w:tc>
          <w:tcPr>
            <w:tcW w:w="694" w:type="dxa"/>
            <w:tcBorders>
              <w:top w:val="nil" w:sz="6" w:space="0" w:color="auto"/>
              <w:left w:val="nil" w:sz="6" w:space="0" w:color="auto"/>
              <w:bottom w:val="nil" w:sz="6" w:space="0" w:color="auto"/>
              <w:right w:val="nil" w:sz="6" w:space="0" w:color="auto"/>
            </w:tcBorders>
          </w:tcPr>
          <w:p>
            <w:pPr/>
          </w:p>
        </w:tc>
        <w:tc>
          <w:tcPr>
            <w:tcW w:w="4070" w:type="dxa"/>
            <w:tcBorders>
              <w:top w:val="nil" w:sz="6" w:space="0" w:color="auto"/>
              <w:left w:val="nil" w:sz="6" w:space="0" w:color="auto"/>
              <w:bottom w:val="nil" w:sz="6" w:space="0" w:color="auto"/>
              <w:right w:val="nil" w:sz="6" w:space="0" w:color="auto"/>
            </w:tcBorders>
          </w:tcPr>
          <w:p>
            <w:pPr>
              <w:pStyle w:val="TableParagraph"/>
              <w:spacing w:line="219" w:lineRule="exact"/>
              <w:ind w:left="275"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年内</w:t>
            </w:r>
            <w:r>
              <w:rPr>
                <w:rFonts w:ascii="Arial" w:hAnsi="Arial" w:cs="Arial" w:eastAsia="Arial"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Arial" w:hAnsi="Arial" w:cs="Arial" w:eastAsia="Arial" w:hint="default"/>
                <w:sz w:val="18"/>
                <w:szCs w:val="18"/>
              </w:rPr>
              <w:t>)</w:t>
            </w:r>
            <w:r>
              <w:rPr>
                <w:rFonts w:ascii="宋体" w:hAnsi="宋体" w:cs="宋体" w:eastAsia="宋体" w:hint="default"/>
                <w:sz w:val="18"/>
                <w:szCs w:val="18"/>
              </w:rPr>
              <w:t>转回的金额</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11" w:right="0"/>
              <w:jc w:val="left"/>
              <w:rPr>
                <w:rFonts w:ascii="Arial" w:hAnsi="Arial" w:cs="Arial" w:eastAsia="Arial" w:hint="default"/>
                <w:sz w:val="18"/>
                <w:szCs w:val="18"/>
              </w:rPr>
            </w:pPr>
            <w:r>
              <w:rPr>
                <w:rFonts w:ascii="Arial"/>
                <w:sz w:val="18"/>
              </w:rPr>
              <w:t>16,538</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18"/>
                <w:szCs w:val="18"/>
              </w:rPr>
            </w:pPr>
            <w:r>
              <w:rPr>
                <w:rFonts w:ascii="Arial"/>
                <w:spacing w:val="-1"/>
                <w:sz w:val="18"/>
              </w:rPr>
              <w:t>32,260</w:t>
            </w:r>
          </w:p>
        </w:tc>
      </w:tr>
      <w:tr>
        <w:trPr>
          <w:trHeight w:val="237" w:hRule="exact"/>
        </w:trPr>
        <w:tc>
          <w:tcPr>
            <w:tcW w:w="694" w:type="dxa"/>
            <w:tcBorders>
              <w:top w:val="nil" w:sz="6" w:space="0" w:color="auto"/>
              <w:left w:val="nil" w:sz="6" w:space="0" w:color="auto"/>
              <w:bottom w:val="nil" w:sz="6" w:space="0" w:color="auto"/>
              <w:right w:val="nil" w:sz="6" w:space="0" w:color="auto"/>
            </w:tcBorders>
          </w:tcPr>
          <w:p>
            <w:pPr/>
          </w:p>
        </w:tc>
        <w:tc>
          <w:tcPr>
            <w:tcW w:w="4070" w:type="dxa"/>
            <w:tcBorders>
              <w:top w:val="nil" w:sz="6" w:space="0" w:color="auto"/>
              <w:left w:val="nil" w:sz="6" w:space="0" w:color="auto"/>
              <w:bottom w:val="nil" w:sz="6" w:space="0" w:color="auto"/>
              <w:right w:val="nil" w:sz="6" w:space="0" w:color="auto"/>
            </w:tcBorders>
          </w:tcPr>
          <w:p>
            <w:pPr>
              <w:pStyle w:val="TableParagraph"/>
              <w:spacing w:line="209" w:lineRule="exact"/>
              <w:ind w:left="275"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年后转回的金额</w:t>
            </w:r>
          </w:p>
        </w:tc>
        <w:tc>
          <w:tcPr>
            <w:tcW w:w="1879" w:type="dxa"/>
            <w:tcBorders>
              <w:top w:val="nil" w:sz="6" w:space="0" w:color="auto"/>
              <w:left w:val="nil" w:sz="6" w:space="0" w:color="auto"/>
              <w:bottom w:val="nil" w:sz="6" w:space="0" w:color="auto"/>
              <w:right w:val="nil" w:sz="6" w:space="0" w:color="auto"/>
            </w:tcBorders>
          </w:tcPr>
          <w:p>
            <w:pPr>
              <w:pStyle w:val="TableParagraph"/>
              <w:tabs>
                <w:tab w:pos="411" w:val="left" w:leader="none"/>
                <w:tab w:pos="1119"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285,391</w:t>
              <w:tab/>
            </w:r>
            <w:r>
              <w:rPr>
                <w:rFonts w:ascii="Arial"/>
                <w:sz w:val="18"/>
              </w:rPr>
            </w:r>
          </w:p>
        </w:tc>
        <w:tc>
          <w:tcPr>
            <w:tcW w:w="2573" w:type="dxa"/>
            <w:tcBorders>
              <w:top w:val="nil" w:sz="6" w:space="0" w:color="auto"/>
              <w:left w:val="nil" w:sz="6" w:space="0" w:color="auto"/>
              <w:bottom w:val="nil" w:sz="6" w:space="0" w:color="auto"/>
              <w:right w:val="nil" w:sz="6" w:space="0" w:color="auto"/>
            </w:tcBorders>
          </w:tcPr>
          <w:p>
            <w:pPr>
              <w:pStyle w:val="TableParagraph"/>
              <w:tabs>
                <w:tab w:pos="779" w:val="left" w:leader="none"/>
                <w:tab w:pos="1487"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202,934</w:t>
              <w:tab/>
            </w:r>
            <w:r>
              <w:rPr>
                <w:rFonts w:ascii="Arial"/>
                <w:spacing w:val="-1"/>
                <w:sz w:val="18"/>
              </w:rPr>
            </w:r>
          </w:p>
        </w:tc>
      </w:tr>
      <w:tr>
        <w:trPr>
          <w:trHeight w:val="219" w:hRule="exact"/>
        </w:trPr>
        <w:tc>
          <w:tcPr>
            <w:tcW w:w="694" w:type="dxa"/>
            <w:tcBorders>
              <w:top w:val="nil" w:sz="6" w:space="0" w:color="auto"/>
              <w:left w:val="nil" w:sz="6" w:space="0" w:color="auto"/>
              <w:bottom w:val="nil" w:sz="6" w:space="0" w:color="auto"/>
              <w:right w:val="nil" w:sz="6" w:space="0" w:color="auto"/>
            </w:tcBorders>
          </w:tcPr>
          <w:p>
            <w:pPr/>
          </w:p>
        </w:tc>
        <w:tc>
          <w:tcPr>
            <w:tcW w:w="4070"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12" w:space="0" w:color="000000"/>
              <w:right w:val="nil" w:sz="6" w:space="0" w:color="auto"/>
            </w:tcBorders>
          </w:tcPr>
          <w:p>
            <w:pPr>
              <w:pStyle w:val="TableParagraph"/>
              <w:spacing w:line="203" w:lineRule="exact"/>
              <w:ind w:left="411" w:right="0"/>
              <w:jc w:val="left"/>
              <w:rPr>
                <w:rFonts w:ascii="Arial" w:hAnsi="Arial" w:cs="Arial" w:eastAsia="Arial" w:hint="default"/>
                <w:sz w:val="18"/>
                <w:szCs w:val="18"/>
              </w:rPr>
            </w:pPr>
            <w:r>
              <w:rPr>
                <w:rFonts w:ascii="Arial"/>
                <w:sz w:val="18"/>
              </w:rPr>
              <w:t>301,929</w:t>
            </w:r>
          </w:p>
        </w:tc>
        <w:tc>
          <w:tcPr>
            <w:tcW w:w="2573" w:type="dxa"/>
            <w:tcBorders>
              <w:top w:val="nil" w:sz="6" w:space="0" w:color="auto"/>
              <w:left w:val="nil" w:sz="6" w:space="0" w:color="auto"/>
              <w:bottom w:val="single" w:sz="12" w:space="0" w:color="000000"/>
              <w:right w:val="nil" w:sz="6" w:space="0" w:color="auto"/>
            </w:tcBorders>
          </w:tcPr>
          <w:p>
            <w:pPr>
              <w:pStyle w:val="TableParagraph"/>
              <w:spacing w:line="203" w:lineRule="exact"/>
              <w:ind w:right="56"/>
              <w:jc w:val="right"/>
              <w:rPr>
                <w:rFonts w:ascii="Arial" w:hAnsi="Arial" w:cs="Arial" w:eastAsia="Arial" w:hint="default"/>
                <w:sz w:val="18"/>
                <w:szCs w:val="18"/>
              </w:rPr>
            </w:pPr>
            <w:r>
              <w:rPr>
                <w:rFonts w:ascii="Arial"/>
                <w:spacing w:val="-1"/>
                <w:sz w:val="18"/>
              </w:rPr>
              <w:t>235,194</w:t>
            </w:r>
          </w:p>
        </w:tc>
      </w:tr>
      <w:tr>
        <w:trPr>
          <w:trHeight w:val="739" w:hRule="exact"/>
        </w:trPr>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5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4" w:right="0"/>
              <w:jc w:val="left"/>
              <w:rPr>
                <w:rFonts w:ascii="宋体" w:hAnsi="宋体" w:cs="宋体" w:eastAsia="宋体" w:hint="default"/>
                <w:sz w:val="24"/>
                <w:szCs w:val="24"/>
              </w:rPr>
            </w:pPr>
            <w:r>
              <w:rPr>
                <w:rFonts w:ascii="宋体" w:hAnsi="宋体" w:cs="宋体" w:eastAsia="宋体" w:hint="default"/>
                <w:sz w:val="24"/>
                <w:szCs w:val="24"/>
              </w:rPr>
              <w:t>本集团未确认递延所得税资产的可抵扣暂时性差异及可抵扣亏损分析如下：</w:t>
            </w:r>
          </w:p>
        </w:tc>
      </w:tr>
      <w:tr>
        <w:trPr>
          <w:trHeight w:val="593" w:hRule="exact"/>
        </w:trPr>
        <w:tc>
          <w:tcPr>
            <w:tcW w:w="694" w:type="dxa"/>
            <w:tcBorders>
              <w:top w:val="nil" w:sz="6" w:space="0" w:color="auto"/>
              <w:left w:val="nil" w:sz="6" w:space="0" w:color="auto"/>
              <w:bottom w:val="nil" w:sz="6" w:space="0" w:color="auto"/>
              <w:right w:val="nil" w:sz="6" w:space="0" w:color="auto"/>
            </w:tcBorders>
          </w:tcPr>
          <w:p>
            <w:pPr/>
          </w:p>
        </w:tc>
        <w:tc>
          <w:tcPr>
            <w:tcW w:w="5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37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694" w:type="dxa"/>
            <w:tcBorders>
              <w:top w:val="nil" w:sz="6" w:space="0" w:color="auto"/>
              <w:left w:val="nil" w:sz="6" w:space="0" w:color="auto"/>
              <w:bottom w:val="nil" w:sz="6" w:space="0" w:color="auto"/>
              <w:right w:val="nil" w:sz="6" w:space="0" w:color="auto"/>
            </w:tcBorders>
          </w:tcPr>
          <w:p>
            <w:pPr/>
          </w:p>
        </w:tc>
        <w:tc>
          <w:tcPr>
            <w:tcW w:w="407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4" w:right="0"/>
              <w:jc w:val="left"/>
              <w:rPr>
                <w:rFonts w:ascii="Arial" w:hAnsi="Arial" w:cs="Arial" w:eastAsia="Arial" w:hint="default"/>
                <w:sz w:val="24"/>
                <w:szCs w:val="24"/>
              </w:rPr>
            </w:pPr>
            <w:r>
              <w:rPr>
                <w:rFonts w:ascii="宋体" w:hAnsi="宋体" w:cs="宋体" w:eastAsia="宋体" w:hint="default"/>
                <w:sz w:val="24"/>
                <w:szCs w:val="24"/>
              </w:rPr>
              <w:t>可抵扣暂时性差异</w:t>
            </w:r>
            <w:r>
              <w:rPr>
                <w:rFonts w:ascii="Arial" w:hAnsi="Arial" w:cs="Arial" w:eastAsia="Arial" w:hint="default"/>
                <w:sz w:val="24"/>
                <w:szCs w:val="24"/>
              </w:rPr>
              <w:t>(i)</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25" w:right="0"/>
              <w:jc w:val="left"/>
              <w:rPr>
                <w:rFonts w:ascii="Arial" w:hAnsi="Arial" w:cs="Arial" w:eastAsia="Arial" w:hint="default"/>
                <w:sz w:val="24"/>
                <w:szCs w:val="24"/>
              </w:rPr>
            </w:pPr>
            <w:r>
              <w:rPr>
                <w:rFonts w:ascii="Arial"/>
                <w:sz w:val="24"/>
              </w:rPr>
              <w:t>160,428</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6"/>
              <w:jc w:val="right"/>
              <w:rPr>
                <w:rFonts w:ascii="Arial" w:hAnsi="Arial" w:cs="Arial" w:eastAsia="Arial" w:hint="default"/>
                <w:sz w:val="24"/>
                <w:szCs w:val="24"/>
              </w:rPr>
            </w:pPr>
            <w:r>
              <w:rPr>
                <w:rFonts w:ascii="Arial"/>
                <w:spacing w:val="-1"/>
                <w:sz w:val="24"/>
              </w:rPr>
              <w:t>140,725</w:t>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4070" w:type="dxa"/>
            <w:tcBorders>
              <w:top w:val="nil" w:sz="6" w:space="0" w:color="auto"/>
              <w:left w:val="nil" w:sz="6" w:space="0" w:color="auto"/>
              <w:bottom w:val="nil" w:sz="6" w:space="0" w:color="auto"/>
              <w:right w:val="nil" w:sz="6" w:space="0" w:color="auto"/>
            </w:tcBorders>
          </w:tcPr>
          <w:p>
            <w:pPr>
              <w:pStyle w:val="TableParagraph"/>
              <w:tabs>
                <w:tab w:pos="3046" w:val="left" w:leader="none"/>
                <w:tab w:pos="4395" w:val="left" w:leader="none"/>
              </w:tabs>
              <w:spacing w:line="274" w:lineRule="exact"/>
              <w:ind w:left="214" w:right="-326"/>
              <w:jc w:val="left"/>
              <w:rPr>
                <w:rFonts w:ascii="Arial" w:hAnsi="Arial" w:cs="Arial" w:eastAsia="Arial" w:hint="default"/>
                <w:sz w:val="24"/>
                <w:szCs w:val="24"/>
              </w:rPr>
            </w:pPr>
            <w:r>
              <w:rPr>
                <w:rFonts w:ascii="宋体" w:hAnsi="宋体" w:cs="宋体" w:eastAsia="宋体" w:hint="default"/>
                <w:position w:val="2"/>
                <w:sz w:val="24"/>
                <w:szCs w:val="24"/>
              </w:rPr>
              <w:t>可抵扣亏损</w:t>
            </w:r>
            <w:r>
              <w:rPr>
                <w:rFonts w:ascii="Arial" w:hAnsi="Arial" w:cs="Arial" w:eastAsia="Arial" w:hint="default"/>
                <w:position w:val="2"/>
                <w:sz w:val="24"/>
                <w:szCs w:val="24"/>
              </w:rPr>
              <w:t>(ii)</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879" w:type="dxa"/>
            <w:tcBorders>
              <w:top w:val="nil" w:sz="6" w:space="0" w:color="auto"/>
              <w:left w:val="nil" w:sz="6" w:space="0" w:color="auto"/>
              <w:bottom w:val="nil" w:sz="6" w:space="0" w:color="auto"/>
              <w:right w:val="nil" w:sz="6" w:space="0" w:color="auto"/>
            </w:tcBorders>
          </w:tcPr>
          <w:p>
            <w:pPr>
              <w:pStyle w:val="TableParagraph"/>
              <w:tabs>
                <w:tab w:pos="1686" w:val="left" w:leader="none"/>
                <w:tab w:pos="3343" w:val="left" w:leader="none"/>
              </w:tabs>
              <w:spacing w:line="240" w:lineRule="auto" w:before="18"/>
              <w:ind w:left="325" w:right="-1466"/>
              <w:jc w:val="left"/>
              <w:rPr>
                <w:rFonts w:ascii="Arial" w:hAnsi="Arial" w:cs="Arial" w:eastAsia="Arial" w:hint="default"/>
                <w:sz w:val="24"/>
                <w:szCs w:val="24"/>
              </w:rPr>
            </w:pPr>
            <w:r>
              <w:rPr>
                <w:rFonts w:ascii="Arial"/>
                <w:w w:val="99"/>
                <w:sz w:val="24"/>
              </w:rPr>
            </w:r>
            <w:r>
              <w:rPr>
                <w:rFonts w:ascii="Arial"/>
                <w:sz w:val="24"/>
                <w:u w:val="single" w:color="000000"/>
              </w:rPr>
              <w:t>2,279,709</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r>
            <w:r>
              <w:rPr>
                <w:rFonts w:ascii="Arial"/>
                <w:spacing w:val="-3"/>
                <w:sz w:val="24"/>
                <w:u w:val="single" w:color="000000"/>
              </w:rPr>
              <w:t>3,255,116</w:t>
            </w:r>
            <w:r>
              <w:rPr>
                <w:rFonts w:ascii="Arial"/>
                <w:spacing w:val="-3"/>
                <w:sz w:val="24"/>
              </w:rPr>
            </w:r>
          </w:p>
        </w:tc>
      </w:tr>
      <w:tr>
        <w:trPr>
          <w:trHeight w:val="438" w:hRule="exact"/>
        </w:trPr>
        <w:tc>
          <w:tcPr>
            <w:tcW w:w="694" w:type="dxa"/>
            <w:tcBorders>
              <w:top w:val="nil" w:sz="6" w:space="0" w:color="auto"/>
              <w:left w:val="nil" w:sz="6" w:space="0" w:color="auto"/>
              <w:bottom w:val="nil" w:sz="6" w:space="0" w:color="auto"/>
              <w:right w:val="nil" w:sz="6" w:space="0" w:color="auto"/>
            </w:tcBorders>
          </w:tcPr>
          <w:p>
            <w:pPr/>
          </w:p>
        </w:tc>
        <w:tc>
          <w:tcPr>
            <w:tcW w:w="5949" w:type="dxa"/>
            <w:gridSpan w:val="2"/>
            <w:tcBorders>
              <w:top w:val="nil" w:sz="6" w:space="0" w:color="auto"/>
              <w:left w:val="nil" w:sz="6" w:space="0" w:color="auto"/>
              <w:bottom w:val="nil" w:sz="6" w:space="0" w:color="auto"/>
              <w:right w:val="nil" w:sz="6" w:space="0" w:color="auto"/>
            </w:tcBorders>
          </w:tcPr>
          <w:p>
            <w:pPr>
              <w:pStyle w:val="TableParagraph"/>
              <w:tabs>
                <w:tab w:pos="4395" w:val="left" w:leader="none"/>
                <w:tab w:pos="5756" w:val="left" w:leader="none"/>
                <w:tab w:pos="7395" w:val="left" w:leader="none"/>
              </w:tabs>
              <w:spacing w:line="269" w:lineRule="exact"/>
              <w:ind w:left="3046" w:right="-144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2,440,137</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573" w:type="dxa"/>
            <w:tcBorders>
              <w:top w:val="nil" w:sz="6" w:space="0" w:color="auto"/>
              <w:left w:val="nil" w:sz="6" w:space="0" w:color="auto"/>
              <w:bottom w:val="nil" w:sz="6" w:space="0" w:color="auto"/>
              <w:right w:val="nil" w:sz="6" w:space="0" w:color="auto"/>
            </w:tcBorders>
          </w:tcPr>
          <w:p>
            <w:pPr>
              <w:pStyle w:val="TableParagraph"/>
              <w:spacing w:line="269" w:lineRule="exact"/>
              <w:ind w:right="56"/>
              <w:jc w:val="right"/>
              <w:rPr>
                <w:rFonts w:ascii="Arial" w:hAnsi="Arial" w:cs="Arial" w:eastAsia="Arial" w:hint="default"/>
                <w:sz w:val="24"/>
                <w:szCs w:val="24"/>
              </w:rPr>
            </w:pPr>
            <w:r>
              <w:rPr>
                <w:rFonts w:ascii="Arial"/>
                <w:w w:val="99"/>
                <w:sz w:val="24"/>
              </w:rPr>
            </w:r>
            <w:r>
              <w:rPr>
                <w:rFonts w:ascii="Arial"/>
                <w:w w:val="95"/>
                <w:sz w:val="24"/>
                <w:u w:val="thick" w:color="000000"/>
              </w:rPr>
              <w:t>3,395,841</w:t>
            </w:r>
            <w:r>
              <w:rPr>
                <w:rFonts w:ascii="Arial"/>
                <w:w w:val="95"/>
                <w:sz w:val="24"/>
              </w:rPr>
            </w:r>
            <w:r>
              <w:rPr>
                <w:rFonts w:ascii="Arial"/>
                <w:sz w:val="24"/>
              </w:rPr>
            </w:r>
          </w:p>
        </w:tc>
      </w:tr>
      <w:tr>
        <w:trPr>
          <w:trHeight w:val="899" w:hRule="exact"/>
        </w:trPr>
        <w:tc>
          <w:tcPr>
            <w:tcW w:w="694" w:type="dxa"/>
            <w:tcBorders>
              <w:top w:val="nil" w:sz="6" w:space="0" w:color="auto"/>
              <w:left w:val="nil" w:sz="6" w:space="0" w:color="auto"/>
              <w:bottom w:val="nil" w:sz="6" w:space="0" w:color="auto"/>
              <w:right w:val="nil" w:sz="6" w:space="0" w:color="auto"/>
            </w:tcBorders>
          </w:tcPr>
          <w:p>
            <w:pPr/>
          </w:p>
        </w:tc>
        <w:tc>
          <w:tcPr>
            <w:tcW w:w="8521"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33"/>
              <w:ind w:left="214" w:right="66"/>
              <w:jc w:val="left"/>
              <w:rPr>
                <w:rFonts w:ascii="宋体" w:hAnsi="宋体" w:cs="宋体" w:eastAsia="宋体" w:hint="default"/>
                <w:sz w:val="24"/>
                <w:szCs w:val="24"/>
              </w:rPr>
            </w:pPr>
            <w:r>
              <w:rPr>
                <w:rFonts w:ascii="宋体" w:hAnsi="宋体" w:cs="宋体" w:eastAsia="宋体" w:hint="default"/>
                <w:spacing w:val="2"/>
                <w:sz w:val="24"/>
                <w:szCs w:val="24"/>
              </w:rPr>
              <w:t>递延所得税资产的确认以很可能取得用来抵扣可抵扣暂时性差异、可抵扣亏损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和税款抵减的应纳税所得额为限。</w:t>
            </w:r>
          </w:p>
        </w:tc>
      </w:tr>
      <w:tr>
        <w:trPr>
          <w:trHeight w:val="1048" w:hRule="exact"/>
        </w:trPr>
        <w:tc>
          <w:tcPr>
            <w:tcW w:w="694" w:type="dxa"/>
            <w:tcBorders>
              <w:top w:val="nil" w:sz="6" w:space="0" w:color="auto"/>
              <w:left w:val="nil" w:sz="6" w:space="0" w:color="auto"/>
              <w:bottom w:val="nil" w:sz="6" w:space="0" w:color="auto"/>
              <w:right w:val="nil" w:sz="6" w:space="0" w:color="auto"/>
            </w:tcBorders>
          </w:tcPr>
          <w:p>
            <w:pPr/>
          </w:p>
        </w:tc>
        <w:tc>
          <w:tcPr>
            <w:tcW w:w="8521"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99"/>
              <w:ind w:left="214" w:right="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于</w:t>
            </w:r>
            <w:r>
              <w:rPr>
                <w:rFonts w:ascii="宋体" w:hAnsi="宋体" w:cs="宋体" w:eastAsia="宋体" w:hint="default"/>
                <w:spacing w:val="-42"/>
                <w:sz w:val="24"/>
                <w:szCs w:val="24"/>
              </w:rPr>
              <w:t> </w:t>
            </w:r>
            <w:r>
              <w:rPr>
                <w:rFonts w:ascii="Arial" w:hAnsi="Arial" w:cs="Arial" w:eastAsia="Arial" w:hint="default"/>
                <w:sz w:val="24"/>
                <w:szCs w:val="24"/>
              </w:rPr>
              <w:t>2015</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2"/>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z w:val="24"/>
                <w:szCs w:val="24"/>
              </w:rPr>
              <w:t>日，本集团并未就可抵扣暂时性差异约人民币</w:t>
            </w:r>
            <w:r>
              <w:rPr>
                <w:rFonts w:ascii="宋体" w:hAnsi="宋体" w:cs="宋体" w:eastAsia="宋体" w:hint="default"/>
                <w:spacing w:val="-42"/>
                <w:sz w:val="24"/>
                <w:szCs w:val="24"/>
              </w:rPr>
              <w:t> </w:t>
            </w:r>
            <w:r>
              <w:rPr>
                <w:rFonts w:ascii="Arial" w:hAnsi="Arial" w:cs="Arial" w:eastAsia="Arial" w:hint="default"/>
                <w:sz w:val="24"/>
                <w:szCs w:val="24"/>
              </w:rPr>
              <w:t>1.6</w:t>
            </w:r>
            <w:r>
              <w:rPr>
                <w:rFonts w:ascii="Arial" w:hAnsi="Arial" w:cs="Arial" w:eastAsia="Arial" w:hint="default"/>
                <w:spacing w:val="11"/>
                <w:sz w:val="24"/>
                <w:szCs w:val="24"/>
              </w:rPr>
              <w:t> </w:t>
            </w:r>
            <w:r>
              <w:rPr>
                <w:rFonts w:ascii="宋体" w:hAnsi="宋体" w:cs="宋体" w:eastAsia="宋体" w:hint="default"/>
                <w:sz w:val="24"/>
                <w:szCs w:val="24"/>
              </w:rPr>
              <w:t>亿元</w:t>
            </w:r>
          </w:p>
          <w:p>
            <w:pPr>
              <w:pStyle w:val="TableParagraph"/>
              <w:spacing w:line="311" w:lineRule="exact"/>
              <w:ind w:left="214" w:right="0"/>
              <w:jc w:val="left"/>
              <w:rPr>
                <w:rFonts w:ascii="Arial" w:hAnsi="Arial" w:cs="Arial" w:eastAsia="Arial" w:hint="default"/>
                <w:sz w:val="24"/>
                <w:szCs w:val="24"/>
              </w:rPr>
            </w:pPr>
            <w:r>
              <w:rPr>
                <w:rFonts w:ascii="Arial" w:hAnsi="Arial" w:cs="Arial" w:eastAsia="Arial" w:hint="default"/>
                <w:sz w:val="24"/>
                <w:szCs w:val="24"/>
              </w:rPr>
              <w:t>(2014</w:t>
            </w:r>
            <w:r>
              <w:rPr>
                <w:rFonts w:ascii="Arial" w:hAnsi="Arial" w:cs="Arial" w:eastAsia="Arial" w:hint="default"/>
                <w:spacing w:val="2"/>
                <w:sz w:val="24"/>
                <w:szCs w:val="24"/>
              </w:rPr>
              <w:t> </w:t>
            </w:r>
            <w:r>
              <w:rPr>
                <w:rFonts w:ascii="宋体" w:hAnsi="宋体" w:cs="宋体" w:eastAsia="宋体" w:hint="default"/>
                <w:sz w:val="24"/>
                <w:szCs w:val="24"/>
              </w:rPr>
              <w:t>年：约人民币</w:t>
            </w:r>
            <w:r>
              <w:rPr>
                <w:rFonts w:ascii="宋体" w:hAnsi="宋体" w:cs="宋体" w:eastAsia="宋体" w:hint="default"/>
                <w:spacing w:val="-51"/>
                <w:sz w:val="24"/>
                <w:szCs w:val="24"/>
              </w:rPr>
              <w:t> </w:t>
            </w:r>
            <w:r>
              <w:rPr>
                <w:rFonts w:ascii="Arial" w:hAnsi="Arial" w:cs="Arial" w:eastAsia="Arial" w:hint="default"/>
                <w:sz w:val="24"/>
                <w:szCs w:val="24"/>
              </w:rPr>
              <w:t>1.41</w:t>
            </w:r>
            <w:r>
              <w:rPr>
                <w:rFonts w:ascii="Arial" w:hAnsi="Arial" w:cs="Arial" w:eastAsia="Arial" w:hint="default"/>
                <w:spacing w:val="2"/>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确认递延所得税资产约人民币</w:t>
            </w:r>
            <w:r>
              <w:rPr>
                <w:rFonts w:ascii="宋体" w:hAnsi="宋体" w:cs="宋体" w:eastAsia="宋体" w:hint="default"/>
                <w:spacing w:val="-50"/>
                <w:sz w:val="24"/>
                <w:szCs w:val="24"/>
              </w:rPr>
              <w:t> </w:t>
            </w:r>
            <w:r>
              <w:rPr>
                <w:rFonts w:ascii="Arial" w:hAnsi="Arial" w:cs="Arial" w:eastAsia="Arial" w:hint="default"/>
                <w:sz w:val="24"/>
                <w:szCs w:val="24"/>
              </w:rPr>
              <w:t>5,621</w:t>
            </w:r>
            <w:r>
              <w:rPr>
                <w:rFonts w:ascii="Arial" w:hAnsi="Arial" w:cs="Arial" w:eastAsia="Arial" w:hint="default"/>
                <w:spacing w:val="2"/>
                <w:sz w:val="24"/>
                <w:szCs w:val="24"/>
              </w:rPr>
              <w:t> </w:t>
            </w:r>
            <w:r>
              <w:rPr>
                <w:rFonts w:ascii="宋体" w:hAnsi="宋体" w:cs="宋体" w:eastAsia="宋体" w:hint="default"/>
                <w:sz w:val="24"/>
                <w:szCs w:val="24"/>
              </w:rPr>
              <w:t>万元</w:t>
            </w:r>
            <w:r>
              <w:rPr>
                <w:rFonts w:ascii="Arial" w:hAnsi="Arial" w:cs="Arial" w:eastAsia="Arial" w:hint="default"/>
                <w:sz w:val="24"/>
                <w:szCs w:val="24"/>
              </w:rPr>
              <w:t>(2014</w:t>
            </w:r>
          </w:p>
          <w:p>
            <w:pPr>
              <w:pStyle w:val="TableParagraph"/>
              <w:spacing w:line="321" w:lineRule="exact"/>
              <w:ind w:left="214" w:right="0"/>
              <w:jc w:val="left"/>
              <w:rPr>
                <w:rFonts w:ascii="宋体" w:hAnsi="宋体" w:cs="宋体" w:eastAsia="宋体" w:hint="default"/>
                <w:sz w:val="24"/>
                <w:szCs w:val="24"/>
              </w:rPr>
            </w:pPr>
            <w:r>
              <w:rPr>
                <w:rFonts w:ascii="宋体" w:hAnsi="宋体" w:cs="宋体" w:eastAsia="宋体" w:hint="default"/>
                <w:sz w:val="24"/>
                <w:szCs w:val="24"/>
              </w:rPr>
              <w:t>年：约人民币</w:t>
            </w:r>
            <w:r>
              <w:rPr>
                <w:rFonts w:ascii="宋体" w:hAnsi="宋体" w:cs="宋体" w:eastAsia="宋体" w:hint="default"/>
                <w:spacing w:val="-62"/>
                <w:sz w:val="24"/>
                <w:szCs w:val="24"/>
              </w:rPr>
              <w:t> </w:t>
            </w:r>
            <w:r>
              <w:rPr>
                <w:rFonts w:ascii="Arial" w:hAnsi="Arial" w:cs="Arial" w:eastAsia="Arial" w:hint="default"/>
                <w:sz w:val="24"/>
                <w:szCs w:val="24"/>
              </w:rPr>
              <w:t>4,919</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21" w:lineRule="exact"/>
        <w:jc w:val="left"/>
        <w:rPr>
          <w:rFonts w:ascii="宋体" w:hAnsi="宋体" w:cs="宋体" w:eastAsia="宋体" w:hint="default"/>
          <w:sz w:val="24"/>
          <w:szCs w:val="24"/>
        </w:rPr>
        <w:sectPr>
          <w:pgSz w:w="11910" w:h="16840"/>
          <w:pgMar w:header="755" w:footer="914" w:top="1860" w:bottom="1100" w:left="140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736"/>
        <w:gridCol w:w="2966"/>
        <w:gridCol w:w="3139"/>
        <w:gridCol w:w="2661"/>
      </w:tblGrid>
      <w:tr>
        <w:trPr>
          <w:trHeight w:val="39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966"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139" w:type="dxa"/>
            <w:tcBorders>
              <w:top w:val="nil" w:sz="6" w:space="0" w:color="auto"/>
              <w:left w:val="nil" w:sz="6" w:space="0" w:color="auto"/>
              <w:bottom w:val="nil" w:sz="6" w:space="0" w:color="auto"/>
              <w:right w:val="nil" w:sz="6" w:space="0" w:color="auto"/>
            </w:tcBorders>
          </w:tcPr>
          <w:p>
            <w:pPr/>
          </w:p>
        </w:tc>
        <w:tc>
          <w:tcPr>
            <w:tcW w:w="2661" w:type="dxa"/>
            <w:tcBorders>
              <w:top w:val="nil" w:sz="6" w:space="0" w:color="auto"/>
              <w:left w:val="nil" w:sz="6" w:space="0" w:color="auto"/>
              <w:bottom w:val="nil" w:sz="6" w:space="0" w:color="auto"/>
              <w:right w:val="nil" w:sz="6" w:space="0" w:color="auto"/>
            </w:tcBorders>
          </w:tcPr>
          <w:p>
            <w:pPr/>
          </w:p>
        </w:tc>
      </w:tr>
      <w:tr>
        <w:trPr>
          <w:trHeight w:val="539"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0" w:right="0"/>
              <w:jc w:val="left"/>
              <w:rPr>
                <w:rFonts w:ascii="Arial" w:hAnsi="Arial" w:cs="Arial" w:eastAsia="Arial" w:hint="default"/>
                <w:sz w:val="24"/>
                <w:szCs w:val="24"/>
              </w:rPr>
            </w:pPr>
            <w:r>
              <w:rPr>
                <w:rFonts w:ascii="Arial"/>
                <w:sz w:val="24"/>
              </w:rPr>
              <w:t>(20)</w:t>
            </w:r>
          </w:p>
        </w:tc>
        <w:tc>
          <w:tcPr>
            <w:tcW w:w="6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Arial" w:hAnsi="Arial" w:cs="Arial" w:eastAsia="Arial" w:hint="default"/>
                <w:sz w:val="24"/>
                <w:szCs w:val="24"/>
              </w:rPr>
            </w:pPr>
            <w:r>
              <w:rPr>
                <w:rFonts w:ascii="黑体" w:hAnsi="黑体" w:cs="黑体" w:eastAsia="黑体" w:hint="default"/>
                <w:sz w:val="24"/>
                <w:szCs w:val="24"/>
              </w:rPr>
              <w:t>递延所得税资产和递延所得税负债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61" w:type="dxa"/>
            <w:tcBorders>
              <w:top w:val="nil" w:sz="6" w:space="0" w:color="auto"/>
              <w:left w:val="nil" w:sz="6" w:space="0" w:color="auto"/>
              <w:bottom w:val="nil" w:sz="6" w:space="0" w:color="auto"/>
              <w:right w:val="nil" w:sz="6" w:space="0" w:color="auto"/>
            </w:tcBorders>
          </w:tcPr>
          <w:p>
            <w:pPr/>
          </w:p>
        </w:tc>
      </w:tr>
      <w:tr>
        <w:trPr>
          <w:trHeight w:val="54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0" w:right="0"/>
              <w:jc w:val="left"/>
              <w:rPr>
                <w:rFonts w:ascii="Arial" w:hAnsi="Arial" w:cs="Arial" w:eastAsia="Arial" w:hint="default"/>
                <w:sz w:val="24"/>
                <w:szCs w:val="24"/>
              </w:rPr>
            </w:pPr>
            <w:r>
              <w:rPr>
                <w:rFonts w:ascii="Arial"/>
                <w:sz w:val="24"/>
              </w:rPr>
              <w:t>(c)</w:t>
            </w:r>
          </w:p>
        </w:tc>
        <w:tc>
          <w:tcPr>
            <w:tcW w:w="87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宋体" w:hAnsi="宋体" w:cs="宋体" w:eastAsia="宋体" w:hint="default"/>
                <w:sz w:val="24"/>
                <w:szCs w:val="24"/>
              </w:rPr>
            </w:pPr>
            <w:r>
              <w:rPr>
                <w:rFonts w:ascii="宋体" w:hAnsi="宋体" w:cs="宋体" w:eastAsia="宋体" w:hint="default"/>
                <w:sz w:val="24"/>
                <w:szCs w:val="24"/>
              </w:rPr>
              <w:t>本集团未确认递延所得税资产的可抵扣暂时性差异及可抵扣亏损分析如下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1157" w:hRule="exact"/>
        </w:trPr>
        <w:tc>
          <w:tcPr>
            <w:tcW w:w="9502"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69"/>
              <w:ind w:left="844" w:right="0"/>
              <w:jc w:val="left"/>
              <w:rPr>
                <w:rFonts w:ascii="Arial" w:hAnsi="Arial" w:cs="Arial" w:eastAsia="Arial" w:hint="default"/>
                <w:sz w:val="24"/>
                <w:szCs w:val="24"/>
              </w:rPr>
            </w:pPr>
            <w:r>
              <w:rPr>
                <w:rFonts w:ascii="Arial" w:hAnsi="Arial" w:cs="Arial" w:eastAsia="Arial" w:hint="default"/>
                <w:sz w:val="24"/>
                <w:szCs w:val="24"/>
              </w:rPr>
              <w:t>(ii)</w:t>
            </w:r>
            <w:r>
              <w:rPr>
                <w:rFonts w:ascii="Arial" w:hAnsi="Arial" w:cs="Arial" w:eastAsia="Arial" w:hint="default"/>
                <w:spacing w:val="22"/>
                <w:sz w:val="24"/>
                <w:szCs w:val="24"/>
              </w:rPr>
              <w:t> </w:t>
            </w: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2015</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日，本集团并未就可抵扣亏损约人民币</w:t>
            </w:r>
            <w:r>
              <w:rPr>
                <w:rFonts w:ascii="宋体" w:hAnsi="宋体" w:cs="宋体" w:eastAsia="宋体" w:hint="default"/>
                <w:spacing w:val="-54"/>
                <w:sz w:val="24"/>
                <w:szCs w:val="24"/>
              </w:rPr>
              <w:t> </w:t>
            </w:r>
            <w:r>
              <w:rPr>
                <w:rFonts w:ascii="Arial" w:hAnsi="Arial" w:cs="Arial" w:eastAsia="Arial" w:hint="default"/>
                <w:sz w:val="24"/>
                <w:szCs w:val="24"/>
              </w:rPr>
              <w:t>22.80</w:t>
            </w:r>
            <w:r>
              <w:rPr>
                <w:rFonts w:ascii="Arial" w:hAnsi="Arial" w:cs="Arial" w:eastAsia="Arial" w:hint="default"/>
                <w:spacing w:val="-1"/>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p>
          <w:p>
            <w:pPr>
              <w:pStyle w:val="TableParagraph"/>
              <w:spacing w:line="311" w:lineRule="exact"/>
              <w:ind w:left="844" w:right="0"/>
              <w:jc w:val="left"/>
              <w:rPr>
                <w:rFonts w:ascii="宋体" w:hAnsi="宋体" w:cs="宋体" w:eastAsia="宋体" w:hint="default"/>
                <w:sz w:val="24"/>
                <w:szCs w:val="24"/>
              </w:rPr>
            </w:pPr>
            <w:r>
              <w:rPr>
                <w:rFonts w:ascii="宋体" w:hAnsi="宋体" w:cs="宋体" w:eastAsia="宋体" w:hint="default"/>
                <w:spacing w:val="-9"/>
                <w:sz w:val="24"/>
                <w:szCs w:val="24"/>
              </w:rPr>
              <w:t>年：约人民</w:t>
            </w:r>
            <w:r>
              <w:rPr>
                <w:rFonts w:ascii="宋体" w:hAnsi="宋体" w:cs="宋体" w:eastAsia="宋体" w:hint="default"/>
                <w:spacing w:val="-61"/>
                <w:sz w:val="24"/>
                <w:szCs w:val="24"/>
              </w:rPr>
              <w:t> </w:t>
            </w:r>
            <w:r>
              <w:rPr>
                <w:rFonts w:ascii="Arial" w:hAnsi="Arial" w:cs="Arial" w:eastAsia="Arial" w:hint="default"/>
                <w:sz w:val="24"/>
                <w:szCs w:val="24"/>
              </w:rPr>
              <w:t>32.55</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确认递延所得税资产约人民币</w:t>
            </w:r>
            <w:r>
              <w:rPr>
                <w:rFonts w:ascii="宋体" w:hAnsi="宋体" w:cs="宋体" w:eastAsia="宋体" w:hint="default"/>
                <w:spacing w:val="-61"/>
                <w:sz w:val="24"/>
                <w:szCs w:val="24"/>
              </w:rPr>
              <w:t> </w:t>
            </w:r>
            <w:r>
              <w:rPr>
                <w:rFonts w:ascii="Arial" w:hAnsi="Arial" w:cs="Arial" w:eastAsia="Arial" w:hint="default"/>
                <w:sz w:val="24"/>
                <w:szCs w:val="24"/>
              </w:rPr>
              <w:t>5.23</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pacing w:val="-9"/>
                <w:sz w:val="24"/>
                <w:szCs w:val="24"/>
              </w:rPr>
              <w:t>年：约人民</w:t>
            </w:r>
          </w:p>
          <w:p>
            <w:pPr>
              <w:pStyle w:val="TableParagraph"/>
              <w:spacing w:line="322" w:lineRule="exact"/>
              <w:ind w:left="844" w:right="0"/>
              <w:jc w:val="left"/>
              <w:rPr>
                <w:rFonts w:ascii="宋体" w:hAnsi="宋体" w:cs="宋体" w:eastAsia="宋体" w:hint="default"/>
                <w:sz w:val="24"/>
                <w:szCs w:val="24"/>
              </w:rPr>
            </w:pPr>
            <w:r>
              <w:rPr>
                <w:rFonts w:ascii="宋体" w:hAnsi="宋体" w:cs="宋体" w:eastAsia="宋体" w:hint="default"/>
                <w:sz w:val="24"/>
                <w:szCs w:val="24"/>
              </w:rPr>
              <w:t>币</w:t>
            </w:r>
            <w:r>
              <w:rPr>
                <w:rFonts w:ascii="宋体" w:hAnsi="宋体" w:cs="宋体" w:eastAsia="宋体" w:hint="default"/>
                <w:spacing w:val="-61"/>
                <w:sz w:val="24"/>
                <w:szCs w:val="24"/>
              </w:rPr>
              <w:t> </w:t>
            </w:r>
            <w:r>
              <w:rPr>
                <w:rFonts w:ascii="Arial" w:hAnsi="Arial" w:cs="Arial" w:eastAsia="Arial" w:hint="default"/>
                <w:sz w:val="24"/>
                <w:szCs w:val="24"/>
              </w:rPr>
              <w:t>6.82</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536"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Arial" w:hAnsi="Arial" w:cs="Arial" w:eastAsia="Arial" w:hint="default"/>
                <w:sz w:val="24"/>
                <w:szCs w:val="24"/>
              </w:rPr>
            </w:pPr>
            <w:r>
              <w:rPr>
                <w:rFonts w:ascii="Arial"/>
                <w:sz w:val="24"/>
              </w:rPr>
              <w:t>(d)</w:t>
            </w:r>
          </w:p>
        </w:tc>
        <w:tc>
          <w:tcPr>
            <w:tcW w:w="6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108" w:right="-4"/>
              <w:jc w:val="left"/>
              <w:rPr>
                <w:rFonts w:ascii="宋体" w:hAnsi="宋体" w:cs="宋体" w:eastAsia="宋体" w:hint="default"/>
                <w:sz w:val="24"/>
                <w:szCs w:val="24"/>
              </w:rPr>
            </w:pPr>
            <w:r>
              <w:rPr>
                <w:rFonts w:ascii="宋体" w:hAnsi="宋体" w:cs="宋体" w:eastAsia="宋体" w:hint="default"/>
                <w:sz w:val="24"/>
                <w:szCs w:val="24"/>
              </w:rPr>
              <w:t>未确认递延所得税资产的可抵扣亏损将于以下年度到期：</w:t>
            </w:r>
          </w:p>
        </w:tc>
        <w:tc>
          <w:tcPr>
            <w:tcW w:w="2661" w:type="dxa"/>
            <w:tcBorders>
              <w:top w:val="nil" w:sz="6" w:space="0" w:color="auto"/>
              <w:left w:val="nil" w:sz="6" w:space="0" w:color="auto"/>
              <w:bottom w:val="nil" w:sz="6" w:space="0" w:color="auto"/>
              <w:right w:val="nil" w:sz="6" w:space="0" w:color="auto"/>
            </w:tcBorders>
          </w:tcPr>
          <w:p>
            <w:pPr/>
          </w:p>
        </w:tc>
      </w:tr>
      <w:tr>
        <w:trPr>
          <w:trHeight w:val="544"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77"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9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33"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29" w:right="0"/>
              <w:jc w:val="left"/>
              <w:rPr>
                <w:rFonts w:ascii="Arial" w:hAnsi="Arial" w:cs="Arial" w:eastAsia="Arial" w:hint="default"/>
                <w:sz w:val="24"/>
                <w:szCs w:val="24"/>
              </w:rPr>
            </w:pPr>
            <w:r>
              <w:rPr>
                <w:rFonts w:ascii="Arial"/>
                <w:sz w:val="24"/>
              </w:rPr>
              <w:t>37,440</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9"/>
              <w:jc w:val="right"/>
              <w:rPr>
                <w:rFonts w:ascii="Arial" w:hAnsi="Arial" w:cs="Arial" w:eastAsia="Arial" w:hint="default"/>
                <w:sz w:val="24"/>
                <w:szCs w:val="24"/>
              </w:rPr>
            </w:pPr>
            <w:r>
              <w:rPr>
                <w:rFonts w:ascii="Arial"/>
                <w:spacing w:val="-1"/>
                <w:sz w:val="24"/>
              </w:rPr>
              <w:t>637,559</w:t>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2"/>
              <w:jc w:val="right"/>
              <w:rPr>
                <w:rFonts w:ascii="Arial" w:hAnsi="Arial" w:cs="Arial" w:eastAsia="Arial" w:hint="default"/>
                <w:sz w:val="24"/>
                <w:szCs w:val="24"/>
              </w:rPr>
            </w:pPr>
            <w:r>
              <w:rPr>
                <w:rFonts w:ascii="Arial"/>
                <w:w w:val="95"/>
                <w:sz w:val="24"/>
              </w:rPr>
              <w:t>1,316</w:t>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2,005</w:t>
            </w:r>
            <w:r>
              <w:rPr>
                <w:rFonts w:ascii="Arial"/>
                <w:sz w:val="24"/>
              </w:rPr>
            </w:r>
          </w:p>
        </w:tc>
      </w:tr>
      <w:tr>
        <w:trPr>
          <w:trHeight w:val="317"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29" w:right="0"/>
              <w:jc w:val="left"/>
              <w:rPr>
                <w:rFonts w:ascii="Arial" w:hAnsi="Arial" w:cs="Arial" w:eastAsia="Arial" w:hint="default"/>
                <w:sz w:val="24"/>
                <w:szCs w:val="24"/>
              </w:rPr>
            </w:pPr>
            <w:r>
              <w:rPr>
                <w:rFonts w:ascii="Arial"/>
                <w:sz w:val="24"/>
              </w:rPr>
              <w:t>27,689</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27,689</w:t>
            </w:r>
            <w:r>
              <w:rPr>
                <w:rFonts w:ascii="Arial"/>
                <w:sz w:val="24"/>
              </w:rPr>
            </w:r>
          </w:p>
        </w:tc>
      </w:tr>
      <w:tr>
        <w:trPr>
          <w:trHeight w:val="32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84" w:lineRule="exact"/>
              <w:ind w:left="108" w:right="0"/>
              <w:jc w:val="left"/>
              <w:rPr>
                <w:rFonts w:ascii="宋体" w:hAnsi="宋体" w:cs="宋体" w:eastAsia="宋体" w:hint="default"/>
                <w:sz w:val="24"/>
                <w:szCs w:val="24"/>
              </w:rPr>
            </w:pPr>
            <w:r>
              <w:rPr>
                <w:rFonts w:ascii="Arial" w:hAnsi="Arial" w:cs="Arial" w:eastAsia="Arial" w:hint="default"/>
                <w:sz w:val="24"/>
                <w:szCs w:val="24"/>
              </w:rPr>
              <w:t>2018</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896" w:right="0"/>
              <w:jc w:val="left"/>
              <w:rPr>
                <w:rFonts w:ascii="Arial" w:hAnsi="Arial" w:cs="Arial" w:eastAsia="Arial" w:hint="default"/>
                <w:sz w:val="24"/>
                <w:szCs w:val="24"/>
              </w:rPr>
            </w:pPr>
            <w:r>
              <w:rPr>
                <w:rFonts w:ascii="Arial"/>
                <w:sz w:val="24"/>
              </w:rPr>
              <w:t>814,345</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8"/>
              <w:jc w:val="right"/>
              <w:rPr>
                <w:rFonts w:ascii="Arial" w:hAnsi="Arial" w:cs="Arial" w:eastAsia="Arial" w:hint="default"/>
                <w:sz w:val="24"/>
                <w:szCs w:val="24"/>
              </w:rPr>
            </w:pPr>
            <w:r>
              <w:rPr>
                <w:rFonts w:ascii="Arial"/>
                <w:w w:val="95"/>
                <w:sz w:val="24"/>
              </w:rPr>
              <w:t>1,313,040</w:t>
            </w:r>
            <w:r>
              <w:rPr>
                <w:rFonts w:ascii="Arial"/>
                <w:sz w:val="24"/>
              </w:rPr>
            </w:r>
          </w:p>
        </w:tc>
      </w:tr>
      <w:tr>
        <w:trPr>
          <w:trHeight w:val="316"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84" w:lineRule="exact"/>
              <w:ind w:left="108" w:right="0"/>
              <w:jc w:val="left"/>
              <w:rPr>
                <w:rFonts w:ascii="宋体" w:hAnsi="宋体" w:cs="宋体" w:eastAsia="宋体" w:hint="default"/>
                <w:sz w:val="24"/>
                <w:szCs w:val="24"/>
              </w:rPr>
            </w:pPr>
            <w:r>
              <w:rPr>
                <w:rFonts w:ascii="Arial" w:hAnsi="Arial" w:cs="Arial" w:eastAsia="Arial" w:hint="default"/>
                <w:sz w:val="24"/>
                <w:szCs w:val="24"/>
              </w:rPr>
              <w:t>2019</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97" w:right="0"/>
              <w:jc w:val="left"/>
              <w:rPr>
                <w:rFonts w:ascii="Arial" w:hAnsi="Arial" w:cs="Arial" w:eastAsia="Arial" w:hint="default"/>
                <w:sz w:val="24"/>
                <w:szCs w:val="24"/>
              </w:rPr>
            </w:pPr>
            <w:r>
              <w:rPr>
                <w:rFonts w:ascii="Arial"/>
                <w:sz w:val="24"/>
              </w:rPr>
              <w:t>928,634</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9"/>
              <w:jc w:val="right"/>
              <w:rPr>
                <w:rFonts w:ascii="Arial" w:hAnsi="Arial" w:cs="Arial" w:eastAsia="Arial" w:hint="default"/>
                <w:sz w:val="24"/>
                <w:szCs w:val="24"/>
              </w:rPr>
            </w:pPr>
            <w:r>
              <w:rPr>
                <w:rFonts w:ascii="Arial"/>
                <w:spacing w:val="-1"/>
                <w:sz w:val="24"/>
              </w:rPr>
              <w:t>928,656</w:t>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2020</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97" w:right="0"/>
              <w:jc w:val="left"/>
              <w:rPr>
                <w:rFonts w:ascii="Arial" w:hAnsi="Arial" w:cs="Arial" w:eastAsia="Arial" w:hint="default"/>
                <w:sz w:val="24"/>
                <w:szCs w:val="24"/>
              </w:rPr>
            </w:pPr>
            <w:r>
              <w:rPr>
                <w:rFonts w:ascii="Arial"/>
                <w:sz w:val="24"/>
              </w:rPr>
              <w:t>223,417</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1"/>
                <w:sz w:val="24"/>
              </w:rPr>
              <w:t>159,451</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2021</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31" w:right="0"/>
              <w:jc w:val="left"/>
              <w:rPr>
                <w:rFonts w:ascii="Arial" w:hAnsi="Arial" w:cs="Arial" w:eastAsia="Arial" w:hint="default"/>
                <w:sz w:val="24"/>
                <w:szCs w:val="24"/>
              </w:rPr>
            </w:pPr>
            <w:r>
              <w:rPr>
                <w:rFonts w:ascii="Arial"/>
                <w:sz w:val="24"/>
              </w:rPr>
              <w:t>94,906</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8"/>
              <w:jc w:val="right"/>
              <w:rPr>
                <w:rFonts w:ascii="Arial" w:hAnsi="Arial" w:cs="Arial" w:eastAsia="Arial" w:hint="default"/>
                <w:sz w:val="24"/>
                <w:szCs w:val="24"/>
              </w:rPr>
            </w:pPr>
            <w:r>
              <w:rPr>
                <w:rFonts w:ascii="Arial"/>
                <w:w w:val="95"/>
                <w:sz w:val="24"/>
              </w:rPr>
              <w:t>94,906</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2022</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31" w:right="0"/>
              <w:jc w:val="left"/>
              <w:rPr>
                <w:rFonts w:ascii="Arial" w:hAnsi="Arial" w:cs="Arial" w:eastAsia="Arial" w:hint="default"/>
                <w:sz w:val="24"/>
                <w:szCs w:val="24"/>
              </w:rPr>
            </w:pPr>
            <w:r>
              <w:rPr>
                <w:rFonts w:ascii="Arial"/>
                <w:sz w:val="24"/>
              </w:rPr>
              <w:t>34,247</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34,247</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2023</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2"/>
              <w:jc w:val="right"/>
              <w:rPr>
                <w:rFonts w:ascii="Arial" w:hAnsi="Arial" w:cs="Arial" w:eastAsia="Arial" w:hint="default"/>
                <w:sz w:val="24"/>
                <w:szCs w:val="24"/>
              </w:rPr>
            </w:pPr>
            <w:r>
              <w:rPr>
                <w:rFonts w:ascii="Arial"/>
                <w:spacing w:val="-1"/>
                <w:w w:val="95"/>
                <w:sz w:val="24"/>
              </w:rPr>
              <w:t>121</w:t>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spacing w:val="-1"/>
                <w:w w:val="95"/>
                <w:sz w:val="24"/>
              </w:rPr>
              <w:t>121</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2024</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2"/>
              <w:jc w:val="right"/>
              <w:rPr>
                <w:rFonts w:ascii="Arial" w:hAnsi="Arial" w:cs="Arial" w:eastAsia="Arial" w:hint="default"/>
                <w:sz w:val="24"/>
                <w:szCs w:val="24"/>
              </w:rPr>
            </w:pPr>
            <w:r>
              <w:rPr>
                <w:rFonts w:ascii="Arial"/>
                <w:w w:val="95"/>
                <w:sz w:val="24"/>
              </w:rPr>
              <w:t>2,572</w:t>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2033</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2"/>
              <w:jc w:val="right"/>
              <w:rPr>
                <w:rFonts w:ascii="Arial" w:hAnsi="Arial" w:cs="Arial" w:eastAsia="Arial" w:hint="default"/>
                <w:sz w:val="24"/>
                <w:szCs w:val="24"/>
              </w:rPr>
            </w:pPr>
            <w:r>
              <w:rPr>
                <w:rFonts w:ascii="Arial"/>
                <w:w w:val="95"/>
                <w:sz w:val="24"/>
              </w:rPr>
              <w:t>5,518</w:t>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5,518</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2034</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31" w:right="0"/>
              <w:jc w:val="left"/>
              <w:rPr>
                <w:rFonts w:ascii="Arial" w:hAnsi="Arial" w:cs="Arial" w:eastAsia="Arial" w:hint="default"/>
                <w:sz w:val="24"/>
                <w:szCs w:val="24"/>
              </w:rPr>
            </w:pPr>
            <w:r>
              <w:rPr>
                <w:rFonts w:ascii="Arial"/>
                <w:sz w:val="24"/>
              </w:rPr>
              <w:t>34,757</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34,757</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2035</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31" w:right="0"/>
              <w:jc w:val="left"/>
              <w:rPr>
                <w:rFonts w:ascii="Arial" w:hAnsi="Arial" w:cs="Arial" w:eastAsia="Arial" w:hint="default"/>
                <w:sz w:val="24"/>
                <w:szCs w:val="24"/>
              </w:rPr>
            </w:pPr>
            <w:r>
              <w:rPr>
                <w:rFonts w:ascii="Arial"/>
                <w:sz w:val="24"/>
              </w:rPr>
              <w:t>12,132</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无到期日</w:t>
            </w:r>
          </w:p>
        </w:tc>
        <w:tc>
          <w:tcPr>
            <w:tcW w:w="3139" w:type="dxa"/>
            <w:tcBorders>
              <w:top w:val="nil" w:sz="6" w:space="0" w:color="auto"/>
              <w:left w:val="nil" w:sz="6" w:space="0" w:color="auto"/>
              <w:bottom w:val="nil" w:sz="6" w:space="0" w:color="auto"/>
              <w:right w:val="nil" w:sz="6" w:space="0" w:color="auto"/>
            </w:tcBorders>
          </w:tcPr>
          <w:p>
            <w:pPr>
              <w:pStyle w:val="TableParagraph"/>
              <w:tabs>
                <w:tab w:pos="2029" w:val="left" w:leader="none"/>
                <w:tab w:pos="4865" w:val="left" w:leader="none"/>
              </w:tabs>
              <w:spacing w:line="240" w:lineRule="auto" w:before="18"/>
              <w:ind w:left="335" w:right="-1727"/>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62,615</w:t>
            </w:r>
            <w:r>
              <w:rPr>
                <w:rFonts w:ascii="Arial"/>
                <w:sz w:val="24"/>
              </w:rPr>
              <w:t>   </w:t>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r>
            <w:r>
              <w:rPr>
                <w:rFonts w:ascii="Arial"/>
                <w:w w:val="95"/>
                <w:sz w:val="24"/>
                <w:u w:val="single" w:color="000000"/>
              </w:rPr>
              <w:t>17,167</w:t>
            </w:r>
            <w:r>
              <w:rPr>
                <w:rFonts w:ascii="Arial"/>
                <w:w w:val="95"/>
                <w:sz w:val="24"/>
              </w:rPr>
            </w:r>
            <w:r>
              <w:rPr>
                <w:rFonts w:ascii="Arial"/>
                <w:sz w:val="24"/>
              </w:rPr>
            </w:r>
          </w:p>
        </w:tc>
      </w:tr>
      <w:tr>
        <w:trPr>
          <w:trHeight w:val="263"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
        </w:tc>
        <w:tc>
          <w:tcPr>
            <w:tcW w:w="3139" w:type="dxa"/>
            <w:tcBorders>
              <w:top w:val="nil" w:sz="6" w:space="0" w:color="auto"/>
              <w:left w:val="nil" w:sz="6" w:space="0" w:color="auto"/>
              <w:bottom w:val="nil" w:sz="6" w:space="0" w:color="auto"/>
              <w:right w:val="nil" w:sz="6" w:space="0" w:color="auto"/>
            </w:tcBorders>
          </w:tcPr>
          <w:p>
            <w:pPr>
              <w:pStyle w:val="TableParagraph"/>
              <w:tabs>
                <w:tab w:pos="1696" w:val="left" w:leader="none"/>
                <w:tab w:pos="4550" w:val="left" w:leader="none"/>
              </w:tabs>
              <w:spacing w:line="269" w:lineRule="exact"/>
              <w:ind w:left="321" w:right="-141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2,279,709</w:t>
            </w:r>
            <w:r>
              <w:rPr>
                <w:rFonts w:ascii="Arial"/>
                <w:sz w:val="24"/>
              </w:rPr>
              <w:t>  </w:t>
            </w:r>
            <w:r>
              <w:rPr>
                <w:rFonts w:ascii="Arial"/>
                <w:spacing w:val="-15"/>
                <w:sz w:val="24"/>
              </w:rPr>
              <w:t> </w:t>
            </w:r>
            <w:r>
              <w:rPr>
                <w:rFonts w:ascii="Arial"/>
                <w:spacing w:val="-15"/>
                <w:w w:val="100"/>
                <w:sz w:val="24"/>
              </w:rPr>
            </w:r>
            <w:r>
              <w:rPr>
                <w:rFonts w:ascii="Arial"/>
                <w:w w:val="100"/>
                <w:sz w:val="24"/>
                <w:u w:val="thick" w:color="000000"/>
              </w:rPr>
              <w:t> </w:t>
            </w:r>
            <w:r>
              <w:rPr>
                <w:rFonts w:ascii="Arial"/>
                <w:sz w:val="24"/>
                <w:u w:val="thick" w:color="000000"/>
              </w:rPr>
              <w:tab/>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69" w:lineRule="exact"/>
              <w:ind w:right="199"/>
              <w:jc w:val="right"/>
              <w:rPr>
                <w:rFonts w:ascii="Arial" w:hAnsi="Arial" w:cs="Arial" w:eastAsia="Arial" w:hint="default"/>
                <w:sz w:val="24"/>
                <w:szCs w:val="24"/>
              </w:rPr>
            </w:pPr>
            <w:r>
              <w:rPr>
                <w:rFonts w:ascii="Arial"/>
                <w:w w:val="99"/>
                <w:sz w:val="24"/>
              </w:rPr>
            </w:r>
            <w:r>
              <w:rPr>
                <w:rFonts w:ascii="Arial"/>
                <w:spacing w:val="-3"/>
                <w:sz w:val="24"/>
                <w:u w:val="thick" w:color="000000"/>
              </w:rPr>
              <w:t>3,255,116</w:t>
            </w:r>
            <w:r>
              <w:rPr>
                <w:rFonts w:ascii="Arial"/>
                <w:spacing w:val="-3"/>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57"/>
        <w:gridCol w:w="2133"/>
        <w:gridCol w:w="1843"/>
        <w:gridCol w:w="1264"/>
        <w:gridCol w:w="148"/>
        <w:gridCol w:w="2026"/>
        <w:gridCol w:w="1299"/>
      </w:tblGrid>
      <w:tr>
        <w:trPr>
          <w:trHeight w:val="453" w:hRule="exact"/>
        </w:trPr>
        <w:tc>
          <w:tcPr>
            <w:tcW w:w="65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7414" w:type="dxa"/>
            <w:gridSpan w:val="5"/>
            <w:tcBorders>
              <w:top w:val="nil" w:sz="6" w:space="0" w:color="auto"/>
              <w:left w:val="nil" w:sz="6" w:space="0" w:color="auto"/>
              <w:bottom w:val="nil" w:sz="6" w:space="0" w:color="auto"/>
              <w:right w:val="nil" w:sz="6" w:space="0" w:color="auto"/>
            </w:tcBorders>
          </w:tcPr>
          <w:p>
            <w:pPr>
              <w:pStyle w:val="TableParagraph"/>
              <w:spacing w:line="247" w:lineRule="exact"/>
              <w:ind w:left="164" w:right="0"/>
              <w:jc w:val="left"/>
              <w:rPr>
                <w:rFonts w:ascii="宋体" w:hAnsi="宋体" w:cs="宋体" w:eastAsia="宋体" w:hint="default"/>
                <w:sz w:val="24"/>
                <w:szCs w:val="24"/>
              </w:rPr>
            </w:pPr>
            <w:r>
              <w:rPr>
                <w:rFonts w:ascii="宋体" w:hAnsi="宋体" w:cs="宋体" w:eastAsia="宋体" w:hint="default"/>
                <w:sz w:val="24"/>
                <w:szCs w:val="24"/>
              </w:rPr>
              <w:t>抵销后的递延所得税资产和递延所得税负债净额列示如下：</w:t>
            </w:r>
          </w:p>
        </w:tc>
        <w:tc>
          <w:tcPr>
            <w:tcW w:w="1299" w:type="dxa"/>
            <w:tcBorders>
              <w:top w:val="nil" w:sz="6" w:space="0" w:color="auto"/>
              <w:left w:val="nil" w:sz="6" w:space="0" w:color="auto"/>
              <w:bottom w:val="nil" w:sz="6" w:space="0" w:color="auto"/>
              <w:right w:val="nil" w:sz="6" w:space="0" w:color="auto"/>
            </w:tcBorders>
          </w:tcPr>
          <w:p>
            <w:pPr/>
          </w:p>
        </w:tc>
      </w:tr>
      <w:tr>
        <w:trPr>
          <w:trHeight w:val="458" w:hRule="exact"/>
        </w:trPr>
        <w:tc>
          <w:tcPr>
            <w:tcW w:w="657"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
        </w:tc>
        <w:tc>
          <w:tcPr>
            <w:tcW w:w="310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0"/>
              <w:ind w:left="77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47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0"/>
              <w:ind w:left="103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96" w:hRule="exact"/>
        </w:trPr>
        <w:tc>
          <w:tcPr>
            <w:tcW w:w="657"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37"/>
              <w:jc w:val="right"/>
              <w:rPr>
                <w:rFonts w:ascii="宋体" w:hAnsi="宋体" w:cs="宋体" w:eastAsia="宋体" w:hint="default"/>
                <w:sz w:val="18"/>
                <w:szCs w:val="18"/>
              </w:rPr>
            </w:pPr>
            <w:r>
              <w:rPr>
                <w:rFonts w:ascii="宋体" w:hAnsi="宋体" w:cs="宋体" w:eastAsia="宋体" w:hint="default"/>
                <w:sz w:val="18"/>
                <w:szCs w:val="18"/>
              </w:rPr>
              <w:t>互抵金额</w:t>
            </w: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7"/>
              <w:jc w:val="right"/>
              <w:rPr>
                <w:rFonts w:ascii="宋体" w:hAnsi="宋体" w:cs="宋体" w:eastAsia="宋体" w:hint="default"/>
                <w:sz w:val="18"/>
                <w:szCs w:val="18"/>
              </w:rPr>
            </w:pPr>
            <w:r>
              <w:rPr>
                <w:rFonts w:ascii="宋体" w:hAnsi="宋体" w:cs="宋体" w:eastAsia="宋体" w:hint="default"/>
                <w:sz w:val="18"/>
                <w:szCs w:val="18"/>
              </w:rPr>
              <w:t>抵销后余额</w:t>
            </w:r>
          </w:p>
        </w:tc>
        <w:tc>
          <w:tcPr>
            <w:tcW w:w="148" w:type="dxa"/>
            <w:tcBorders>
              <w:top w:val="nil" w:sz="6" w:space="0" w:color="auto"/>
              <w:left w:val="nil" w:sz="6" w:space="0" w:color="auto"/>
              <w:bottom w:val="nil" w:sz="6" w:space="0" w:color="auto"/>
              <w:right w:val="nil" w:sz="6" w:space="0" w:color="auto"/>
            </w:tcBorders>
          </w:tcPr>
          <w:p>
            <w:pP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38"/>
              <w:jc w:val="right"/>
              <w:rPr>
                <w:rFonts w:ascii="宋体" w:hAnsi="宋体" w:cs="宋体" w:eastAsia="宋体" w:hint="default"/>
                <w:sz w:val="18"/>
                <w:szCs w:val="18"/>
              </w:rPr>
            </w:pPr>
            <w:r>
              <w:rPr>
                <w:rFonts w:ascii="宋体" w:hAnsi="宋体" w:cs="宋体" w:eastAsia="宋体" w:hint="default"/>
                <w:sz w:val="18"/>
                <w:szCs w:val="18"/>
              </w:rPr>
              <w:t>互抵金额</w:t>
            </w:r>
          </w:p>
        </w:tc>
        <w:tc>
          <w:tcPr>
            <w:tcW w:w="129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z w:val="18"/>
                <w:szCs w:val="18"/>
              </w:rPr>
              <w:t>抵销后余额</w:t>
            </w:r>
          </w:p>
        </w:tc>
      </w:tr>
      <w:tr>
        <w:trPr>
          <w:trHeight w:val="480" w:hRule="exact"/>
        </w:trPr>
        <w:tc>
          <w:tcPr>
            <w:tcW w:w="657"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6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04"/>
              <w:jc w:val="right"/>
              <w:rPr>
                <w:rFonts w:ascii="Arial" w:hAnsi="Arial" w:cs="Arial" w:eastAsia="Arial" w:hint="default"/>
                <w:sz w:val="18"/>
                <w:szCs w:val="18"/>
              </w:rPr>
            </w:pPr>
            <w:r>
              <w:rPr>
                <w:rFonts w:ascii="Arial"/>
                <w:spacing w:val="-2"/>
                <w:sz w:val="18"/>
              </w:rPr>
              <w:t>(110,446)</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1"/>
                <w:sz w:val="18"/>
              </w:rPr>
              <w:t>2,193,459</w:t>
            </w:r>
          </w:p>
        </w:tc>
        <w:tc>
          <w:tcPr>
            <w:tcW w:w="148"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39"/>
              <w:jc w:val="right"/>
              <w:rPr>
                <w:rFonts w:ascii="Arial" w:hAnsi="Arial" w:cs="Arial" w:eastAsia="Arial" w:hint="default"/>
                <w:sz w:val="18"/>
                <w:szCs w:val="18"/>
              </w:rPr>
            </w:pPr>
            <w:r>
              <w:rPr>
                <w:rFonts w:ascii="Arial"/>
                <w:spacing w:val="-1"/>
                <w:sz w:val="18"/>
              </w:rPr>
              <w:t>(75,838)</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Arial" w:hAnsi="Arial" w:cs="Arial" w:eastAsia="Arial" w:hint="default"/>
                <w:sz w:val="18"/>
                <w:szCs w:val="18"/>
              </w:rPr>
            </w:pPr>
            <w:r>
              <w:rPr>
                <w:rFonts w:ascii="Arial"/>
                <w:spacing w:val="-1"/>
                <w:sz w:val="18"/>
              </w:rPr>
              <w:t>1,664,361</w:t>
            </w:r>
          </w:p>
        </w:tc>
      </w:tr>
      <w:tr>
        <w:trPr>
          <w:trHeight w:val="339" w:hRule="exact"/>
        </w:trPr>
        <w:tc>
          <w:tcPr>
            <w:tcW w:w="657"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304"/>
              <w:jc w:val="right"/>
              <w:rPr>
                <w:rFonts w:ascii="Arial" w:hAnsi="Arial" w:cs="Arial" w:eastAsia="Arial" w:hint="default"/>
                <w:sz w:val="18"/>
                <w:szCs w:val="18"/>
              </w:rPr>
            </w:pPr>
            <w:r>
              <w:rPr>
                <w:rFonts w:ascii="Arial"/>
                <w:spacing w:val="-2"/>
                <w:sz w:val="18"/>
              </w:rPr>
              <w:t>(110,446)</w:t>
            </w:r>
          </w:p>
        </w:tc>
        <w:tc>
          <w:tcPr>
            <w:tcW w:w="1264"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55"/>
              <w:jc w:val="right"/>
              <w:rPr>
                <w:rFonts w:ascii="Arial" w:hAnsi="Arial" w:cs="Arial" w:eastAsia="Arial" w:hint="default"/>
                <w:sz w:val="18"/>
                <w:szCs w:val="18"/>
              </w:rPr>
            </w:pPr>
            <w:r>
              <w:rPr>
                <w:rFonts w:ascii="Arial"/>
                <w:spacing w:val="-1"/>
                <w:sz w:val="18"/>
              </w:rPr>
              <w:t>191,483</w:t>
            </w:r>
          </w:p>
        </w:tc>
        <w:tc>
          <w:tcPr>
            <w:tcW w:w="148"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339"/>
              <w:jc w:val="right"/>
              <w:rPr>
                <w:rFonts w:ascii="Arial" w:hAnsi="Arial" w:cs="Arial" w:eastAsia="Arial" w:hint="default"/>
                <w:sz w:val="18"/>
                <w:szCs w:val="18"/>
              </w:rPr>
            </w:pPr>
            <w:r>
              <w:rPr>
                <w:rFonts w:ascii="Arial"/>
                <w:spacing w:val="-1"/>
                <w:sz w:val="18"/>
              </w:rPr>
              <w:t>(75,838)</w:t>
            </w:r>
          </w:p>
        </w:tc>
        <w:tc>
          <w:tcPr>
            <w:tcW w:w="1299"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56"/>
              <w:jc w:val="right"/>
              <w:rPr>
                <w:rFonts w:ascii="Arial" w:hAnsi="Arial" w:cs="Arial" w:eastAsia="Arial" w:hint="default"/>
                <w:sz w:val="18"/>
                <w:szCs w:val="18"/>
              </w:rPr>
            </w:pPr>
            <w:r>
              <w:rPr>
                <w:rFonts w:ascii="Arial"/>
                <w:spacing w:val="-1"/>
                <w:sz w:val="18"/>
              </w:rPr>
              <w:t>159,356</w:t>
            </w:r>
          </w:p>
        </w:tc>
      </w:tr>
    </w:tbl>
    <w:p>
      <w:pPr>
        <w:spacing w:after="0" w:line="240" w:lineRule="auto"/>
        <w:jc w:val="right"/>
        <w:rPr>
          <w:rFonts w:ascii="Arial" w:hAnsi="Arial" w:cs="Arial" w:eastAsia="Arial" w:hint="default"/>
          <w:sz w:val="18"/>
          <w:szCs w:val="18"/>
        </w:rPr>
        <w:sectPr>
          <w:pgSz w:w="11910" w:h="16840"/>
          <w:pgMar w:header="755" w:footer="914" w:top="1860" w:bottom="110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856"/>
        <w:gridCol w:w="2472"/>
        <w:gridCol w:w="1176"/>
        <w:gridCol w:w="126"/>
        <w:gridCol w:w="938"/>
        <w:gridCol w:w="126"/>
        <w:gridCol w:w="1036"/>
        <w:gridCol w:w="125"/>
        <w:gridCol w:w="1051"/>
        <w:gridCol w:w="125"/>
        <w:gridCol w:w="1387"/>
      </w:tblGrid>
      <w:tr>
        <w:trPr>
          <w:trHeight w:val="416" w:hRule="exact"/>
        </w:trPr>
        <w:tc>
          <w:tcPr>
            <w:tcW w:w="85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64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5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r>
      <w:tr>
        <w:trPr>
          <w:trHeight w:val="546" w:hRule="exact"/>
        </w:trPr>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(21)</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6" w:right="0"/>
              <w:jc w:val="left"/>
              <w:rPr>
                <w:rFonts w:ascii="黑体" w:hAnsi="黑体" w:cs="黑体" w:eastAsia="黑体" w:hint="default"/>
                <w:sz w:val="24"/>
                <w:szCs w:val="24"/>
              </w:rPr>
            </w:pPr>
            <w:r>
              <w:rPr>
                <w:rFonts w:ascii="黑体" w:hAnsi="黑体" w:cs="黑体" w:eastAsia="黑体" w:hint="default"/>
                <w:sz w:val="24"/>
                <w:szCs w:val="24"/>
              </w:rPr>
              <w:t>资产减值准备</w:t>
            </w:r>
          </w:p>
        </w:tc>
        <w:tc>
          <w:tcPr>
            <w:tcW w:w="1176"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r>
      <w:tr>
        <w:trPr>
          <w:trHeight w:val="692" w:hRule="exact"/>
        </w:trPr>
        <w:tc>
          <w:tcPr>
            <w:tcW w:w="85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1" w:lineRule="exact" w:before="79"/>
              <w:ind w:left="49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22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6"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54"/>
              <w:jc w:val="right"/>
              <w:rPr>
                <w:rFonts w:ascii="宋体" w:hAnsi="宋体" w:cs="宋体" w:eastAsia="宋体" w:hint="default"/>
                <w:sz w:val="18"/>
                <w:szCs w:val="18"/>
              </w:rPr>
            </w:pPr>
            <w:r>
              <w:rPr>
                <w:rFonts w:ascii="宋体" w:hAnsi="宋体" w:cs="宋体" w:eastAsia="宋体" w:hint="default"/>
                <w:sz w:val="18"/>
                <w:szCs w:val="18"/>
              </w:rPr>
              <w:t>本年计提</w:t>
            </w:r>
          </w:p>
        </w:tc>
        <w:tc>
          <w:tcPr>
            <w:tcW w:w="12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41" w:lineRule="exact" w:before="79"/>
              <w:ind w:left="152" w:right="0"/>
              <w:jc w:val="left"/>
              <w:rPr>
                <w:rFonts w:ascii="Arial" w:hAnsi="Arial" w:cs="Arial" w:eastAsia="Arial" w:hint="default"/>
                <w:sz w:val="18"/>
                <w:szCs w:val="18"/>
              </w:rPr>
            </w:pPr>
            <w:r>
              <w:rPr>
                <w:rFonts w:ascii="宋体" w:hAnsi="宋体" w:cs="宋体" w:eastAsia="宋体" w:hint="default"/>
                <w:sz w:val="18"/>
                <w:szCs w:val="18"/>
              </w:rPr>
              <w:t>本年核销</w:t>
            </w:r>
            <w:r>
              <w:rPr>
                <w:rFonts w:ascii="Arial" w:hAnsi="Arial" w:cs="Arial" w:eastAsia="Arial" w:hint="default"/>
                <w:sz w:val="18"/>
                <w:szCs w:val="18"/>
              </w:rPr>
              <w:t>/</w:t>
            </w:r>
          </w:p>
          <w:p>
            <w:pPr>
              <w:pStyle w:val="TableParagraph"/>
              <w:spacing w:line="228" w:lineRule="exact"/>
              <w:ind w:left="563"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2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32" w:lineRule="exact" w:before="103"/>
              <w:ind w:left="273" w:right="55" w:firstLine="360"/>
              <w:jc w:val="left"/>
              <w:rPr>
                <w:rFonts w:ascii="宋体" w:hAnsi="宋体" w:cs="宋体" w:eastAsia="宋体" w:hint="default"/>
                <w:sz w:val="18"/>
                <w:szCs w:val="18"/>
              </w:rPr>
            </w:pPr>
            <w:r>
              <w:rPr>
                <w:rFonts w:ascii="宋体" w:hAnsi="宋体" w:cs="宋体" w:eastAsia="宋体" w:hint="default"/>
                <w:sz w:val="18"/>
                <w:szCs w:val="18"/>
              </w:rPr>
              <w:t>外币 报表折算</w:t>
            </w:r>
          </w:p>
        </w:tc>
        <w:tc>
          <w:tcPr>
            <w:tcW w:w="12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1" w:lineRule="exact" w:before="79"/>
              <w:ind w:left="7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43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49" w:hRule="exact"/>
        </w:trPr>
        <w:tc>
          <w:tcPr>
            <w:tcW w:w="85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56"/>
              <w:jc w:val="right"/>
              <w:rPr>
                <w:rFonts w:ascii="Arial" w:hAnsi="Arial" w:cs="Arial" w:eastAsia="Arial" w:hint="default"/>
                <w:sz w:val="18"/>
                <w:szCs w:val="18"/>
              </w:rPr>
            </w:pPr>
            <w:r>
              <w:rPr>
                <w:rFonts w:ascii="Arial"/>
                <w:spacing w:val="-1"/>
                <w:sz w:val="18"/>
              </w:rPr>
              <w:t>75,444</w:t>
            </w:r>
          </w:p>
        </w:tc>
        <w:tc>
          <w:tcPr>
            <w:tcW w:w="126"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55"/>
              <w:jc w:val="right"/>
              <w:rPr>
                <w:rFonts w:ascii="Arial" w:hAnsi="Arial" w:cs="Arial" w:eastAsia="Arial" w:hint="default"/>
                <w:sz w:val="18"/>
                <w:szCs w:val="18"/>
              </w:rPr>
            </w:pPr>
            <w:r>
              <w:rPr>
                <w:rFonts w:ascii="Arial"/>
                <w:spacing w:val="-1"/>
                <w:sz w:val="18"/>
              </w:rPr>
              <w:t>28,962</w:t>
            </w:r>
          </w:p>
        </w:tc>
        <w:tc>
          <w:tcPr>
            <w:tcW w:w="126" w:type="dxa"/>
            <w:tcBorders>
              <w:top w:val="nil" w:sz="6" w:space="0" w:color="auto"/>
              <w:left w:val="nil" w:sz="6" w:space="0" w:color="auto"/>
              <w:bottom w:val="single" w:sz="4" w:space="0" w:color="000000"/>
              <w:right w:val="nil" w:sz="6" w:space="0" w:color="auto"/>
            </w:tcBorders>
          </w:tcPr>
          <w:p>
            <w:pPr/>
          </w:p>
        </w:tc>
        <w:tc>
          <w:tcPr>
            <w:tcW w:w="103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56"/>
              <w:jc w:val="right"/>
              <w:rPr>
                <w:rFonts w:ascii="Arial" w:hAnsi="Arial" w:cs="Arial" w:eastAsia="Arial" w:hint="default"/>
                <w:sz w:val="18"/>
                <w:szCs w:val="18"/>
              </w:rPr>
            </w:pPr>
            <w:r>
              <w:rPr>
                <w:rFonts w:ascii="Arial"/>
                <w:spacing w:val="-1"/>
                <w:sz w:val="18"/>
              </w:rPr>
              <w:t>(3,769)</w:t>
            </w:r>
          </w:p>
        </w:tc>
        <w:tc>
          <w:tcPr>
            <w:tcW w:w="125" w:type="dxa"/>
            <w:tcBorders>
              <w:top w:val="nil" w:sz="6" w:space="0" w:color="auto"/>
              <w:left w:val="nil" w:sz="6" w:space="0" w:color="auto"/>
              <w:bottom w:val="single" w:sz="4" w:space="0" w:color="000000"/>
              <w:right w:val="nil" w:sz="6" w:space="0" w:color="auto"/>
            </w:tcBorders>
          </w:tcPr>
          <w:p>
            <w:pPr/>
          </w:p>
        </w:tc>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single" w:sz="4" w:space="0" w:color="000000"/>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57"/>
              <w:jc w:val="right"/>
              <w:rPr>
                <w:rFonts w:ascii="Arial" w:hAnsi="Arial" w:cs="Arial" w:eastAsia="Arial" w:hint="default"/>
                <w:sz w:val="18"/>
                <w:szCs w:val="18"/>
              </w:rPr>
            </w:pPr>
            <w:r>
              <w:rPr>
                <w:rFonts w:ascii="Arial"/>
                <w:spacing w:val="-1"/>
                <w:sz w:val="18"/>
              </w:rPr>
              <w:t>100,637</w:t>
            </w:r>
          </w:p>
        </w:tc>
      </w:tr>
      <w:tr>
        <w:trPr>
          <w:trHeight w:val="248" w:hRule="exact"/>
        </w:trPr>
        <w:tc>
          <w:tcPr>
            <w:tcW w:w="856" w:type="dxa"/>
            <w:tcBorders>
              <w:top w:val="nil" w:sz="6" w:space="0" w:color="auto"/>
              <w:left w:val="nil" w:sz="6" w:space="0" w:color="auto"/>
              <w:bottom w:val="nil" w:sz="6" w:space="0" w:color="auto"/>
              <w:right w:val="single" w:sz="4" w:space="0" w:color="000000"/>
            </w:tcBorders>
          </w:tcPr>
          <w:p>
            <w:pPr/>
          </w:p>
        </w:tc>
        <w:tc>
          <w:tcPr>
            <w:tcW w:w="2472"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z w:val="18"/>
                <w:szCs w:val="18"/>
              </w:rPr>
              <w:t>其中：应收账款坏账准备</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spacing w:val="-1"/>
                <w:sz w:val="18"/>
              </w:rPr>
              <w:t>44,644</w:t>
            </w:r>
          </w:p>
        </w:tc>
        <w:tc>
          <w:tcPr>
            <w:tcW w:w="126" w:type="dxa"/>
            <w:tcBorders>
              <w:top w:val="single" w:sz="4" w:space="0" w:color="000000"/>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27,812</w:t>
            </w:r>
          </w:p>
        </w:tc>
        <w:tc>
          <w:tcPr>
            <w:tcW w:w="126" w:type="dxa"/>
            <w:tcBorders>
              <w:top w:val="single" w:sz="4" w:space="0" w:color="000000"/>
              <w:left w:val="nil" w:sz="6" w:space="0" w:color="auto"/>
              <w:bottom w:val="nil" w:sz="6" w:space="0" w:color="auto"/>
              <w:right w:val="nil" w:sz="6" w:space="0" w:color="auto"/>
            </w:tcBorders>
          </w:tcPr>
          <w:p>
            <w:pP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spacing w:val="-1"/>
                <w:sz w:val="18"/>
              </w:rPr>
              <w:t>(3,032)</w:t>
            </w:r>
          </w:p>
        </w:tc>
        <w:tc>
          <w:tcPr>
            <w:tcW w:w="125" w:type="dxa"/>
            <w:tcBorders>
              <w:top w:val="single" w:sz="4" w:space="0" w:color="000000"/>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single" w:sz="4" w:space="0" w:color="000000"/>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single" w:sz="4" w:space="0" w:color="000000"/>
            </w:tcBorders>
          </w:tcPr>
          <w:p>
            <w:pPr>
              <w:pStyle w:val="TableParagraph"/>
              <w:spacing w:line="240" w:lineRule="auto" w:before="24"/>
              <w:ind w:right="52"/>
              <w:jc w:val="right"/>
              <w:rPr>
                <w:rFonts w:ascii="Arial" w:hAnsi="Arial" w:cs="Arial" w:eastAsia="Arial" w:hint="default"/>
                <w:sz w:val="18"/>
                <w:szCs w:val="18"/>
              </w:rPr>
            </w:pPr>
            <w:r>
              <w:rPr>
                <w:rFonts w:ascii="Arial"/>
                <w:spacing w:val="-1"/>
                <w:sz w:val="18"/>
              </w:rPr>
              <w:t>69,424</w:t>
            </w:r>
          </w:p>
        </w:tc>
      </w:tr>
      <w:tr>
        <w:trPr>
          <w:trHeight w:val="229" w:hRule="exact"/>
        </w:trPr>
        <w:tc>
          <w:tcPr>
            <w:tcW w:w="856" w:type="dxa"/>
            <w:tcBorders>
              <w:top w:val="nil" w:sz="6" w:space="0" w:color="auto"/>
              <w:left w:val="nil" w:sz="6" w:space="0" w:color="auto"/>
              <w:bottom w:val="nil" w:sz="6" w:space="0" w:color="auto"/>
              <w:right w:val="single" w:sz="4" w:space="0" w:color="000000"/>
            </w:tcBorders>
          </w:tcPr>
          <w:p>
            <w:pPr/>
          </w:p>
        </w:tc>
        <w:tc>
          <w:tcPr>
            <w:tcW w:w="2472" w:type="dxa"/>
            <w:tcBorders>
              <w:top w:val="nil" w:sz="6" w:space="0" w:color="auto"/>
              <w:left w:val="single" w:sz="4" w:space="0" w:color="000000"/>
              <w:bottom w:val="single" w:sz="4" w:space="0" w:color="000000"/>
              <w:right w:val="nil" w:sz="6" w:space="0" w:color="auto"/>
            </w:tcBorders>
          </w:tcPr>
          <w:p>
            <w:pPr>
              <w:pStyle w:val="TableParagraph"/>
              <w:spacing w:line="195" w:lineRule="exact"/>
              <w:ind w:left="620"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30,800</w:t>
            </w:r>
          </w:p>
        </w:tc>
        <w:tc>
          <w:tcPr>
            <w:tcW w:w="126"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1,150</w:t>
            </w:r>
          </w:p>
        </w:tc>
        <w:tc>
          <w:tcPr>
            <w:tcW w:w="126" w:type="dxa"/>
            <w:tcBorders>
              <w:top w:val="nil" w:sz="6" w:space="0" w:color="auto"/>
              <w:left w:val="nil" w:sz="6" w:space="0" w:color="auto"/>
              <w:bottom w:val="single" w:sz="4" w:space="0" w:color="000000"/>
              <w:right w:val="nil" w:sz="6" w:space="0" w:color="auto"/>
            </w:tcBorders>
          </w:tcPr>
          <w:p>
            <w:pPr/>
          </w:p>
        </w:tc>
        <w:tc>
          <w:tcPr>
            <w:tcW w:w="103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(737)</w:t>
            </w:r>
          </w:p>
        </w:tc>
        <w:tc>
          <w:tcPr>
            <w:tcW w:w="125" w:type="dxa"/>
            <w:tcBorders>
              <w:top w:val="nil" w:sz="6" w:space="0" w:color="auto"/>
              <w:left w:val="nil" w:sz="6" w:space="0" w:color="auto"/>
              <w:bottom w:val="single" w:sz="4" w:space="0" w:color="000000"/>
              <w:right w:val="nil" w:sz="6" w:space="0" w:color="auto"/>
            </w:tcBorders>
          </w:tcPr>
          <w:p>
            <w:pPr/>
          </w:p>
        </w:tc>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single" w:sz="4" w:space="0" w:color="000000"/>
              <w:right w:val="nil" w:sz="6" w:space="0" w:color="auto"/>
            </w:tcBorders>
          </w:tcPr>
          <w:p>
            <w:pPr/>
          </w:p>
        </w:tc>
        <w:tc>
          <w:tcPr>
            <w:tcW w:w="1387" w:type="dxa"/>
            <w:tcBorders>
              <w:top w:val="nil" w:sz="6" w:space="0" w:color="auto"/>
              <w:left w:val="nil" w:sz="6" w:space="0" w:color="auto"/>
              <w:bottom w:val="single" w:sz="4" w:space="0" w:color="000000"/>
              <w:right w:val="single" w:sz="4" w:space="0" w:color="000000"/>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31,213</w:t>
            </w:r>
          </w:p>
        </w:tc>
      </w:tr>
      <w:tr>
        <w:trPr>
          <w:trHeight w:val="248" w:hRule="exact"/>
        </w:trPr>
        <w:tc>
          <w:tcPr>
            <w:tcW w:w="856"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nil" w:sz="6" w:space="0" w:color="auto"/>
              <w:right w:val="nil" w:sz="6" w:space="0" w:color="auto"/>
            </w:tcBorders>
          </w:tcPr>
          <w:p>
            <w:pPr>
              <w:pStyle w:val="TableParagraph"/>
              <w:spacing w:line="205" w:lineRule="exact"/>
              <w:ind w:left="56"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4"/>
              <w:jc w:val="right"/>
              <w:rPr>
                <w:rFonts w:ascii="Arial" w:hAnsi="Arial" w:cs="Arial" w:eastAsia="Arial" w:hint="default"/>
                <w:sz w:val="18"/>
                <w:szCs w:val="18"/>
              </w:rPr>
            </w:pPr>
            <w:r>
              <w:rPr>
                <w:rFonts w:ascii="Arial"/>
                <w:spacing w:val="-1"/>
                <w:sz w:val="18"/>
              </w:rPr>
              <w:t>252,819</w:t>
            </w:r>
          </w:p>
        </w:tc>
        <w:tc>
          <w:tcPr>
            <w:tcW w:w="126" w:type="dxa"/>
            <w:tcBorders>
              <w:top w:val="single" w:sz="4" w:space="0" w:color="000000"/>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spacing w:val="-1"/>
                <w:sz w:val="18"/>
              </w:rPr>
              <w:t>160,798</w:t>
            </w:r>
          </w:p>
        </w:tc>
        <w:tc>
          <w:tcPr>
            <w:tcW w:w="126" w:type="dxa"/>
            <w:tcBorders>
              <w:top w:val="single" w:sz="4" w:space="0" w:color="000000"/>
              <w:left w:val="nil" w:sz="6" w:space="0" w:color="auto"/>
              <w:bottom w:val="nil" w:sz="6" w:space="0" w:color="auto"/>
              <w:right w:val="nil" w:sz="6" w:space="0" w:color="auto"/>
            </w:tcBorders>
          </w:tcPr>
          <w:p>
            <w:pP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spacing w:val="-2"/>
                <w:sz w:val="18"/>
              </w:rPr>
              <w:t>(113,313)</w:t>
            </w:r>
          </w:p>
        </w:tc>
        <w:tc>
          <w:tcPr>
            <w:tcW w:w="125" w:type="dxa"/>
            <w:tcBorders>
              <w:top w:val="single" w:sz="4" w:space="0" w:color="000000"/>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single" w:sz="4" w:space="0" w:color="000000"/>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7"/>
              <w:jc w:val="right"/>
              <w:rPr>
                <w:rFonts w:ascii="Arial" w:hAnsi="Arial" w:cs="Arial" w:eastAsia="Arial" w:hint="default"/>
                <w:sz w:val="18"/>
                <w:szCs w:val="18"/>
              </w:rPr>
            </w:pPr>
            <w:r>
              <w:rPr>
                <w:rFonts w:ascii="Arial"/>
                <w:spacing w:val="-1"/>
                <w:sz w:val="18"/>
              </w:rPr>
              <w:t>300,304</w:t>
            </w:r>
          </w:p>
        </w:tc>
      </w:tr>
      <w:tr>
        <w:trPr>
          <w:trHeight w:val="276" w:hRule="exact"/>
        </w:trPr>
        <w:tc>
          <w:tcPr>
            <w:tcW w:w="85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56"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34,365</w:t>
            </w:r>
          </w:p>
        </w:tc>
        <w:tc>
          <w:tcPr>
            <w:tcW w:w="126"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18"/>
                <w:szCs w:val="18"/>
              </w:rPr>
            </w:pPr>
            <w:r>
              <w:rPr>
                <w:rFonts w:ascii="Arial"/>
                <w:spacing w:val="-1"/>
                <w:sz w:val="18"/>
              </w:rPr>
              <w:t>6,882</w:t>
            </w:r>
          </w:p>
        </w:tc>
        <w:tc>
          <w:tcPr>
            <w:tcW w:w="12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(99)</w:t>
            </w:r>
          </w:p>
        </w:tc>
        <w:tc>
          <w:tcPr>
            <w:tcW w:w="12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18"/>
                <w:szCs w:val="18"/>
              </w:rPr>
            </w:pPr>
            <w:r>
              <w:rPr>
                <w:rFonts w:ascii="Arial"/>
                <w:spacing w:val="-1"/>
                <w:sz w:val="18"/>
              </w:rPr>
              <w:t>1,839</w:t>
            </w:r>
          </w:p>
        </w:tc>
        <w:tc>
          <w:tcPr>
            <w:tcW w:w="12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
              <w:jc w:val="right"/>
              <w:rPr>
                <w:rFonts w:ascii="Arial" w:hAnsi="Arial" w:cs="Arial" w:eastAsia="Arial" w:hint="default"/>
                <w:sz w:val="18"/>
                <w:szCs w:val="18"/>
              </w:rPr>
            </w:pPr>
            <w:r>
              <w:rPr>
                <w:rFonts w:ascii="Arial"/>
                <w:spacing w:val="-1"/>
                <w:sz w:val="18"/>
              </w:rPr>
              <w:t>42,987</w:t>
            </w:r>
          </w:p>
        </w:tc>
      </w:tr>
      <w:tr>
        <w:trPr>
          <w:trHeight w:val="276" w:hRule="exact"/>
        </w:trPr>
        <w:tc>
          <w:tcPr>
            <w:tcW w:w="85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56" w:right="0"/>
              <w:jc w:val="left"/>
              <w:rPr>
                <w:rFonts w:ascii="宋体" w:hAnsi="宋体" w:cs="宋体" w:eastAsia="宋体" w:hint="default"/>
                <w:sz w:val="18"/>
                <w:szCs w:val="18"/>
              </w:rPr>
            </w:pPr>
            <w:r>
              <w:rPr>
                <w:rFonts w:ascii="宋体" w:hAnsi="宋体" w:cs="宋体" w:eastAsia="宋体" w:hint="default"/>
                <w:sz w:val="18"/>
                <w:szCs w:val="18"/>
              </w:rPr>
              <w:t>长期待摊费用减值准备</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18"/>
                <w:szCs w:val="18"/>
              </w:rPr>
            </w:pPr>
            <w:r>
              <w:rPr>
                <w:rFonts w:ascii="Arial"/>
                <w:spacing w:val="-1"/>
                <w:sz w:val="18"/>
              </w:rPr>
              <w:t>21,450</w:t>
            </w:r>
          </w:p>
        </w:tc>
        <w:tc>
          <w:tcPr>
            <w:tcW w:w="126"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(14,183)</w:t>
            </w:r>
          </w:p>
        </w:tc>
        <w:tc>
          <w:tcPr>
            <w:tcW w:w="12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7,267</w:t>
            </w:r>
          </w:p>
        </w:tc>
      </w:tr>
      <w:tr>
        <w:trPr>
          <w:trHeight w:val="276" w:hRule="exact"/>
        </w:trPr>
        <w:tc>
          <w:tcPr>
            <w:tcW w:w="85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56"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18"/>
                <w:szCs w:val="18"/>
              </w:rPr>
            </w:pPr>
            <w:r>
              <w:rPr>
                <w:rFonts w:ascii="Arial"/>
                <w:spacing w:val="-1"/>
                <w:sz w:val="18"/>
              </w:rPr>
              <w:t>6,753</w:t>
            </w:r>
          </w:p>
        </w:tc>
        <w:tc>
          <w:tcPr>
            <w:tcW w:w="126"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6,753</w:t>
            </w:r>
          </w:p>
        </w:tc>
      </w:tr>
      <w:tr>
        <w:trPr>
          <w:trHeight w:val="276" w:hRule="exact"/>
        </w:trPr>
        <w:tc>
          <w:tcPr>
            <w:tcW w:w="85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56"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18"/>
                <w:szCs w:val="18"/>
              </w:rPr>
            </w:pPr>
            <w:r>
              <w:rPr>
                <w:rFonts w:ascii="Arial"/>
                <w:spacing w:val="-1"/>
                <w:sz w:val="18"/>
              </w:rPr>
              <w:t>30,104</w:t>
            </w:r>
          </w:p>
        </w:tc>
        <w:tc>
          <w:tcPr>
            <w:tcW w:w="126"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1,467</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
              <w:jc w:val="right"/>
              <w:rPr>
                <w:rFonts w:ascii="Arial" w:hAnsi="Arial" w:cs="Arial" w:eastAsia="Arial" w:hint="default"/>
                <w:sz w:val="18"/>
                <w:szCs w:val="18"/>
              </w:rPr>
            </w:pPr>
            <w:r>
              <w:rPr>
                <w:rFonts w:ascii="Arial"/>
                <w:spacing w:val="-1"/>
                <w:sz w:val="18"/>
              </w:rPr>
              <w:t>31,571</w:t>
            </w:r>
          </w:p>
        </w:tc>
      </w:tr>
      <w:tr>
        <w:trPr>
          <w:trHeight w:val="313" w:hRule="exact"/>
        </w:trPr>
        <w:tc>
          <w:tcPr>
            <w:tcW w:w="85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56" w:right="0"/>
              <w:jc w:val="left"/>
              <w:rPr>
                <w:rFonts w:ascii="宋体" w:hAnsi="宋体" w:cs="宋体" w:eastAsia="宋体" w:hint="default"/>
                <w:sz w:val="18"/>
                <w:szCs w:val="18"/>
              </w:rPr>
            </w:pPr>
            <w:r>
              <w:rPr>
                <w:rFonts w:ascii="宋体" w:hAnsi="宋体" w:cs="宋体" w:eastAsia="宋体" w:hint="default"/>
                <w:sz w:val="18"/>
                <w:szCs w:val="18"/>
              </w:rPr>
              <w:t>发放贷款及垫款减值准备</w:t>
            </w:r>
          </w:p>
        </w:tc>
        <w:tc>
          <w:tcPr>
            <w:tcW w:w="1176" w:type="dxa"/>
            <w:tcBorders>
              <w:top w:val="nil" w:sz="6" w:space="0" w:color="auto"/>
              <w:left w:val="nil" w:sz="6" w:space="0" w:color="auto"/>
              <w:bottom w:val="nil" w:sz="6" w:space="0" w:color="auto"/>
              <w:right w:val="nil" w:sz="6" w:space="0" w:color="auto"/>
            </w:tcBorders>
          </w:tcPr>
          <w:p>
            <w:pPr>
              <w:pStyle w:val="TableParagraph"/>
              <w:tabs>
                <w:tab w:pos="903" w:val="left" w:leader="none"/>
                <w:tab w:pos="1161"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65</w:t>
              <w:tab/>
            </w:r>
            <w:r>
              <w:rPr>
                <w:rFonts w:ascii="Arial"/>
                <w:spacing w:val="-1"/>
                <w:sz w:val="18"/>
              </w:rPr>
            </w:r>
          </w:p>
        </w:tc>
        <w:tc>
          <w:tcPr>
            <w:tcW w:w="126"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tabs>
                <w:tab w:pos="417" w:val="left" w:leader="none"/>
                <w:tab w:pos="923"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1,445</w:t>
              <w:tab/>
            </w:r>
            <w:r>
              <w:rPr>
                <w:rFonts w:ascii="Arial"/>
                <w:spacing w:val="-1"/>
                <w:sz w:val="18"/>
              </w:rPr>
            </w:r>
          </w:p>
        </w:tc>
        <w:tc>
          <w:tcPr>
            <w:tcW w:w="12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tabs>
                <w:tab w:pos="810" w:val="left" w:leader="none"/>
                <w:tab w:pos="1021"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tabs>
                <w:tab w:pos="819" w:val="left" w:leader="none"/>
                <w:tab w:pos="1036"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tabs>
                <w:tab w:pos="863" w:val="left" w:leader="none"/>
                <w:tab w:pos="1372"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1,510</w:t>
              <w:tab/>
            </w:r>
            <w:r>
              <w:rPr>
                <w:rFonts w:ascii="Arial"/>
                <w:spacing w:val="-1"/>
                <w:sz w:val="18"/>
              </w:rPr>
            </w:r>
          </w:p>
        </w:tc>
      </w:tr>
      <w:tr>
        <w:trPr>
          <w:trHeight w:val="254" w:hRule="exact"/>
        </w:trPr>
        <w:tc>
          <w:tcPr>
            <w:tcW w:w="85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4"/>
              <w:jc w:val="right"/>
              <w:rPr>
                <w:rFonts w:ascii="Arial" w:hAnsi="Arial" w:cs="Arial" w:eastAsia="Arial" w:hint="default"/>
                <w:sz w:val="18"/>
                <w:szCs w:val="18"/>
              </w:rPr>
            </w:pPr>
            <w:r>
              <w:rPr>
                <w:rFonts w:ascii="Arial"/>
                <w:spacing w:val="-1"/>
                <w:sz w:val="18"/>
              </w:rPr>
              <w:t>421,000</w:t>
            </w:r>
          </w:p>
        </w:tc>
        <w:tc>
          <w:tcPr>
            <w:tcW w:w="126"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4"/>
              <w:jc w:val="right"/>
              <w:rPr>
                <w:rFonts w:ascii="Arial" w:hAnsi="Arial" w:cs="Arial" w:eastAsia="Arial" w:hint="default"/>
                <w:sz w:val="18"/>
                <w:szCs w:val="18"/>
              </w:rPr>
            </w:pPr>
            <w:r>
              <w:rPr>
                <w:rFonts w:ascii="Arial"/>
                <w:spacing w:val="-1"/>
                <w:sz w:val="18"/>
              </w:rPr>
              <w:t>198,087</w:t>
            </w:r>
          </w:p>
        </w:tc>
        <w:tc>
          <w:tcPr>
            <w:tcW w:w="12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7"/>
              <w:jc w:val="right"/>
              <w:rPr>
                <w:rFonts w:ascii="Arial" w:hAnsi="Arial" w:cs="Arial" w:eastAsia="Arial" w:hint="default"/>
                <w:sz w:val="18"/>
                <w:szCs w:val="18"/>
              </w:rPr>
            </w:pPr>
            <w:r>
              <w:rPr>
                <w:rFonts w:ascii="Arial"/>
                <w:spacing w:val="-1"/>
                <w:sz w:val="18"/>
              </w:rPr>
              <w:t>(131,364)</w:t>
            </w:r>
          </w:p>
        </w:tc>
        <w:tc>
          <w:tcPr>
            <w:tcW w:w="12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3,306</w:t>
            </w:r>
          </w:p>
        </w:tc>
        <w:tc>
          <w:tcPr>
            <w:tcW w:w="12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7"/>
              <w:jc w:val="right"/>
              <w:rPr>
                <w:rFonts w:ascii="Arial" w:hAnsi="Arial" w:cs="Arial" w:eastAsia="Arial" w:hint="default"/>
                <w:sz w:val="18"/>
                <w:szCs w:val="18"/>
              </w:rPr>
            </w:pPr>
            <w:r>
              <w:rPr>
                <w:rFonts w:ascii="Arial"/>
                <w:spacing w:val="-1"/>
                <w:sz w:val="18"/>
              </w:rPr>
              <w:t>491,029</w:t>
            </w:r>
          </w:p>
        </w:tc>
      </w:tr>
    </w:tbl>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66"/>
        <w:gridCol w:w="2750"/>
        <w:gridCol w:w="3039"/>
        <w:gridCol w:w="2568"/>
      </w:tblGrid>
      <w:tr>
        <w:trPr>
          <w:trHeight w:val="421"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(22)</w:t>
            </w:r>
          </w:p>
        </w:tc>
        <w:tc>
          <w:tcPr>
            <w:tcW w:w="2750" w:type="dxa"/>
            <w:tcBorders>
              <w:top w:val="nil" w:sz="6" w:space="0" w:color="auto"/>
              <w:left w:val="nil" w:sz="6" w:space="0" w:color="auto"/>
              <w:bottom w:val="nil" w:sz="6" w:space="0" w:color="auto"/>
              <w:right w:val="nil" w:sz="6" w:space="0" w:color="auto"/>
            </w:tcBorders>
          </w:tcPr>
          <w:p>
            <w:pPr>
              <w:pStyle w:val="TableParagraph"/>
              <w:spacing w:line="247" w:lineRule="exact"/>
              <w:ind w:left="138" w:right="0"/>
              <w:jc w:val="left"/>
              <w:rPr>
                <w:rFonts w:ascii="黑体" w:hAnsi="黑体" w:cs="黑体" w:eastAsia="黑体" w:hint="default"/>
                <w:sz w:val="24"/>
                <w:szCs w:val="24"/>
              </w:rPr>
            </w:pPr>
            <w:r>
              <w:rPr>
                <w:rFonts w:ascii="黑体" w:hAnsi="黑体" w:cs="黑体" w:eastAsia="黑体" w:hint="default"/>
                <w:sz w:val="24"/>
                <w:szCs w:val="24"/>
              </w:rPr>
              <w:t>短期借款</w:t>
            </w:r>
          </w:p>
        </w:tc>
        <w:tc>
          <w:tcPr>
            <w:tcW w:w="3039"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nil" w:sz="6" w:space="0" w:color="auto"/>
            </w:tcBorders>
          </w:tcPr>
          <w:p>
            <w:pPr/>
          </w:p>
        </w:tc>
      </w:tr>
      <w:tr>
        <w:trPr>
          <w:trHeight w:val="593" w:hRule="exact"/>
        </w:trPr>
        <w:tc>
          <w:tcPr>
            <w:tcW w:w="76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
        </w:tc>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78"/>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6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38"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336"/>
              <w:jc w:val="right"/>
              <w:rPr>
                <w:rFonts w:ascii="Arial" w:hAnsi="Arial" w:cs="Arial" w:eastAsia="Arial" w:hint="default"/>
                <w:sz w:val="24"/>
                <w:szCs w:val="24"/>
              </w:rPr>
            </w:pPr>
            <w:r>
              <w:rPr>
                <w:rFonts w:ascii="Arial"/>
                <w:spacing w:val="-3"/>
                <w:sz w:val="24"/>
              </w:rPr>
              <w:t>1,911,040</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54"/>
              <w:jc w:val="right"/>
              <w:rPr>
                <w:rFonts w:ascii="Arial" w:hAnsi="Arial" w:cs="Arial" w:eastAsia="Arial" w:hint="default"/>
                <w:sz w:val="24"/>
                <w:szCs w:val="24"/>
              </w:rPr>
            </w:pPr>
            <w:r>
              <w:rPr>
                <w:rFonts w:ascii="Arial"/>
                <w:w w:val="95"/>
                <w:sz w:val="24"/>
              </w:rPr>
              <w:t>1,238,559</w:t>
            </w:r>
            <w:r>
              <w:rPr>
                <w:rFonts w:ascii="Arial"/>
                <w:sz w:val="24"/>
              </w:rPr>
            </w:r>
          </w:p>
        </w:tc>
      </w:tr>
      <w:tr>
        <w:trPr>
          <w:trHeight w:val="312" w:hRule="exact"/>
        </w:trPr>
        <w:tc>
          <w:tcPr>
            <w:tcW w:w="76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8"/>
              <w:jc w:val="right"/>
              <w:rPr>
                <w:rFonts w:ascii="Arial" w:hAnsi="Arial" w:cs="Arial" w:eastAsia="Arial" w:hint="default"/>
                <w:sz w:val="24"/>
                <w:szCs w:val="24"/>
              </w:rPr>
            </w:pPr>
            <w:r>
              <w:rPr>
                <w:rFonts w:ascii="Arial"/>
                <w:spacing w:val="-1"/>
                <w:sz w:val="24"/>
              </w:rPr>
              <w:t>714,592</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0"/>
              <w:jc w:val="right"/>
              <w:rPr>
                <w:rFonts w:ascii="Arial" w:hAnsi="Arial" w:cs="Arial" w:eastAsia="Arial" w:hint="default"/>
                <w:sz w:val="24"/>
                <w:szCs w:val="24"/>
              </w:rPr>
            </w:pPr>
            <w:r>
              <w:rPr>
                <w:rFonts w:ascii="Arial"/>
                <w:spacing w:val="-1"/>
                <w:sz w:val="24"/>
              </w:rPr>
              <w:t>597,970</w:t>
            </w:r>
          </w:p>
        </w:tc>
      </w:tr>
      <w:tr>
        <w:trPr>
          <w:trHeight w:val="312" w:hRule="exact"/>
        </w:trPr>
        <w:tc>
          <w:tcPr>
            <w:tcW w:w="76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3039" w:type="dxa"/>
            <w:tcBorders>
              <w:top w:val="nil" w:sz="6" w:space="0" w:color="auto"/>
              <w:left w:val="nil" w:sz="6" w:space="0" w:color="auto"/>
              <w:bottom w:val="nil" w:sz="6" w:space="0" w:color="auto"/>
              <w:right w:val="nil" w:sz="6" w:space="0" w:color="auto"/>
            </w:tcBorders>
          </w:tcPr>
          <w:p>
            <w:pPr>
              <w:pStyle w:val="TableParagraph"/>
              <w:tabs>
                <w:tab w:pos="1443" w:val="left" w:leader="none"/>
                <w:tab w:pos="2407" w:val="left" w:leader="none"/>
              </w:tabs>
              <w:spacing w:line="240" w:lineRule="auto" w:before="18"/>
              <w:ind w:right="22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600,009</w:t>
              <w:tab/>
            </w:r>
            <w:r>
              <w:rPr>
                <w:rFonts w:ascii="Arial"/>
                <w:spacing w:val="-1"/>
                <w:sz w:val="24"/>
              </w:rPr>
            </w:r>
          </w:p>
        </w:tc>
        <w:tc>
          <w:tcPr>
            <w:tcW w:w="2568" w:type="dxa"/>
            <w:tcBorders>
              <w:top w:val="nil" w:sz="6" w:space="0" w:color="auto"/>
              <w:left w:val="nil" w:sz="6" w:space="0" w:color="auto"/>
              <w:bottom w:val="nil" w:sz="6" w:space="0" w:color="auto"/>
              <w:right w:val="nil" w:sz="6" w:space="0" w:color="auto"/>
            </w:tcBorders>
          </w:tcPr>
          <w:p>
            <w:pPr>
              <w:pStyle w:val="TableParagraph"/>
              <w:tabs>
                <w:tab w:pos="2229" w:val="left" w:leader="none"/>
                <w:tab w:pos="2409" w:val="left" w:leader="none"/>
              </w:tabs>
              <w:spacing w:line="240" w:lineRule="auto" w:before="18"/>
              <w:ind w:right="1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63" w:hRule="exact"/>
        </w:trPr>
        <w:tc>
          <w:tcPr>
            <w:tcW w:w="76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
        </w:tc>
        <w:tc>
          <w:tcPr>
            <w:tcW w:w="3039" w:type="dxa"/>
            <w:tcBorders>
              <w:top w:val="nil" w:sz="6" w:space="0" w:color="auto"/>
              <w:left w:val="nil" w:sz="6" w:space="0" w:color="auto"/>
              <w:bottom w:val="nil" w:sz="6" w:space="0" w:color="auto"/>
              <w:right w:val="nil" w:sz="6" w:space="0" w:color="auto"/>
            </w:tcBorders>
          </w:tcPr>
          <w:p>
            <w:pPr>
              <w:pStyle w:val="TableParagraph"/>
              <w:tabs>
                <w:tab w:pos="1257" w:val="left" w:leader="none"/>
                <w:tab w:pos="2421" w:val="left" w:leader="none"/>
              </w:tabs>
              <w:spacing w:line="268" w:lineRule="exact"/>
              <w:ind w:right="22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3,225,641</w:t>
            </w:r>
            <w:r>
              <w:rPr>
                <w:rFonts w:ascii="Arial"/>
                <w:sz w:val="24"/>
                <w:u w:val="thick" w:color="000000"/>
              </w:rPr>
              <w:tab/>
            </w:r>
            <w:r>
              <w:rPr>
                <w:rFonts w:ascii="Arial"/>
                <w:sz w:val="24"/>
              </w:rPr>
            </w:r>
          </w:p>
        </w:tc>
        <w:tc>
          <w:tcPr>
            <w:tcW w:w="2568" w:type="dxa"/>
            <w:tcBorders>
              <w:top w:val="nil" w:sz="6" w:space="0" w:color="auto"/>
              <w:left w:val="nil" w:sz="6" w:space="0" w:color="auto"/>
              <w:bottom w:val="nil" w:sz="6" w:space="0" w:color="auto"/>
              <w:right w:val="nil" w:sz="6" w:space="0" w:color="auto"/>
            </w:tcBorders>
          </w:tcPr>
          <w:p>
            <w:pPr>
              <w:pStyle w:val="TableParagraph"/>
              <w:tabs>
                <w:tab w:pos="1256" w:val="left" w:leader="none"/>
                <w:tab w:pos="2423" w:val="left" w:leader="none"/>
              </w:tabs>
              <w:spacing w:line="268" w:lineRule="exact"/>
              <w:ind w:right="14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1,836,529</w:t>
            </w:r>
            <w:r>
              <w:rPr>
                <w:rFonts w:ascii="Arial"/>
                <w:sz w:val="24"/>
                <w:u w:val="thick" w:color="000000"/>
              </w:rPr>
              <w:tab/>
            </w:r>
            <w:r>
              <w:rPr>
                <w:rFonts w:ascii="Arial"/>
                <w:sz w:val="24"/>
              </w:rPr>
            </w:r>
          </w:p>
        </w:tc>
      </w:tr>
    </w:tbl>
    <w:p>
      <w:pPr>
        <w:spacing w:line="240" w:lineRule="auto" w:before="8"/>
        <w:rPr>
          <w:rFonts w:ascii="Times New Roman" w:hAnsi="Times New Roman" w:cs="Times New Roman" w:eastAsia="Times New Roman" w:hint="default"/>
          <w:sz w:val="22"/>
          <w:szCs w:val="22"/>
        </w:rPr>
      </w:pPr>
    </w:p>
    <w:p>
      <w:pPr>
        <w:pStyle w:val="Heading3"/>
        <w:spacing w:line="321" w:lineRule="exact" w:before="26"/>
        <w:ind w:left="1031" w:right="0"/>
        <w:jc w:val="both"/>
        <w:rPr>
          <w:rFonts w:ascii="Arial" w:hAnsi="Arial" w:cs="Arial" w:eastAsia="Arial" w:hint="default"/>
        </w:rPr>
      </w:pPr>
      <w:r>
        <w:rPr/>
        <w:t>于</w:t>
      </w:r>
      <w:r>
        <w:rPr>
          <w:spacing w:val="-60"/>
        </w:rPr>
        <w:t> </w:t>
      </w:r>
      <w:r>
        <w:rPr>
          <w:rFonts w:ascii="Arial" w:hAnsi="Arial" w:cs="Arial" w:eastAsia="Arial" w:hint="default"/>
        </w:rPr>
        <w:t>2015</w:t>
      </w:r>
      <w:r>
        <w:rPr>
          <w:rFonts w:ascii="Arial" w:hAnsi="Arial" w:cs="Arial" w:eastAsia="Arial" w:hint="default"/>
          <w:spacing w:val="-6"/>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t>日，港元银行质押借款约人民币</w:t>
      </w:r>
      <w:r>
        <w:rPr>
          <w:spacing w:val="-60"/>
        </w:rPr>
        <w:t> </w:t>
      </w:r>
      <w:r>
        <w:rPr>
          <w:rFonts w:ascii="Arial" w:hAnsi="Arial" w:cs="Arial" w:eastAsia="Arial" w:hint="default"/>
          <w:spacing w:val="-4"/>
        </w:rPr>
        <w:t>12.11</w:t>
      </w:r>
      <w:r>
        <w:rPr>
          <w:rFonts w:ascii="Arial" w:hAnsi="Arial" w:cs="Arial" w:eastAsia="Arial" w:hint="default"/>
          <w:spacing w:val="-7"/>
        </w:rPr>
        <w:t> </w:t>
      </w:r>
      <w:r>
        <w:rPr/>
        <w:t>亿元</w:t>
      </w:r>
      <w:r>
        <w:rPr>
          <w:rFonts w:ascii="Arial" w:hAnsi="Arial" w:cs="Arial" w:eastAsia="Arial" w:hint="default"/>
        </w:rPr>
        <w:t>(2014</w:t>
      </w:r>
      <w:r>
        <w:rPr>
          <w:rFonts w:ascii="Arial" w:hAnsi="Arial" w:cs="Arial" w:eastAsia="Arial" w:hint="default"/>
          <w:spacing w:val="-7"/>
        </w:rPr>
        <w:t> </w:t>
      </w:r>
      <w:r>
        <w:rPr/>
        <w:t>年</w:t>
      </w:r>
      <w:r>
        <w:rPr>
          <w:spacing w:val="-60"/>
        </w:rPr>
        <w:t> </w:t>
      </w:r>
      <w:r>
        <w:rPr>
          <w:rFonts w:ascii="Arial" w:hAnsi="Arial" w:cs="Arial" w:eastAsia="Arial" w:hint="default"/>
        </w:rPr>
        <w:t>12</w:t>
      </w:r>
    </w:p>
    <w:p>
      <w:pPr>
        <w:pStyle w:val="Heading3"/>
        <w:spacing w:line="311" w:lineRule="exact"/>
        <w:ind w:left="1031" w:right="0"/>
        <w:jc w:val="both"/>
      </w:pPr>
      <w:r>
        <w:rPr/>
        <w:t>月</w:t>
      </w:r>
      <w:r>
        <w:rPr>
          <w:spacing w:val="-47"/>
        </w:rPr>
        <w:t> </w:t>
      </w:r>
      <w:r>
        <w:rPr>
          <w:rFonts w:ascii="Arial" w:hAnsi="Arial" w:cs="Arial" w:eastAsia="Arial" w:hint="default"/>
        </w:rPr>
        <w:t>31</w:t>
      </w:r>
      <w:r>
        <w:rPr>
          <w:rFonts w:ascii="Arial" w:hAnsi="Arial" w:cs="Arial" w:eastAsia="Arial" w:hint="default"/>
          <w:spacing w:val="6"/>
        </w:rPr>
        <w:t> </w:t>
      </w:r>
      <w:r>
        <w:rPr/>
        <w:t>日：约人民币</w:t>
      </w:r>
      <w:r>
        <w:rPr>
          <w:spacing w:val="-47"/>
        </w:rPr>
        <w:t> </w:t>
      </w:r>
      <w:r>
        <w:rPr>
          <w:rFonts w:ascii="Arial" w:hAnsi="Arial" w:cs="Arial" w:eastAsia="Arial" w:hint="default"/>
          <w:spacing w:val="-4"/>
        </w:rPr>
        <w:t>11.66</w:t>
      </w:r>
      <w:r>
        <w:rPr>
          <w:rFonts w:ascii="Arial" w:hAnsi="Arial" w:cs="Arial" w:eastAsia="Arial" w:hint="default"/>
          <w:spacing w:val="6"/>
        </w:rPr>
        <w:t> </w:t>
      </w:r>
      <w:r>
        <w:rPr/>
        <w:t>亿元</w:t>
      </w:r>
      <w:r>
        <w:rPr>
          <w:rFonts w:ascii="Arial" w:hAnsi="Arial" w:cs="Arial" w:eastAsia="Arial" w:hint="default"/>
        </w:rPr>
        <w:t>)</w:t>
      </w:r>
      <w:r>
        <w:rPr/>
        <w:t>系由本集团存于银行的备用信用证保证金约</w:t>
      </w:r>
    </w:p>
    <w:p>
      <w:pPr>
        <w:pStyle w:val="Heading3"/>
        <w:spacing w:line="311" w:lineRule="exact"/>
        <w:ind w:left="1031" w:right="0"/>
        <w:jc w:val="both"/>
      </w:pPr>
      <w:r>
        <w:rPr/>
        <w:t>人民币</w:t>
      </w:r>
      <w:r>
        <w:rPr>
          <w:spacing w:val="-61"/>
        </w:rPr>
        <w:t> </w:t>
      </w:r>
      <w:r>
        <w:rPr>
          <w:rFonts w:ascii="Arial" w:hAnsi="Arial" w:cs="Arial" w:eastAsia="Arial" w:hint="default"/>
        </w:rPr>
        <w:t>7.35</w:t>
      </w:r>
      <w:r>
        <w:rPr>
          <w:rFonts w:ascii="Arial" w:hAnsi="Arial" w:cs="Arial" w:eastAsia="Arial" w:hint="default"/>
          <w:spacing w:val="-8"/>
        </w:rPr>
        <w:t> </w:t>
      </w:r>
      <w:r>
        <w:rPr/>
        <w:t>亿元</w:t>
      </w:r>
      <w:r>
        <w:rPr>
          <w:rFonts w:ascii="Arial" w:hAnsi="Arial" w:cs="Arial" w:eastAsia="Arial" w:hint="default"/>
        </w:rPr>
        <w:t>(2014</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0"/>
        </w:rPr>
        <w:t> </w:t>
      </w:r>
      <w:r>
        <w:rPr>
          <w:rFonts w:ascii="Arial" w:hAnsi="Arial" w:cs="Arial" w:eastAsia="Arial" w:hint="default"/>
        </w:rPr>
        <w:t>31</w:t>
      </w:r>
      <w:r>
        <w:rPr>
          <w:rFonts w:ascii="Arial" w:hAnsi="Arial" w:cs="Arial" w:eastAsia="Arial" w:hint="default"/>
          <w:spacing w:val="-8"/>
        </w:rPr>
        <w:t> </w:t>
      </w:r>
      <w:r>
        <w:rPr>
          <w:spacing w:val="-5"/>
        </w:rPr>
        <w:t>日：备用信用证保证金和保函保证金约人</w:t>
      </w:r>
    </w:p>
    <w:p>
      <w:pPr>
        <w:pStyle w:val="Heading3"/>
        <w:spacing w:line="311" w:lineRule="exact"/>
        <w:ind w:left="1031" w:right="0"/>
        <w:jc w:val="both"/>
      </w:pPr>
      <w:r>
        <w:rPr/>
        <w:t>民币</w:t>
      </w:r>
      <w:r>
        <w:rPr>
          <w:spacing w:val="-61"/>
        </w:rPr>
        <w:t> </w:t>
      </w:r>
      <w:r>
        <w:rPr>
          <w:rFonts w:ascii="Arial" w:hAnsi="Arial" w:cs="Arial" w:eastAsia="Arial" w:hint="default"/>
        </w:rPr>
        <w:t>13.26</w:t>
      </w:r>
      <w:r>
        <w:rPr>
          <w:rFonts w:ascii="Arial" w:hAnsi="Arial" w:cs="Arial" w:eastAsia="Arial" w:hint="default"/>
          <w:spacing w:val="-8"/>
        </w:rPr>
        <w:t> </w:t>
      </w:r>
      <w:r>
        <w:rPr/>
        <w:t>亿元</w:t>
      </w:r>
      <w:r>
        <w:rPr>
          <w:rFonts w:ascii="Arial" w:hAnsi="Arial" w:cs="Arial" w:eastAsia="Arial" w:hint="default"/>
        </w:rPr>
        <w:t>)(</w:t>
      </w:r>
      <w:r>
        <w:rPr/>
        <w:t>附注四</w:t>
      </w:r>
      <w:r>
        <w:rPr>
          <w:rFonts w:ascii="Arial" w:hAnsi="Arial" w:cs="Arial" w:eastAsia="Arial" w:hint="default"/>
        </w:rPr>
        <w:t>(1))</w:t>
      </w:r>
      <w:r>
        <w:rPr/>
        <w:t>和保本保收益理财产品约人民币</w:t>
      </w:r>
      <w:r>
        <w:rPr>
          <w:spacing w:val="-61"/>
        </w:rPr>
        <w:t> </w:t>
      </w:r>
      <w:r>
        <w:rPr>
          <w:rFonts w:ascii="Arial" w:hAnsi="Arial" w:cs="Arial" w:eastAsia="Arial" w:hint="default"/>
        </w:rPr>
        <w:t>7</w:t>
      </w:r>
      <w:r>
        <w:rPr>
          <w:rFonts w:ascii="Arial" w:hAnsi="Arial" w:cs="Arial" w:eastAsia="Arial" w:hint="default"/>
          <w:spacing w:val="-8"/>
        </w:rPr>
        <w:t> </w:t>
      </w:r>
      <w:r>
        <w:rPr/>
        <w:t>亿元</w:t>
      </w:r>
      <w:r>
        <w:rPr>
          <w:rFonts w:ascii="Arial" w:hAnsi="Arial" w:cs="Arial" w:eastAsia="Arial" w:hint="default"/>
        </w:rPr>
        <w:t>(2014</w:t>
      </w:r>
      <w:r>
        <w:rPr>
          <w:rFonts w:ascii="Arial" w:hAnsi="Arial" w:cs="Arial" w:eastAsia="Arial" w:hint="default"/>
          <w:spacing w:val="-8"/>
        </w:rPr>
        <w:t> </w:t>
      </w:r>
      <w:r>
        <w:rPr/>
        <w:t>年</w:t>
      </w:r>
    </w:p>
    <w:p>
      <w:pPr>
        <w:pStyle w:val="Heading3"/>
        <w:spacing w:line="311" w:lineRule="exact"/>
        <w:ind w:left="1031" w:right="0"/>
        <w:jc w:val="both"/>
      </w:pPr>
      <w:r>
        <w:rPr>
          <w:rFonts w:ascii="Arial" w:hAnsi="Arial" w:cs="Arial" w:eastAsia="Arial" w:hint="default"/>
        </w:rPr>
        <w:t>12</w:t>
      </w:r>
      <w:r>
        <w:rPr>
          <w:rFonts w:ascii="Arial" w:hAnsi="Arial" w:cs="Arial" w:eastAsia="Arial" w:hint="default"/>
          <w:spacing w:val="-16"/>
        </w:rPr>
        <w:t> </w:t>
      </w:r>
      <w:r>
        <w:rPr/>
        <w:t>月</w:t>
      </w:r>
      <w:r>
        <w:rPr>
          <w:spacing w:val="-69"/>
        </w:rPr>
        <w:t> </w:t>
      </w:r>
      <w:r>
        <w:rPr>
          <w:rFonts w:ascii="Arial" w:hAnsi="Arial" w:cs="Arial" w:eastAsia="Arial" w:hint="default"/>
        </w:rPr>
        <w:t>31</w:t>
      </w:r>
      <w:r>
        <w:rPr>
          <w:rFonts w:ascii="Arial" w:hAnsi="Arial" w:cs="Arial" w:eastAsia="Arial" w:hint="default"/>
          <w:spacing w:val="-16"/>
        </w:rPr>
        <w:t> </w:t>
      </w:r>
      <w:r>
        <w:rPr/>
        <w:t>日：无</w:t>
      </w:r>
      <w:r>
        <w:rPr>
          <w:rFonts w:ascii="Arial" w:hAnsi="Arial" w:cs="Arial" w:eastAsia="Arial" w:hint="default"/>
        </w:rPr>
        <w:t>)(</w:t>
      </w:r>
      <w:r>
        <w:rPr/>
        <w:t>附注四</w:t>
      </w:r>
      <w:r>
        <w:rPr>
          <w:rFonts w:ascii="Arial" w:hAnsi="Arial" w:cs="Arial" w:eastAsia="Arial" w:hint="default"/>
        </w:rPr>
        <w:t>(7))</w:t>
      </w:r>
      <w:r>
        <w:rPr/>
        <w:t>作为质押。人民币银行质押借款约人民币</w:t>
      </w:r>
      <w:r>
        <w:rPr>
          <w:spacing w:val="-69"/>
        </w:rPr>
        <w:t> </w:t>
      </w:r>
      <w:r>
        <w:rPr>
          <w:rFonts w:ascii="Arial" w:hAnsi="Arial" w:cs="Arial" w:eastAsia="Arial" w:hint="default"/>
        </w:rPr>
        <w:t>7</w:t>
      </w:r>
      <w:r>
        <w:rPr>
          <w:rFonts w:ascii="Arial" w:hAnsi="Arial" w:cs="Arial" w:eastAsia="Arial" w:hint="default"/>
          <w:spacing w:val="-16"/>
        </w:rPr>
        <w:t> </w:t>
      </w:r>
      <w:r>
        <w:rPr/>
        <w:t>亿元</w:t>
      </w:r>
    </w:p>
    <w:p>
      <w:pPr>
        <w:pStyle w:val="Heading3"/>
        <w:spacing w:line="311" w:lineRule="exact"/>
        <w:ind w:left="1031" w:right="0"/>
        <w:jc w:val="both"/>
      </w:pPr>
      <w:r>
        <w:rPr>
          <w:rFonts w:ascii="Arial" w:hAnsi="Arial" w:cs="Arial" w:eastAsia="Arial" w:hint="default"/>
        </w:rPr>
        <w:t>(2014</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11"/>
        </w:rPr>
        <w:t>日：约人民币</w:t>
      </w:r>
      <w:r>
        <w:rPr>
          <w:spacing w:val="-61"/>
        </w:rPr>
        <w:t> </w:t>
      </w:r>
      <w:r>
        <w:rPr>
          <w:rFonts w:ascii="Arial" w:hAnsi="Arial" w:cs="Arial" w:eastAsia="Arial" w:hint="default"/>
        </w:rPr>
        <w:t>7,300</w:t>
      </w:r>
      <w:r>
        <w:rPr>
          <w:rFonts w:ascii="Arial" w:hAnsi="Arial" w:cs="Arial" w:eastAsia="Arial" w:hint="default"/>
          <w:spacing w:val="-9"/>
        </w:rPr>
        <w:t> </w:t>
      </w:r>
      <w:r>
        <w:rPr/>
        <w:t>万元</w:t>
      </w:r>
      <w:r>
        <w:rPr>
          <w:rFonts w:ascii="Arial" w:hAnsi="Arial" w:cs="Arial" w:eastAsia="Arial" w:hint="default"/>
        </w:rPr>
        <w:t>)</w:t>
      </w:r>
      <w:r>
        <w:rPr/>
        <w:t>系由本集团于银行的备用信用证</w:t>
      </w:r>
    </w:p>
    <w:p>
      <w:pPr>
        <w:pStyle w:val="Heading3"/>
        <w:spacing w:line="311" w:lineRule="exact"/>
        <w:ind w:left="1031" w:right="0"/>
        <w:jc w:val="both"/>
      </w:pPr>
      <w:r>
        <w:rPr/>
        <w:t>保证金约人民币</w:t>
      </w:r>
      <w:r>
        <w:rPr>
          <w:spacing w:val="-60"/>
        </w:rPr>
        <w:t> </w:t>
      </w:r>
      <w:r>
        <w:rPr>
          <w:rFonts w:ascii="Arial" w:hAnsi="Arial" w:cs="Arial" w:eastAsia="Arial" w:hint="default"/>
          <w:w w:val="99"/>
        </w:rPr>
        <w:t>3</w:t>
      </w:r>
      <w:r>
        <w:rPr>
          <w:rFonts w:ascii="Arial" w:hAnsi="Arial" w:cs="Arial" w:eastAsia="Arial" w:hint="default"/>
          <w:spacing w:val="-7"/>
        </w:rPr>
        <w:t> </w:t>
      </w:r>
      <w:r>
        <w:rPr/>
        <w:t>亿元 </w:t>
      </w:r>
      <w:r>
        <w:rPr>
          <w:rFonts w:ascii="Arial" w:hAnsi="Arial" w:cs="Arial" w:eastAsia="Arial" w:hint="default"/>
          <w:w w:val="99"/>
        </w:rPr>
        <w:t>(2014</w:t>
      </w:r>
      <w:r>
        <w:rPr>
          <w:rFonts w:ascii="Arial" w:hAnsi="Arial" w:cs="Arial" w:eastAsia="Arial" w:hint="default"/>
          <w:spacing w:val="-8"/>
        </w:rPr>
        <w:t> </w:t>
      </w:r>
      <w:r>
        <w:rPr/>
        <w:t>年</w:t>
      </w:r>
      <w:r>
        <w:rPr>
          <w:spacing w:val="-60"/>
        </w:rPr>
        <w:t> </w:t>
      </w:r>
      <w:r>
        <w:rPr>
          <w:rFonts w:ascii="Arial" w:hAnsi="Arial" w:cs="Arial" w:eastAsia="Arial" w:hint="default"/>
          <w:w w:val="99"/>
        </w:rPr>
        <w:t>12</w:t>
      </w:r>
      <w:r>
        <w:rPr>
          <w:rFonts w:ascii="Arial" w:hAnsi="Arial" w:cs="Arial" w:eastAsia="Arial" w:hint="default"/>
          <w:spacing w:val="-7"/>
        </w:rPr>
        <w:t> </w:t>
      </w:r>
      <w:r>
        <w:rPr/>
        <w:t>月</w:t>
      </w:r>
      <w:r>
        <w:rPr>
          <w:spacing w:val="-6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7"/>
        </w:rPr>
        <w:t> </w:t>
      </w:r>
      <w:r>
        <w:rPr/>
        <w:t>日</w:t>
      </w:r>
      <w:r>
        <w:rPr>
          <w:spacing w:val="-116"/>
        </w:rPr>
        <w:t>：</w:t>
      </w:r>
      <w:r>
        <w:rPr/>
        <w:t>应收账款约人民币</w:t>
      </w:r>
      <w:r>
        <w:rPr>
          <w:spacing w:val="-60"/>
        </w:rPr>
        <w:t> </w:t>
      </w:r>
      <w:r>
        <w:rPr>
          <w:rFonts w:ascii="Arial" w:hAnsi="Arial" w:cs="Arial" w:eastAsia="Arial" w:hint="default"/>
          <w:w w:val="99"/>
        </w:rPr>
        <w:t>7,613</w:t>
      </w:r>
      <w:r>
        <w:rPr>
          <w:rFonts w:ascii="Arial" w:hAnsi="Arial" w:cs="Arial" w:eastAsia="Arial" w:hint="default"/>
          <w:spacing w:val="-8"/>
        </w:rPr>
        <w:t> </w:t>
      </w:r>
      <w:r>
        <w:rPr/>
        <w:t>万元</w:t>
      </w:r>
    </w:p>
    <w:p>
      <w:pPr>
        <w:pStyle w:val="Heading3"/>
        <w:spacing w:line="311" w:lineRule="exact"/>
        <w:ind w:left="1031" w:right="0"/>
        <w:jc w:val="both"/>
        <w:rPr>
          <w:rFonts w:ascii="Arial" w:hAnsi="Arial" w:cs="Arial" w:eastAsia="Arial" w:hint="default"/>
        </w:rPr>
      </w:pPr>
      <w:r>
        <w:rPr/>
        <w:t>作为质押</w:t>
      </w:r>
      <w:r>
        <w:rPr>
          <w:rFonts w:ascii="Arial" w:hAnsi="Arial" w:cs="Arial" w:eastAsia="Arial" w:hint="default"/>
        </w:rPr>
        <w:t>)(</w:t>
      </w:r>
      <w:r>
        <w:rPr/>
        <w:t>附注四</w:t>
      </w:r>
      <w:r>
        <w:rPr>
          <w:rFonts w:ascii="Arial" w:hAnsi="Arial" w:cs="Arial" w:eastAsia="Arial" w:hint="default"/>
        </w:rPr>
        <w:t>(6))</w:t>
      </w:r>
      <w:r>
        <w:rPr/>
        <w:t>和人民币</w:t>
      </w:r>
      <w:r>
        <w:rPr>
          <w:spacing w:val="-59"/>
        </w:rPr>
        <w:t> </w:t>
      </w:r>
      <w:r>
        <w:rPr>
          <w:rFonts w:ascii="Arial" w:hAnsi="Arial" w:cs="Arial" w:eastAsia="Arial" w:hint="default"/>
        </w:rPr>
        <w:t>6,000</w:t>
      </w:r>
      <w:r>
        <w:rPr>
          <w:rFonts w:ascii="Arial" w:hAnsi="Arial" w:cs="Arial" w:eastAsia="Arial" w:hint="default"/>
          <w:spacing w:val="-6"/>
        </w:rPr>
        <w:t> </w:t>
      </w:r>
      <w:r>
        <w:rPr/>
        <w:t>万元银行承兑保证金</w:t>
      </w:r>
      <w:r>
        <w:rPr>
          <w:rFonts w:ascii="Arial" w:hAnsi="Arial" w:cs="Arial" w:eastAsia="Arial" w:hint="default"/>
        </w:rPr>
        <w:t>(2014</w:t>
      </w:r>
      <w:r>
        <w:rPr>
          <w:rFonts w:ascii="Arial" w:hAnsi="Arial" w:cs="Arial" w:eastAsia="Arial" w:hint="default"/>
          <w:spacing w:val="-6"/>
        </w:rPr>
        <w:t> </w:t>
      </w:r>
      <w:r>
        <w:rPr/>
        <w:t>年</w:t>
      </w:r>
      <w:r>
        <w:rPr>
          <w:spacing w:val="-58"/>
        </w:rPr>
        <w:t> </w:t>
      </w:r>
      <w:r>
        <w:rPr>
          <w:rFonts w:ascii="Arial" w:hAnsi="Arial" w:cs="Arial" w:eastAsia="Arial" w:hint="default"/>
        </w:rPr>
        <w:t>12</w:t>
      </w:r>
      <w:r>
        <w:rPr>
          <w:rFonts w:ascii="Arial" w:hAnsi="Arial" w:cs="Arial" w:eastAsia="Arial" w:hint="default"/>
          <w:spacing w:val="-6"/>
        </w:rPr>
        <w:t> </w:t>
      </w:r>
      <w:r>
        <w:rPr/>
        <w:t>月</w:t>
      </w:r>
      <w:r>
        <w:rPr>
          <w:spacing w:val="-58"/>
        </w:rPr>
        <w:t> </w:t>
      </w:r>
      <w:r>
        <w:rPr>
          <w:rFonts w:ascii="Arial" w:hAnsi="Arial" w:cs="Arial" w:eastAsia="Arial" w:hint="default"/>
        </w:rPr>
        <w:t>31</w:t>
      </w:r>
    </w:p>
    <w:p>
      <w:pPr>
        <w:pStyle w:val="Heading3"/>
        <w:spacing w:line="322" w:lineRule="exact"/>
        <w:ind w:left="1031" w:right="0"/>
        <w:jc w:val="both"/>
      </w:pPr>
      <w:r>
        <w:rPr/>
        <w:t>日：无</w:t>
      </w:r>
      <w:r>
        <w:rPr>
          <w:rFonts w:ascii="Arial" w:hAnsi="Arial" w:cs="Arial" w:eastAsia="Arial" w:hint="default"/>
        </w:rPr>
        <w:t>)</w:t>
      </w:r>
      <w:r>
        <w:rPr/>
        <w:t>作为质押。</w:t>
      </w:r>
    </w:p>
    <w:p>
      <w:pPr>
        <w:spacing w:line="240" w:lineRule="auto" w:before="7"/>
        <w:rPr>
          <w:rFonts w:ascii="宋体" w:hAnsi="宋体" w:cs="宋体" w:eastAsia="宋体" w:hint="default"/>
          <w:sz w:val="19"/>
          <w:szCs w:val="19"/>
        </w:rPr>
      </w:pPr>
    </w:p>
    <w:p>
      <w:pPr>
        <w:pStyle w:val="Heading3"/>
        <w:spacing w:line="321" w:lineRule="exact"/>
        <w:ind w:left="1031" w:right="0"/>
        <w:jc w:val="both"/>
      </w:pPr>
      <w:r>
        <w:rPr/>
        <w:t>于</w:t>
      </w:r>
      <w:r>
        <w:rPr>
          <w:spacing w:val="-60"/>
        </w:rPr>
        <w:t> </w:t>
      </w:r>
      <w:r>
        <w:rPr>
          <w:rFonts w:ascii="Arial" w:hAnsi="Arial" w:cs="Arial" w:eastAsia="Arial" w:hint="default"/>
          <w:spacing w:val="-1"/>
          <w:w w:val="99"/>
        </w:rPr>
        <w:t>201</w:t>
      </w:r>
      <w:r>
        <w:rPr>
          <w:rFonts w:ascii="Arial" w:hAnsi="Arial" w:cs="Arial" w:eastAsia="Arial" w:hint="default"/>
          <w:w w:val="99"/>
        </w:rPr>
        <w:t>5</w:t>
      </w:r>
      <w:r>
        <w:rPr>
          <w:rFonts w:ascii="Arial" w:hAnsi="Arial" w:cs="Arial" w:eastAsia="Arial" w:hint="default"/>
          <w:spacing w:val="-7"/>
        </w:rPr>
        <w:t> </w:t>
      </w:r>
      <w:r>
        <w:rPr/>
        <w:t>年</w:t>
      </w:r>
      <w:r>
        <w:rPr>
          <w:spacing w:val="-5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7"/>
        </w:rPr>
        <w:t> </w:t>
      </w:r>
      <w:r>
        <w:rPr/>
        <w:t>月</w:t>
      </w:r>
      <w:r>
        <w:rPr>
          <w:spacing w:val="-6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7"/>
        </w:rPr>
        <w:t> </w:t>
      </w:r>
      <w:r>
        <w:rPr/>
        <w:t>日</w:t>
      </w:r>
      <w:r>
        <w:rPr>
          <w:spacing w:val="-104"/>
        </w:rPr>
        <w:t>，</w:t>
      </w:r>
      <w:r>
        <w:rPr/>
        <w:t>美元抵押借款约人民币</w:t>
      </w:r>
      <w:r>
        <w:rPr>
          <w:spacing w:val="-60"/>
        </w:rPr>
        <w:t> </w:t>
      </w:r>
      <w:r>
        <w:rPr>
          <w:rFonts w:ascii="Arial" w:hAnsi="Arial" w:cs="Arial" w:eastAsia="Arial" w:hint="default"/>
          <w:w w:val="99"/>
        </w:rPr>
        <w:t>6</w:t>
      </w:r>
      <w:r>
        <w:rPr>
          <w:rFonts w:ascii="Arial" w:hAnsi="Arial" w:cs="Arial" w:eastAsia="Arial" w:hint="default"/>
          <w:spacing w:val="-7"/>
        </w:rPr>
        <w:t> </w:t>
      </w:r>
      <w:r>
        <w:rPr/>
        <w:t>亿元</w:t>
      </w:r>
      <w:r>
        <w:rPr>
          <w:rFonts w:ascii="Arial" w:hAnsi="Arial" w:cs="Arial" w:eastAsia="Arial" w:hint="default"/>
        </w:rPr>
        <w:t>(</w:t>
      </w:r>
      <w:r>
        <w:rPr>
          <w:rFonts w:ascii="Arial" w:hAnsi="Arial" w:cs="Arial" w:eastAsia="Arial" w:hint="default"/>
          <w:spacing w:val="-1"/>
          <w:w w:val="99"/>
        </w:rPr>
        <w:t>201</w:t>
      </w:r>
      <w:r>
        <w:rPr>
          <w:rFonts w:ascii="Arial" w:hAnsi="Arial" w:cs="Arial" w:eastAsia="Arial" w:hint="default"/>
          <w:w w:val="99"/>
        </w:rPr>
        <w:t>4</w:t>
      </w:r>
      <w:r>
        <w:rPr>
          <w:rFonts w:ascii="Arial" w:hAnsi="Arial" w:cs="Arial" w:eastAsia="Arial" w:hint="default"/>
          <w:spacing w:val="-7"/>
        </w:rPr>
        <w:t> </w:t>
      </w:r>
      <w:r>
        <w:rPr/>
        <w:t>年</w:t>
      </w:r>
      <w:r>
        <w:rPr>
          <w:spacing w:val="-60"/>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6"/>
        </w:rPr>
        <w:t> </w:t>
      </w:r>
      <w:r>
        <w:rPr/>
        <w:t>月</w:t>
      </w:r>
      <w:r>
        <w:rPr>
          <w:spacing w:val="-6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7"/>
        </w:rPr>
        <w:t> </w:t>
      </w:r>
      <w:r>
        <w:rPr/>
        <w:t>日：</w:t>
      </w:r>
    </w:p>
    <w:p>
      <w:pPr>
        <w:pStyle w:val="Heading3"/>
        <w:spacing w:line="312" w:lineRule="exact"/>
        <w:ind w:left="1031" w:right="0"/>
        <w:jc w:val="both"/>
        <w:rPr>
          <w:rFonts w:ascii="Arial" w:hAnsi="Arial" w:cs="Arial" w:eastAsia="Arial" w:hint="default"/>
        </w:rPr>
      </w:pPr>
      <w:r>
        <w:rPr/>
        <w:t>无</w:t>
      </w:r>
      <w:r>
        <w:rPr>
          <w:rFonts w:ascii="Arial" w:hAnsi="Arial" w:cs="Arial" w:eastAsia="Arial" w:hint="default"/>
        </w:rPr>
        <w:t>)</w:t>
      </w:r>
      <w:r>
        <w:rPr/>
        <w:t>系由本集团账面价值约为人民币</w:t>
      </w:r>
      <w:r>
        <w:rPr>
          <w:spacing w:val="-82"/>
        </w:rPr>
        <w:t> </w:t>
      </w:r>
      <w:r>
        <w:rPr>
          <w:rFonts w:ascii="Arial" w:hAnsi="Arial" w:cs="Arial" w:eastAsia="Arial" w:hint="default"/>
        </w:rPr>
        <w:t>3.84</w:t>
      </w:r>
      <w:r>
        <w:rPr>
          <w:rFonts w:ascii="Arial" w:hAnsi="Arial" w:cs="Arial" w:eastAsia="Arial" w:hint="default"/>
          <w:spacing w:val="-29"/>
        </w:rPr>
        <w:t> </w:t>
      </w:r>
      <w:r>
        <w:rPr/>
        <w:t>亿元</w:t>
      </w:r>
      <w:r>
        <w:rPr>
          <w:rFonts w:ascii="Arial" w:hAnsi="Arial" w:cs="Arial" w:eastAsia="Arial" w:hint="default"/>
        </w:rPr>
        <w:t>(</w:t>
      </w:r>
      <w:r>
        <w:rPr/>
        <w:t>原价约人民币</w:t>
      </w:r>
      <w:r>
        <w:rPr>
          <w:spacing w:val="-81"/>
        </w:rPr>
        <w:t> </w:t>
      </w:r>
      <w:r>
        <w:rPr>
          <w:rFonts w:ascii="Arial" w:hAnsi="Arial" w:cs="Arial" w:eastAsia="Arial" w:hint="default"/>
        </w:rPr>
        <w:t>4.61</w:t>
      </w:r>
      <w:r>
        <w:rPr>
          <w:rFonts w:ascii="Arial" w:hAnsi="Arial" w:cs="Arial" w:eastAsia="Arial" w:hint="default"/>
          <w:spacing w:val="-29"/>
        </w:rPr>
        <w:t> </w:t>
      </w:r>
      <w:r>
        <w:rPr/>
        <w:t>亿元</w:t>
      </w:r>
      <w:r>
        <w:rPr>
          <w:rFonts w:ascii="Arial" w:hAnsi="Arial" w:cs="Arial" w:eastAsia="Arial" w:hint="default"/>
        </w:rPr>
        <w:t>)(2014</w:t>
      </w:r>
    </w:p>
    <w:p>
      <w:pPr>
        <w:pStyle w:val="Heading3"/>
        <w:spacing w:line="230" w:lineRule="auto" w:before="1"/>
        <w:ind w:left="1031" w:right="1506"/>
        <w:jc w:val="both"/>
      </w:pPr>
      <w:r>
        <w:rPr/>
        <w:t>年</w:t>
      </w:r>
      <w:r>
        <w:rPr>
          <w:spacing w:val="-55"/>
        </w:rPr>
        <w:t> </w:t>
      </w:r>
      <w:r>
        <w:rPr>
          <w:rFonts w:ascii="Arial" w:hAnsi="Arial" w:cs="Arial" w:eastAsia="Arial" w:hint="default"/>
        </w:rPr>
        <w:t>12</w:t>
      </w:r>
      <w:r>
        <w:rPr>
          <w:rFonts w:ascii="Arial" w:hAnsi="Arial" w:cs="Arial" w:eastAsia="Arial" w:hint="default"/>
          <w:spacing w:val="-2"/>
        </w:rPr>
        <w:t> </w:t>
      </w:r>
      <w:r>
        <w:rPr/>
        <w:t>月</w:t>
      </w:r>
      <w:r>
        <w:rPr>
          <w:spacing w:val="-54"/>
        </w:rPr>
        <w:t> </w:t>
      </w:r>
      <w:r>
        <w:rPr>
          <w:rFonts w:ascii="Arial" w:hAnsi="Arial" w:cs="Arial" w:eastAsia="Arial" w:hint="default"/>
        </w:rPr>
        <w:t>31</w:t>
      </w:r>
      <w:r>
        <w:rPr>
          <w:rFonts w:ascii="Arial" w:hAnsi="Arial" w:cs="Arial" w:eastAsia="Arial" w:hint="default"/>
          <w:spacing w:val="-2"/>
        </w:rPr>
        <w:t> </w:t>
      </w:r>
      <w:r>
        <w:rPr/>
        <w:t>日：无</w:t>
      </w:r>
      <w:r>
        <w:rPr>
          <w:rFonts w:ascii="Arial" w:hAnsi="Arial" w:cs="Arial" w:eastAsia="Arial" w:hint="default"/>
        </w:rPr>
        <w:t>)(</w:t>
      </w:r>
      <w:r>
        <w:rPr/>
        <w:t>附注四</w:t>
      </w:r>
      <w:r>
        <w:rPr>
          <w:rFonts w:ascii="Arial" w:hAnsi="Arial" w:cs="Arial" w:eastAsia="Arial" w:hint="default"/>
        </w:rPr>
        <w:t>(14))</w:t>
      </w:r>
      <w:r>
        <w:rPr/>
        <w:t>的房屋建筑物作抵押。该笔借款由于触发了</w:t>
      </w:r>
      <w:r>
        <w:rPr>
          <w:w w:val="99"/>
        </w:rPr>
        <w:t> </w:t>
      </w:r>
      <w:r>
        <w:rPr/>
        <w:t>借款协议中约定的银行强制提前还款条款，使得银行拥有了随时要求本集团</w:t>
      </w:r>
      <w:r>
        <w:rPr>
          <w:spacing w:val="-110"/>
        </w:rPr>
        <w:t> </w:t>
      </w:r>
      <w:r>
        <w:rPr>
          <w:spacing w:val="-110"/>
        </w:rPr>
      </w:r>
      <w:r>
        <w:rPr/>
        <w:t>提前偿还借款的权力，因此，于</w:t>
      </w:r>
      <w:r>
        <w:rPr>
          <w:spacing w:val="-55"/>
        </w:rPr>
        <w:t> </w:t>
      </w:r>
      <w:r>
        <w:rPr>
          <w:rFonts w:ascii="Arial" w:hAnsi="Arial" w:cs="Arial" w:eastAsia="Arial" w:hint="default"/>
        </w:rPr>
        <w:t>2015</w:t>
      </w:r>
      <w:r>
        <w:rPr>
          <w:rFonts w:ascii="Arial" w:hAnsi="Arial" w:cs="Arial" w:eastAsia="Arial" w:hint="default"/>
          <w:spacing w:val="-2"/>
        </w:rPr>
        <w:t> </w:t>
      </w:r>
      <w:r>
        <w:rPr/>
        <w:t>年</w:t>
      </w:r>
      <w:r>
        <w:rPr>
          <w:spacing w:val="-55"/>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2"/>
        </w:rPr>
        <w:t> </w:t>
      </w:r>
      <w:r>
        <w:rPr/>
        <w:t>日，该笔借款由长期借款 转入短期借款核算。</w:t>
      </w:r>
    </w:p>
    <w:p>
      <w:pPr>
        <w:spacing w:line="240" w:lineRule="auto" w:before="12"/>
        <w:rPr>
          <w:rFonts w:ascii="宋体" w:hAnsi="宋体" w:cs="宋体" w:eastAsia="宋体" w:hint="default"/>
          <w:sz w:val="20"/>
          <w:szCs w:val="20"/>
        </w:rPr>
      </w:pPr>
    </w:p>
    <w:p>
      <w:pPr>
        <w:pStyle w:val="Heading3"/>
        <w:spacing w:line="322" w:lineRule="exact"/>
        <w:ind w:left="1031" w:right="0"/>
        <w:jc w:val="both"/>
        <w:rPr>
          <w:rFonts w:ascii="Arial" w:hAnsi="Arial" w:cs="Arial" w:eastAsia="Arial" w:hint="default"/>
        </w:rPr>
      </w:pPr>
      <w:r>
        <w:rPr/>
        <w:t>于</w:t>
      </w:r>
      <w:r>
        <w:rPr>
          <w:spacing w:val="-53"/>
        </w:rPr>
        <w:t> </w:t>
      </w:r>
      <w:r>
        <w:rPr>
          <w:rFonts w:ascii="Arial" w:hAnsi="Arial" w:cs="Arial" w:eastAsia="Arial" w:hint="default"/>
        </w:rPr>
        <w:t>2015 </w:t>
      </w:r>
      <w:r>
        <w:rPr/>
        <w:t>年</w:t>
      </w:r>
      <w:r>
        <w:rPr>
          <w:spacing w:val="-52"/>
        </w:rPr>
        <w:t> </w:t>
      </w:r>
      <w:r>
        <w:rPr>
          <w:rFonts w:ascii="Arial" w:hAnsi="Arial" w:cs="Arial" w:eastAsia="Arial" w:hint="default"/>
        </w:rPr>
        <w:t>12 </w:t>
      </w:r>
      <w:r>
        <w:rPr/>
        <w:t>月</w:t>
      </w:r>
      <w:r>
        <w:rPr>
          <w:spacing w:val="-52"/>
        </w:rPr>
        <w:t> </w:t>
      </w:r>
      <w:r>
        <w:rPr>
          <w:rFonts w:ascii="Arial" w:hAnsi="Arial" w:cs="Arial" w:eastAsia="Arial" w:hint="default"/>
        </w:rPr>
        <w:t>31 </w:t>
      </w:r>
      <w:r>
        <w:rPr/>
        <w:t>日，短期借款的利率区间为</w:t>
      </w:r>
      <w:r>
        <w:rPr>
          <w:spacing w:val="-52"/>
        </w:rPr>
        <w:t> </w:t>
      </w:r>
      <w:r>
        <w:rPr>
          <w:rFonts w:ascii="Arial" w:hAnsi="Arial" w:cs="Arial" w:eastAsia="Arial" w:hint="default"/>
        </w:rPr>
        <w:t>1.19%</w:t>
      </w:r>
      <w:r>
        <w:rPr/>
        <w:t>至</w:t>
      </w:r>
      <w:r>
        <w:rPr>
          <w:spacing w:val="-53"/>
        </w:rPr>
        <w:t> </w:t>
      </w:r>
      <w:r>
        <w:rPr>
          <w:rFonts w:ascii="Arial" w:hAnsi="Arial" w:cs="Arial" w:eastAsia="Arial" w:hint="default"/>
        </w:rPr>
        <w:t>6.3%(2014 </w:t>
      </w:r>
      <w:r>
        <w:rPr/>
        <w:t>年</w:t>
      </w:r>
      <w:r>
        <w:rPr>
          <w:spacing w:val="-52"/>
        </w:rPr>
        <w:t> </w:t>
      </w:r>
      <w:r>
        <w:rPr>
          <w:rFonts w:ascii="Arial" w:hAnsi="Arial" w:cs="Arial" w:eastAsia="Arial" w:hint="default"/>
        </w:rPr>
        <w:t>12</w:t>
      </w:r>
    </w:p>
    <w:p>
      <w:pPr>
        <w:pStyle w:val="Heading3"/>
        <w:spacing w:line="322" w:lineRule="exact"/>
        <w:ind w:left="1031" w:right="0"/>
        <w:jc w:val="both"/>
      </w:pPr>
      <w:r>
        <w:rPr/>
        <w:t>月</w:t>
      </w:r>
      <w:r>
        <w:rPr>
          <w:spacing w:val="-62"/>
        </w:rPr>
        <w:t> </w:t>
      </w:r>
      <w:r>
        <w:rPr>
          <w:rFonts w:ascii="Arial" w:hAnsi="Arial" w:cs="Arial" w:eastAsia="Arial" w:hint="default"/>
        </w:rPr>
        <w:t>31</w:t>
      </w:r>
      <w:r>
        <w:rPr>
          <w:rFonts w:ascii="Arial" w:hAnsi="Arial" w:cs="Arial" w:eastAsia="Arial" w:hint="default"/>
          <w:spacing w:val="-9"/>
        </w:rPr>
        <w:t> </w:t>
      </w:r>
      <w:r>
        <w:rPr/>
        <w:t>日：</w:t>
      </w:r>
      <w:r>
        <w:rPr>
          <w:rFonts w:ascii="Arial" w:hAnsi="Arial" w:cs="Arial" w:eastAsia="Arial" w:hint="default"/>
        </w:rPr>
        <w:t>1.19%</w:t>
      </w:r>
      <w:r>
        <w:rPr/>
        <w:t>至</w:t>
      </w:r>
      <w:r>
        <w:rPr>
          <w:spacing w:val="-62"/>
        </w:rPr>
        <w:t> </w:t>
      </w:r>
      <w:r>
        <w:rPr>
          <w:rFonts w:ascii="Arial" w:hAnsi="Arial" w:cs="Arial" w:eastAsia="Arial" w:hint="default"/>
        </w:rPr>
        <w:t>6.3%)</w:t>
      </w:r>
      <w:r>
        <w:rPr/>
        <w:t>。</w:t>
      </w:r>
    </w:p>
    <w:p>
      <w:pPr>
        <w:spacing w:after="0" w:line="322" w:lineRule="exact"/>
        <w:jc w:val="both"/>
        <w:sectPr>
          <w:pgSz w:w="11910" w:h="16840"/>
          <w:pgMar w:header="755" w:footer="914"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775"/>
        <w:gridCol w:w="3564"/>
        <w:gridCol w:w="2303"/>
        <w:gridCol w:w="2650"/>
      </w:tblGrid>
      <w:tr>
        <w:trPr>
          <w:trHeight w:val="41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64"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3"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
        </w:tc>
      </w:tr>
      <w:tr>
        <w:trPr>
          <w:trHeight w:val="58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(23)</w:t>
            </w:r>
          </w:p>
        </w:tc>
        <w:tc>
          <w:tcPr>
            <w:tcW w:w="58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48" w:right="0"/>
              <w:jc w:val="left"/>
              <w:rPr>
                <w:rFonts w:ascii="黑体" w:hAnsi="黑体" w:cs="黑体" w:eastAsia="黑体" w:hint="default"/>
                <w:sz w:val="24"/>
                <w:szCs w:val="24"/>
              </w:rPr>
            </w:pPr>
            <w:r>
              <w:rPr>
                <w:rFonts w:ascii="黑体" w:hAnsi="黑体" w:cs="黑体" w:eastAsia="黑体" w:hint="default"/>
                <w:sz w:val="24"/>
                <w:szCs w:val="24"/>
              </w:rPr>
              <w:t>以公允价值计量且其变动计入当期损益的金融负债</w:t>
            </w:r>
          </w:p>
        </w:tc>
        <w:tc>
          <w:tcPr>
            <w:tcW w:w="2650" w:type="dxa"/>
            <w:tcBorders>
              <w:top w:val="nil" w:sz="6" w:space="0" w:color="auto"/>
              <w:left w:val="nil" w:sz="6" w:space="0" w:color="auto"/>
              <w:bottom w:val="nil" w:sz="6" w:space="0" w:color="auto"/>
              <w:right w:val="nil" w:sz="6" w:space="0" w:color="auto"/>
            </w:tcBorders>
          </w:tcPr>
          <w:p>
            <w:pPr/>
          </w:p>
        </w:tc>
      </w:tr>
      <w:tr>
        <w:trPr>
          <w:trHeight w:val="593" w:hRule="exact"/>
        </w:trPr>
        <w:tc>
          <w:tcPr>
            <w:tcW w:w="775" w:type="dxa"/>
            <w:tcBorders>
              <w:top w:val="nil" w:sz="6" w:space="0" w:color="auto"/>
              <w:left w:val="nil" w:sz="6" w:space="0" w:color="auto"/>
              <w:bottom w:val="nil" w:sz="6" w:space="0" w:color="auto"/>
              <w:right w:val="nil" w:sz="6" w:space="0" w:color="auto"/>
            </w:tcBorders>
          </w:tcPr>
          <w:p>
            <w:pPr/>
          </w:p>
        </w:tc>
        <w:tc>
          <w:tcPr>
            <w:tcW w:w="3564"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8"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75" w:type="dxa"/>
            <w:tcBorders>
              <w:top w:val="nil" w:sz="6" w:space="0" w:color="auto"/>
              <w:left w:val="nil" w:sz="6" w:space="0" w:color="auto"/>
              <w:bottom w:val="nil" w:sz="6" w:space="0" w:color="auto"/>
              <w:right w:val="nil" w:sz="6" w:space="0" w:color="auto"/>
            </w:tcBorders>
          </w:tcPr>
          <w:p>
            <w:pP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8" w:right="0"/>
              <w:jc w:val="left"/>
              <w:rPr>
                <w:rFonts w:ascii="Arial" w:hAnsi="Arial" w:cs="Arial" w:eastAsia="Arial" w:hint="default"/>
                <w:sz w:val="24"/>
                <w:szCs w:val="24"/>
              </w:rPr>
            </w:pPr>
            <w:r>
              <w:rPr>
                <w:rFonts w:ascii="宋体" w:hAnsi="宋体" w:cs="宋体" w:eastAsia="宋体" w:hint="default"/>
                <w:sz w:val="24"/>
                <w:szCs w:val="24"/>
              </w:rPr>
              <w:t>投资者回售选择权</w:t>
            </w:r>
            <w:r>
              <w:rPr>
                <w:rFonts w:ascii="Arial" w:hAnsi="Arial" w:cs="Arial" w:eastAsia="Arial" w:hint="default"/>
                <w:sz w:val="24"/>
                <w:szCs w:val="24"/>
              </w:rPr>
              <w:t>(i)</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85"/>
              <w:jc w:val="right"/>
              <w:rPr>
                <w:rFonts w:ascii="Arial" w:hAnsi="Arial" w:cs="Arial" w:eastAsia="Arial" w:hint="default"/>
                <w:sz w:val="24"/>
                <w:szCs w:val="24"/>
              </w:rPr>
            </w:pPr>
            <w:r>
              <w:rPr>
                <w:rFonts w:ascii="Arial"/>
                <w:w w:val="95"/>
                <w:sz w:val="24"/>
              </w:rPr>
              <w:t>14,910</w:t>
            </w:r>
            <w:r>
              <w:rPr>
                <w:rFonts w:ascii="Arial"/>
                <w:sz w:val="24"/>
              </w:rPr>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359"/>
              <w:jc w:val="right"/>
              <w:rPr>
                <w:rFonts w:ascii="Arial" w:hAnsi="Arial" w:cs="Arial" w:eastAsia="Arial" w:hint="default"/>
                <w:sz w:val="24"/>
                <w:szCs w:val="24"/>
              </w:rPr>
            </w:pPr>
            <w:r>
              <w:rPr>
                <w:rFonts w:ascii="Arial"/>
                <w:w w:val="95"/>
                <w:sz w:val="24"/>
              </w:rPr>
              <w:t>46,800</w:t>
            </w:r>
            <w:r>
              <w:rPr>
                <w:rFonts w:ascii="Arial"/>
                <w:sz w:val="24"/>
              </w:rPr>
            </w:r>
          </w:p>
        </w:tc>
      </w:tr>
      <w:tr>
        <w:trPr>
          <w:trHeight w:val="313" w:hRule="exact"/>
        </w:trPr>
        <w:tc>
          <w:tcPr>
            <w:tcW w:w="775" w:type="dxa"/>
            <w:tcBorders>
              <w:top w:val="nil" w:sz="6" w:space="0" w:color="auto"/>
              <w:left w:val="nil" w:sz="6" w:space="0" w:color="auto"/>
              <w:bottom w:val="nil" w:sz="6" w:space="0" w:color="auto"/>
              <w:right w:val="nil" w:sz="6" w:space="0" w:color="auto"/>
            </w:tcBorders>
          </w:tcPr>
          <w:p>
            <w:pPr/>
          </w:p>
        </w:tc>
        <w:tc>
          <w:tcPr>
            <w:tcW w:w="3564" w:type="dxa"/>
            <w:tcBorders>
              <w:top w:val="nil" w:sz="6" w:space="0" w:color="auto"/>
              <w:left w:val="nil" w:sz="6" w:space="0" w:color="auto"/>
              <w:bottom w:val="nil" w:sz="6" w:space="0" w:color="auto"/>
              <w:right w:val="nil" w:sz="6" w:space="0" w:color="auto"/>
            </w:tcBorders>
          </w:tcPr>
          <w:p>
            <w:pPr>
              <w:pStyle w:val="TableParagraph"/>
              <w:tabs>
                <w:tab w:pos="3195" w:val="left" w:leader="none"/>
                <w:tab w:pos="5499" w:val="left" w:leader="none"/>
              </w:tabs>
              <w:spacing w:line="276" w:lineRule="exact"/>
              <w:ind w:left="148" w:right="-1937"/>
              <w:jc w:val="left"/>
              <w:rPr>
                <w:rFonts w:ascii="Arial" w:hAnsi="Arial" w:cs="Arial" w:eastAsia="Arial" w:hint="default"/>
                <w:sz w:val="24"/>
                <w:szCs w:val="24"/>
              </w:rPr>
            </w:pPr>
            <w:r>
              <w:rPr>
                <w:rFonts w:ascii="宋体" w:hAnsi="宋体" w:cs="宋体" w:eastAsia="宋体" w:hint="default"/>
                <w:position w:val="2"/>
                <w:sz w:val="24"/>
                <w:szCs w:val="24"/>
              </w:rPr>
              <w:t>卖出期权</w:t>
            </w:r>
            <w:r>
              <w:rPr>
                <w:rFonts w:ascii="Arial" w:hAnsi="Arial" w:cs="Arial" w:eastAsia="Arial" w:hint="default"/>
                <w:position w:val="2"/>
                <w:sz w:val="24"/>
                <w:szCs w:val="24"/>
              </w:rPr>
              <w:t>(ii)</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03" w:type="dxa"/>
            <w:tcBorders>
              <w:top w:val="nil" w:sz="6" w:space="0" w:color="auto"/>
              <w:left w:val="nil" w:sz="6" w:space="0" w:color="auto"/>
              <w:bottom w:val="nil" w:sz="6" w:space="0" w:color="auto"/>
              <w:right w:val="nil" w:sz="6" w:space="0" w:color="auto"/>
            </w:tcBorders>
          </w:tcPr>
          <w:p>
            <w:pPr>
              <w:pStyle w:val="TableParagraph"/>
              <w:tabs>
                <w:tab w:pos="179" w:val="left" w:leader="none"/>
              </w:tabs>
              <w:spacing w:line="240" w:lineRule="auto" w:before="19"/>
              <w:ind w:right="184"/>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2650" w:type="dxa"/>
            <w:tcBorders>
              <w:top w:val="nil" w:sz="6" w:space="0" w:color="auto"/>
              <w:left w:val="nil" w:sz="6" w:space="0" w:color="auto"/>
              <w:bottom w:val="nil" w:sz="6" w:space="0" w:color="auto"/>
              <w:right w:val="nil" w:sz="6" w:space="0" w:color="auto"/>
            </w:tcBorders>
          </w:tcPr>
          <w:p>
            <w:pPr>
              <w:pStyle w:val="TableParagraph"/>
              <w:tabs>
                <w:tab w:pos="1529" w:val="left" w:leader="none"/>
                <w:tab w:pos="2362" w:val="left" w:leader="none"/>
              </w:tabs>
              <w:spacing w:line="240" w:lineRule="auto" w:before="19"/>
              <w:ind w:right="26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90,400</w:t>
            </w:r>
            <w:r>
              <w:rPr>
                <w:rFonts w:ascii="Arial"/>
                <w:sz w:val="24"/>
                <w:u w:val="single" w:color="000000"/>
              </w:rPr>
              <w:tab/>
            </w:r>
            <w:r>
              <w:rPr>
                <w:rFonts w:ascii="Arial"/>
                <w:sz w:val="24"/>
              </w:rPr>
            </w:r>
          </w:p>
        </w:tc>
      </w:tr>
      <w:tr>
        <w:trPr>
          <w:trHeight w:val="438" w:hRule="exact"/>
        </w:trPr>
        <w:tc>
          <w:tcPr>
            <w:tcW w:w="775" w:type="dxa"/>
            <w:tcBorders>
              <w:top w:val="nil" w:sz="6" w:space="0" w:color="auto"/>
              <w:left w:val="nil" w:sz="6" w:space="0" w:color="auto"/>
              <w:bottom w:val="nil" w:sz="6" w:space="0" w:color="auto"/>
              <w:right w:val="nil" w:sz="6" w:space="0" w:color="auto"/>
            </w:tcBorders>
          </w:tcPr>
          <w:p>
            <w:pPr/>
          </w:p>
        </w:tc>
        <w:tc>
          <w:tcPr>
            <w:tcW w:w="5867" w:type="dxa"/>
            <w:gridSpan w:val="2"/>
            <w:tcBorders>
              <w:top w:val="nil" w:sz="6" w:space="0" w:color="auto"/>
              <w:left w:val="nil" w:sz="6" w:space="0" w:color="auto"/>
              <w:bottom w:val="nil" w:sz="6" w:space="0" w:color="auto"/>
              <w:right w:val="nil" w:sz="6" w:space="0" w:color="auto"/>
            </w:tcBorders>
          </w:tcPr>
          <w:p>
            <w:pPr>
              <w:pStyle w:val="TableParagraph"/>
              <w:tabs>
                <w:tab w:pos="4845" w:val="left" w:leader="none"/>
                <w:tab w:pos="5679" w:val="left" w:leader="none"/>
              </w:tabs>
              <w:spacing w:line="268" w:lineRule="exact"/>
              <w:ind w:left="319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14,910</w:t>
              <w:tab/>
            </w:r>
            <w:r>
              <w:rPr>
                <w:rFonts w:ascii="Arial"/>
                <w:sz w:val="24"/>
              </w:rPr>
            </w:r>
          </w:p>
        </w:tc>
        <w:tc>
          <w:tcPr>
            <w:tcW w:w="2650" w:type="dxa"/>
            <w:tcBorders>
              <w:top w:val="nil" w:sz="6" w:space="0" w:color="auto"/>
              <w:left w:val="nil" w:sz="6" w:space="0" w:color="auto"/>
              <w:bottom w:val="nil" w:sz="6" w:space="0" w:color="auto"/>
              <w:right w:val="nil" w:sz="6" w:space="0" w:color="auto"/>
            </w:tcBorders>
          </w:tcPr>
          <w:p>
            <w:pPr>
              <w:pStyle w:val="TableParagraph"/>
              <w:tabs>
                <w:tab w:pos="1396" w:val="left" w:leader="none"/>
                <w:tab w:pos="2362" w:val="left" w:leader="none"/>
              </w:tabs>
              <w:spacing w:line="268" w:lineRule="exact"/>
              <w:ind w:right="26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137,200</w:t>
              <w:tab/>
            </w:r>
            <w:r>
              <w:rPr>
                <w:rFonts w:ascii="Arial"/>
                <w:spacing w:val="-1"/>
                <w:sz w:val="24"/>
              </w:rPr>
            </w:r>
          </w:p>
        </w:tc>
      </w:tr>
      <w:tr>
        <w:trPr>
          <w:trHeight w:val="3504" w:hRule="exact"/>
        </w:trPr>
        <w:tc>
          <w:tcPr>
            <w:tcW w:w="775" w:type="dxa"/>
            <w:tcBorders>
              <w:top w:val="nil" w:sz="6" w:space="0" w:color="auto"/>
              <w:left w:val="nil" w:sz="6" w:space="0" w:color="auto"/>
              <w:bottom w:val="nil" w:sz="6" w:space="0" w:color="auto"/>
              <w:right w:val="nil" w:sz="6" w:space="0" w:color="auto"/>
            </w:tcBorders>
          </w:tcPr>
          <w:p>
            <w:pPr/>
          </w:p>
        </w:tc>
        <w:tc>
          <w:tcPr>
            <w:tcW w:w="8516" w:type="dxa"/>
            <w:gridSpan w:val="3"/>
            <w:tcBorders>
              <w:top w:val="nil" w:sz="6" w:space="0" w:color="auto"/>
              <w:left w:val="nil" w:sz="6" w:space="0" w:color="auto"/>
              <w:bottom w:val="nil" w:sz="6" w:space="0" w:color="auto"/>
              <w:right w:val="nil" w:sz="6" w:space="0" w:color="auto"/>
            </w:tcBorders>
          </w:tcPr>
          <w:p>
            <w:pPr>
              <w:pStyle w:val="TableParagraph"/>
              <w:spacing w:line="230" w:lineRule="auto" w:before="112"/>
              <w:ind w:left="148" w:right="316"/>
              <w:jc w:val="both"/>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于 </w:t>
            </w: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年度，本集团开展售后租回交易</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w:t>
            </w:r>
            <w:r>
              <w:rPr>
                <w:rFonts w:ascii="宋体" w:hAnsi="宋体" w:cs="宋体" w:eastAsia="宋体" w:hint="default"/>
                <w:sz w:val="24"/>
                <w:szCs w:val="24"/>
              </w:rPr>
              <w:t>，将在资产支持专项计划 中需承担的流动性支持义务</w:t>
            </w:r>
            <w:r>
              <w:rPr>
                <w:rFonts w:ascii="Arial" w:hAnsi="Arial" w:cs="Arial" w:eastAsia="Arial" w:hint="default"/>
                <w:sz w:val="24"/>
                <w:szCs w:val="24"/>
              </w:rPr>
              <w:t>(</w:t>
            </w:r>
            <w:r>
              <w:rPr>
                <w:rFonts w:ascii="宋体" w:hAnsi="宋体" w:cs="宋体" w:eastAsia="宋体" w:hint="default"/>
                <w:sz w:val="24"/>
                <w:szCs w:val="24"/>
              </w:rPr>
              <w:t>即</w:t>
            </w:r>
            <w:r>
              <w:rPr>
                <w:rFonts w:ascii="Arial" w:hAnsi="Arial" w:cs="Arial" w:eastAsia="Arial" w:hint="default"/>
                <w:sz w:val="24"/>
                <w:szCs w:val="24"/>
              </w:rPr>
              <w:t>“</w:t>
            </w:r>
            <w:r>
              <w:rPr>
                <w:rFonts w:ascii="宋体" w:hAnsi="宋体" w:cs="宋体" w:eastAsia="宋体" w:hint="default"/>
                <w:sz w:val="24"/>
                <w:szCs w:val="24"/>
              </w:rPr>
              <w:t>投资者回售选择权</w:t>
            </w:r>
            <w:r>
              <w:rPr>
                <w:rFonts w:ascii="Arial" w:hAnsi="Arial" w:cs="Arial" w:eastAsia="Arial" w:hint="default"/>
                <w:sz w:val="24"/>
                <w:szCs w:val="24"/>
              </w:rPr>
              <w:t>”)</w:t>
            </w:r>
            <w:r>
              <w:rPr>
                <w:rFonts w:ascii="宋体" w:hAnsi="宋体" w:cs="宋体" w:eastAsia="宋体" w:hint="default"/>
                <w:sz w:val="24"/>
                <w:szCs w:val="24"/>
              </w:rPr>
              <w:t>确认为以公允价值计量且</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4"/>
                <w:sz w:val="24"/>
                <w:szCs w:val="24"/>
              </w:rPr>
              <w:t>其变动计入当期损益的金融负债，其公允价值由专业评估机构采用百慕大利率</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掉期期权定价模型确定。</w:t>
            </w: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auto"/>
              <w:ind w:left="148" w:right="198"/>
              <w:jc w:val="left"/>
              <w:rPr>
                <w:rFonts w:ascii="宋体" w:hAnsi="宋体" w:cs="宋体" w:eastAsia="宋体" w:hint="default"/>
                <w:sz w:val="24"/>
                <w:szCs w:val="24"/>
              </w:rPr>
            </w:pPr>
            <w:r>
              <w:rPr>
                <w:rFonts w:ascii="Arial" w:hAnsi="Arial" w:cs="Arial" w:eastAsia="Arial" w:hint="default"/>
                <w:sz w:val="24"/>
                <w:szCs w:val="24"/>
              </w:rPr>
              <w:t>(ii)</w:t>
            </w:r>
            <w:r>
              <w:rPr>
                <w:rFonts w:ascii="宋体" w:hAnsi="宋体" w:cs="宋体" w:eastAsia="宋体" w:hint="default"/>
                <w:sz w:val="24"/>
                <w:szCs w:val="24"/>
              </w:rPr>
              <w:t>于</w:t>
            </w:r>
            <w:r>
              <w:rPr>
                <w:rFonts w:ascii="宋体" w:hAnsi="宋体" w:cs="宋体" w:eastAsia="宋体" w:hint="default"/>
                <w:spacing w:val="-63"/>
                <w:sz w:val="24"/>
                <w:szCs w:val="24"/>
              </w:rPr>
              <w:t> </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年度，本集团因投资</w:t>
            </w:r>
            <w:r>
              <w:rPr>
                <w:rFonts w:ascii="宋体" w:hAnsi="宋体" w:cs="宋体" w:eastAsia="宋体" w:hint="default"/>
                <w:spacing w:val="-63"/>
                <w:sz w:val="24"/>
                <w:szCs w:val="24"/>
              </w:rPr>
              <w:t> </w:t>
            </w:r>
            <w:r>
              <w:rPr>
                <w:rFonts w:ascii="Arial" w:hAnsi="Arial" w:cs="Arial" w:eastAsia="Arial" w:hint="default"/>
                <w:sz w:val="24"/>
                <w:szCs w:val="24"/>
              </w:rPr>
              <w:t>PPTV</w:t>
            </w:r>
            <w:r>
              <w:rPr>
                <w:rFonts w:ascii="Arial" w:hAnsi="Arial" w:cs="Arial" w:eastAsia="Arial" w:hint="default"/>
                <w:spacing w:val="-11"/>
                <w:sz w:val="24"/>
                <w:szCs w:val="24"/>
              </w:rPr>
              <w:t> </w:t>
            </w:r>
            <w:r>
              <w:rPr>
                <w:rFonts w:ascii="宋体" w:hAnsi="宋体" w:cs="宋体" w:eastAsia="宋体" w:hint="default"/>
                <w:sz w:val="24"/>
                <w:szCs w:val="24"/>
              </w:rPr>
              <w:t>而授予</w:t>
            </w:r>
            <w:r>
              <w:rPr>
                <w:rFonts w:ascii="宋体" w:hAnsi="宋体" w:cs="宋体" w:eastAsia="宋体" w:hint="default"/>
                <w:spacing w:val="-63"/>
                <w:sz w:val="24"/>
                <w:szCs w:val="24"/>
              </w:rPr>
              <w:t> </w:t>
            </w:r>
            <w:r>
              <w:rPr>
                <w:rFonts w:ascii="Arial" w:hAnsi="Arial" w:cs="Arial" w:eastAsia="Arial" w:hint="default"/>
                <w:sz w:val="24"/>
                <w:szCs w:val="24"/>
              </w:rPr>
              <w:t>PPTV</w:t>
            </w:r>
            <w:r>
              <w:rPr>
                <w:rFonts w:ascii="Arial" w:hAnsi="Arial" w:cs="Arial" w:eastAsia="Arial" w:hint="default"/>
                <w:spacing w:val="-10"/>
                <w:sz w:val="24"/>
                <w:szCs w:val="24"/>
              </w:rPr>
              <w:t> </w:t>
            </w:r>
            <w:r>
              <w:rPr>
                <w:rFonts w:ascii="宋体" w:hAnsi="宋体" w:cs="宋体" w:eastAsia="宋体" w:hint="default"/>
                <w:sz w:val="24"/>
                <w:szCs w:val="24"/>
              </w:rPr>
              <w:t>两位原始股东卖出期权。 根据修订后</w:t>
            </w:r>
            <w:r>
              <w:rPr>
                <w:rFonts w:ascii="宋体" w:hAnsi="宋体" w:cs="宋体" w:eastAsia="宋体" w:hint="default"/>
                <w:spacing w:val="-71"/>
                <w:sz w:val="24"/>
                <w:szCs w:val="24"/>
              </w:rPr>
              <w:t> </w:t>
            </w:r>
            <w:r>
              <w:rPr>
                <w:rFonts w:ascii="Arial" w:hAnsi="Arial" w:cs="Arial" w:eastAsia="Arial" w:hint="default"/>
                <w:sz w:val="24"/>
                <w:szCs w:val="24"/>
              </w:rPr>
              <w:t>PPTV</w:t>
            </w:r>
            <w:r>
              <w:rPr>
                <w:rFonts w:ascii="Arial" w:hAnsi="Arial" w:cs="Arial" w:eastAsia="Arial" w:hint="default"/>
                <w:spacing w:val="-18"/>
                <w:sz w:val="24"/>
                <w:szCs w:val="24"/>
              </w:rPr>
              <w:t> </w:t>
            </w:r>
            <w:r>
              <w:rPr>
                <w:rFonts w:ascii="宋体" w:hAnsi="宋体" w:cs="宋体" w:eastAsia="宋体" w:hint="default"/>
                <w:sz w:val="24"/>
                <w:szCs w:val="24"/>
              </w:rPr>
              <w:t>公司章程，投资交易交割后两年内或者当一些事项发生时， </w:t>
            </w:r>
            <w:r>
              <w:rPr>
                <w:rFonts w:ascii="宋体" w:hAnsi="宋体" w:cs="宋体" w:eastAsia="宋体" w:hint="default"/>
                <w:spacing w:val="-4"/>
                <w:sz w:val="24"/>
                <w:szCs w:val="24"/>
              </w:rPr>
              <w:t>两位原始股东可以选择将其部分股份按照一个计算的价格出售给本集团。该条</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4"/>
                <w:sz w:val="24"/>
                <w:szCs w:val="24"/>
              </w:rPr>
              <w:t>款构成本集团给予两位原始股东的一项卖出期权，属于金融衍生工具，其公允</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价值由专业评估机构采用布莱克</w:t>
            </w:r>
            <w:r>
              <w:rPr>
                <w:rFonts w:ascii="宋体" w:hAnsi="宋体" w:cs="宋体" w:eastAsia="宋体" w:hint="default"/>
                <w:sz w:val="24"/>
                <w:szCs w:val="24"/>
              </w:rPr>
              <w:t>-</w:t>
            </w:r>
            <w:r>
              <w:rPr>
                <w:rFonts w:ascii="宋体" w:hAnsi="宋体" w:cs="宋体" w:eastAsia="宋体" w:hint="default"/>
                <w:sz w:val="24"/>
                <w:szCs w:val="24"/>
              </w:rPr>
              <w:t>斯克尔斯期权定价模型确定。于</w:t>
            </w:r>
            <w:r>
              <w:rPr>
                <w:rFonts w:ascii="宋体" w:hAnsi="宋体" w:cs="宋体" w:eastAsia="宋体" w:hint="default"/>
                <w:spacing w:val="-84"/>
                <w:sz w:val="24"/>
                <w:szCs w:val="24"/>
              </w:rPr>
              <w:t> </w:t>
            </w:r>
            <w:r>
              <w:rPr>
                <w:rFonts w:ascii="Arial" w:hAnsi="Arial" w:cs="Arial" w:eastAsia="Arial" w:hint="default"/>
                <w:sz w:val="24"/>
                <w:szCs w:val="24"/>
              </w:rPr>
              <w:t>2015</w:t>
            </w:r>
            <w:r>
              <w:rPr>
                <w:rFonts w:ascii="Arial" w:hAnsi="Arial" w:cs="Arial" w:eastAsia="Arial" w:hint="default"/>
                <w:spacing w:val="-31"/>
                <w:sz w:val="24"/>
                <w:szCs w:val="24"/>
              </w:rPr>
              <w:t> </w:t>
            </w:r>
            <w:r>
              <w:rPr>
                <w:rFonts w:ascii="宋体" w:hAnsi="宋体" w:cs="宋体" w:eastAsia="宋体" w:hint="default"/>
                <w:sz w:val="24"/>
                <w:szCs w:val="24"/>
              </w:rPr>
              <w:t>年度， 该卖出期权因本集团追加对</w:t>
            </w:r>
            <w:r>
              <w:rPr>
                <w:rFonts w:ascii="宋体" w:hAnsi="宋体" w:cs="宋体" w:eastAsia="宋体" w:hint="default"/>
                <w:spacing w:val="-63"/>
                <w:sz w:val="24"/>
                <w:szCs w:val="24"/>
              </w:rPr>
              <w:t> </w:t>
            </w:r>
            <w:r>
              <w:rPr>
                <w:rFonts w:ascii="Arial" w:hAnsi="Arial" w:cs="Arial" w:eastAsia="Arial" w:hint="default"/>
                <w:sz w:val="24"/>
                <w:szCs w:val="24"/>
              </w:rPr>
              <w:t>PPTV</w:t>
            </w:r>
            <w:r>
              <w:rPr>
                <w:rFonts w:ascii="Arial" w:hAnsi="Arial" w:cs="Arial" w:eastAsia="Arial" w:hint="default"/>
                <w:spacing w:val="-9"/>
                <w:sz w:val="24"/>
                <w:szCs w:val="24"/>
              </w:rPr>
              <w:t> </w:t>
            </w:r>
            <w:r>
              <w:rPr>
                <w:rFonts w:ascii="宋体" w:hAnsi="宋体" w:cs="宋体" w:eastAsia="宋体" w:hint="default"/>
                <w:sz w:val="24"/>
                <w:szCs w:val="24"/>
              </w:rPr>
              <w:t>的投资而随之终止确认</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(1)(b))</w:t>
            </w:r>
            <w:r>
              <w:rPr>
                <w:rFonts w:ascii="宋体" w:hAnsi="宋体" w:cs="宋体" w:eastAsia="宋体" w:hint="default"/>
                <w:sz w:val="24"/>
                <w:szCs w:val="24"/>
              </w:rPr>
              <w:t>。</w:t>
            </w:r>
          </w:p>
        </w:tc>
      </w:tr>
    </w:tbl>
    <w:p>
      <w:pPr>
        <w:spacing w:line="240" w:lineRule="auto" w:before="6"/>
        <w:rPr>
          <w:rFonts w:ascii="Times New Roman" w:hAnsi="Times New Roman" w:cs="Times New Roman" w:eastAsia="Times New Roman" w:hint="default"/>
          <w:sz w:val="29"/>
          <w:szCs w:val="29"/>
        </w:rPr>
      </w:pPr>
    </w:p>
    <w:tbl>
      <w:tblPr>
        <w:tblW w:w="0" w:type="auto"/>
        <w:jc w:val="left"/>
        <w:tblInd w:w="233" w:type="dxa"/>
        <w:tblLayout w:type="fixed"/>
        <w:tblCellMar>
          <w:top w:w="0" w:type="dxa"/>
          <w:left w:w="0" w:type="dxa"/>
          <w:bottom w:w="0" w:type="dxa"/>
          <w:right w:w="0" w:type="dxa"/>
        </w:tblCellMar>
        <w:tblLook w:val="01E0"/>
      </w:tblPr>
      <w:tblGrid>
        <w:gridCol w:w="772"/>
        <w:gridCol w:w="2663"/>
        <w:gridCol w:w="2336"/>
        <w:gridCol w:w="4125"/>
      </w:tblGrid>
      <w:tr>
        <w:trPr>
          <w:trHeight w:val="42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(24)</w:t>
            </w:r>
          </w:p>
        </w:tc>
        <w:tc>
          <w:tcPr>
            <w:tcW w:w="2663" w:type="dxa"/>
            <w:tcBorders>
              <w:top w:val="nil" w:sz="6" w:space="0" w:color="auto"/>
              <w:left w:val="nil" w:sz="6" w:space="0" w:color="auto"/>
              <w:bottom w:val="nil" w:sz="6" w:space="0" w:color="auto"/>
              <w:right w:val="nil" w:sz="6" w:space="0" w:color="auto"/>
            </w:tcBorders>
          </w:tcPr>
          <w:p>
            <w:pPr>
              <w:pStyle w:val="TableParagraph"/>
              <w:spacing w:line="247" w:lineRule="exact"/>
              <w:ind w:left="145" w:right="0"/>
              <w:jc w:val="left"/>
              <w:rPr>
                <w:rFonts w:ascii="黑体" w:hAnsi="黑体" w:cs="黑体" w:eastAsia="黑体" w:hint="default"/>
                <w:sz w:val="24"/>
                <w:szCs w:val="24"/>
              </w:rPr>
            </w:pPr>
            <w:r>
              <w:rPr>
                <w:rFonts w:ascii="黑体" w:hAnsi="黑体" w:cs="黑体" w:eastAsia="黑体" w:hint="default"/>
                <w:sz w:val="24"/>
                <w:szCs w:val="24"/>
              </w:rPr>
              <w:t>应付票据</w:t>
            </w:r>
          </w:p>
        </w:tc>
        <w:tc>
          <w:tcPr>
            <w:tcW w:w="2336"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
        </w:tc>
      </w:tr>
      <w:tr>
        <w:trPr>
          <w:trHeight w:val="593" w:hRule="exact"/>
        </w:trPr>
        <w:tc>
          <w:tcPr>
            <w:tcW w:w="772" w:type="dxa"/>
            <w:tcBorders>
              <w:top w:val="nil" w:sz="6" w:space="0" w:color="auto"/>
              <w:left w:val="nil" w:sz="6" w:space="0" w:color="auto"/>
              <w:bottom w:val="nil" w:sz="6" w:space="0" w:color="auto"/>
              <w:right w:val="nil" w:sz="6" w:space="0" w:color="auto"/>
            </w:tcBorders>
          </w:tcPr>
          <w:p>
            <w:pPr/>
          </w:p>
        </w:tc>
        <w:tc>
          <w:tcPr>
            <w:tcW w:w="49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2594"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1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72"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13"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57"/>
              <w:jc w:val="right"/>
              <w:rPr>
                <w:rFonts w:ascii="Arial" w:hAnsi="Arial" w:cs="Arial" w:eastAsia="Arial" w:hint="default"/>
                <w:sz w:val="24"/>
                <w:szCs w:val="24"/>
              </w:rPr>
            </w:pPr>
            <w:r>
              <w:rPr>
                <w:rFonts w:ascii="Arial"/>
                <w:spacing w:val="-1"/>
                <w:sz w:val="24"/>
              </w:rPr>
              <w:t>247,413</w:t>
            </w:r>
          </w:p>
        </w:tc>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69"/>
              <w:jc w:val="center"/>
              <w:rPr>
                <w:rFonts w:ascii="Arial" w:hAnsi="Arial" w:cs="Arial" w:eastAsia="Arial" w:hint="default"/>
                <w:sz w:val="24"/>
                <w:szCs w:val="24"/>
              </w:rPr>
            </w:pPr>
            <w:r>
              <w:rPr>
                <w:rFonts w:ascii="Arial"/>
                <w:sz w:val="24"/>
              </w:rPr>
              <w:t>170,677</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Style w:val="TableParagraph"/>
              <w:tabs>
                <w:tab w:pos="2230" w:val="left" w:leader="none"/>
                <w:tab w:pos="3372" w:val="left" w:leader="none"/>
              </w:tabs>
              <w:spacing w:line="257" w:lineRule="exact"/>
              <w:ind w:left="513" w:right="-710"/>
              <w:jc w:val="left"/>
              <w:rPr>
                <w:rFonts w:ascii="Arial" w:hAnsi="Arial" w:cs="Arial" w:eastAsia="Arial" w:hint="default"/>
                <w:sz w:val="24"/>
                <w:szCs w:val="24"/>
              </w:rPr>
            </w:pPr>
            <w:r>
              <w:rPr>
                <w:rFonts w:ascii="宋体" w:hAnsi="宋体" w:cs="宋体" w:eastAsia="宋体" w:hint="default"/>
                <w:position w:val="2"/>
                <w:sz w:val="24"/>
                <w:szCs w:val="24"/>
              </w:rPr>
              <w:t>银行承兑汇票</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36"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18"/>
              <w:ind w:right="273"/>
              <w:jc w:val="right"/>
              <w:rPr>
                <w:rFonts w:ascii="Arial" w:hAnsi="Arial" w:cs="Arial" w:eastAsia="Arial" w:hint="default"/>
                <w:sz w:val="24"/>
                <w:szCs w:val="24"/>
              </w:rPr>
            </w:pPr>
            <w:r>
              <w:rPr>
                <w:rFonts w:ascii="Arial"/>
                <w:w w:val="99"/>
                <w:sz w:val="24"/>
              </w:rPr>
            </w:r>
            <w:r>
              <w:rPr>
                <w:rFonts w:ascii="Arial"/>
                <w:w w:val="95"/>
                <w:sz w:val="24"/>
                <w:u w:val="single" w:color="000000"/>
              </w:rPr>
              <w:t>23,642,648</w:t>
            </w:r>
            <w:r>
              <w:rPr>
                <w:rFonts w:ascii="Arial"/>
                <w:sz w:val="24"/>
                <w:u w:val="single" w:color="000000"/>
              </w:rPr>
              <w:tab/>
            </w:r>
            <w:r>
              <w:rPr>
                <w:rFonts w:ascii="Arial"/>
                <w:sz w:val="24"/>
              </w:rPr>
            </w:r>
          </w:p>
        </w:tc>
        <w:tc>
          <w:tcPr>
            <w:tcW w:w="4125" w:type="dxa"/>
            <w:tcBorders>
              <w:top w:val="nil" w:sz="6" w:space="0" w:color="auto"/>
              <w:left w:val="nil" w:sz="6" w:space="0" w:color="auto"/>
              <w:bottom w:val="nil" w:sz="6" w:space="0" w:color="auto"/>
              <w:right w:val="nil" w:sz="6" w:space="0" w:color="auto"/>
            </w:tcBorders>
          </w:tcPr>
          <w:p>
            <w:pPr>
              <w:pStyle w:val="TableParagraph"/>
              <w:tabs>
                <w:tab w:pos="1138" w:val="left" w:leader="none"/>
                <w:tab w:pos="2480" w:val="left" w:leader="none"/>
              </w:tabs>
              <w:spacing w:line="240" w:lineRule="auto" w:before="18"/>
              <w:ind w:left="-4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22,271,455</w:t>
              <w:tab/>
            </w:r>
            <w:r>
              <w:rPr>
                <w:rFonts w:ascii="Arial"/>
                <w:sz w:val="24"/>
              </w:rPr>
            </w:r>
          </w:p>
        </w:tc>
      </w:tr>
      <w:tr>
        <w:trPr>
          <w:trHeight w:val="438" w:hRule="exact"/>
        </w:trPr>
        <w:tc>
          <w:tcPr>
            <w:tcW w:w="772" w:type="dxa"/>
            <w:tcBorders>
              <w:top w:val="nil" w:sz="6" w:space="0" w:color="auto"/>
              <w:left w:val="nil" w:sz="6" w:space="0" w:color="auto"/>
              <w:bottom w:val="nil" w:sz="6" w:space="0" w:color="auto"/>
              <w:right w:val="nil" w:sz="6" w:space="0" w:color="auto"/>
            </w:tcBorders>
          </w:tcPr>
          <w:p>
            <w:pPr/>
          </w:p>
        </w:tc>
        <w:tc>
          <w:tcPr>
            <w:tcW w:w="4999" w:type="dxa"/>
            <w:gridSpan w:val="2"/>
            <w:tcBorders>
              <w:top w:val="nil" w:sz="6" w:space="0" w:color="auto"/>
              <w:left w:val="nil" w:sz="6" w:space="0" w:color="auto"/>
              <w:bottom w:val="nil" w:sz="6" w:space="0" w:color="auto"/>
              <w:right w:val="nil" w:sz="6" w:space="0" w:color="auto"/>
            </w:tcBorders>
          </w:tcPr>
          <w:p>
            <w:pPr>
              <w:pStyle w:val="TableParagraph"/>
              <w:tabs>
                <w:tab w:pos="3372" w:val="left" w:leader="none"/>
                <w:tab w:pos="4724" w:val="left" w:leader="none"/>
              </w:tabs>
              <w:spacing w:line="269" w:lineRule="exact"/>
              <w:ind w:left="223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23,890,061</w:t>
              <w:tab/>
            </w:r>
            <w:r>
              <w:rPr>
                <w:rFonts w:ascii="Arial"/>
                <w:sz w:val="24"/>
              </w:rPr>
            </w:r>
          </w:p>
        </w:tc>
        <w:tc>
          <w:tcPr>
            <w:tcW w:w="4125" w:type="dxa"/>
            <w:tcBorders>
              <w:top w:val="nil" w:sz="6" w:space="0" w:color="auto"/>
              <w:left w:val="nil" w:sz="6" w:space="0" w:color="auto"/>
              <w:bottom w:val="nil" w:sz="6" w:space="0" w:color="auto"/>
              <w:right w:val="nil" w:sz="6" w:space="0" w:color="auto"/>
            </w:tcBorders>
          </w:tcPr>
          <w:p>
            <w:pPr>
              <w:pStyle w:val="TableParagraph"/>
              <w:tabs>
                <w:tab w:pos="1138" w:val="left" w:leader="none"/>
                <w:tab w:pos="2480" w:val="left" w:leader="none"/>
              </w:tabs>
              <w:spacing w:line="269" w:lineRule="exact"/>
              <w:ind w:left="-4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22,442,132</w:t>
              <w:tab/>
            </w:r>
            <w:r>
              <w:rPr>
                <w:rFonts w:ascii="Arial"/>
                <w:sz w:val="24"/>
              </w:rPr>
            </w:r>
          </w:p>
        </w:tc>
      </w:tr>
      <w:tr>
        <w:trPr>
          <w:trHeight w:val="1348" w:hRule="exact"/>
        </w:trPr>
        <w:tc>
          <w:tcPr>
            <w:tcW w:w="772" w:type="dxa"/>
            <w:tcBorders>
              <w:top w:val="nil" w:sz="6" w:space="0" w:color="auto"/>
              <w:left w:val="nil" w:sz="6" w:space="0" w:color="auto"/>
              <w:bottom w:val="nil" w:sz="6" w:space="0" w:color="auto"/>
              <w:right w:val="nil" w:sz="6" w:space="0" w:color="auto"/>
            </w:tcBorders>
          </w:tcPr>
          <w:p>
            <w:pPr/>
          </w:p>
        </w:tc>
        <w:tc>
          <w:tcPr>
            <w:tcW w:w="9125"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00"/>
              <w:ind w:left="145"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8"/>
                <w:sz w:val="24"/>
                <w:szCs w:val="24"/>
              </w:rPr>
              <w:t> </w:t>
            </w: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45"/>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45"/>
                <w:sz w:val="24"/>
                <w:szCs w:val="24"/>
              </w:rPr>
              <w:t> </w:t>
            </w:r>
            <w:r>
              <w:rPr>
                <w:rFonts w:ascii="宋体" w:hAnsi="宋体" w:cs="宋体" w:eastAsia="宋体" w:hint="default"/>
                <w:sz w:val="24"/>
                <w:szCs w:val="24"/>
              </w:rPr>
              <w:t>日，本集团开立的银行承兑汇票以存于银行的汇票保证金共计</w:t>
            </w:r>
          </w:p>
          <w:p>
            <w:pPr>
              <w:pStyle w:val="TableParagraph"/>
              <w:spacing w:line="311" w:lineRule="exact"/>
              <w:ind w:left="145" w:right="0"/>
              <w:jc w:val="lef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82.12</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52"/>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51"/>
                <w:sz w:val="24"/>
                <w:szCs w:val="24"/>
              </w:rPr>
              <w:t> </w:t>
            </w:r>
            <w:r>
              <w:rPr>
                <w:rFonts w:ascii="宋体" w:hAnsi="宋体" w:cs="宋体" w:eastAsia="宋体" w:hint="default"/>
                <w:spacing w:val="-7"/>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80.44</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w:t>
            </w:r>
            <w:r>
              <w:rPr>
                <w:rFonts w:ascii="宋体" w:hAnsi="宋体" w:cs="宋体" w:eastAsia="宋体" w:hint="default"/>
                <w:sz w:val="24"/>
                <w:szCs w:val="24"/>
              </w:rPr>
              <w:t>和保本</w:t>
            </w:r>
          </w:p>
          <w:p>
            <w:pPr>
              <w:pStyle w:val="TableParagraph"/>
              <w:spacing w:line="312" w:lineRule="exact" w:before="20"/>
              <w:ind w:left="145" w:right="198"/>
              <w:jc w:val="left"/>
              <w:rPr>
                <w:rFonts w:ascii="宋体" w:hAnsi="宋体" w:cs="宋体" w:eastAsia="宋体" w:hint="default"/>
                <w:sz w:val="24"/>
                <w:szCs w:val="24"/>
              </w:rPr>
            </w:pPr>
            <w:r>
              <w:rPr>
                <w:rFonts w:ascii="宋体" w:hAnsi="宋体" w:cs="宋体" w:eastAsia="宋体" w:hint="default"/>
                <w:sz w:val="24"/>
                <w:szCs w:val="24"/>
              </w:rPr>
              <w:t>保收益理财产品约人民币</w:t>
            </w:r>
            <w:r>
              <w:rPr>
                <w:rFonts w:ascii="宋体" w:hAnsi="宋体" w:cs="宋体" w:eastAsia="宋体" w:hint="default"/>
                <w:spacing w:val="-61"/>
                <w:sz w:val="24"/>
                <w:szCs w:val="24"/>
              </w:rPr>
              <w:t> </w:t>
            </w:r>
            <w:r>
              <w:rPr>
                <w:rFonts w:ascii="Arial" w:hAnsi="Arial" w:cs="Arial" w:eastAsia="Arial" w:hint="default"/>
                <w:sz w:val="24"/>
                <w:szCs w:val="24"/>
              </w:rPr>
              <w:t>8.5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Arial" w:hAnsi="Arial" w:cs="Arial" w:eastAsia="Arial" w:hint="default"/>
                <w:spacing w:val="36"/>
                <w:sz w:val="24"/>
                <w:szCs w:val="24"/>
              </w:rPr>
              <w:t> </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(7))</w:t>
            </w:r>
            <w:r>
              <w:rPr>
                <w:rFonts w:ascii="宋体" w:hAnsi="宋体" w:cs="宋体" w:eastAsia="宋体" w:hint="default"/>
                <w:sz w:val="24"/>
                <w:szCs w:val="24"/>
              </w:rPr>
              <w:t>作为质押保</w:t>
            </w:r>
            <w:r>
              <w:rPr>
                <w:rFonts w:ascii="宋体" w:hAnsi="宋体" w:cs="宋体" w:eastAsia="宋体" w:hint="default"/>
                <w:w w:val="99"/>
                <w:sz w:val="24"/>
                <w:szCs w:val="24"/>
              </w:rPr>
              <w:t> </w:t>
            </w:r>
            <w:r>
              <w:rPr>
                <w:rFonts w:ascii="宋体" w:hAnsi="宋体" w:cs="宋体" w:eastAsia="宋体" w:hint="default"/>
                <w:sz w:val="24"/>
                <w:szCs w:val="24"/>
              </w:rPr>
              <w:t>证。</w:t>
            </w:r>
          </w:p>
        </w:tc>
      </w:tr>
    </w:tbl>
    <w:p>
      <w:pPr>
        <w:spacing w:after="0" w:line="312" w:lineRule="exact"/>
        <w:jc w:val="left"/>
        <w:rPr>
          <w:rFonts w:ascii="宋体" w:hAnsi="宋体" w:cs="宋体" w:eastAsia="宋体" w:hint="default"/>
          <w:sz w:val="24"/>
          <w:szCs w:val="24"/>
        </w:rPr>
        <w:sectPr>
          <w:pgSz w:w="11910" w:h="16840"/>
          <w:pgMar w:header="755" w:footer="914" w:top="1860" w:bottom="110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772"/>
        <w:gridCol w:w="2733"/>
        <w:gridCol w:w="2978"/>
        <w:gridCol w:w="2616"/>
      </w:tblGrid>
      <w:tr>
        <w:trPr>
          <w:trHeight w:val="41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71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16" w:type="dxa"/>
            <w:tcBorders>
              <w:top w:val="nil" w:sz="6" w:space="0" w:color="auto"/>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(25)</w:t>
            </w:r>
          </w:p>
        </w:tc>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5" w:right="0"/>
              <w:jc w:val="left"/>
              <w:rPr>
                <w:rFonts w:ascii="黑体" w:hAnsi="黑体" w:cs="黑体" w:eastAsia="黑体" w:hint="default"/>
                <w:sz w:val="24"/>
                <w:szCs w:val="24"/>
              </w:rPr>
            </w:pPr>
            <w:r>
              <w:rPr>
                <w:rFonts w:ascii="黑体" w:hAnsi="黑体" w:cs="黑体" w:eastAsia="黑体" w:hint="default"/>
                <w:sz w:val="24"/>
                <w:szCs w:val="24"/>
              </w:rPr>
              <w:t>应付账款</w:t>
            </w:r>
          </w:p>
        </w:tc>
        <w:tc>
          <w:tcPr>
            <w:tcW w:w="2978" w:type="dxa"/>
            <w:tcBorders>
              <w:top w:val="nil" w:sz="6" w:space="0" w:color="auto"/>
              <w:left w:val="nil" w:sz="6" w:space="0" w:color="auto"/>
              <w:bottom w:val="nil" w:sz="6" w:space="0" w:color="auto"/>
              <w:right w:val="nil" w:sz="6" w:space="0" w:color="auto"/>
            </w:tcBorders>
          </w:tcPr>
          <w:p>
            <w:pPr/>
          </w:p>
        </w:tc>
        <w:tc>
          <w:tcPr>
            <w:tcW w:w="2616" w:type="dxa"/>
            <w:tcBorders>
              <w:top w:val="nil" w:sz="6" w:space="0" w:color="auto"/>
              <w:left w:val="nil" w:sz="6" w:space="0" w:color="auto"/>
              <w:bottom w:val="nil" w:sz="6" w:space="0" w:color="auto"/>
              <w:right w:val="nil" w:sz="6" w:space="0" w:color="auto"/>
            </w:tcBorders>
          </w:tcPr>
          <w:p>
            <w:pPr/>
          </w:p>
        </w:tc>
      </w:tr>
      <w:tr>
        <w:trPr>
          <w:trHeight w:val="593" w:hRule="exact"/>
        </w:trPr>
        <w:tc>
          <w:tcPr>
            <w:tcW w:w="772" w:type="dxa"/>
            <w:tcBorders>
              <w:top w:val="nil" w:sz="6" w:space="0" w:color="auto"/>
              <w:left w:val="nil" w:sz="6" w:space="0" w:color="auto"/>
              <w:bottom w:val="nil" w:sz="6" w:space="0" w:color="auto"/>
              <w:right w:val="nil" w:sz="6" w:space="0" w:color="auto"/>
            </w:tcBorders>
          </w:tcPr>
          <w:p>
            <w:pPr/>
          </w:p>
        </w:tc>
        <w:tc>
          <w:tcPr>
            <w:tcW w:w="2733"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62"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1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2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606" w:hRule="exact"/>
        </w:trPr>
        <w:tc>
          <w:tcPr>
            <w:tcW w:w="772" w:type="dxa"/>
            <w:tcBorders>
              <w:top w:val="nil" w:sz="6" w:space="0" w:color="auto"/>
              <w:left w:val="nil" w:sz="6" w:space="0" w:color="auto"/>
              <w:bottom w:val="nil" w:sz="6" w:space="0" w:color="auto"/>
              <w:right w:val="nil" w:sz="6" w:space="0" w:color="auto"/>
            </w:tcBorders>
          </w:tcPr>
          <w:p>
            <w:pPr/>
          </w:p>
        </w:tc>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9" w:right="0"/>
              <w:jc w:val="left"/>
              <w:rPr>
                <w:rFonts w:ascii="宋体" w:hAnsi="宋体" w:cs="宋体" w:eastAsia="宋体" w:hint="default"/>
                <w:sz w:val="24"/>
                <w:szCs w:val="24"/>
              </w:rPr>
            </w:pPr>
            <w:r>
              <w:rPr>
                <w:rFonts w:ascii="宋体" w:hAnsi="宋体" w:cs="宋体" w:eastAsia="宋体" w:hint="default"/>
                <w:sz w:val="24"/>
                <w:szCs w:val="24"/>
              </w:rPr>
              <w:t>应付货款</w:t>
            </w:r>
          </w:p>
        </w:tc>
        <w:tc>
          <w:tcPr>
            <w:tcW w:w="2978" w:type="dxa"/>
            <w:tcBorders>
              <w:top w:val="nil" w:sz="6" w:space="0" w:color="auto"/>
              <w:left w:val="nil" w:sz="6" w:space="0" w:color="auto"/>
              <w:bottom w:val="nil" w:sz="6" w:space="0" w:color="auto"/>
              <w:right w:val="nil" w:sz="6" w:space="0" w:color="auto"/>
            </w:tcBorders>
          </w:tcPr>
          <w:p>
            <w:pPr>
              <w:pStyle w:val="TableParagraph"/>
              <w:tabs>
                <w:tab w:pos="1573" w:val="left" w:leader="none"/>
                <w:tab w:pos="2746" w:val="left" w:leader="none"/>
              </w:tabs>
              <w:spacing w:line="240" w:lineRule="auto" w:before="164"/>
              <w:ind w:left="21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9,058,853</w:t>
              <w:tab/>
            </w:r>
            <w:r>
              <w:rPr>
                <w:rFonts w:ascii="Arial"/>
                <w:sz w:val="24"/>
              </w:rPr>
            </w:r>
          </w:p>
        </w:tc>
        <w:tc>
          <w:tcPr>
            <w:tcW w:w="2616" w:type="dxa"/>
            <w:tcBorders>
              <w:top w:val="nil" w:sz="6" w:space="0" w:color="auto"/>
              <w:left w:val="nil" w:sz="6" w:space="0" w:color="auto"/>
              <w:bottom w:val="nil" w:sz="6" w:space="0" w:color="auto"/>
              <w:right w:val="nil" w:sz="6" w:space="0" w:color="auto"/>
            </w:tcBorders>
          </w:tcPr>
          <w:p>
            <w:pPr>
              <w:pStyle w:val="TableParagraph"/>
              <w:tabs>
                <w:tab w:pos="1321" w:val="left" w:leader="none"/>
                <w:tab w:pos="2483" w:val="left" w:leader="none"/>
              </w:tabs>
              <w:spacing w:line="240" w:lineRule="auto" w:before="164"/>
              <w:ind w:left="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8,427,397</w:t>
              <w:tab/>
            </w:r>
            <w:r>
              <w:rPr>
                <w:rFonts w:ascii="Arial"/>
                <w:sz w:val="24"/>
              </w:rPr>
            </w:r>
          </w:p>
        </w:tc>
      </w:tr>
      <w:tr>
        <w:trPr>
          <w:trHeight w:val="104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(a)</w:t>
            </w:r>
          </w:p>
        </w:tc>
        <w:tc>
          <w:tcPr>
            <w:tcW w:w="8327"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104"/>
              <w:ind w:left="145"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z w:val="24"/>
                <w:szCs w:val="24"/>
              </w:rPr>
              <w:t>2015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日，账龄超过一年的应付账款约人民币</w:t>
            </w:r>
            <w:r>
              <w:rPr>
                <w:rFonts w:ascii="宋体" w:hAnsi="宋体" w:cs="宋体" w:eastAsia="宋体" w:hint="default"/>
                <w:spacing w:val="-57"/>
                <w:sz w:val="24"/>
                <w:szCs w:val="24"/>
              </w:rPr>
              <w:t> </w:t>
            </w:r>
            <w:r>
              <w:rPr>
                <w:rFonts w:ascii="Arial" w:hAnsi="Arial" w:cs="Arial" w:eastAsia="Arial" w:hint="default"/>
                <w:sz w:val="24"/>
                <w:szCs w:val="24"/>
              </w:rPr>
              <w:t>2.72</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p>
          <w:p>
            <w:pPr>
              <w:pStyle w:val="TableParagraph"/>
              <w:spacing w:line="310" w:lineRule="exact" w:before="22"/>
              <w:ind w:left="145" w:right="229"/>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日：约人民币</w:t>
            </w:r>
            <w:r>
              <w:rPr>
                <w:rFonts w:ascii="宋体" w:hAnsi="宋体" w:cs="宋体" w:eastAsia="宋体" w:hint="default"/>
                <w:spacing w:val="-54"/>
                <w:sz w:val="24"/>
                <w:szCs w:val="24"/>
              </w:rPr>
              <w:t> </w:t>
            </w:r>
            <w:r>
              <w:rPr>
                <w:rFonts w:ascii="Arial" w:hAnsi="Arial" w:cs="Arial" w:eastAsia="Arial" w:hint="default"/>
                <w:sz w:val="24"/>
                <w:szCs w:val="24"/>
              </w:rPr>
              <w:t>2.5</w:t>
            </w:r>
            <w:r>
              <w:rPr>
                <w:rFonts w:ascii="Arial" w:hAnsi="Arial" w:cs="Arial" w:eastAsia="Arial" w:hint="default"/>
                <w:spacing w:val="-1"/>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，主要为以前年度尚未支付的供应商货 款，供应商未及时与本集团进行结算。</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768"/>
        <w:gridCol w:w="3058"/>
        <w:gridCol w:w="2653"/>
        <w:gridCol w:w="2608"/>
      </w:tblGrid>
      <w:tr>
        <w:trPr>
          <w:trHeight w:val="42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(26)</w:t>
            </w:r>
          </w:p>
        </w:tc>
        <w:tc>
          <w:tcPr>
            <w:tcW w:w="3058" w:type="dxa"/>
            <w:tcBorders>
              <w:top w:val="nil" w:sz="6" w:space="0" w:color="auto"/>
              <w:left w:val="nil" w:sz="6" w:space="0" w:color="auto"/>
              <w:bottom w:val="nil" w:sz="6" w:space="0" w:color="auto"/>
              <w:right w:val="nil" w:sz="6" w:space="0" w:color="auto"/>
            </w:tcBorders>
          </w:tcPr>
          <w:p>
            <w:pPr>
              <w:pStyle w:val="TableParagraph"/>
              <w:spacing w:line="247" w:lineRule="exact"/>
              <w:ind w:left="153" w:right="0"/>
              <w:jc w:val="left"/>
              <w:rPr>
                <w:rFonts w:ascii="黑体" w:hAnsi="黑体" w:cs="黑体" w:eastAsia="黑体" w:hint="default"/>
                <w:sz w:val="24"/>
                <w:szCs w:val="24"/>
              </w:rPr>
            </w:pPr>
            <w:r>
              <w:rPr>
                <w:rFonts w:ascii="黑体" w:hAnsi="黑体" w:cs="黑体" w:eastAsia="黑体" w:hint="default"/>
                <w:sz w:val="24"/>
                <w:szCs w:val="24"/>
              </w:rPr>
              <w:t>预收款项</w:t>
            </w:r>
          </w:p>
        </w:tc>
        <w:tc>
          <w:tcPr>
            <w:tcW w:w="2653" w:type="dxa"/>
            <w:tcBorders>
              <w:top w:val="nil" w:sz="6" w:space="0" w:color="auto"/>
              <w:left w:val="nil" w:sz="6" w:space="0" w:color="auto"/>
              <w:bottom w:val="nil" w:sz="6" w:space="0" w:color="auto"/>
              <w:right w:val="nil" w:sz="6" w:space="0" w:color="auto"/>
            </w:tcBorders>
          </w:tcPr>
          <w:p>
            <w:pPr/>
          </w:p>
        </w:tc>
        <w:tc>
          <w:tcPr>
            <w:tcW w:w="2608" w:type="dxa"/>
            <w:tcBorders>
              <w:top w:val="nil" w:sz="6" w:space="0" w:color="auto"/>
              <w:left w:val="nil" w:sz="6" w:space="0" w:color="auto"/>
              <w:bottom w:val="nil" w:sz="6" w:space="0" w:color="auto"/>
              <w:right w:val="nil" w:sz="6" w:space="0" w:color="auto"/>
            </w:tcBorders>
          </w:tcPr>
          <w:p>
            <w:pPr/>
          </w:p>
        </w:tc>
      </w:tr>
      <w:tr>
        <w:trPr>
          <w:trHeight w:val="603" w:hRule="exact"/>
        </w:trPr>
        <w:tc>
          <w:tcPr>
            <w:tcW w:w="768"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4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20"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72" w:hRule="exact"/>
        </w:trPr>
        <w:tc>
          <w:tcPr>
            <w:tcW w:w="768"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3" w:right="0"/>
              <w:jc w:val="left"/>
              <w:rPr>
                <w:rFonts w:ascii="宋体" w:hAnsi="宋体" w:cs="宋体" w:eastAsia="宋体" w:hint="default"/>
                <w:sz w:val="24"/>
                <w:szCs w:val="24"/>
              </w:rPr>
            </w:pPr>
            <w:r>
              <w:rPr>
                <w:rFonts w:ascii="宋体" w:hAnsi="宋体" w:cs="宋体" w:eastAsia="宋体" w:hint="default"/>
                <w:sz w:val="24"/>
                <w:szCs w:val="24"/>
              </w:rPr>
              <w:t>预收货款</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19"/>
              <w:jc w:val="right"/>
              <w:rPr>
                <w:rFonts w:ascii="Arial" w:hAnsi="Arial" w:cs="Arial" w:eastAsia="Arial" w:hint="default"/>
                <w:sz w:val="24"/>
                <w:szCs w:val="24"/>
              </w:rPr>
            </w:pPr>
            <w:r>
              <w:rPr>
                <w:rFonts w:ascii="Arial"/>
                <w:spacing w:val="-1"/>
                <w:sz w:val="24"/>
              </w:rPr>
              <w:t>782,201</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98"/>
              <w:jc w:val="right"/>
              <w:rPr>
                <w:rFonts w:ascii="Arial" w:hAnsi="Arial" w:cs="Arial" w:eastAsia="Arial" w:hint="default"/>
                <w:sz w:val="24"/>
                <w:szCs w:val="24"/>
              </w:rPr>
            </w:pPr>
            <w:r>
              <w:rPr>
                <w:rFonts w:ascii="Arial"/>
                <w:spacing w:val="-1"/>
                <w:sz w:val="24"/>
              </w:rPr>
              <w:t>435,572</w:t>
            </w:r>
          </w:p>
        </w:tc>
      </w:tr>
      <w:tr>
        <w:trPr>
          <w:trHeight w:val="321" w:hRule="exact"/>
        </w:trPr>
        <w:tc>
          <w:tcPr>
            <w:tcW w:w="768"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67" w:lineRule="exact"/>
              <w:ind w:left="153" w:right="0"/>
              <w:jc w:val="left"/>
              <w:rPr>
                <w:rFonts w:ascii="宋体" w:hAnsi="宋体" w:cs="宋体" w:eastAsia="宋体" w:hint="default"/>
                <w:sz w:val="24"/>
                <w:szCs w:val="24"/>
              </w:rPr>
            </w:pPr>
            <w:r>
              <w:rPr>
                <w:rFonts w:ascii="宋体" w:hAnsi="宋体" w:cs="宋体" w:eastAsia="宋体" w:hint="default"/>
                <w:sz w:val="24"/>
                <w:szCs w:val="24"/>
              </w:rPr>
              <w:t>房地产预售款</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9"/>
              <w:jc w:val="right"/>
              <w:rPr>
                <w:rFonts w:ascii="Arial" w:hAnsi="Arial" w:cs="Arial" w:eastAsia="Arial" w:hint="default"/>
                <w:sz w:val="24"/>
                <w:szCs w:val="24"/>
              </w:rPr>
            </w:pPr>
            <w:r>
              <w:rPr>
                <w:rFonts w:ascii="Arial"/>
                <w:spacing w:val="-1"/>
                <w:sz w:val="24"/>
              </w:rPr>
              <w:t>108,540</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9"/>
              <w:jc w:val="right"/>
              <w:rPr>
                <w:rFonts w:ascii="Arial" w:hAnsi="Arial" w:cs="Arial" w:eastAsia="Arial" w:hint="default"/>
                <w:sz w:val="24"/>
                <w:szCs w:val="24"/>
              </w:rPr>
            </w:pPr>
            <w:r>
              <w:rPr>
                <w:rFonts w:ascii="Arial"/>
                <w:spacing w:val="-1"/>
                <w:sz w:val="24"/>
              </w:rPr>
              <w:t>957,541</w:t>
            </w:r>
          </w:p>
        </w:tc>
      </w:tr>
      <w:tr>
        <w:trPr>
          <w:trHeight w:val="318" w:hRule="exact"/>
        </w:trPr>
        <w:tc>
          <w:tcPr>
            <w:tcW w:w="768"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tabs>
                <w:tab w:pos="2951" w:val="left" w:leader="none"/>
                <w:tab w:pos="4655" w:val="left" w:leader="none"/>
              </w:tabs>
              <w:spacing w:line="264" w:lineRule="exact"/>
              <w:ind w:left="153" w:right="-1598"/>
              <w:jc w:val="left"/>
              <w:rPr>
                <w:rFonts w:ascii="Arial" w:hAnsi="Arial" w:cs="Arial" w:eastAsia="Arial" w:hint="default"/>
                <w:sz w:val="24"/>
                <w:szCs w:val="24"/>
              </w:rPr>
            </w:pPr>
            <w:r>
              <w:rPr>
                <w:rFonts w:ascii="宋体" w:hAnsi="宋体" w:cs="宋体" w:eastAsia="宋体" w:hint="default"/>
                <w:position w:val="2"/>
                <w:sz w:val="24"/>
                <w:szCs w:val="24"/>
              </w:rPr>
              <w:t>预收房租</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653" w:type="dxa"/>
            <w:tcBorders>
              <w:top w:val="nil" w:sz="6" w:space="0" w:color="auto"/>
              <w:left w:val="nil" w:sz="6" w:space="0" w:color="auto"/>
              <w:bottom w:val="nil" w:sz="6" w:space="0" w:color="auto"/>
              <w:right w:val="nil" w:sz="6" w:space="0" w:color="auto"/>
            </w:tcBorders>
          </w:tcPr>
          <w:p>
            <w:pPr>
              <w:pStyle w:val="TableParagraph"/>
              <w:tabs>
                <w:tab w:pos="817" w:val="left" w:leader="none"/>
              </w:tabs>
              <w:spacing w:line="240" w:lineRule="auto" w:before="24"/>
              <w:ind w:right="235"/>
              <w:jc w:val="right"/>
              <w:rPr>
                <w:rFonts w:ascii="Arial" w:hAnsi="Arial" w:cs="Arial" w:eastAsia="Arial" w:hint="default"/>
                <w:sz w:val="24"/>
                <w:szCs w:val="24"/>
              </w:rPr>
            </w:pPr>
            <w:r>
              <w:rPr>
                <w:rFonts w:ascii="Arial"/>
                <w:w w:val="99"/>
                <w:sz w:val="24"/>
              </w:rPr>
            </w:r>
            <w:r>
              <w:rPr>
                <w:rFonts w:ascii="Arial"/>
                <w:w w:val="95"/>
                <w:sz w:val="24"/>
                <w:u w:val="single" w:color="000000"/>
              </w:rPr>
              <w:t>92,017</w:t>
            </w:r>
            <w:r>
              <w:rPr>
                <w:rFonts w:ascii="Arial"/>
                <w:sz w:val="24"/>
                <w:u w:val="single" w:color="000000"/>
              </w:rPr>
              <w:tab/>
            </w:r>
            <w:r>
              <w:rPr>
                <w:rFonts w:ascii="Arial"/>
                <w:sz w:val="24"/>
              </w:rPr>
            </w:r>
          </w:p>
        </w:tc>
        <w:tc>
          <w:tcPr>
            <w:tcW w:w="2608" w:type="dxa"/>
            <w:tcBorders>
              <w:top w:val="nil" w:sz="6" w:space="0" w:color="auto"/>
              <w:left w:val="nil" w:sz="6" w:space="0" w:color="auto"/>
              <w:bottom w:val="nil" w:sz="6" w:space="0" w:color="auto"/>
              <w:right w:val="nil" w:sz="6" w:space="0" w:color="auto"/>
            </w:tcBorders>
          </w:tcPr>
          <w:p>
            <w:pPr>
              <w:pStyle w:val="TableParagraph"/>
              <w:tabs>
                <w:tab w:pos="1673" w:val="left" w:leader="none"/>
                <w:tab w:pos="2489" w:val="left" w:leader="none"/>
              </w:tabs>
              <w:spacing w:line="240" w:lineRule="auto" w:before="24"/>
              <w:ind w:left="-2" w:right="11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58,619</w:t>
            </w:r>
            <w:r>
              <w:rPr>
                <w:rFonts w:ascii="Arial"/>
                <w:sz w:val="24"/>
                <w:u w:val="single" w:color="000000"/>
              </w:rPr>
              <w:tab/>
            </w:r>
            <w:r>
              <w:rPr>
                <w:rFonts w:ascii="Arial"/>
                <w:sz w:val="24"/>
              </w:rPr>
            </w:r>
          </w:p>
        </w:tc>
      </w:tr>
      <w:tr>
        <w:trPr>
          <w:trHeight w:val="434" w:hRule="exact"/>
        </w:trPr>
        <w:tc>
          <w:tcPr>
            <w:tcW w:w="768" w:type="dxa"/>
            <w:tcBorders>
              <w:top w:val="nil" w:sz="6" w:space="0" w:color="auto"/>
              <w:left w:val="nil" w:sz="6" w:space="0" w:color="auto"/>
              <w:bottom w:val="nil" w:sz="6" w:space="0" w:color="auto"/>
              <w:right w:val="nil" w:sz="6" w:space="0" w:color="auto"/>
            </w:tcBorders>
          </w:tcPr>
          <w:p>
            <w:pPr/>
          </w:p>
        </w:tc>
        <w:tc>
          <w:tcPr>
            <w:tcW w:w="5711" w:type="dxa"/>
            <w:gridSpan w:val="2"/>
            <w:tcBorders>
              <w:top w:val="nil" w:sz="6" w:space="0" w:color="auto"/>
              <w:left w:val="nil" w:sz="6" w:space="0" w:color="auto"/>
              <w:bottom w:val="nil" w:sz="6" w:space="0" w:color="auto"/>
              <w:right w:val="nil" w:sz="6" w:space="0" w:color="auto"/>
            </w:tcBorders>
          </w:tcPr>
          <w:p>
            <w:pPr>
              <w:pStyle w:val="TableParagraph"/>
              <w:tabs>
                <w:tab w:pos="4522" w:val="left" w:leader="none"/>
                <w:tab w:pos="5473" w:val="left" w:leader="none"/>
              </w:tabs>
              <w:spacing w:line="268" w:lineRule="exact"/>
              <w:ind w:left="295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982,758</w:t>
              <w:tab/>
            </w:r>
            <w:r>
              <w:rPr>
                <w:rFonts w:ascii="Arial"/>
                <w:sz w:val="24"/>
              </w:rPr>
            </w:r>
          </w:p>
        </w:tc>
        <w:tc>
          <w:tcPr>
            <w:tcW w:w="2608" w:type="dxa"/>
            <w:tcBorders>
              <w:top w:val="nil" w:sz="6" w:space="0" w:color="auto"/>
              <w:left w:val="nil" w:sz="6" w:space="0" w:color="auto"/>
              <w:bottom w:val="nil" w:sz="6" w:space="0" w:color="auto"/>
              <w:right w:val="nil" w:sz="6" w:space="0" w:color="auto"/>
            </w:tcBorders>
          </w:tcPr>
          <w:p>
            <w:pPr>
              <w:pStyle w:val="TableParagraph"/>
              <w:tabs>
                <w:tab w:pos="1340" w:val="left" w:leader="none"/>
                <w:tab w:pos="2489" w:val="left" w:leader="none"/>
              </w:tabs>
              <w:spacing w:line="268" w:lineRule="exact"/>
              <w:ind w:left="-2" w:right="11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1,451,732</w:t>
            </w:r>
            <w:r>
              <w:rPr>
                <w:rFonts w:ascii="Arial"/>
                <w:sz w:val="24"/>
                <w:u w:val="thick" w:color="000000"/>
              </w:rPr>
              <w:tab/>
            </w:r>
            <w:r>
              <w:rPr>
                <w:rFonts w:ascii="Arial"/>
                <w:sz w:val="24"/>
              </w:rPr>
            </w:r>
          </w:p>
        </w:tc>
      </w:tr>
      <w:tr>
        <w:trPr>
          <w:trHeight w:val="74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(a)</w:t>
            </w:r>
          </w:p>
        </w:tc>
        <w:tc>
          <w:tcPr>
            <w:tcW w:w="8319"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04"/>
              <w:ind w:left="141"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2015</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日，账龄超过一年的预收款项约人民币</w:t>
            </w:r>
            <w:r>
              <w:rPr>
                <w:rFonts w:ascii="宋体" w:hAnsi="宋体" w:cs="宋体" w:eastAsia="宋体" w:hint="default"/>
                <w:spacing w:val="-54"/>
                <w:sz w:val="24"/>
                <w:szCs w:val="24"/>
              </w:rPr>
              <w:t> </w:t>
            </w:r>
            <w:r>
              <w:rPr>
                <w:rFonts w:ascii="Arial" w:hAnsi="Arial" w:cs="Arial" w:eastAsia="Arial" w:hint="default"/>
                <w:sz w:val="24"/>
                <w:szCs w:val="24"/>
              </w:rPr>
              <w:t>0.91</w:t>
            </w:r>
            <w:r>
              <w:rPr>
                <w:rFonts w:ascii="Arial" w:hAnsi="Arial" w:cs="Arial" w:eastAsia="Arial" w:hint="default"/>
                <w:spacing w:val="-1"/>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p>
          <w:p>
            <w:pPr>
              <w:pStyle w:val="TableParagraph"/>
              <w:spacing w:line="321" w:lineRule="exact"/>
              <w:ind w:left="141"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1.31</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，主要为尚未与客户结算的尾款。</w:t>
            </w:r>
          </w:p>
        </w:tc>
      </w:tr>
    </w:tbl>
    <w:p>
      <w:pPr>
        <w:spacing w:after="0" w:line="321" w:lineRule="exact"/>
        <w:jc w:val="left"/>
        <w:rPr>
          <w:rFonts w:ascii="宋体" w:hAnsi="宋体" w:cs="宋体" w:eastAsia="宋体" w:hint="default"/>
          <w:sz w:val="24"/>
          <w:szCs w:val="24"/>
        </w:rPr>
        <w:sectPr>
          <w:pgSz w:w="11910" w:h="16840"/>
          <w:pgMar w:header="755" w:footer="914" w:top="1860" w:bottom="110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680"/>
        <w:gridCol w:w="3241"/>
      </w:tblGrid>
      <w:tr>
        <w:trPr>
          <w:trHeight w:val="252"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41"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tbl>
      <w:tblPr>
        <w:tblW w:w="0" w:type="auto"/>
        <w:jc w:val="left"/>
        <w:tblInd w:w="164" w:type="dxa"/>
        <w:tblLayout w:type="fixed"/>
        <w:tblCellMar>
          <w:top w:w="0" w:type="dxa"/>
          <w:left w:w="0" w:type="dxa"/>
          <w:bottom w:w="0" w:type="dxa"/>
          <w:right w:w="0" w:type="dxa"/>
        </w:tblCellMar>
        <w:tblLook w:val="01E0"/>
      </w:tblPr>
      <w:tblGrid>
        <w:gridCol w:w="771"/>
        <w:gridCol w:w="3262"/>
        <w:gridCol w:w="2600"/>
        <w:gridCol w:w="2742"/>
      </w:tblGrid>
      <w:tr>
        <w:trPr>
          <w:trHeight w:val="427"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73" w:lineRule="exact"/>
              <w:ind w:left="200" w:right="0"/>
              <w:jc w:val="left"/>
              <w:rPr>
                <w:rFonts w:ascii="Arial" w:hAnsi="Arial" w:cs="Arial" w:eastAsia="Arial" w:hint="default"/>
                <w:sz w:val="24"/>
                <w:szCs w:val="24"/>
              </w:rPr>
            </w:pPr>
            <w:r>
              <w:rPr>
                <w:rFonts w:ascii="Arial"/>
                <w:sz w:val="24"/>
              </w:rPr>
              <w:t>(27)</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exact"/>
              <w:ind w:left="143" w:right="0"/>
              <w:jc w:val="left"/>
              <w:rPr>
                <w:rFonts w:ascii="黑体" w:hAnsi="黑体" w:cs="黑体" w:eastAsia="黑体" w:hint="default"/>
                <w:sz w:val="24"/>
                <w:szCs w:val="24"/>
              </w:rPr>
            </w:pPr>
            <w:r>
              <w:rPr>
                <w:rFonts w:ascii="黑体" w:hAnsi="黑体" w:cs="黑体" w:eastAsia="黑体" w:hint="default"/>
                <w:sz w:val="24"/>
                <w:szCs w:val="24"/>
              </w:rPr>
              <w:t>应付职工薪酬</w:t>
            </w:r>
          </w:p>
        </w:tc>
        <w:tc>
          <w:tcPr>
            <w:tcW w:w="2600" w:type="dxa"/>
            <w:tcBorders>
              <w:top w:val="nil" w:sz="6" w:space="0" w:color="auto"/>
              <w:left w:val="nil" w:sz="6" w:space="0" w:color="auto"/>
              <w:bottom w:val="nil" w:sz="6" w:space="0" w:color="auto"/>
              <w:right w:val="nil" w:sz="6" w:space="0" w:color="auto"/>
            </w:tcBorders>
          </w:tcPr>
          <w:p>
            <w:pPr/>
          </w:p>
        </w:tc>
        <w:tc>
          <w:tcPr>
            <w:tcW w:w="2742" w:type="dxa"/>
            <w:tcBorders>
              <w:top w:val="nil" w:sz="6" w:space="0" w:color="auto"/>
              <w:left w:val="nil" w:sz="6" w:space="0" w:color="auto"/>
              <w:bottom w:val="nil" w:sz="6" w:space="0" w:color="auto"/>
              <w:right w:val="nil" w:sz="6" w:space="0" w:color="auto"/>
            </w:tcBorders>
          </w:tcPr>
          <w:p>
            <w:pPr/>
          </w:p>
        </w:tc>
      </w:tr>
      <w:tr>
        <w:trPr>
          <w:trHeight w:val="580" w:hRule="exact"/>
        </w:trPr>
        <w:tc>
          <w:tcPr>
            <w:tcW w:w="771" w:type="dxa"/>
            <w:tcBorders>
              <w:top w:val="nil" w:sz="6" w:space="0" w:color="auto"/>
              <w:left w:val="nil" w:sz="6" w:space="0" w:color="auto"/>
              <w:bottom w:val="nil" w:sz="6" w:space="0" w:color="auto"/>
              <w:right w:val="nil" w:sz="6" w:space="0" w:color="auto"/>
            </w:tcBorders>
          </w:tcPr>
          <w:p>
            <w:pPr/>
          </w:p>
        </w:tc>
        <w:tc>
          <w:tcPr>
            <w:tcW w:w="3262" w:type="dxa"/>
            <w:tcBorders>
              <w:top w:val="nil" w:sz="6" w:space="0" w:color="auto"/>
              <w:left w:val="nil" w:sz="6" w:space="0" w:color="auto"/>
              <w:bottom w:val="nil" w:sz="6" w:space="0" w:color="auto"/>
              <w:right w:val="nil" w:sz="6" w:space="0" w:color="auto"/>
            </w:tcBorders>
          </w:tcPr>
          <w:p>
            <w:pP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7"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5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71" w:type="dxa"/>
            <w:tcBorders>
              <w:top w:val="nil" w:sz="6" w:space="0" w:color="auto"/>
              <w:left w:val="nil" w:sz="6" w:space="0" w:color="auto"/>
              <w:bottom w:val="nil" w:sz="6" w:space="0" w:color="auto"/>
              <w:right w:val="nil" w:sz="6" w:space="0" w:color="auto"/>
            </w:tcBorders>
          </w:tcPr>
          <w:p>
            <w:pP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9" w:right="0"/>
              <w:jc w:val="left"/>
              <w:rPr>
                <w:rFonts w:ascii="宋体" w:hAnsi="宋体" w:cs="宋体" w:eastAsia="宋体" w:hint="default"/>
                <w:sz w:val="24"/>
                <w:szCs w:val="24"/>
              </w:rPr>
            </w:pPr>
            <w:r>
              <w:rPr>
                <w:rFonts w:ascii="宋体" w:hAnsi="宋体" w:cs="宋体" w:eastAsia="宋体" w:hint="default"/>
                <w:sz w:val="24"/>
                <w:szCs w:val="24"/>
              </w:rPr>
              <w:t>应付短期薪酬</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252" w:right="0"/>
              <w:jc w:val="left"/>
              <w:rPr>
                <w:rFonts w:ascii="Arial" w:hAnsi="Arial" w:cs="Arial" w:eastAsia="Arial" w:hint="default"/>
                <w:sz w:val="24"/>
                <w:szCs w:val="24"/>
              </w:rPr>
            </w:pPr>
            <w:r>
              <w:rPr>
                <w:rFonts w:ascii="Arial"/>
                <w:sz w:val="24"/>
              </w:rPr>
              <w:t>352,609</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34"/>
              <w:jc w:val="right"/>
              <w:rPr>
                <w:rFonts w:ascii="Arial" w:hAnsi="Arial" w:cs="Arial" w:eastAsia="Arial" w:hint="default"/>
                <w:sz w:val="24"/>
                <w:szCs w:val="24"/>
              </w:rPr>
            </w:pPr>
            <w:r>
              <w:rPr>
                <w:rFonts w:ascii="Arial"/>
                <w:spacing w:val="-1"/>
                <w:sz w:val="24"/>
              </w:rPr>
              <w:t>347,996</w:t>
            </w:r>
          </w:p>
        </w:tc>
      </w:tr>
      <w:tr>
        <w:trPr>
          <w:trHeight w:val="312" w:hRule="exact"/>
        </w:trPr>
        <w:tc>
          <w:tcPr>
            <w:tcW w:w="771" w:type="dxa"/>
            <w:tcBorders>
              <w:top w:val="nil" w:sz="6" w:space="0" w:color="auto"/>
              <w:left w:val="nil" w:sz="6" w:space="0" w:color="auto"/>
              <w:bottom w:val="nil" w:sz="6" w:space="0" w:color="auto"/>
              <w:right w:val="nil" w:sz="6" w:space="0" w:color="auto"/>
            </w:tcBorders>
          </w:tcPr>
          <w:p>
            <w:pPr/>
          </w:p>
        </w:tc>
        <w:tc>
          <w:tcPr>
            <w:tcW w:w="3262" w:type="dxa"/>
            <w:tcBorders>
              <w:top w:val="nil" w:sz="6" w:space="0" w:color="auto"/>
              <w:left w:val="nil" w:sz="6" w:space="0" w:color="auto"/>
              <w:bottom w:val="nil" w:sz="6" w:space="0" w:color="auto"/>
              <w:right w:val="nil" w:sz="6" w:space="0" w:color="auto"/>
            </w:tcBorders>
          </w:tcPr>
          <w:p>
            <w:pPr>
              <w:pStyle w:val="TableParagraph"/>
              <w:tabs>
                <w:tab w:pos="2997" w:val="left" w:leader="none"/>
                <w:tab w:pos="4781" w:val="left" w:leader="none"/>
              </w:tabs>
              <w:spacing w:line="257" w:lineRule="exact"/>
              <w:ind w:left="89" w:right="-1520"/>
              <w:jc w:val="left"/>
              <w:rPr>
                <w:rFonts w:ascii="Arial" w:hAnsi="Arial" w:cs="Arial" w:eastAsia="Arial" w:hint="default"/>
                <w:sz w:val="24"/>
                <w:szCs w:val="24"/>
              </w:rPr>
            </w:pPr>
            <w:r>
              <w:rPr>
                <w:rFonts w:ascii="宋体" w:hAnsi="宋体" w:cs="宋体" w:eastAsia="宋体" w:hint="default"/>
                <w:position w:val="2"/>
                <w:sz w:val="24"/>
                <w:szCs w:val="24"/>
              </w:rPr>
              <w:t>应付设定提存计划</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600" w:type="dxa"/>
            <w:tcBorders>
              <w:top w:val="nil" w:sz="6" w:space="0" w:color="auto"/>
              <w:left w:val="nil" w:sz="6" w:space="0" w:color="auto"/>
              <w:bottom w:val="nil" w:sz="6" w:space="0" w:color="auto"/>
              <w:right w:val="nil" w:sz="6" w:space="0" w:color="auto"/>
            </w:tcBorders>
          </w:tcPr>
          <w:p>
            <w:pPr>
              <w:pStyle w:val="TableParagraph"/>
              <w:tabs>
                <w:tab w:pos="2438" w:val="left" w:leader="none"/>
                <w:tab w:pos="4504" w:val="left" w:leader="none"/>
              </w:tabs>
              <w:spacing w:line="240" w:lineRule="auto" w:before="18"/>
              <w:ind w:left="1519" w:right="-1905"/>
              <w:jc w:val="left"/>
              <w:rPr>
                <w:rFonts w:ascii="Arial" w:hAnsi="Arial" w:cs="Arial" w:eastAsia="Arial" w:hint="default"/>
                <w:sz w:val="24"/>
                <w:szCs w:val="24"/>
              </w:rPr>
            </w:pPr>
            <w:r>
              <w:rPr>
                <w:rFonts w:ascii="Arial"/>
                <w:w w:val="99"/>
                <w:sz w:val="24"/>
              </w:rPr>
            </w:r>
            <w:r>
              <w:rPr>
                <w:rFonts w:ascii="Arial"/>
                <w:sz w:val="24"/>
                <w:u w:val="single" w:color="000000"/>
              </w:rPr>
              <w:t>2,926</w:t>
            </w:r>
            <w:r>
              <w:rPr>
                <w:rFonts w:ascii="Arial"/>
                <w:spacing w:val="13"/>
                <w:sz w:val="24"/>
                <w:u w:val="single" w:color="000000"/>
              </w:rPr>
              <w:t> </w:t>
            </w:r>
            <w:r>
              <w:rPr>
                <w:rFonts w:ascii="Arial"/>
                <w:spacing w:val="13"/>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742"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18"/>
              <w:ind w:right="156"/>
              <w:jc w:val="right"/>
              <w:rPr>
                <w:rFonts w:ascii="Arial" w:hAnsi="Arial" w:cs="Arial" w:eastAsia="Arial" w:hint="default"/>
                <w:sz w:val="24"/>
                <w:szCs w:val="24"/>
              </w:rPr>
            </w:pPr>
            <w:r>
              <w:rPr>
                <w:rFonts w:ascii="Arial"/>
                <w:w w:val="99"/>
                <w:sz w:val="24"/>
              </w:rPr>
            </w:r>
            <w:r>
              <w:rPr>
                <w:rFonts w:ascii="Arial"/>
                <w:w w:val="95"/>
                <w:sz w:val="24"/>
                <w:u w:val="single" w:color="000000"/>
              </w:rPr>
              <w:t>5,567</w:t>
            </w:r>
            <w:r>
              <w:rPr>
                <w:rFonts w:ascii="Arial"/>
                <w:sz w:val="24"/>
                <w:u w:val="single" w:color="000000"/>
              </w:rPr>
              <w:tab/>
            </w:r>
            <w:r>
              <w:rPr>
                <w:rFonts w:ascii="Arial"/>
                <w:sz w:val="24"/>
              </w:rPr>
            </w:r>
          </w:p>
        </w:tc>
      </w:tr>
      <w:tr>
        <w:trPr>
          <w:trHeight w:val="263" w:hRule="exact"/>
        </w:trPr>
        <w:tc>
          <w:tcPr>
            <w:tcW w:w="771" w:type="dxa"/>
            <w:tcBorders>
              <w:top w:val="nil" w:sz="6" w:space="0" w:color="auto"/>
              <w:left w:val="nil" w:sz="6" w:space="0" w:color="auto"/>
              <w:bottom w:val="nil" w:sz="6" w:space="0" w:color="auto"/>
              <w:right w:val="nil" w:sz="6" w:space="0" w:color="auto"/>
            </w:tcBorders>
          </w:tcPr>
          <w:p>
            <w:pPr/>
          </w:p>
        </w:tc>
        <w:tc>
          <w:tcPr>
            <w:tcW w:w="3262" w:type="dxa"/>
            <w:tcBorders>
              <w:top w:val="nil" w:sz="6" w:space="0" w:color="auto"/>
              <w:left w:val="nil" w:sz="6" w:space="0" w:color="auto"/>
              <w:bottom w:val="nil" w:sz="6" w:space="0" w:color="auto"/>
              <w:right w:val="nil" w:sz="6" w:space="0" w:color="auto"/>
            </w:tcBorders>
          </w:tcPr>
          <w:p>
            <w:pPr/>
          </w:p>
        </w:tc>
        <w:tc>
          <w:tcPr>
            <w:tcW w:w="2600" w:type="dxa"/>
            <w:tcBorders>
              <w:top w:val="nil" w:sz="6" w:space="0" w:color="auto"/>
              <w:left w:val="nil" w:sz="6" w:space="0" w:color="auto"/>
              <w:bottom w:val="nil" w:sz="6" w:space="0" w:color="auto"/>
              <w:right w:val="nil" w:sz="6" w:space="0" w:color="auto"/>
            </w:tcBorders>
          </w:tcPr>
          <w:p>
            <w:pPr>
              <w:pStyle w:val="TableParagraph"/>
              <w:tabs>
                <w:tab w:pos="1251" w:val="left" w:leader="none"/>
                <w:tab w:pos="2424" w:val="left" w:leader="none"/>
                <w:tab w:pos="4237" w:val="left" w:leader="none"/>
              </w:tabs>
              <w:spacing w:line="269" w:lineRule="exact"/>
              <w:ind w:left="-280" w:right="-163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355,535</w:t>
            </w:r>
            <w:r>
              <w:rPr>
                <w:rFonts w:ascii="Arial"/>
                <w:spacing w:val="15"/>
                <w:sz w:val="24"/>
                <w:u w:val="thick" w:color="000000"/>
              </w:rPr>
              <w:t> </w:t>
            </w:r>
            <w:r>
              <w:rPr>
                <w:rFonts w:ascii="Arial"/>
                <w:spacing w:val="1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742"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69" w:lineRule="exact"/>
              <w:ind w:right="156"/>
              <w:jc w:val="right"/>
              <w:rPr>
                <w:rFonts w:ascii="Arial" w:hAnsi="Arial" w:cs="Arial" w:eastAsia="Arial" w:hint="default"/>
                <w:sz w:val="24"/>
                <w:szCs w:val="24"/>
              </w:rPr>
            </w:pPr>
            <w:r>
              <w:rPr>
                <w:rFonts w:ascii="Arial"/>
                <w:w w:val="99"/>
                <w:sz w:val="24"/>
              </w:rPr>
            </w:r>
            <w:r>
              <w:rPr>
                <w:rFonts w:ascii="Arial"/>
                <w:spacing w:val="-1"/>
                <w:sz w:val="24"/>
                <w:u w:val="thick" w:color="000000"/>
              </w:rPr>
              <w:t>353,563</w:t>
              <w:tab/>
            </w:r>
            <w:r>
              <w:rPr>
                <w:rFonts w:ascii="Arial"/>
                <w:spacing w:val="-1"/>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792"/>
        <w:gridCol w:w="2463"/>
        <w:gridCol w:w="1240"/>
        <w:gridCol w:w="282"/>
        <w:gridCol w:w="1236"/>
        <w:gridCol w:w="287"/>
        <w:gridCol w:w="1271"/>
        <w:gridCol w:w="270"/>
        <w:gridCol w:w="1432"/>
      </w:tblGrid>
      <w:tr>
        <w:trPr>
          <w:trHeight w:val="417"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5" w:lineRule="exact"/>
              <w:ind w:left="255" w:right="0"/>
              <w:jc w:val="left"/>
              <w:rPr>
                <w:rFonts w:ascii="Arial" w:hAnsi="Arial" w:cs="Arial" w:eastAsia="Arial" w:hint="default"/>
                <w:sz w:val="24"/>
                <w:szCs w:val="24"/>
              </w:rPr>
            </w:pPr>
            <w:r>
              <w:rPr>
                <w:rFonts w:ascii="Arial"/>
                <w:sz w:val="24"/>
              </w:rPr>
              <w:t>(a)</w:t>
            </w:r>
          </w:p>
        </w:tc>
        <w:tc>
          <w:tcPr>
            <w:tcW w:w="2463" w:type="dxa"/>
            <w:tcBorders>
              <w:top w:val="nil" w:sz="6" w:space="0" w:color="auto"/>
              <w:left w:val="nil" w:sz="6" w:space="0" w:color="auto"/>
              <w:bottom w:val="nil" w:sz="6" w:space="0" w:color="auto"/>
              <w:right w:val="nil" w:sz="6" w:space="0" w:color="auto"/>
            </w:tcBorders>
          </w:tcPr>
          <w:p>
            <w:pPr>
              <w:pStyle w:val="TableParagraph"/>
              <w:spacing w:line="247" w:lineRule="exact"/>
              <w:ind w:left="162" w:right="0"/>
              <w:jc w:val="left"/>
              <w:rPr>
                <w:rFonts w:ascii="宋体" w:hAnsi="宋体" w:cs="宋体" w:eastAsia="宋体" w:hint="default"/>
                <w:sz w:val="24"/>
                <w:szCs w:val="24"/>
              </w:rPr>
            </w:pPr>
            <w:r>
              <w:rPr>
                <w:rFonts w:ascii="宋体" w:hAnsi="宋体" w:cs="宋体" w:eastAsia="宋体" w:hint="default"/>
                <w:sz w:val="24"/>
                <w:szCs w:val="24"/>
              </w:rPr>
              <w:t>短期薪酬</w:t>
            </w:r>
          </w:p>
        </w:tc>
        <w:tc>
          <w:tcPr>
            <w:tcW w:w="124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r>
      <w:tr>
        <w:trPr>
          <w:trHeight w:val="717"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47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20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40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447"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68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42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44"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37" w:right="0"/>
              <w:jc w:val="left"/>
              <w:rPr>
                <w:rFonts w:ascii="Arial" w:hAnsi="Arial" w:cs="Arial" w:eastAsia="Arial" w:hint="default"/>
                <w:sz w:val="18"/>
                <w:szCs w:val="18"/>
              </w:rPr>
            </w:pPr>
            <w:r>
              <w:rPr>
                <w:rFonts w:ascii="Arial"/>
                <w:sz w:val="18"/>
              </w:rPr>
              <w:t>280,738</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91" w:right="0"/>
              <w:jc w:val="left"/>
              <w:rPr>
                <w:rFonts w:ascii="Arial" w:hAnsi="Arial" w:cs="Arial" w:eastAsia="Arial" w:hint="default"/>
                <w:sz w:val="18"/>
                <w:szCs w:val="18"/>
              </w:rPr>
            </w:pPr>
            <w:r>
              <w:rPr>
                <w:rFonts w:ascii="Arial"/>
                <w:sz w:val="18"/>
              </w:rPr>
              <w:t>5,527,163</w:t>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8"/>
                <w:szCs w:val="18"/>
              </w:rPr>
            </w:pPr>
            <w:r>
              <w:rPr>
                <w:rFonts w:ascii="Arial"/>
                <w:spacing w:val="-1"/>
                <w:sz w:val="18"/>
              </w:rPr>
              <w:t>(5,530,884)</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37" w:right="0"/>
              <w:jc w:val="left"/>
              <w:rPr>
                <w:rFonts w:ascii="Arial" w:hAnsi="Arial" w:cs="Arial" w:eastAsia="Arial" w:hint="default"/>
                <w:sz w:val="18"/>
                <w:szCs w:val="18"/>
              </w:rPr>
            </w:pPr>
            <w:r>
              <w:rPr>
                <w:rFonts w:ascii="Arial"/>
                <w:sz w:val="18"/>
              </w:rPr>
              <w:t>277,017</w:t>
            </w:r>
          </w:p>
        </w:tc>
      </w:tr>
      <w:tr>
        <w:trPr>
          <w:trHeight w:val="233"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196" w:lineRule="exact"/>
              <w:ind w:left="80"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7" w:right="0"/>
              <w:jc w:val="left"/>
              <w:rPr>
                <w:rFonts w:ascii="Arial" w:hAnsi="Arial" w:cs="Arial" w:eastAsia="Arial" w:hint="default"/>
                <w:sz w:val="18"/>
                <w:szCs w:val="18"/>
              </w:rPr>
            </w:pPr>
            <w:r>
              <w:rPr>
                <w:rFonts w:ascii="Arial"/>
                <w:sz w:val="18"/>
              </w:rPr>
              <w:t>49,818</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41" w:right="0"/>
              <w:jc w:val="left"/>
              <w:rPr>
                <w:rFonts w:ascii="Arial" w:hAnsi="Arial" w:cs="Arial" w:eastAsia="Arial" w:hint="default"/>
                <w:sz w:val="18"/>
                <w:szCs w:val="18"/>
              </w:rPr>
            </w:pPr>
            <w:r>
              <w:rPr>
                <w:rFonts w:ascii="Arial"/>
                <w:sz w:val="18"/>
              </w:rPr>
              <w:t>199,285</w:t>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18"/>
                <w:szCs w:val="18"/>
              </w:rPr>
            </w:pPr>
            <w:r>
              <w:rPr>
                <w:rFonts w:ascii="Arial"/>
                <w:spacing w:val="-1"/>
                <w:sz w:val="18"/>
              </w:rPr>
              <w:t>(188,596)</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36" w:right="0"/>
              <w:jc w:val="left"/>
              <w:rPr>
                <w:rFonts w:ascii="Arial" w:hAnsi="Arial" w:cs="Arial" w:eastAsia="Arial" w:hint="default"/>
                <w:sz w:val="18"/>
                <w:szCs w:val="18"/>
              </w:rPr>
            </w:pPr>
            <w:r>
              <w:rPr>
                <w:rFonts w:ascii="Arial"/>
                <w:sz w:val="18"/>
              </w:rPr>
              <w:t>60,507</w:t>
            </w:r>
          </w:p>
        </w:tc>
      </w:tr>
      <w:tr>
        <w:trPr>
          <w:trHeight w:val="229"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single" w:sz="4" w:space="0" w:color="000000"/>
              <w:right w:val="nil" w:sz="6" w:space="0" w:color="auto"/>
            </w:tcBorders>
          </w:tcPr>
          <w:p>
            <w:pPr>
              <w:pStyle w:val="TableParagraph"/>
              <w:spacing w:line="195" w:lineRule="exact"/>
              <w:ind w:left="80"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638" w:right="0"/>
              <w:jc w:val="left"/>
              <w:rPr>
                <w:rFonts w:ascii="Arial" w:hAnsi="Arial" w:cs="Arial" w:eastAsia="Arial" w:hint="default"/>
                <w:sz w:val="18"/>
                <w:szCs w:val="18"/>
              </w:rPr>
            </w:pPr>
            <w:r>
              <w:rPr>
                <w:rFonts w:ascii="Arial"/>
                <w:sz w:val="18"/>
              </w:rPr>
              <w:t>2,843</w:t>
            </w:r>
          </w:p>
        </w:tc>
        <w:tc>
          <w:tcPr>
            <w:tcW w:w="282" w:type="dxa"/>
            <w:tcBorders>
              <w:top w:val="nil" w:sz="6" w:space="0" w:color="auto"/>
              <w:left w:val="nil" w:sz="6" w:space="0" w:color="auto"/>
              <w:bottom w:val="single" w:sz="4" w:space="0" w:color="000000"/>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41" w:right="0"/>
              <w:jc w:val="left"/>
              <w:rPr>
                <w:rFonts w:ascii="Arial" w:hAnsi="Arial" w:cs="Arial" w:eastAsia="Arial" w:hint="default"/>
                <w:sz w:val="18"/>
                <w:szCs w:val="18"/>
              </w:rPr>
            </w:pPr>
            <w:r>
              <w:rPr>
                <w:rFonts w:ascii="Arial"/>
                <w:sz w:val="18"/>
              </w:rPr>
              <w:t>264,974</w:t>
            </w:r>
          </w:p>
        </w:tc>
        <w:tc>
          <w:tcPr>
            <w:tcW w:w="287" w:type="dxa"/>
            <w:tcBorders>
              <w:top w:val="nil" w:sz="6" w:space="0" w:color="auto"/>
              <w:left w:val="nil" w:sz="6" w:space="0" w:color="auto"/>
              <w:bottom w:val="single" w:sz="4" w:space="0" w:color="000000"/>
              <w:right w:val="nil" w:sz="6" w:space="0" w:color="auto"/>
            </w:tcBorders>
          </w:tcPr>
          <w:p>
            <w:pP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49"/>
              <w:jc w:val="right"/>
              <w:rPr>
                <w:rFonts w:ascii="Arial" w:hAnsi="Arial" w:cs="Arial" w:eastAsia="Arial" w:hint="default"/>
                <w:sz w:val="18"/>
                <w:szCs w:val="18"/>
              </w:rPr>
            </w:pPr>
            <w:r>
              <w:rPr>
                <w:rFonts w:ascii="Arial"/>
                <w:spacing w:val="-1"/>
                <w:sz w:val="18"/>
              </w:rPr>
              <w:t>(266,323)</w:t>
            </w:r>
          </w:p>
        </w:tc>
        <w:tc>
          <w:tcPr>
            <w:tcW w:w="270" w:type="dxa"/>
            <w:tcBorders>
              <w:top w:val="nil" w:sz="6" w:space="0" w:color="auto"/>
              <w:left w:val="nil" w:sz="6" w:space="0" w:color="auto"/>
              <w:bottom w:val="single" w:sz="4" w:space="0" w:color="000000"/>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837" w:right="0"/>
              <w:jc w:val="left"/>
              <w:rPr>
                <w:rFonts w:ascii="Arial" w:hAnsi="Arial" w:cs="Arial" w:eastAsia="Arial" w:hint="default"/>
                <w:sz w:val="18"/>
                <w:szCs w:val="18"/>
              </w:rPr>
            </w:pPr>
            <w:r>
              <w:rPr>
                <w:rFonts w:ascii="Arial"/>
                <w:sz w:val="18"/>
              </w:rPr>
              <w:t>1,494</w:t>
            </w:r>
          </w:p>
        </w:tc>
      </w:tr>
      <w:tr>
        <w:trPr>
          <w:trHeight w:val="248" w:hRule="exact"/>
        </w:trPr>
        <w:tc>
          <w:tcPr>
            <w:tcW w:w="792" w:type="dxa"/>
            <w:tcBorders>
              <w:top w:val="nil" w:sz="6" w:space="0" w:color="auto"/>
              <w:left w:val="nil" w:sz="6" w:space="0" w:color="auto"/>
              <w:bottom w:val="nil" w:sz="6" w:space="0" w:color="auto"/>
              <w:right w:val="single" w:sz="4" w:space="0" w:color="000000"/>
            </w:tcBorders>
          </w:tcPr>
          <w:p>
            <w:pPr/>
          </w:p>
        </w:tc>
        <w:tc>
          <w:tcPr>
            <w:tcW w:w="2463"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75"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638" w:right="0"/>
              <w:jc w:val="left"/>
              <w:rPr>
                <w:rFonts w:ascii="Arial" w:hAnsi="Arial" w:cs="Arial" w:eastAsia="Arial" w:hint="default"/>
                <w:sz w:val="18"/>
                <w:szCs w:val="18"/>
              </w:rPr>
            </w:pPr>
            <w:r>
              <w:rPr>
                <w:rFonts w:ascii="Arial"/>
                <w:sz w:val="18"/>
              </w:rPr>
              <w:t>2,472</w:t>
            </w:r>
          </w:p>
        </w:tc>
        <w:tc>
          <w:tcPr>
            <w:tcW w:w="282"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441" w:right="0"/>
              <w:jc w:val="left"/>
              <w:rPr>
                <w:rFonts w:ascii="Arial" w:hAnsi="Arial" w:cs="Arial" w:eastAsia="Arial" w:hint="default"/>
                <w:sz w:val="18"/>
                <w:szCs w:val="18"/>
              </w:rPr>
            </w:pPr>
            <w:r>
              <w:rPr>
                <w:rFonts w:ascii="Arial"/>
                <w:sz w:val="18"/>
              </w:rPr>
              <w:t>230,431</w:t>
            </w:r>
          </w:p>
        </w:tc>
        <w:tc>
          <w:tcPr>
            <w:tcW w:w="287" w:type="dxa"/>
            <w:tcBorders>
              <w:top w:val="single" w:sz="4" w:space="0" w:color="000000"/>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49"/>
              <w:jc w:val="right"/>
              <w:rPr>
                <w:rFonts w:ascii="Arial" w:hAnsi="Arial" w:cs="Arial" w:eastAsia="Arial" w:hint="default"/>
                <w:sz w:val="18"/>
                <w:szCs w:val="18"/>
              </w:rPr>
            </w:pPr>
            <w:r>
              <w:rPr>
                <w:rFonts w:ascii="Arial"/>
                <w:spacing w:val="-1"/>
                <w:sz w:val="18"/>
              </w:rPr>
              <w:t>(231,605)</w:t>
            </w:r>
          </w:p>
        </w:tc>
        <w:tc>
          <w:tcPr>
            <w:tcW w:w="270" w:type="dxa"/>
            <w:tcBorders>
              <w:top w:val="single" w:sz="4" w:space="0" w:color="000000"/>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single" w:sz="4" w:space="0" w:color="000000"/>
            </w:tcBorders>
          </w:tcPr>
          <w:p>
            <w:pPr>
              <w:pStyle w:val="TableParagraph"/>
              <w:spacing w:line="240" w:lineRule="auto" w:before="24"/>
              <w:ind w:left="838" w:right="0"/>
              <w:jc w:val="left"/>
              <w:rPr>
                <w:rFonts w:ascii="Arial" w:hAnsi="Arial" w:cs="Arial" w:eastAsia="Arial" w:hint="default"/>
                <w:sz w:val="18"/>
                <w:szCs w:val="18"/>
              </w:rPr>
            </w:pPr>
            <w:r>
              <w:rPr>
                <w:rFonts w:ascii="Arial"/>
                <w:sz w:val="18"/>
              </w:rPr>
              <w:t>1,298</w:t>
            </w:r>
          </w:p>
        </w:tc>
      </w:tr>
      <w:tr>
        <w:trPr>
          <w:trHeight w:val="234" w:hRule="exact"/>
        </w:trPr>
        <w:tc>
          <w:tcPr>
            <w:tcW w:w="792" w:type="dxa"/>
            <w:tcBorders>
              <w:top w:val="nil" w:sz="6" w:space="0" w:color="auto"/>
              <w:left w:val="nil" w:sz="6" w:space="0" w:color="auto"/>
              <w:bottom w:val="nil" w:sz="6" w:space="0" w:color="auto"/>
              <w:right w:val="single" w:sz="4" w:space="0" w:color="000000"/>
            </w:tcBorders>
          </w:tcPr>
          <w:p>
            <w:pPr/>
          </w:p>
        </w:tc>
        <w:tc>
          <w:tcPr>
            <w:tcW w:w="2463" w:type="dxa"/>
            <w:tcBorders>
              <w:top w:val="nil" w:sz="6" w:space="0" w:color="auto"/>
              <w:left w:val="single" w:sz="4" w:space="0" w:color="000000"/>
              <w:bottom w:val="nil" w:sz="6" w:space="0" w:color="auto"/>
              <w:right w:val="nil" w:sz="6" w:space="0" w:color="auto"/>
            </w:tcBorders>
          </w:tcPr>
          <w:p>
            <w:pPr>
              <w:pStyle w:val="TableParagraph"/>
              <w:spacing w:line="196" w:lineRule="exact"/>
              <w:ind w:left="616"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87" w:right="0"/>
              <w:jc w:val="left"/>
              <w:rPr>
                <w:rFonts w:ascii="Arial" w:hAnsi="Arial" w:cs="Arial" w:eastAsia="Arial" w:hint="default"/>
                <w:sz w:val="18"/>
                <w:szCs w:val="18"/>
              </w:rPr>
            </w:pPr>
            <w:r>
              <w:rPr>
                <w:rFonts w:ascii="Arial"/>
                <w:sz w:val="18"/>
              </w:rPr>
              <w:t>142</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41" w:right="0"/>
              <w:jc w:val="left"/>
              <w:rPr>
                <w:rFonts w:ascii="Arial" w:hAnsi="Arial" w:cs="Arial" w:eastAsia="Arial" w:hint="default"/>
                <w:sz w:val="18"/>
                <w:szCs w:val="18"/>
              </w:rPr>
            </w:pPr>
            <w:r>
              <w:rPr>
                <w:rFonts w:ascii="Arial"/>
                <w:sz w:val="18"/>
              </w:rPr>
              <w:t>13,221</w:t>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18"/>
                <w:szCs w:val="18"/>
              </w:rPr>
            </w:pPr>
            <w:r>
              <w:rPr>
                <w:rFonts w:ascii="Arial"/>
                <w:spacing w:val="-1"/>
                <w:sz w:val="18"/>
              </w:rPr>
              <w:t>(13,288)</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138"/>
              <w:jc w:val="right"/>
              <w:rPr>
                <w:rFonts w:ascii="Arial" w:hAnsi="Arial" w:cs="Arial" w:eastAsia="Arial" w:hint="default"/>
                <w:sz w:val="18"/>
                <w:szCs w:val="18"/>
              </w:rPr>
            </w:pPr>
            <w:r>
              <w:rPr>
                <w:rFonts w:ascii="Arial"/>
                <w:spacing w:val="-1"/>
                <w:w w:val="95"/>
                <w:sz w:val="18"/>
              </w:rPr>
              <w:t>75</w:t>
            </w:r>
            <w:r>
              <w:rPr>
                <w:rFonts w:ascii="Arial"/>
                <w:sz w:val="18"/>
              </w:rPr>
            </w:r>
          </w:p>
        </w:tc>
      </w:tr>
      <w:tr>
        <w:trPr>
          <w:trHeight w:val="229" w:hRule="exact"/>
        </w:trPr>
        <w:tc>
          <w:tcPr>
            <w:tcW w:w="792" w:type="dxa"/>
            <w:tcBorders>
              <w:top w:val="nil" w:sz="6" w:space="0" w:color="auto"/>
              <w:left w:val="nil" w:sz="6" w:space="0" w:color="auto"/>
              <w:bottom w:val="nil" w:sz="6" w:space="0" w:color="auto"/>
              <w:right w:val="single" w:sz="4" w:space="0" w:color="000000"/>
            </w:tcBorders>
          </w:tcPr>
          <w:p>
            <w:pPr/>
          </w:p>
        </w:tc>
        <w:tc>
          <w:tcPr>
            <w:tcW w:w="2463" w:type="dxa"/>
            <w:tcBorders>
              <w:top w:val="nil" w:sz="6" w:space="0" w:color="auto"/>
              <w:left w:val="single" w:sz="4" w:space="0" w:color="000000"/>
              <w:bottom w:val="single" w:sz="4" w:space="0" w:color="000000"/>
              <w:right w:val="nil" w:sz="6" w:space="0" w:color="auto"/>
            </w:tcBorders>
          </w:tcPr>
          <w:p>
            <w:pPr>
              <w:pStyle w:val="TableParagraph"/>
              <w:spacing w:line="195" w:lineRule="exact"/>
              <w:ind w:left="706"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787" w:right="0"/>
              <w:jc w:val="left"/>
              <w:rPr>
                <w:rFonts w:ascii="Arial" w:hAnsi="Arial" w:cs="Arial" w:eastAsia="Arial" w:hint="default"/>
                <w:sz w:val="18"/>
                <w:szCs w:val="18"/>
              </w:rPr>
            </w:pPr>
            <w:r>
              <w:rPr>
                <w:rFonts w:ascii="Arial"/>
                <w:sz w:val="18"/>
              </w:rPr>
              <w:t>229</w:t>
            </w:r>
          </w:p>
        </w:tc>
        <w:tc>
          <w:tcPr>
            <w:tcW w:w="282" w:type="dxa"/>
            <w:tcBorders>
              <w:top w:val="nil" w:sz="6" w:space="0" w:color="auto"/>
              <w:left w:val="nil" w:sz="6" w:space="0" w:color="auto"/>
              <w:bottom w:val="single" w:sz="4" w:space="0" w:color="000000"/>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541" w:right="0"/>
              <w:jc w:val="left"/>
              <w:rPr>
                <w:rFonts w:ascii="Arial" w:hAnsi="Arial" w:cs="Arial" w:eastAsia="Arial" w:hint="default"/>
                <w:sz w:val="18"/>
                <w:szCs w:val="18"/>
              </w:rPr>
            </w:pPr>
            <w:r>
              <w:rPr>
                <w:rFonts w:ascii="Arial"/>
                <w:sz w:val="18"/>
              </w:rPr>
              <w:t>21,322</w:t>
            </w:r>
          </w:p>
        </w:tc>
        <w:tc>
          <w:tcPr>
            <w:tcW w:w="287" w:type="dxa"/>
            <w:tcBorders>
              <w:top w:val="nil" w:sz="6" w:space="0" w:color="auto"/>
              <w:left w:val="nil" w:sz="6" w:space="0" w:color="auto"/>
              <w:bottom w:val="single" w:sz="4" w:space="0" w:color="000000"/>
              <w:right w:val="nil" w:sz="6" w:space="0" w:color="auto"/>
            </w:tcBorders>
          </w:tcPr>
          <w:p>
            <w:pP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49"/>
              <w:jc w:val="right"/>
              <w:rPr>
                <w:rFonts w:ascii="Arial" w:hAnsi="Arial" w:cs="Arial" w:eastAsia="Arial" w:hint="default"/>
                <w:sz w:val="18"/>
                <w:szCs w:val="18"/>
              </w:rPr>
            </w:pPr>
            <w:r>
              <w:rPr>
                <w:rFonts w:ascii="Arial"/>
                <w:spacing w:val="-1"/>
                <w:sz w:val="18"/>
              </w:rPr>
              <w:t>(21,430)</w:t>
            </w:r>
          </w:p>
        </w:tc>
        <w:tc>
          <w:tcPr>
            <w:tcW w:w="270" w:type="dxa"/>
            <w:tcBorders>
              <w:top w:val="nil" w:sz="6" w:space="0" w:color="auto"/>
              <w:left w:val="nil" w:sz="6" w:space="0" w:color="auto"/>
              <w:bottom w:val="single" w:sz="4" w:space="0" w:color="000000"/>
              <w:right w:val="nil" w:sz="6" w:space="0" w:color="auto"/>
            </w:tcBorders>
          </w:tcPr>
          <w:p>
            <w:pPr/>
          </w:p>
        </w:tc>
        <w:tc>
          <w:tcPr>
            <w:tcW w:w="1432" w:type="dxa"/>
            <w:tcBorders>
              <w:top w:val="nil" w:sz="6" w:space="0" w:color="auto"/>
              <w:left w:val="nil" w:sz="6" w:space="0" w:color="auto"/>
              <w:bottom w:val="single" w:sz="4" w:space="0" w:color="000000"/>
              <w:right w:val="single" w:sz="4" w:space="0" w:color="000000"/>
            </w:tcBorders>
          </w:tcPr>
          <w:p>
            <w:pPr>
              <w:pStyle w:val="TableParagraph"/>
              <w:spacing w:line="240" w:lineRule="auto" w:before="14"/>
              <w:ind w:right="137"/>
              <w:jc w:val="right"/>
              <w:rPr>
                <w:rFonts w:ascii="Arial" w:hAnsi="Arial" w:cs="Arial" w:eastAsia="Arial" w:hint="default"/>
                <w:sz w:val="18"/>
                <w:szCs w:val="18"/>
              </w:rPr>
            </w:pPr>
            <w:r>
              <w:rPr>
                <w:rFonts w:ascii="Arial"/>
                <w:spacing w:val="-1"/>
                <w:w w:val="95"/>
                <w:sz w:val="18"/>
              </w:rPr>
              <w:t>121</w:t>
            </w:r>
            <w:r>
              <w:rPr>
                <w:rFonts w:ascii="Arial"/>
                <w:sz w:val="18"/>
              </w:rPr>
            </w:r>
          </w:p>
        </w:tc>
      </w:tr>
      <w:tr>
        <w:trPr>
          <w:trHeight w:val="248"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single" w:sz="4" w:space="0" w:color="000000"/>
              <w:left w:val="nil" w:sz="6" w:space="0" w:color="auto"/>
              <w:bottom w:val="nil" w:sz="6" w:space="0" w:color="auto"/>
              <w:right w:val="nil" w:sz="6" w:space="0" w:color="auto"/>
            </w:tcBorders>
          </w:tcPr>
          <w:p>
            <w:pPr>
              <w:pStyle w:val="TableParagraph"/>
              <w:spacing w:line="205" w:lineRule="exact"/>
              <w:ind w:left="80"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638" w:right="0"/>
              <w:jc w:val="left"/>
              <w:rPr>
                <w:rFonts w:ascii="Arial" w:hAnsi="Arial" w:cs="Arial" w:eastAsia="Arial" w:hint="default"/>
                <w:sz w:val="18"/>
                <w:szCs w:val="18"/>
              </w:rPr>
            </w:pPr>
            <w:r>
              <w:rPr>
                <w:rFonts w:ascii="Arial"/>
                <w:sz w:val="18"/>
              </w:rPr>
              <w:t>3,485</w:t>
            </w:r>
          </w:p>
        </w:tc>
        <w:tc>
          <w:tcPr>
            <w:tcW w:w="282"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441" w:right="0"/>
              <w:jc w:val="left"/>
              <w:rPr>
                <w:rFonts w:ascii="Arial" w:hAnsi="Arial" w:cs="Arial" w:eastAsia="Arial" w:hint="default"/>
                <w:sz w:val="18"/>
                <w:szCs w:val="18"/>
              </w:rPr>
            </w:pPr>
            <w:r>
              <w:rPr>
                <w:rFonts w:ascii="Arial"/>
                <w:sz w:val="18"/>
              </w:rPr>
              <w:t>157,737</w:t>
            </w:r>
          </w:p>
        </w:tc>
        <w:tc>
          <w:tcPr>
            <w:tcW w:w="287" w:type="dxa"/>
            <w:tcBorders>
              <w:top w:val="single" w:sz="4" w:space="0" w:color="000000"/>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49"/>
              <w:jc w:val="right"/>
              <w:rPr>
                <w:rFonts w:ascii="Arial" w:hAnsi="Arial" w:cs="Arial" w:eastAsia="Arial" w:hint="default"/>
                <w:sz w:val="18"/>
                <w:szCs w:val="18"/>
              </w:rPr>
            </w:pPr>
            <w:r>
              <w:rPr>
                <w:rFonts w:ascii="Arial"/>
                <w:spacing w:val="-1"/>
                <w:sz w:val="18"/>
              </w:rPr>
              <w:t>(157,854)</w:t>
            </w:r>
          </w:p>
        </w:tc>
        <w:tc>
          <w:tcPr>
            <w:tcW w:w="270" w:type="dxa"/>
            <w:tcBorders>
              <w:top w:val="single" w:sz="4" w:space="0" w:color="000000"/>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838" w:right="0"/>
              <w:jc w:val="left"/>
              <w:rPr>
                <w:rFonts w:ascii="Arial" w:hAnsi="Arial" w:cs="Arial" w:eastAsia="Arial" w:hint="default"/>
                <w:sz w:val="18"/>
                <w:szCs w:val="18"/>
              </w:rPr>
            </w:pPr>
            <w:r>
              <w:rPr>
                <w:rFonts w:ascii="Arial"/>
                <w:sz w:val="18"/>
              </w:rPr>
              <w:t>3,368</w:t>
            </w:r>
          </w:p>
        </w:tc>
      </w:tr>
      <w:tr>
        <w:trPr>
          <w:trHeight w:val="236"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196" w:lineRule="exact"/>
              <w:ind w:left="80"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240" w:type="dxa"/>
            <w:tcBorders>
              <w:top w:val="nil" w:sz="6" w:space="0" w:color="auto"/>
              <w:left w:val="nil" w:sz="6" w:space="0" w:color="auto"/>
              <w:bottom w:val="nil" w:sz="6" w:space="0" w:color="auto"/>
              <w:right w:val="nil" w:sz="6" w:space="0" w:color="auto"/>
            </w:tcBorders>
          </w:tcPr>
          <w:p>
            <w:pPr>
              <w:pStyle w:val="TableParagraph"/>
              <w:tabs>
                <w:tab w:pos="563" w:val="left" w:leader="none"/>
                <w:tab w:pos="1231" w:val="left" w:leader="none"/>
              </w:tabs>
              <w:spacing w:line="240" w:lineRule="auto" w:before="15"/>
              <w:ind w:right="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5"/>
                <w:sz w:val="18"/>
                <w:u w:val="single" w:color="000000"/>
              </w:rPr>
              <w:t>11,112</w:t>
              <w:tab/>
            </w:r>
            <w:r>
              <w:rPr>
                <w:rFonts w:ascii="Arial"/>
                <w:spacing w:val="-5"/>
                <w:sz w:val="18"/>
              </w:rPr>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tabs>
                <w:tab w:pos="539" w:val="left" w:leader="none"/>
                <w:tab w:pos="1236"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35,615</w:t>
              <w:tab/>
            </w:r>
            <w:r>
              <w:rPr>
                <w:rFonts w:ascii="Arial"/>
                <w:spacing w:val="-1"/>
                <w:sz w:val="18"/>
              </w:rPr>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15"/>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(36,504)</w:t>
            </w:r>
            <w:r>
              <w:rPr>
                <w:rFonts w:ascii="Arial"/>
                <w:spacing w:val="-1"/>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tabs>
                <w:tab w:pos="736" w:val="left" w:leader="none"/>
                <w:tab w:pos="1431"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10,223</w:t>
              <w:tab/>
            </w:r>
            <w:r>
              <w:rPr>
                <w:rFonts w:ascii="Arial"/>
                <w:sz w:val="18"/>
              </w:rPr>
            </w:r>
          </w:p>
        </w:tc>
      </w:tr>
      <w:tr>
        <w:trPr>
          <w:trHeight w:val="220"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12" w:space="0" w:color="000000"/>
              <w:right w:val="nil" w:sz="6" w:space="0" w:color="auto"/>
            </w:tcBorders>
          </w:tcPr>
          <w:p>
            <w:pPr>
              <w:pStyle w:val="TableParagraph"/>
              <w:spacing w:line="202" w:lineRule="exact"/>
              <w:ind w:left="437" w:right="0"/>
              <w:jc w:val="left"/>
              <w:rPr>
                <w:rFonts w:ascii="Arial" w:hAnsi="Arial" w:cs="Arial" w:eastAsia="Arial" w:hint="default"/>
                <w:sz w:val="18"/>
                <w:szCs w:val="18"/>
              </w:rPr>
            </w:pPr>
            <w:r>
              <w:rPr>
                <w:rFonts w:ascii="Arial"/>
                <w:sz w:val="18"/>
              </w:rPr>
              <w:t>347,996</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12" w:space="0" w:color="000000"/>
              <w:right w:val="nil" w:sz="6" w:space="0" w:color="auto"/>
            </w:tcBorders>
          </w:tcPr>
          <w:p>
            <w:pPr>
              <w:pStyle w:val="TableParagraph"/>
              <w:spacing w:line="202" w:lineRule="exact"/>
              <w:ind w:left="290" w:right="0"/>
              <w:jc w:val="left"/>
              <w:rPr>
                <w:rFonts w:ascii="Arial" w:hAnsi="Arial" w:cs="Arial" w:eastAsia="Arial" w:hint="default"/>
                <w:sz w:val="18"/>
                <w:szCs w:val="18"/>
              </w:rPr>
            </w:pPr>
            <w:r>
              <w:rPr>
                <w:rFonts w:ascii="Arial"/>
                <w:sz w:val="18"/>
              </w:rPr>
              <w:t>6,184,774</w:t>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12" w:space="0" w:color="000000"/>
              <w:right w:val="nil" w:sz="6" w:space="0" w:color="auto"/>
            </w:tcBorders>
          </w:tcPr>
          <w:p>
            <w:pPr>
              <w:pStyle w:val="TableParagraph"/>
              <w:spacing w:line="202" w:lineRule="exact"/>
              <w:ind w:right="49"/>
              <w:jc w:val="right"/>
              <w:rPr>
                <w:rFonts w:ascii="Arial" w:hAnsi="Arial" w:cs="Arial" w:eastAsia="Arial" w:hint="default"/>
                <w:sz w:val="18"/>
                <w:szCs w:val="18"/>
              </w:rPr>
            </w:pPr>
            <w:r>
              <w:rPr>
                <w:rFonts w:ascii="Arial"/>
                <w:spacing w:val="-1"/>
                <w:sz w:val="18"/>
              </w:rPr>
              <w:t>(6,180,161)</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12" w:space="0" w:color="000000"/>
              <w:right w:val="nil" w:sz="6" w:space="0" w:color="auto"/>
            </w:tcBorders>
          </w:tcPr>
          <w:p>
            <w:pPr>
              <w:pStyle w:val="TableParagraph"/>
              <w:spacing w:line="202" w:lineRule="exact"/>
              <w:ind w:left="637" w:right="0"/>
              <w:jc w:val="left"/>
              <w:rPr>
                <w:rFonts w:ascii="Arial" w:hAnsi="Arial" w:cs="Arial" w:eastAsia="Arial" w:hint="default"/>
                <w:sz w:val="18"/>
                <w:szCs w:val="18"/>
              </w:rPr>
            </w:pPr>
            <w:r>
              <w:rPr>
                <w:rFonts w:ascii="Arial"/>
                <w:sz w:val="18"/>
              </w:rPr>
              <w:t>352,609</w:t>
            </w:r>
          </w:p>
        </w:tc>
      </w:tr>
      <w:tr>
        <w:trPr>
          <w:trHeight w:val="735"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宋体" w:hAnsi="宋体" w:cs="宋体" w:eastAsia="宋体" w:hint="default"/>
                <w:sz w:val="24"/>
                <w:szCs w:val="24"/>
              </w:rPr>
            </w:pPr>
            <w:r>
              <w:rPr>
                <w:rFonts w:ascii="宋体" w:hAnsi="宋体" w:cs="宋体" w:eastAsia="宋体" w:hint="default"/>
                <w:sz w:val="24"/>
                <w:szCs w:val="24"/>
              </w:rPr>
              <w:t>设定提存计划</w:t>
            </w:r>
          </w:p>
        </w:tc>
        <w:tc>
          <w:tcPr>
            <w:tcW w:w="1240" w:type="dxa"/>
            <w:tcBorders>
              <w:top w:val="single" w:sz="12" w:space="0" w:color="000000"/>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single" w:sz="12" w:space="0" w:color="000000"/>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single" w:sz="12" w:space="0" w:color="000000"/>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single" w:sz="12" w:space="0" w:color="000000"/>
              <w:left w:val="nil" w:sz="6" w:space="0" w:color="auto"/>
              <w:bottom w:val="nil" w:sz="6" w:space="0" w:color="auto"/>
              <w:right w:val="nil" w:sz="6" w:space="0" w:color="auto"/>
            </w:tcBorders>
          </w:tcPr>
          <w:p>
            <w:pPr/>
          </w:p>
        </w:tc>
      </w:tr>
      <w:tr>
        <w:trPr>
          <w:trHeight w:val="727"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61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4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51"/>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48"/>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79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542" w:right="-5"/>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58"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8"/>
              <w:jc w:val="right"/>
              <w:rPr>
                <w:rFonts w:ascii="Arial" w:hAnsi="Arial" w:cs="Arial" w:eastAsia="Arial" w:hint="default"/>
                <w:sz w:val="18"/>
                <w:szCs w:val="18"/>
              </w:rPr>
            </w:pPr>
            <w:r>
              <w:rPr>
                <w:rFonts w:ascii="Arial"/>
                <w:spacing w:val="-1"/>
                <w:sz w:val="18"/>
              </w:rPr>
              <w:t>5,128</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right"/>
              <w:rPr>
                <w:rFonts w:ascii="Arial" w:hAnsi="Arial" w:cs="Arial" w:eastAsia="Arial" w:hint="default"/>
                <w:sz w:val="18"/>
                <w:szCs w:val="18"/>
              </w:rPr>
            </w:pPr>
            <w:r>
              <w:rPr>
                <w:rFonts w:ascii="Arial"/>
                <w:spacing w:val="-1"/>
                <w:sz w:val="18"/>
              </w:rPr>
              <w:t>477,707</w:t>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9"/>
              <w:jc w:val="right"/>
              <w:rPr>
                <w:rFonts w:ascii="Arial" w:hAnsi="Arial" w:cs="Arial" w:eastAsia="Arial" w:hint="default"/>
                <w:sz w:val="18"/>
                <w:szCs w:val="18"/>
              </w:rPr>
            </w:pPr>
            <w:r>
              <w:rPr>
                <w:rFonts w:ascii="Arial"/>
                <w:spacing w:val="-1"/>
                <w:sz w:val="18"/>
              </w:rPr>
              <w:t>(480,143)</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1"/>
              <w:jc w:val="right"/>
              <w:rPr>
                <w:rFonts w:ascii="Arial" w:hAnsi="Arial" w:cs="Arial" w:eastAsia="Arial" w:hint="default"/>
                <w:sz w:val="18"/>
                <w:szCs w:val="18"/>
              </w:rPr>
            </w:pPr>
            <w:r>
              <w:rPr>
                <w:rFonts w:ascii="Arial"/>
                <w:spacing w:val="-1"/>
                <w:sz w:val="18"/>
              </w:rPr>
              <w:t>2,692</w:t>
            </w:r>
          </w:p>
        </w:tc>
      </w:tr>
      <w:tr>
        <w:trPr>
          <w:trHeight w:val="241"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201" w:lineRule="exact"/>
              <w:ind w:left="66"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240"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20"/>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5"/>
                <w:sz w:val="18"/>
                <w:u w:val="single" w:color="000000"/>
              </w:rPr>
              <w:t>439</w:t>
            </w:r>
            <w:r>
              <w:rPr>
                <w:rFonts w:ascii="Arial"/>
                <w:spacing w:val="-1"/>
                <w:w w:val="95"/>
                <w:sz w:val="18"/>
              </w:rPr>
            </w:r>
            <w:r>
              <w:rPr>
                <w:rFonts w:ascii="Arial"/>
                <w:sz w:val="18"/>
              </w:rPr>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20"/>
              <w:ind w:right="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40,875</w:t>
            </w:r>
            <w:r>
              <w:rPr>
                <w:rFonts w:ascii="Arial"/>
                <w:spacing w:val="-1"/>
                <w:sz w:val="18"/>
              </w:rPr>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20"/>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(41,080)</w:t>
            </w:r>
            <w:r>
              <w:rPr>
                <w:rFonts w:ascii="Arial"/>
                <w:spacing w:val="-1"/>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tabs>
                <w:tab w:pos="1088" w:val="left" w:leader="none"/>
              </w:tabs>
              <w:spacing w:line="240" w:lineRule="auto" w:before="20"/>
              <w:ind w:left="-1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234</w:t>
            </w:r>
            <w:r>
              <w:rPr>
                <w:rFonts w:ascii="Arial"/>
                <w:sz w:val="18"/>
              </w:rPr>
            </w:r>
          </w:p>
        </w:tc>
      </w:tr>
      <w:tr>
        <w:trPr>
          <w:trHeight w:val="220"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12" w:space="0" w:color="000000"/>
              <w:right w:val="nil" w:sz="6" w:space="0" w:color="auto"/>
            </w:tcBorders>
          </w:tcPr>
          <w:p>
            <w:pPr>
              <w:pStyle w:val="TableParagraph"/>
              <w:spacing w:line="203" w:lineRule="exact"/>
              <w:ind w:right="48"/>
              <w:jc w:val="right"/>
              <w:rPr>
                <w:rFonts w:ascii="Arial" w:hAnsi="Arial" w:cs="Arial" w:eastAsia="Arial" w:hint="default"/>
                <w:sz w:val="18"/>
                <w:szCs w:val="18"/>
              </w:rPr>
            </w:pPr>
            <w:r>
              <w:rPr>
                <w:rFonts w:ascii="Arial"/>
                <w:spacing w:val="-1"/>
                <w:sz w:val="18"/>
              </w:rPr>
              <w:t>5,567</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12" w:space="0" w:color="000000"/>
              <w:right w:val="nil" w:sz="6" w:space="0" w:color="auto"/>
            </w:tcBorders>
          </w:tcPr>
          <w:p>
            <w:pPr>
              <w:pStyle w:val="TableParagraph"/>
              <w:spacing w:line="203" w:lineRule="exact"/>
              <w:ind w:right="50"/>
              <w:jc w:val="right"/>
              <w:rPr>
                <w:rFonts w:ascii="Arial" w:hAnsi="Arial" w:cs="Arial" w:eastAsia="Arial" w:hint="default"/>
                <w:sz w:val="18"/>
                <w:szCs w:val="18"/>
              </w:rPr>
            </w:pPr>
            <w:r>
              <w:rPr>
                <w:rFonts w:ascii="Arial"/>
                <w:spacing w:val="-1"/>
                <w:sz w:val="18"/>
              </w:rPr>
              <w:t>518,582</w:t>
            </w:r>
          </w:p>
        </w:tc>
        <w:tc>
          <w:tcPr>
            <w:tcW w:w="28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12" w:space="0" w:color="000000"/>
              <w:right w:val="nil" w:sz="6" w:space="0" w:color="auto"/>
            </w:tcBorders>
          </w:tcPr>
          <w:p>
            <w:pPr>
              <w:pStyle w:val="TableParagraph"/>
              <w:spacing w:line="203" w:lineRule="exact"/>
              <w:ind w:right="49"/>
              <w:jc w:val="right"/>
              <w:rPr>
                <w:rFonts w:ascii="Arial" w:hAnsi="Arial" w:cs="Arial" w:eastAsia="Arial" w:hint="default"/>
                <w:sz w:val="18"/>
                <w:szCs w:val="18"/>
              </w:rPr>
            </w:pPr>
            <w:r>
              <w:rPr>
                <w:rFonts w:ascii="Arial"/>
                <w:spacing w:val="-1"/>
                <w:sz w:val="18"/>
              </w:rPr>
              <w:t>(521,223)</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12" w:space="0" w:color="000000"/>
              <w:right w:val="nil" w:sz="6" w:space="0" w:color="auto"/>
            </w:tcBorders>
          </w:tcPr>
          <w:p>
            <w:pPr>
              <w:pStyle w:val="TableParagraph"/>
              <w:spacing w:line="203" w:lineRule="exact"/>
              <w:ind w:right="41"/>
              <w:jc w:val="right"/>
              <w:rPr>
                <w:rFonts w:ascii="Arial" w:hAnsi="Arial" w:cs="Arial" w:eastAsia="Arial" w:hint="default"/>
                <w:sz w:val="18"/>
                <w:szCs w:val="18"/>
              </w:rPr>
            </w:pPr>
            <w:r>
              <w:rPr>
                <w:rFonts w:ascii="Arial"/>
                <w:spacing w:val="-1"/>
                <w:sz w:val="18"/>
              </w:rPr>
              <w:t>2,926</w:t>
            </w:r>
          </w:p>
        </w:tc>
      </w:tr>
    </w:tbl>
    <w:p>
      <w:pPr>
        <w:spacing w:after="0" w:line="203" w:lineRule="exact"/>
        <w:jc w:val="right"/>
        <w:rPr>
          <w:rFonts w:ascii="Arial" w:hAnsi="Arial" w:cs="Arial" w:eastAsia="Arial" w:hint="default"/>
          <w:sz w:val="18"/>
          <w:szCs w:val="18"/>
        </w:rPr>
        <w:sectPr>
          <w:pgSz w:w="11910" w:h="16840"/>
          <w:pgMar w:header="755" w:footer="914" w:top="186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736"/>
        <w:gridCol w:w="3325"/>
        <w:gridCol w:w="2373"/>
        <w:gridCol w:w="2818"/>
      </w:tblGrid>
      <w:tr>
        <w:trPr>
          <w:trHeight w:val="445"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325" w:type="dxa"/>
            <w:tcBorders>
              <w:top w:val="nil" w:sz="6" w:space="0" w:color="auto"/>
              <w:left w:val="nil" w:sz="6" w:space="0" w:color="auto"/>
              <w:bottom w:val="nil" w:sz="6" w:space="0" w:color="auto"/>
              <w:right w:val="nil" w:sz="6" w:space="0" w:color="auto"/>
            </w:tcBorders>
          </w:tcPr>
          <w:p>
            <w:pPr>
              <w:pStyle w:val="TableParagraph"/>
              <w:spacing w:line="286" w:lineRule="exact"/>
              <w:ind w:left="11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7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
        </w:tc>
      </w:tr>
      <w:tr>
        <w:trPr>
          <w:trHeight w:val="585"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(28)</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9" w:right="0"/>
              <w:jc w:val="left"/>
              <w:rPr>
                <w:rFonts w:ascii="黑体" w:hAnsi="黑体" w:cs="黑体" w:eastAsia="黑体" w:hint="default"/>
                <w:sz w:val="24"/>
                <w:szCs w:val="24"/>
              </w:rPr>
            </w:pPr>
            <w:r>
              <w:rPr>
                <w:rFonts w:ascii="黑体" w:hAnsi="黑体" w:cs="黑体" w:eastAsia="黑体" w:hint="default"/>
                <w:sz w:val="24"/>
                <w:szCs w:val="24"/>
              </w:rPr>
              <w:t>应交税费</w:t>
            </w:r>
          </w:p>
        </w:tc>
        <w:tc>
          <w:tcPr>
            <w:tcW w:w="237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
        </w:tc>
      </w:tr>
      <w:tr>
        <w:trPr>
          <w:trHeight w:val="593" w:hRule="exact"/>
        </w:trPr>
        <w:tc>
          <w:tcPr>
            <w:tcW w:w="736" w:type="dxa"/>
            <w:tcBorders>
              <w:top w:val="nil" w:sz="6" w:space="0" w:color="auto"/>
              <w:left w:val="nil" w:sz="6" w:space="0" w:color="auto"/>
              <w:bottom w:val="nil" w:sz="6" w:space="0" w:color="auto"/>
              <w:right w:val="nil" w:sz="6" w:space="0" w:color="auto"/>
            </w:tcBorders>
          </w:tcPr>
          <w:p>
            <w:pPr/>
          </w:p>
        </w:tc>
        <w:tc>
          <w:tcPr>
            <w:tcW w:w="56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126"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6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2" w:right="0"/>
              <w:jc w:val="left"/>
              <w:rPr>
                <w:rFonts w:ascii="宋体" w:hAnsi="宋体" w:cs="宋体" w:eastAsia="宋体" w:hint="default"/>
                <w:sz w:val="24"/>
                <w:szCs w:val="24"/>
              </w:rPr>
            </w:pPr>
            <w:r>
              <w:rPr>
                <w:rFonts w:ascii="宋体" w:hAnsi="宋体" w:cs="宋体" w:eastAsia="宋体" w:hint="default"/>
                <w:sz w:val="24"/>
                <w:szCs w:val="24"/>
              </w:rPr>
              <w:t>应交企业所得税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33"/>
              <w:jc w:val="right"/>
              <w:rPr>
                <w:rFonts w:ascii="Arial" w:hAnsi="Arial" w:cs="Arial" w:eastAsia="Arial" w:hint="default"/>
                <w:sz w:val="24"/>
                <w:szCs w:val="24"/>
              </w:rPr>
            </w:pPr>
            <w:r>
              <w:rPr>
                <w:rFonts w:ascii="Arial"/>
                <w:spacing w:val="-1"/>
                <w:sz w:val="24"/>
              </w:rPr>
              <w:t>522,270</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83"/>
              <w:jc w:val="right"/>
              <w:rPr>
                <w:rFonts w:ascii="Arial" w:hAnsi="Arial" w:cs="Arial" w:eastAsia="Arial" w:hint="default"/>
                <w:sz w:val="24"/>
                <w:szCs w:val="24"/>
              </w:rPr>
            </w:pPr>
            <w:r>
              <w:rPr>
                <w:rFonts w:ascii="Arial"/>
                <w:spacing w:val="-1"/>
                <w:sz w:val="24"/>
              </w:rPr>
              <w:t>797,847</w:t>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应交增值税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35"/>
              <w:jc w:val="right"/>
              <w:rPr>
                <w:rFonts w:ascii="Arial" w:hAnsi="Arial" w:cs="Arial" w:eastAsia="Arial" w:hint="default"/>
                <w:sz w:val="24"/>
                <w:szCs w:val="24"/>
              </w:rPr>
            </w:pPr>
            <w:r>
              <w:rPr>
                <w:rFonts w:ascii="Arial"/>
                <w:spacing w:val="-1"/>
                <w:sz w:val="24"/>
              </w:rPr>
              <w:t>328,268</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3"/>
              <w:jc w:val="right"/>
              <w:rPr>
                <w:rFonts w:ascii="Arial" w:hAnsi="Arial" w:cs="Arial" w:eastAsia="Arial" w:hint="default"/>
                <w:sz w:val="24"/>
                <w:szCs w:val="24"/>
              </w:rPr>
            </w:pPr>
            <w:r>
              <w:rPr>
                <w:rFonts w:ascii="Arial"/>
                <w:spacing w:val="-1"/>
                <w:sz w:val="24"/>
              </w:rPr>
              <w:t>187,933</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应交营业税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3"/>
              <w:jc w:val="right"/>
              <w:rPr>
                <w:rFonts w:ascii="Arial" w:hAnsi="Arial" w:cs="Arial" w:eastAsia="Arial" w:hint="default"/>
                <w:sz w:val="24"/>
                <w:szCs w:val="24"/>
              </w:rPr>
            </w:pPr>
            <w:r>
              <w:rPr>
                <w:rFonts w:ascii="Arial"/>
                <w:w w:val="95"/>
                <w:sz w:val="24"/>
              </w:rPr>
              <w:t>33,556</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1"/>
              <w:jc w:val="right"/>
              <w:rPr>
                <w:rFonts w:ascii="Arial" w:hAnsi="Arial" w:cs="Arial" w:eastAsia="Arial" w:hint="default"/>
                <w:sz w:val="24"/>
                <w:szCs w:val="24"/>
              </w:rPr>
            </w:pPr>
            <w:r>
              <w:rPr>
                <w:rFonts w:ascii="Arial"/>
                <w:w w:val="95"/>
                <w:sz w:val="24"/>
              </w:rPr>
              <w:t>39,005</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应交教育费附加</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33"/>
              <w:jc w:val="right"/>
              <w:rPr>
                <w:rFonts w:ascii="Arial" w:hAnsi="Arial" w:cs="Arial" w:eastAsia="Arial" w:hint="default"/>
                <w:sz w:val="24"/>
                <w:szCs w:val="24"/>
              </w:rPr>
            </w:pPr>
            <w:r>
              <w:rPr>
                <w:rFonts w:ascii="Arial"/>
                <w:w w:val="95"/>
                <w:sz w:val="24"/>
              </w:rPr>
              <w:t>25,448</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4"/>
                <w:szCs w:val="24"/>
              </w:rPr>
            </w:pPr>
            <w:r>
              <w:rPr>
                <w:rFonts w:ascii="Arial"/>
                <w:w w:val="95"/>
                <w:sz w:val="24"/>
              </w:rPr>
              <w:t>12,721</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应交城市维护建设税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33"/>
              <w:jc w:val="right"/>
              <w:rPr>
                <w:rFonts w:ascii="Arial" w:hAnsi="Arial" w:cs="Arial" w:eastAsia="Arial" w:hint="default"/>
                <w:sz w:val="24"/>
                <w:szCs w:val="24"/>
              </w:rPr>
            </w:pPr>
            <w:r>
              <w:rPr>
                <w:rFonts w:ascii="Arial"/>
                <w:w w:val="95"/>
                <w:sz w:val="24"/>
              </w:rPr>
              <w:t>35,709</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4"/>
                <w:szCs w:val="24"/>
              </w:rPr>
            </w:pPr>
            <w:r>
              <w:rPr>
                <w:rFonts w:ascii="Arial"/>
                <w:w w:val="95"/>
                <w:sz w:val="24"/>
              </w:rPr>
              <w:t>17,057</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应交个人所得税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3"/>
              <w:jc w:val="right"/>
              <w:rPr>
                <w:rFonts w:ascii="Arial" w:hAnsi="Arial" w:cs="Arial" w:eastAsia="Arial" w:hint="default"/>
                <w:sz w:val="24"/>
                <w:szCs w:val="24"/>
              </w:rPr>
            </w:pPr>
            <w:r>
              <w:rPr>
                <w:rFonts w:ascii="Arial"/>
                <w:w w:val="95"/>
                <w:sz w:val="24"/>
              </w:rPr>
              <w:t>12,426</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4"/>
              <w:jc w:val="right"/>
              <w:rPr>
                <w:rFonts w:ascii="Arial" w:hAnsi="Arial" w:cs="Arial" w:eastAsia="Arial" w:hint="default"/>
                <w:sz w:val="24"/>
                <w:szCs w:val="24"/>
              </w:rPr>
            </w:pPr>
            <w:r>
              <w:rPr>
                <w:rFonts w:ascii="Arial"/>
                <w:w w:val="95"/>
                <w:sz w:val="24"/>
              </w:rPr>
              <w:t>16,703</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应交土地增值税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32"/>
              <w:jc w:val="right"/>
              <w:rPr>
                <w:rFonts w:ascii="Arial" w:hAnsi="Arial" w:cs="Arial" w:eastAsia="Arial" w:hint="default"/>
                <w:sz w:val="24"/>
                <w:szCs w:val="24"/>
              </w:rPr>
            </w:pPr>
            <w:r>
              <w:rPr>
                <w:rFonts w:ascii="Arial"/>
                <w:w w:val="95"/>
                <w:sz w:val="24"/>
              </w:rPr>
              <w:t>2,025</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9"/>
              <w:jc w:val="right"/>
              <w:rPr>
                <w:rFonts w:ascii="Arial" w:hAnsi="Arial" w:cs="Arial" w:eastAsia="Arial" w:hint="default"/>
                <w:sz w:val="24"/>
                <w:szCs w:val="24"/>
              </w:rPr>
            </w:pPr>
            <w:r>
              <w:rPr>
                <w:rFonts w:ascii="Arial"/>
                <w:w w:val="95"/>
                <w:sz w:val="24"/>
              </w:rPr>
              <w:t>10,507</w:t>
            </w:r>
            <w:r>
              <w:rPr>
                <w:rFonts w:ascii="Arial"/>
                <w:sz w:val="24"/>
              </w:rPr>
            </w:r>
          </w:p>
        </w:tc>
      </w:tr>
      <w:tr>
        <w:trPr>
          <w:trHeight w:val="313"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tabs>
                <w:tab w:pos="2974" w:val="left" w:leader="none"/>
                <w:tab w:pos="4427" w:val="left" w:leader="none"/>
              </w:tabs>
              <w:spacing w:line="259" w:lineRule="exact"/>
              <w:ind w:left="112" w:right="-1104"/>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73" w:type="dxa"/>
            <w:tcBorders>
              <w:top w:val="nil" w:sz="6" w:space="0" w:color="auto"/>
              <w:left w:val="nil" w:sz="6" w:space="0" w:color="auto"/>
              <w:bottom w:val="nil" w:sz="6" w:space="0" w:color="auto"/>
              <w:right w:val="nil" w:sz="6" w:space="0" w:color="auto"/>
            </w:tcBorders>
          </w:tcPr>
          <w:p>
            <w:pPr>
              <w:pStyle w:val="TableParagraph"/>
              <w:tabs>
                <w:tab w:pos="893" w:val="left" w:leader="none"/>
              </w:tabs>
              <w:spacing w:line="240" w:lineRule="auto" w:before="19"/>
              <w:ind w:right="374"/>
              <w:jc w:val="right"/>
              <w:rPr>
                <w:rFonts w:ascii="Arial" w:hAnsi="Arial" w:cs="Arial" w:eastAsia="Arial" w:hint="default"/>
                <w:sz w:val="24"/>
                <w:szCs w:val="24"/>
              </w:rPr>
            </w:pPr>
            <w:r>
              <w:rPr>
                <w:rFonts w:ascii="Arial"/>
                <w:w w:val="99"/>
                <w:sz w:val="24"/>
              </w:rPr>
            </w:r>
            <w:r>
              <w:rPr>
                <w:rFonts w:ascii="Arial"/>
                <w:w w:val="95"/>
                <w:sz w:val="24"/>
                <w:u w:val="single" w:color="000000"/>
              </w:rPr>
              <w:t>18,315</w:t>
            </w:r>
            <w:r>
              <w:rPr>
                <w:rFonts w:ascii="Arial"/>
                <w:sz w:val="24"/>
                <w:u w:val="single" w:color="000000"/>
              </w:rPr>
              <w:tab/>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tabs>
                <w:tab w:pos="2074" w:val="left" w:leader="none"/>
                <w:tab w:pos="2589" w:val="left" w:leader="none"/>
              </w:tabs>
              <w:spacing w:line="240" w:lineRule="auto" w:before="19"/>
              <w:ind w:right="1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787</w:t>
              <w:tab/>
            </w:r>
            <w:r>
              <w:rPr>
                <w:rFonts w:ascii="Arial"/>
                <w:spacing w:val="-1"/>
                <w:sz w:val="24"/>
              </w:rPr>
            </w:r>
          </w:p>
        </w:tc>
      </w:tr>
      <w:tr>
        <w:trPr>
          <w:trHeight w:val="434" w:hRule="exact"/>
        </w:trPr>
        <w:tc>
          <w:tcPr>
            <w:tcW w:w="736" w:type="dxa"/>
            <w:tcBorders>
              <w:top w:val="nil" w:sz="6" w:space="0" w:color="auto"/>
              <w:left w:val="nil" w:sz="6" w:space="0" w:color="auto"/>
              <w:bottom w:val="nil" w:sz="6" w:space="0" w:color="auto"/>
              <w:right w:val="nil" w:sz="6" w:space="0" w:color="auto"/>
            </w:tcBorders>
          </w:tcPr>
          <w:p>
            <w:pPr/>
          </w:p>
        </w:tc>
        <w:tc>
          <w:tcPr>
            <w:tcW w:w="5697" w:type="dxa"/>
            <w:gridSpan w:val="2"/>
            <w:tcBorders>
              <w:top w:val="nil" w:sz="6" w:space="0" w:color="auto"/>
              <w:left w:val="nil" w:sz="6" w:space="0" w:color="auto"/>
              <w:bottom w:val="nil" w:sz="6" w:space="0" w:color="auto"/>
              <w:right w:val="nil" w:sz="6" w:space="0" w:color="auto"/>
            </w:tcBorders>
          </w:tcPr>
          <w:p>
            <w:pPr>
              <w:pStyle w:val="TableParagraph"/>
              <w:tabs>
                <w:tab w:pos="4294" w:val="left" w:leader="none"/>
                <w:tab w:pos="5321" w:val="left" w:leader="none"/>
              </w:tabs>
              <w:spacing w:line="268" w:lineRule="exact"/>
              <w:ind w:left="297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978,017</w:t>
              <w:tab/>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tabs>
                <w:tab w:pos="1409" w:val="left" w:leader="none"/>
                <w:tab w:pos="2589" w:val="left" w:leader="none"/>
              </w:tabs>
              <w:spacing w:line="268" w:lineRule="exact"/>
              <w:ind w:right="15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1,082,560</w:t>
              <w:tab/>
            </w:r>
            <w:r>
              <w:rPr>
                <w:rFonts w:ascii="Arial"/>
                <w:spacing w:val="-1"/>
                <w:sz w:val="24"/>
              </w:rPr>
            </w:r>
          </w:p>
        </w:tc>
      </w:tr>
      <w:tr>
        <w:trPr>
          <w:trHeight w:val="59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9" w:right="0"/>
              <w:jc w:val="left"/>
              <w:rPr>
                <w:rFonts w:ascii="Arial" w:hAnsi="Arial" w:cs="Arial" w:eastAsia="Arial" w:hint="default"/>
                <w:sz w:val="24"/>
                <w:szCs w:val="24"/>
              </w:rPr>
            </w:pPr>
            <w:r>
              <w:rPr>
                <w:rFonts w:ascii="Arial"/>
                <w:sz w:val="24"/>
              </w:rPr>
              <w:t>(29)</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6" w:right="0"/>
              <w:jc w:val="left"/>
              <w:rPr>
                <w:rFonts w:ascii="黑体" w:hAnsi="黑体" w:cs="黑体" w:eastAsia="黑体" w:hint="default"/>
                <w:sz w:val="24"/>
                <w:szCs w:val="24"/>
              </w:rPr>
            </w:pPr>
            <w:r>
              <w:rPr>
                <w:rFonts w:ascii="黑体" w:hAnsi="黑体" w:cs="黑体" w:eastAsia="黑体" w:hint="default"/>
                <w:sz w:val="24"/>
                <w:szCs w:val="24"/>
              </w:rPr>
              <w:t>应付利息</w:t>
            </w:r>
          </w:p>
        </w:tc>
        <w:tc>
          <w:tcPr>
            <w:tcW w:w="237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
        </w:tc>
      </w:tr>
      <w:tr>
        <w:trPr>
          <w:trHeight w:val="593" w:hRule="exact"/>
        </w:trPr>
        <w:tc>
          <w:tcPr>
            <w:tcW w:w="736" w:type="dxa"/>
            <w:tcBorders>
              <w:top w:val="nil" w:sz="6" w:space="0" w:color="auto"/>
              <w:left w:val="nil" w:sz="6" w:space="0" w:color="auto"/>
              <w:bottom w:val="nil" w:sz="6" w:space="0" w:color="auto"/>
              <w:right w:val="nil" w:sz="6" w:space="0" w:color="auto"/>
            </w:tcBorders>
          </w:tcPr>
          <w:p>
            <w:pPr/>
          </w:p>
        </w:tc>
        <w:tc>
          <w:tcPr>
            <w:tcW w:w="56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13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91"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7" w:right="0"/>
              <w:jc w:val="left"/>
              <w:rPr>
                <w:rFonts w:ascii="宋体" w:hAnsi="宋体" w:cs="宋体" w:eastAsia="宋体" w:hint="default"/>
                <w:sz w:val="24"/>
                <w:szCs w:val="24"/>
              </w:rPr>
            </w:pPr>
            <w:r>
              <w:rPr>
                <w:rFonts w:ascii="宋体" w:hAnsi="宋体" w:cs="宋体" w:eastAsia="宋体" w:hint="default"/>
                <w:sz w:val="24"/>
                <w:szCs w:val="24"/>
              </w:rPr>
              <w:t>应付债券利息</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473"/>
              <w:jc w:val="right"/>
              <w:rPr>
                <w:rFonts w:ascii="Arial" w:hAnsi="Arial" w:cs="Arial" w:eastAsia="Arial" w:hint="default"/>
                <w:sz w:val="24"/>
                <w:szCs w:val="24"/>
              </w:rPr>
            </w:pPr>
            <w:r>
              <w:rPr>
                <w:rFonts w:ascii="Arial"/>
                <w:w w:val="95"/>
                <w:sz w:val="24"/>
              </w:rPr>
              <w:t>38,347</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56"/>
              <w:jc w:val="right"/>
              <w:rPr>
                <w:rFonts w:ascii="Arial" w:hAnsi="Arial" w:cs="Arial" w:eastAsia="Arial" w:hint="default"/>
                <w:sz w:val="24"/>
                <w:szCs w:val="24"/>
              </w:rPr>
            </w:pPr>
            <w:r>
              <w:rPr>
                <w:rFonts w:ascii="Arial"/>
                <w:w w:val="95"/>
                <w:sz w:val="24"/>
              </w:rPr>
              <w:t>38,359</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2" w:lineRule="exact"/>
              <w:ind w:left="117" w:right="0"/>
              <w:jc w:val="left"/>
              <w:rPr>
                <w:rFonts w:ascii="宋体" w:hAnsi="宋体" w:cs="宋体" w:eastAsia="宋体" w:hint="default"/>
                <w:sz w:val="24"/>
                <w:szCs w:val="24"/>
              </w:rPr>
            </w:pPr>
            <w:r>
              <w:rPr>
                <w:rFonts w:ascii="宋体" w:hAnsi="宋体" w:cs="宋体" w:eastAsia="宋体" w:hint="default"/>
                <w:sz w:val="24"/>
                <w:szCs w:val="24"/>
              </w:rPr>
              <w:t>短期借款利息</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2"/>
              <w:jc w:val="right"/>
              <w:rPr>
                <w:rFonts w:ascii="Arial" w:hAnsi="Arial" w:cs="Arial" w:eastAsia="Arial" w:hint="default"/>
                <w:sz w:val="24"/>
                <w:szCs w:val="24"/>
              </w:rPr>
            </w:pPr>
            <w:r>
              <w:rPr>
                <w:rFonts w:ascii="Arial"/>
                <w:w w:val="95"/>
                <w:sz w:val="24"/>
              </w:rPr>
              <w:t>3,561</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6"/>
              <w:jc w:val="right"/>
              <w:rPr>
                <w:rFonts w:ascii="Arial" w:hAnsi="Arial" w:cs="Arial" w:eastAsia="Arial" w:hint="default"/>
                <w:sz w:val="24"/>
                <w:szCs w:val="24"/>
              </w:rPr>
            </w:pPr>
            <w:r>
              <w:rPr>
                <w:rFonts w:ascii="Arial"/>
                <w:w w:val="95"/>
                <w:sz w:val="24"/>
              </w:rPr>
              <w:t>3,193</w:t>
            </w:r>
            <w:r>
              <w:rPr>
                <w:rFonts w:ascii="Arial"/>
                <w:sz w:val="24"/>
              </w:rPr>
            </w:r>
          </w:p>
        </w:tc>
      </w:tr>
      <w:tr>
        <w:trPr>
          <w:trHeight w:val="313"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tabs>
                <w:tab w:pos="2953" w:val="left" w:leader="none"/>
                <w:tab w:pos="4821" w:val="left" w:leader="none"/>
              </w:tabs>
              <w:spacing w:line="259" w:lineRule="exact"/>
              <w:ind w:left="117" w:right="-1497"/>
              <w:jc w:val="left"/>
              <w:rPr>
                <w:rFonts w:ascii="Arial" w:hAnsi="Arial" w:cs="Arial" w:eastAsia="Arial" w:hint="default"/>
                <w:sz w:val="24"/>
                <w:szCs w:val="24"/>
              </w:rPr>
            </w:pPr>
            <w:r>
              <w:rPr>
                <w:rFonts w:ascii="宋体" w:hAnsi="宋体" w:cs="宋体" w:eastAsia="宋体" w:hint="default"/>
                <w:position w:val="2"/>
                <w:sz w:val="24"/>
                <w:szCs w:val="24"/>
              </w:rPr>
              <w:t>长期借款利息</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73" w:type="dxa"/>
            <w:tcBorders>
              <w:top w:val="nil" w:sz="6" w:space="0" w:color="auto"/>
              <w:left w:val="nil" w:sz="6" w:space="0" w:color="auto"/>
              <w:bottom w:val="nil" w:sz="6" w:space="0" w:color="auto"/>
              <w:right w:val="nil" w:sz="6" w:space="0" w:color="auto"/>
            </w:tcBorders>
          </w:tcPr>
          <w:p>
            <w:pPr>
              <w:pStyle w:val="TableParagraph"/>
              <w:tabs>
                <w:tab w:pos="485" w:val="left" w:leader="none"/>
              </w:tabs>
              <w:spacing w:line="240" w:lineRule="auto" w:before="19"/>
              <w:ind w:right="388"/>
              <w:jc w:val="right"/>
              <w:rPr>
                <w:rFonts w:ascii="Arial" w:hAnsi="Arial" w:cs="Arial" w:eastAsia="Arial" w:hint="default"/>
                <w:sz w:val="24"/>
                <w:szCs w:val="24"/>
              </w:rPr>
            </w:pPr>
            <w:r>
              <w:rPr>
                <w:rFonts w:ascii="Arial"/>
                <w:w w:val="99"/>
                <w:sz w:val="24"/>
              </w:rPr>
            </w:r>
            <w:r>
              <w:rPr>
                <w:rFonts w:ascii="Arial"/>
                <w:spacing w:val="-1"/>
                <w:sz w:val="24"/>
                <w:u w:val="single" w:color="000000"/>
              </w:rPr>
              <w:t>628</w:t>
              <w:tab/>
            </w:r>
            <w:r>
              <w:rPr>
                <w:rFonts w:ascii="Arial"/>
                <w:spacing w:val="-1"/>
                <w:sz w:val="24"/>
              </w:rPr>
            </w:r>
          </w:p>
        </w:tc>
        <w:tc>
          <w:tcPr>
            <w:tcW w:w="2818" w:type="dxa"/>
            <w:tcBorders>
              <w:top w:val="nil" w:sz="6" w:space="0" w:color="auto"/>
              <w:left w:val="nil" w:sz="6" w:space="0" w:color="auto"/>
              <w:bottom w:val="nil" w:sz="6" w:space="0" w:color="auto"/>
              <w:right w:val="nil" w:sz="6" w:space="0" w:color="auto"/>
            </w:tcBorders>
          </w:tcPr>
          <w:p>
            <w:pPr>
              <w:pStyle w:val="TableParagraph"/>
              <w:tabs>
                <w:tab w:pos="2086" w:val="left" w:leader="none"/>
                <w:tab w:pos="2589" w:val="left" w:leader="none"/>
              </w:tabs>
              <w:spacing w:line="240" w:lineRule="auto" w:before="19"/>
              <w:ind w:right="1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537</w:t>
              <w:tab/>
            </w:r>
            <w:r>
              <w:rPr>
                <w:rFonts w:ascii="Arial"/>
                <w:spacing w:val="-1"/>
                <w:sz w:val="24"/>
              </w:rPr>
            </w:r>
          </w:p>
        </w:tc>
      </w:tr>
      <w:tr>
        <w:trPr>
          <w:trHeight w:val="434" w:hRule="exact"/>
        </w:trPr>
        <w:tc>
          <w:tcPr>
            <w:tcW w:w="736" w:type="dxa"/>
            <w:tcBorders>
              <w:top w:val="nil" w:sz="6" w:space="0" w:color="auto"/>
              <w:left w:val="nil" w:sz="6" w:space="0" w:color="auto"/>
              <w:bottom w:val="nil" w:sz="6" w:space="0" w:color="auto"/>
              <w:right w:val="nil" w:sz="6" w:space="0" w:color="auto"/>
            </w:tcBorders>
          </w:tcPr>
          <w:p>
            <w:pPr/>
          </w:p>
        </w:tc>
        <w:tc>
          <w:tcPr>
            <w:tcW w:w="5697" w:type="dxa"/>
            <w:gridSpan w:val="2"/>
            <w:tcBorders>
              <w:top w:val="nil" w:sz="6" w:space="0" w:color="auto"/>
              <w:left w:val="nil" w:sz="6" w:space="0" w:color="auto"/>
              <w:bottom w:val="nil" w:sz="6" w:space="0" w:color="auto"/>
              <w:right w:val="nil" w:sz="6" w:space="0" w:color="auto"/>
            </w:tcBorders>
          </w:tcPr>
          <w:p>
            <w:pPr>
              <w:pStyle w:val="TableParagraph"/>
              <w:tabs>
                <w:tab w:pos="4496" w:val="left" w:leader="none"/>
                <w:tab w:pos="5306" w:val="left" w:leader="none"/>
              </w:tabs>
              <w:spacing w:line="268" w:lineRule="exact"/>
              <w:ind w:left="295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42,536</w:t>
              <w:tab/>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tabs>
                <w:tab w:pos="1742" w:val="left" w:leader="none"/>
                <w:tab w:pos="2589" w:val="left" w:leader="none"/>
              </w:tabs>
              <w:spacing w:line="268" w:lineRule="exact"/>
              <w:ind w:right="15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42,089</w:t>
              <w:tab/>
            </w:r>
            <w:r>
              <w:rPr>
                <w:rFonts w:ascii="Arial"/>
                <w:spacing w:val="-1"/>
                <w:sz w:val="24"/>
              </w:rPr>
            </w:r>
          </w:p>
        </w:tc>
      </w:tr>
      <w:tr>
        <w:trPr>
          <w:trHeight w:val="59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9" w:right="0"/>
              <w:jc w:val="left"/>
              <w:rPr>
                <w:rFonts w:ascii="Arial" w:hAnsi="Arial" w:cs="Arial" w:eastAsia="Arial" w:hint="default"/>
                <w:sz w:val="24"/>
                <w:szCs w:val="24"/>
              </w:rPr>
            </w:pPr>
            <w:r>
              <w:rPr>
                <w:rFonts w:ascii="Arial"/>
                <w:sz w:val="24"/>
              </w:rPr>
              <w:t>(30)</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6" w:right="0"/>
              <w:jc w:val="left"/>
              <w:rPr>
                <w:rFonts w:ascii="黑体" w:hAnsi="黑体" w:cs="黑体" w:eastAsia="黑体" w:hint="default"/>
                <w:sz w:val="24"/>
                <w:szCs w:val="24"/>
              </w:rPr>
            </w:pPr>
            <w:r>
              <w:rPr>
                <w:rFonts w:ascii="黑体" w:hAnsi="黑体" w:cs="黑体" w:eastAsia="黑体" w:hint="default"/>
                <w:sz w:val="24"/>
                <w:szCs w:val="24"/>
              </w:rPr>
              <w:t>其他应付款</w:t>
            </w:r>
          </w:p>
        </w:tc>
        <w:tc>
          <w:tcPr>
            <w:tcW w:w="237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
        </w:tc>
      </w:tr>
      <w:tr>
        <w:trPr>
          <w:trHeight w:val="603" w:hRule="exact"/>
        </w:trPr>
        <w:tc>
          <w:tcPr>
            <w:tcW w:w="736" w:type="dxa"/>
            <w:tcBorders>
              <w:top w:val="nil" w:sz="6" w:space="0" w:color="auto"/>
              <w:left w:val="nil" w:sz="6" w:space="0" w:color="auto"/>
              <w:bottom w:val="nil" w:sz="6" w:space="0" w:color="auto"/>
              <w:right w:val="nil" w:sz="6" w:space="0" w:color="auto"/>
            </w:tcBorders>
          </w:tcPr>
          <w:p>
            <w:pPr/>
          </w:p>
        </w:tc>
        <w:tc>
          <w:tcPr>
            <w:tcW w:w="56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144"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0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73"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2" w:right="0"/>
              <w:jc w:val="left"/>
              <w:rPr>
                <w:rFonts w:ascii="宋体" w:hAnsi="宋体" w:cs="宋体" w:eastAsia="宋体" w:hint="default"/>
                <w:sz w:val="24"/>
                <w:szCs w:val="24"/>
              </w:rPr>
            </w:pPr>
            <w:r>
              <w:rPr>
                <w:rFonts w:ascii="宋体" w:hAnsi="宋体" w:cs="宋体" w:eastAsia="宋体" w:hint="default"/>
                <w:sz w:val="24"/>
                <w:szCs w:val="24"/>
              </w:rPr>
              <w:t>应付工程款项</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491"/>
              <w:jc w:val="right"/>
              <w:rPr>
                <w:rFonts w:ascii="Arial" w:hAnsi="Arial" w:cs="Arial" w:eastAsia="Arial" w:hint="default"/>
                <w:sz w:val="24"/>
                <w:szCs w:val="24"/>
              </w:rPr>
            </w:pPr>
            <w:r>
              <w:rPr>
                <w:rFonts w:ascii="Arial"/>
                <w:w w:val="95"/>
                <w:sz w:val="24"/>
              </w:rPr>
              <w:t>2,595,028</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26"/>
              <w:jc w:val="right"/>
              <w:rPr>
                <w:rFonts w:ascii="Arial" w:hAnsi="Arial" w:cs="Arial" w:eastAsia="Arial" w:hint="default"/>
                <w:sz w:val="24"/>
                <w:szCs w:val="24"/>
              </w:rPr>
            </w:pPr>
            <w:r>
              <w:rPr>
                <w:rFonts w:ascii="Arial"/>
                <w:w w:val="95"/>
                <w:sz w:val="24"/>
              </w:rPr>
              <w:t>2,417,828</w:t>
            </w:r>
            <w:r>
              <w:rPr>
                <w:rFonts w:ascii="Arial"/>
                <w:sz w:val="24"/>
              </w:rPr>
            </w:r>
          </w:p>
        </w:tc>
      </w:tr>
      <w:tr>
        <w:trPr>
          <w:trHeight w:val="321"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7" w:lineRule="exact"/>
              <w:ind w:left="112" w:right="0"/>
              <w:jc w:val="left"/>
              <w:rPr>
                <w:rFonts w:ascii="宋体" w:hAnsi="宋体" w:cs="宋体" w:eastAsia="宋体" w:hint="default"/>
                <w:sz w:val="24"/>
                <w:szCs w:val="24"/>
              </w:rPr>
            </w:pPr>
            <w:r>
              <w:rPr>
                <w:rFonts w:ascii="宋体" w:hAnsi="宋体" w:cs="宋体" w:eastAsia="宋体" w:hint="default"/>
                <w:sz w:val="24"/>
                <w:szCs w:val="24"/>
              </w:rPr>
              <w:t>应付广告及市场推广费</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91"/>
              <w:jc w:val="right"/>
              <w:rPr>
                <w:rFonts w:ascii="Arial" w:hAnsi="Arial" w:cs="Arial" w:eastAsia="Arial" w:hint="default"/>
                <w:sz w:val="24"/>
                <w:szCs w:val="24"/>
              </w:rPr>
            </w:pPr>
            <w:r>
              <w:rPr>
                <w:rFonts w:ascii="Arial"/>
                <w:w w:val="95"/>
                <w:sz w:val="24"/>
              </w:rPr>
              <w:t>1,166,416</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5"/>
              <w:jc w:val="right"/>
              <w:rPr>
                <w:rFonts w:ascii="Arial" w:hAnsi="Arial" w:cs="Arial" w:eastAsia="Arial" w:hint="default"/>
                <w:sz w:val="24"/>
                <w:szCs w:val="24"/>
              </w:rPr>
            </w:pPr>
            <w:r>
              <w:rPr>
                <w:rFonts w:ascii="Arial"/>
                <w:spacing w:val="-1"/>
                <w:sz w:val="24"/>
              </w:rPr>
              <w:t>885,023</w:t>
            </w:r>
            <w:r>
              <w:rPr>
                <w:rFonts w:ascii="Arial"/>
                <w:sz w:val="24"/>
              </w:rPr>
            </w:r>
          </w:p>
        </w:tc>
      </w:tr>
      <w:tr>
        <w:trPr>
          <w:trHeight w:val="321"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7" w:lineRule="exact"/>
              <w:ind w:left="112" w:right="0"/>
              <w:jc w:val="left"/>
              <w:rPr>
                <w:rFonts w:ascii="宋体" w:hAnsi="宋体" w:cs="宋体" w:eastAsia="宋体" w:hint="default"/>
                <w:sz w:val="24"/>
                <w:szCs w:val="24"/>
              </w:rPr>
            </w:pPr>
            <w:r>
              <w:rPr>
                <w:rFonts w:ascii="宋体" w:hAnsi="宋体" w:cs="宋体" w:eastAsia="宋体" w:hint="default"/>
                <w:sz w:val="24"/>
                <w:szCs w:val="24"/>
              </w:rPr>
              <w:t>应付保证金及押金</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91"/>
              <w:jc w:val="right"/>
              <w:rPr>
                <w:rFonts w:ascii="Arial" w:hAnsi="Arial" w:cs="Arial" w:eastAsia="Arial" w:hint="default"/>
                <w:sz w:val="24"/>
                <w:szCs w:val="24"/>
              </w:rPr>
            </w:pPr>
            <w:r>
              <w:rPr>
                <w:rFonts w:ascii="Arial"/>
                <w:w w:val="95"/>
                <w:sz w:val="24"/>
              </w:rPr>
              <w:t>1,016,940</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25"/>
              <w:jc w:val="right"/>
              <w:rPr>
                <w:rFonts w:ascii="Arial" w:hAnsi="Arial" w:cs="Arial" w:eastAsia="Arial" w:hint="default"/>
                <w:sz w:val="24"/>
                <w:szCs w:val="24"/>
              </w:rPr>
            </w:pPr>
            <w:r>
              <w:rPr>
                <w:rFonts w:ascii="Arial"/>
                <w:spacing w:val="-1"/>
                <w:sz w:val="24"/>
              </w:rPr>
              <w:t>898,684</w:t>
            </w:r>
          </w:p>
        </w:tc>
      </w:tr>
      <w:tr>
        <w:trPr>
          <w:trHeight w:val="322"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7" w:lineRule="exact"/>
              <w:ind w:left="112" w:right="0"/>
              <w:jc w:val="left"/>
              <w:rPr>
                <w:rFonts w:ascii="宋体" w:hAnsi="宋体" w:cs="宋体" w:eastAsia="宋体" w:hint="default"/>
                <w:sz w:val="24"/>
                <w:szCs w:val="24"/>
              </w:rPr>
            </w:pPr>
            <w:r>
              <w:rPr>
                <w:rFonts w:ascii="宋体" w:hAnsi="宋体" w:cs="宋体" w:eastAsia="宋体" w:hint="default"/>
                <w:sz w:val="24"/>
                <w:szCs w:val="24"/>
              </w:rPr>
              <w:t>应付房租及水电费</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91"/>
              <w:jc w:val="right"/>
              <w:rPr>
                <w:rFonts w:ascii="Arial" w:hAnsi="Arial" w:cs="Arial" w:eastAsia="Arial" w:hint="default"/>
                <w:sz w:val="24"/>
                <w:szCs w:val="24"/>
              </w:rPr>
            </w:pPr>
            <w:r>
              <w:rPr>
                <w:rFonts w:ascii="Arial"/>
                <w:spacing w:val="-1"/>
                <w:sz w:val="24"/>
              </w:rPr>
              <w:t>273,439</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26"/>
              <w:jc w:val="right"/>
              <w:rPr>
                <w:rFonts w:ascii="Arial" w:hAnsi="Arial" w:cs="Arial" w:eastAsia="Arial" w:hint="default"/>
                <w:sz w:val="24"/>
                <w:szCs w:val="24"/>
              </w:rPr>
            </w:pPr>
            <w:r>
              <w:rPr>
                <w:rFonts w:ascii="Arial"/>
                <w:spacing w:val="-1"/>
                <w:sz w:val="24"/>
              </w:rPr>
              <w:t>297,278</w:t>
            </w:r>
          </w:p>
        </w:tc>
      </w:tr>
      <w:tr>
        <w:trPr>
          <w:trHeight w:val="322"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7" w:lineRule="exact"/>
              <w:ind w:left="112" w:right="0"/>
              <w:jc w:val="left"/>
              <w:rPr>
                <w:rFonts w:ascii="宋体" w:hAnsi="宋体" w:cs="宋体" w:eastAsia="宋体" w:hint="default"/>
                <w:sz w:val="24"/>
                <w:szCs w:val="24"/>
              </w:rPr>
            </w:pPr>
            <w:r>
              <w:rPr>
                <w:rFonts w:ascii="宋体" w:hAnsi="宋体" w:cs="宋体" w:eastAsia="宋体" w:hint="default"/>
                <w:sz w:val="24"/>
                <w:szCs w:val="24"/>
              </w:rPr>
              <w:t>应付投资款</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91"/>
              <w:jc w:val="right"/>
              <w:rPr>
                <w:rFonts w:ascii="Arial" w:hAnsi="Arial" w:cs="Arial" w:eastAsia="Arial" w:hint="default"/>
                <w:sz w:val="24"/>
                <w:szCs w:val="24"/>
              </w:rPr>
            </w:pPr>
            <w:r>
              <w:rPr>
                <w:rFonts w:ascii="Arial"/>
                <w:w w:val="95"/>
                <w:sz w:val="24"/>
              </w:rPr>
              <w:t>14,636</w:t>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26"/>
              <w:jc w:val="right"/>
              <w:rPr>
                <w:rFonts w:ascii="Arial" w:hAnsi="Arial" w:cs="Arial" w:eastAsia="Arial" w:hint="default"/>
                <w:sz w:val="24"/>
                <w:szCs w:val="24"/>
              </w:rPr>
            </w:pPr>
            <w:r>
              <w:rPr>
                <w:rFonts w:ascii="Arial"/>
                <w:spacing w:val="-1"/>
                <w:sz w:val="24"/>
              </w:rPr>
              <w:t>139,784</w:t>
            </w:r>
          </w:p>
        </w:tc>
      </w:tr>
      <w:tr>
        <w:trPr>
          <w:trHeight w:val="317" w:hRule="exact"/>
        </w:trPr>
        <w:tc>
          <w:tcPr>
            <w:tcW w:w="736"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tabs>
                <w:tab w:pos="2953" w:val="left" w:leader="none"/>
                <w:tab w:pos="4136" w:val="left" w:leader="none"/>
              </w:tabs>
              <w:spacing w:line="262" w:lineRule="exact"/>
              <w:ind w:left="112" w:right="-812"/>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73" w:type="dxa"/>
            <w:tcBorders>
              <w:top w:val="nil" w:sz="6" w:space="0" w:color="auto"/>
              <w:left w:val="nil" w:sz="6" w:space="0" w:color="auto"/>
              <w:bottom w:val="nil" w:sz="6" w:space="0" w:color="auto"/>
              <w:right w:val="nil" w:sz="6" w:space="0" w:color="auto"/>
            </w:tcBorders>
          </w:tcPr>
          <w:p>
            <w:pPr>
              <w:pStyle w:val="TableParagraph"/>
              <w:tabs>
                <w:tab w:pos="1157" w:val="left" w:leader="none"/>
              </w:tabs>
              <w:spacing w:line="240" w:lineRule="auto" w:before="23"/>
              <w:ind w:right="401"/>
              <w:jc w:val="right"/>
              <w:rPr>
                <w:rFonts w:ascii="Arial" w:hAnsi="Arial" w:cs="Arial" w:eastAsia="Arial" w:hint="default"/>
                <w:sz w:val="24"/>
                <w:szCs w:val="24"/>
              </w:rPr>
            </w:pPr>
            <w:r>
              <w:rPr>
                <w:rFonts w:ascii="Arial"/>
                <w:w w:val="99"/>
                <w:sz w:val="24"/>
              </w:rPr>
            </w:r>
            <w:r>
              <w:rPr>
                <w:rFonts w:ascii="Arial"/>
                <w:w w:val="95"/>
                <w:sz w:val="24"/>
                <w:u w:val="single" w:color="000000"/>
              </w:rPr>
              <w:t>1,167,470</w:t>
            </w:r>
            <w:r>
              <w:rPr>
                <w:rFonts w:ascii="Arial"/>
                <w:sz w:val="24"/>
                <w:u w:val="single" w:color="000000"/>
              </w:rPr>
              <w:tab/>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tabs>
                <w:tab w:pos="1649" w:val="left" w:leader="none"/>
                <w:tab w:pos="2589" w:val="left" w:leader="none"/>
              </w:tabs>
              <w:spacing w:line="240" w:lineRule="auto" w:before="23"/>
              <w:ind w:right="1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803,440</w:t>
              <w:tab/>
            </w:r>
            <w:r>
              <w:rPr>
                <w:rFonts w:ascii="Arial"/>
                <w:spacing w:val="-1"/>
                <w:sz w:val="24"/>
              </w:rPr>
            </w:r>
          </w:p>
        </w:tc>
      </w:tr>
      <w:tr>
        <w:trPr>
          <w:trHeight w:val="435" w:hRule="exact"/>
        </w:trPr>
        <w:tc>
          <w:tcPr>
            <w:tcW w:w="736" w:type="dxa"/>
            <w:tcBorders>
              <w:top w:val="nil" w:sz="6" w:space="0" w:color="auto"/>
              <w:left w:val="nil" w:sz="6" w:space="0" w:color="auto"/>
              <w:bottom w:val="nil" w:sz="6" w:space="0" w:color="auto"/>
              <w:right w:val="nil" w:sz="6" w:space="0" w:color="auto"/>
            </w:tcBorders>
          </w:tcPr>
          <w:p>
            <w:pPr/>
          </w:p>
        </w:tc>
        <w:tc>
          <w:tcPr>
            <w:tcW w:w="5697" w:type="dxa"/>
            <w:gridSpan w:val="2"/>
            <w:tcBorders>
              <w:top w:val="nil" w:sz="6" w:space="0" w:color="auto"/>
              <w:left w:val="nil" w:sz="6" w:space="0" w:color="auto"/>
              <w:bottom w:val="nil" w:sz="6" w:space="0" w:color="auto"/>
              <w:right w:val="nil" w:sz="6" w:space="0" w:color="auto"/>
            </w:tcBorders>
          </w:tcPr>
          <w:p>
            <w:pPr>
              <w:pStyle w:val="TableParagraph"/>
              <w:tabs>
                <w:tab w:pos="4136" w:val="left" w:leader="none"/>
                <w:tab w:pos="5293" w:val="left" w:leader="none"/>
              </w:tabs>
              <w:spacing w:line="269" w:lineRule="exact"/>
              <w:ind w:left="295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6,233,929</w:t>
              <w:tab/>
            </w:r>
            <w:r>
              <w:rPr>
                <w:rFonts w:ascii="Arial"/>
                <w:sz w:val="24"/>
              </w:rPr>
            </w:r>
          </w:p>
        </w:tc>
        <w:tc>
          <w:tcPr>
            <w:tcW w:w="2818" w:type="dxa"/>
            <w:tcBorders>
              <w:top w:val="nil" w:sz="6" w:space="0" w:color="auto"/>
              <w:left w:val="nil" w:sz="6" w:space="0" w:color="auto"/>
              <w:bottom w:val="nil" w:sz="6" w:space="0" w:color="auto"/>
              <w:right w:val="nil" w:sz="6" w:space="0" w:color="auto"/>
            </w:tcBorders>
          </w:tcPr>
          <w:p>
            <w:pPr>
              <w:pStyle w:val="TableParagraph"/>
              <w:tabs>
                <w:tab w:pos="1449" w:val="left" w:leader="none"/>
                <w:tab w:pos="2589" w:val="left" w:leader="none"/>
              </w:tabs>
              <w:spacing w:line="269" w:lineRule="exact"/>
              <w:ind w:right="15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5,442,037</w:t>
            </w:r>
            <w:r>
              <w:rPr>
                <w:rFonts w:ascii="Arial"/>
                <w:sz w:val="24"/>
                <w:u w:val="thick" w:color="000000"/>
              </w:rPr>
              <w:tab/>
            </w:r>
            <w:r>
              <w:rPr>
                <w:rFonts w:ascii="Arial"/>
                <w:sz w:val="24"/>
              </w:rPr>
            </w:r>
          </w:p>
        </w:tc>
      </w:tr>
      <w:tr>
        <w:trPr>
          <w:trHeight w:val="741"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4" w:right="0"/>
              <w:jc w:val="left"/>
              <w:rPr>
                <w:rFonts w:ascii="Arial" w:hAnsi="Arial" w:cs="Arial" w:eastAsia="Arial" w:hint="default"/>
                <w:sz w:val="24"/>
                <w:szCs w:val="24"/>
              </w:rPr>
            </w:pPr>
            <w:r>
              <w:rPr>
                <w:rFonts w:ascii="Arial"/>
                <w:sz w:val="24"/>
              </w:rPr>
              <w:t>(a)</w:t>
            </w:r>
          </w:p>
        </w:tc>
        <w:tc>
          <w:tcPr>
            <w:tcW w:w="8515"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04"/>
              <w:ind w:left="112"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2015</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日，账龄超过一年的其他应付款约人民币</w:t>
            </w:r>
            <w:r>
              <w:rPr>
                <w:rFonts w:ascii="宋体" w:hAnsi="宋体" w:cs="宋体" w:eastAsia="宋体" w:hint="default"/>
                <w:spacing w:val="-54"/>
                <w:sz w:val="24"/>
                <w:szCs w:val="24"/>
              </w:rPr>
              <w:t> </w:t>
            </w:r>
            <w:r>
              <w:rPr>
                <w:rFonts w:ascii="Arial" w:hAnsi="Arial" w:cs="Arial" w:eastAsia="Arial" w:hint="default"/>
                <w:sz w:val="24"/>
                <w:szCs w:val="24"/>
              </w:rPr>
              <w:t>3.72</w:t>
            </w:r>
            <w:r>
              <w:rPr>
                <w:rFonts w:ascii="Arial" w:hAnsi="Arial" w:cs="Arial" w:eastAsia="Arial" w:hint="default"/>
                <w:spacing w:val="-2"/>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p>
          <w:p>
            <w:pPr>
              <w:pStyle w:val="TableParagraph"/>
              <w:spacing w:line="321" w:lineRule="exact"/>
              <w:ind w:left="11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3.24</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，主要为收取的各类保证金和押金。</w:t>
            </w:r>
          </w:p>
        </w:tc>
      </w:tr>
    </w:tbl>
    <w:p>
      <w:pPr>
        <w:spacing w:after="0" w:line="321" w:lineRule="exact"/>
        <w:jc w:val="left"/>
        <w:rPr>
          <w:rFonts w:ascii="宋体" w:hAnsi="宋体" w:cs="宋体" w:eastAsia="宋体" w:hint="default"/>
          <w:sz w:val="24"/>
          <w:szCs w:val="24"/>
        </w:rPr>
        <w:sectPr>
          <w:pgSz w:w="11910" w:h="16840"/>
          <w:pgMar w:header="755" w:footer="914" w:top="186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851"/>
        <w:gridCol w:w="4004"/>
        <w:gridCol w:w="2101"/>
        <w:gridCol w:w="2322"/>
      </w:tblGrid>
      <w:tr>
        <w:trPr>
          <w:trHeight w:val="416"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004" w:type="dxa"/>
            <w:tcBorders>
              <w:top w:val="nil" w:sz="6" w:space="0" w:color="auto"/>
              <w:left w:val="nil" w:sz="6" w:space="0" w:color="auto"/>
              <w:bottom w:val="nil" w:sz="6" w:space="0" w:color="auto"/>
              <w:right w:val="nil" w:sz="6" w:space="0" w:color="auto"/>
            </w:tcBorders>
          </w:tcPr>
          <w:p>
            <w:pPr>
              <w:pStyle w:val="TableParagraph"/>
              <w:spacing w:line="257" w:lineRule="exact"/>
              <w:ind w:left="9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01"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r>
      <w:tr>
        <w:trPr>
          <w:trHeight w:val="585"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2" w:right="0"/>
              <w:jc w:val="left"/>
              <w:rPr>
                <w:rFonts w:ascii="Arial" w:hAnsi="Arial" w:cs="Arial" w:eastAsia="Arial" w:hint="default"/>
                <w:sz w:val="24"/>
                <w:szCs w:val="24"/>
              </w:rPr>
            </w:pPr>
            <w:r>
              <w:rPr>
                <w:rFonts w:ascii="Arial"/>
                <w:sz w:val="24"/>
              </w:rPr>
              <w:t>(31)</w:t>
            </w:r>
          </w:p>
        </w:tc>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黑体" w:hAnsi="黑体" w:cs="黑体" w:eastAsia="黑体" w:hint="default"/>
                <w:sz w:val="24"/>
                <w:szCs w:val="24"/>
              </w:rPr>
            </w:pPr>
            <w:r>
              <w:rPr>
                <w:rFonts w:ascii="黑体" w:hAnsi="黑体" w:cs="黑体" w:eastAsia="黑体" w:hint="default"/>
                <w:sz w:val="24"/>
                <w:szCs w:val="24"/>
              </w:rPr>
              <w:t>一年内到期的非流动负债</w:t>
            </w:r>
          </w:p>
        </w:tc>
        <w:tc>
          <w:tcPr>
            <w:tcW w:w="2101"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r>
      <w:tr>
        <w:trPr>
          <w:trHeight w:val="593" w:hRule="exact"/>
        </w:trPr>
        <w:tc>
          <w:tcPr>
            <w:tcW w:w="851" w:type="dxa"/>
            <w:tcBorders>
              <w:top w:val="nil" w:sz="6" w:space="0" w:color="auto"/>
              <w:left w:val="nil" w:sz="6" w:space="0" w:color="auto"/>
              <w:bottom w:val="nil" w:sz="6" w:space="0" w:color="auto"/>
              <w:right w:val="nil" w:sz="6" w:space="0" w:color="auto"/>
            </w:tcBorders>
          </w:tcPr>
          <w:p>
            <w:pPr/>
          </w:p>
        </w:tc>
        <w:tc>
          <w:tcPr>
            <w:tcW w:w="6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65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24"/>
                <w:szCs w:val="24"/>
              </w:rPr>
            </w:pPr>
            <w:r>
              <w:rPr>
                <w:rFonts w:ascii="宋体" w:hAnsi="宋体" w:cs="宋体" w:eastAsia="宋体" w:hint="default"/>
                <w:sz w:val="24"/>
                <w:szCs w:val="24"/>
              </w:rPr>
              <w:t>递延广告位使用费收入</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968" w:right="0"/>
              <w:jc w:val="left"/>
              <w:rPr>
                <w:rFonts w:ascii="Arial" w:hAnsi="Arial" w:cs="Arial" w:eastAsia="Arial" w:hint="default"/>
                <w:sz w:val="24"/>
                <w:szCs w:val="24"/>
              </w:rPr>
            </w:pPr>
            <w:r>
              <w:rPr>
                <w:rFonts w:ascii="Arial"/>
                <w:sz w:val="24"/>
              </w:rPr>
              <w:t>82,232</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39"/>
              <w:jc w:val="right"/>
              <w:rPr>
                <w:rFonts w:ascii="Arial" w:hAnsi="Arial" w:cs="Arial" w:eastAsia="Arial" w:hint="default"/>
                <w:sz w:val="24"/>
                <w:szCs w:val="24"/>
              </w:rPr>
            </w:pPr>
            <w:r>
              <w:rPr>
                <w:rFonts w:ascii="Arial"/>
                <w:spacing w:val="-3"/>
                <w:sz w:val="24"/>
              </w:rPr>
              <w:t>112,552</w:t>
            </w:r>
          </w:p>
        </w:tc>
      </w:tr>
      <w:tr>
        <w:trPr>
          <w:trHeight w:val="624"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spacing w:line="267" w:lineRule="exact"/>
              <w:ind w:left="107" w:right="0"/>
              <w:jc w:val="left"/>
              <w:rPr>
                <w:rFonts w:ascii="宋体" w:hAnsi="宋体" w:cs="宋体" w:eastAsia="宋体" w:hint="default"/>
                <w:sz w:val="24"/>
                <w:szCs w:val="24"/>
              </w:rPr>
            </w:pPr>
            <w:r>
              <w:rPr>
                <w:rFonts w:ascii="宋体" w:hAnsi="宋体" w:cs="宋体" w:eastAsia="宋体" w:hint="default"/>
                <w:sz w:val="24"/>
                <w:szCs w:val="24"/>
              </w:rPr>
              <w:t>一年内到期的长期借款</w:t>
            </w:r>
            <w:r>
              <w:rPr>
                <w:rFonts w:ascii="Arial" w:hAnsi="Arial" w:cs="Arial" w:eastAsia="Arial" w:hint="default"/>
                <w:sz w:val="24"/>
                <w:szCs w:val="24"/>
              </w:rPr>
              <w:t>(</w:t>
            </w:r>
            <w:r>
              <w:rPr>
                <w:rFonts w:ascii="宋体" w:hAnsi="宋体" w:cs="宋体" w:eastAsia="宋体" w:hint="default"/>
                <w:sz w:val="24"/>
                <w:szCs w:val="24"/>
              </w:rPr>
              <w:t>附</w:t>
            </w:r>
          </w:p>
          <w:p>
            <w:pPr>
              <w:pStyle w:val="TableParagraph"/>
              <w:tabs>
                <w:tab w:pos="3234" w:val="left" w:leader="none"/>
                <w:tab w:pos="4972" w:val="left" w:leader="none"/>
              </w:tabs>
              <w:spacing w:line="319" w:lineRule="exact"/>
              <w:ind w:left="587" w:right="-969"/>
              <w:jc w:val="left"/>
              <w:rPr>
                <w:rFonts w:ascii="Arial" w:hAnsi="Arial" w:cs="Arial" w:eastAsia="Arial" w:hint="default"/>
                <w:sz w:val="24"/>
                <w:szCs w:val="24"/>
              </w:rPr>
            </w:pPr>
            <w:r>
              <w:rPr>
                <w:rFonts w:ascii="宋体" w:hAnsi="宋体" w:cs="宋体" w:eastAsia="宋体" w:hint="default"/>
                <w:position w:val="2"/>
                <w:sz w:val="24"/>
                <w:szCs w:val="24"/>
              </w:rPr>
              <w:t>注四</w:t>
            </w:r>
            <w:r>
              <w:rPr>
                <w:rFonts w:ascii="Arial" w:hAnsi="Arial" w:cs="Arial" w:eastAsia="Arial" w:hint="default"/>
                <w:position w:val="2"/>
                <w:sz w:val="24"/>
                <w:szCs w:val="24"/>
              </w:rPr>
              <w:t>(33))</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2014" w:val="left" w:leader="none"/>
                <w:tab w:pos="3314" w:val="left" w:leader="none"/>
              </w:tabs>
              <w:spacing w:line="240" w:lineRule="auto"/>
              <w:ind w:left="968" w:right="-1214"/>
              <w:jc w:val="left"/>
              <w:rPr>
                <w:rFonts w:ascii="Arial" w:hAnsi="Arial" w:cs="Arial" w:eastAsia="Arial" w:hint="default"/>
                <w:sz w:val="24"/>
                <w:szCs w:val="24"/>
              </w:rPr>
            </w:pPr>
            <w:r>
              <w:rPr>
                <w:rFonts w:ascii="Arial"/>
                <w:w w:val="99"/>
                <w:sz w:val="24"/>
              </w:rPr>
            </w:r>
            <w:r>
              <w:rPr>
                <w:rFonts w:ascii="Arial"/>
                <w:sz w:val="24"/>
                <w:u w:val="single" w:color="000000"/>
              </w:rPr>
              <w:t>62,161</w:t>
            </w:r>
            <w:r>
              <w:rPr>
                <w:rFonts w:ascii="Arial"/>
                <w:spacing w:val="26"/>
                <w:sz w:val="24"/>
                <w:u w:val="single" w:color="000000"/>
              </w:rPr>
              <w:t> </w:t>
            </w:r>
            <w:r>
              <w:rPr>
                <w:rFonts w:ascii="Arial"/>
                <w:spacing w:val="26"/>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965" w:val="left" w:leader="none"/>
              </w:tabs>
              <w:spacing w:line="240" w:lineRule="auto"/>
              <w:ind w:right="140"/>
              <w:jc w:val="right"/>
              <w:rPr>
                <w:rFonts w:ascii="Arial" w:hAnsi="Arial" w:cs="Arial" w:eastAsia="Arial" w:hint="default"/>
                <w:sz w:val="24"/>
                <w:szCs w:val="24"/>
              </w:rPr>
            </w:pPr>
            <w:r>
              <w:rPr>
                <w:rFonts w:ascii="Arial"/>
                <w:w w:val="99"/>
                <w:sz w:val="24"/>
              </w:rPr>
            </w:r>
            <w:r>
              <w:rPr>
                <w:rFonts w:ascii="Arial"/>
                <w:spacing w:val="-1"/>
                <w:sz w:val="24"/>
                <w:u w:val="single" w:color="000000"/>
              </w:rPr>
              <w:t>104,635</w:t>
              <w:tab/>
            </w:r>
            <w:r>
              <w:rPr>
                <w:rFonts w:ascii="Arial"/>
                <w:spacing w:val="-1"/>
                <w:sz w:val="24"/>
              </w:rPr>
            </w:r>
          </w:p>
        </w:tc>
      </w:tr>
      <w:tr>
        <w:trPr>
          <w:trHeight w:val="434" w:hRule="exact"/>
        </w:trPr>
        <w:tc>
          <w:tcPr>
            <w:tcW w:w="851" w:type="dxa"/>
            <w:tcBorders>
              <w:top w:val="nil" w:sz="6" w:space="0" w:color="auto"/>
              <w:left w:val="nil" w:sz="6" w:space="0" w:color="auto"/>
              <w:bottom w:val="nil" w:sz="6" w:space="0" w:color="auto"/>
              <w:right w:val="nil" w:sz="6" w:space="0" w:color="auto"/>
            </w:tcBorders>
          </w:tcPr>
          <w:p>
            <w:pPr/>
          </w:p>
        </w:tc>
        <w:tc>
          <w:tcPr>
            <w:tcW w:w="6105" w:type="dxa"/>
            <w:gridSpan w:val="2"/>
            <w:tcBorders>
              <w:top w:val="nil" w:sz="6" w:space="0" w:color="auto"/>
              <w:left w:val="nil" w:sz="6" w:space="0" w:color="auto"/>
              <w:bottom w:val="nil" w:sz="6" w:space="0" w:color="auto"/>
              <w:right w:val="nil" w:sz="6" w:space="0" w:color="auto"/>
            </w:tcBorders>
          </w:tcPr>
          <w:p>
            <w:pPr>
              <w:pStyle w:val="TableParagraph"/>
              <w:tabs>
                <w:tab w:pos="4839" w:val="left" w:leader="none"/>
                <w:tab w:pos="6018" w:val="left" w:leader="none"/>
                <w:tab w:pos="7317" w:val="left" w:leader="none"/>
              </w:tabs>
              <w:spacing w:line="268" w:lineRule="exact"/>
              <w:ind w:left="3235" w:right="-121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144,393</w:t>
            </w:r>
            <w:r>
              <w:rPr>
                <w:rFonts w:ascii="Arial"/>
                <w:spacing w:val="27"/>
                <w:sz w:val="24"/>
                <w:u w:val="thick" w:color="000000"/>
              </w:rPr>
              <w:t> </w:t>
            </w:r>
            <w:r>
              <w:rPr>
                <w:rFonts w:ascii="Arial"/>
                <w:spacing w:val="27"/>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322" w:type="dxa"/>
            <w:tcBorders>
              <w:top w:val="nil" w:sz="6" w:space="0" w:color="auto"/>
              <w:left w:val="nil" w:sz="6" w:space="0" w:color="auto"/>
              <w:bottom w:val="nil" w:sz="6" w:space="0" w:color="auto"/>
              <w:right w:val="nil" w:sz="6" w:space="0" w:color="auto"/>
            </w:tcBorders>
          </w:tcPr>
          <w:p>
            <w:pPr>
              <w:pStyle w:val="TableParagraph"/>
              <w:tabs>
                <w:tab w:pos="965" w:val="left" w:leader="none"/>
              </w:tabs>
              <w:spacing w:line="268" w:lineRule="exact"/>
              <w:ind w:right="140"/>
              <w:jc w:val="right"/>
              <w:rPr>
                <w:rFonts w:ascii="Arial" w:hAnsi="Arial" w:cs="Arial" w:eastAsia="Arial" w:hint="default"/>
                <w:sz w:val="24"/>
                <w:szCs w:val="24"/>
              </w:rPr>
            </w:pPr>
            <w:r>
              <w:rPr>
                <w:rFonts w:ascii="Arial"/>
                <w:w w:val="99"/>
                <w:sz w:val="24"/>
              </w:rPr>
            </w:r>
            <w:r>
              <w:rPr>
                <w:rFonts w:ascii="Arial"/>
                <w:spacing w:val="-1"/>
                <w:sz w:val="24"/>
                <w:u w:val="thick" w:color="000000"/>
              </w:rPr>
              <w:t>217,187</w:t>
              <w:tab/>
            </w:r>
            <w:r>
              <w:rPr>
                <w:rFonts w:ascii="Arial"/>
                <w:spacing w:val="-1"/>
                <w:sz w:val="24"/>
              </w:rPr>
            </w:r>
          </w:p>
        </w:tc>
      </w:tr>
      <w:tr>
        <w:trPr>
          <w:trHeight w:val="592"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30" w:right="0"/>
              <w:jc w:val="left"/>
              <w:rPr>
                <w:rFonts w:ascii="Arial" w:hAnsi="Arial" w:cs="Arial" w:eastAsia="Arial" w:hint="default"/>
                <w:sz w:val="24"/>
                <w:szCs w:val="24"/>
              </w:rPr>
            </w:pPr>
            <w:r>
              <w:rPr>
                <w:rFonts w:ascii="Arial"/>
                <w:sz w:val="24"/>
              </w:rPr>
              <w:t>(32)</w:t>
            </w:r>
          </w:p>
        </w:tc>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6" w:right="0"/>
              <w:jc w:val="left"/>
              <w:rPr>
                <w:rFonts w:ascii="黑体" w:hAnsi="黑体" w:cs="黑体" w:eastAsia="黑体" w:hint="default"/>
                <w:sz w:val="24"/>
                <w:szCs w:val="24"/>
              </w:rPr>
            </w:pPr>
            <w:r>
              <w:rPr>
                <w:rFonts w:ascii="黑体" w:hAnsi="黑体" w:cs="黑体" w:eastAsia="黑体" w:hint="default"/>
                <w:sz w:val="24"/>
                <w:szCs w:val="24"/>
              </w:rPr>
              <w:t>其他流动负债</w:t>
            </w:r>
          </w:p>
        </w:tc>
        <w:tc>
          <w:tcPr>
            <w:tcW w:w="2101"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r>
      <w:tr>
        <w:trPr>
          <w:trHeight w:val="598" w:hRule="exact"/>
        </w:trPr>
        <w:tc>
          <w:tcPr>
            <w:tcW w:w="851" w:type="dxa"/>
            <w:tcBorders>
              <w:top w:val="nil" w:sz="6" w:space="0" w:color="auto"/>
              <w:left w:val="nil" w:sz="6" w:space="0" w:color="auto"/>
              <w:bottom w:val="nil" w:sz="6" w:space="0" w:color="auto"/>
              <w:right w:val="nil" w:sz="6" w:space="0" w:color="auto"/>
            </w:tcBorders>
          </w:tcPr>
          <w:p>
            <w:pPr/>
          </w:p>
        </w:tc>
        <w:tc>
          <w:tcPr>
            <w:tcW w:w="6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591"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67"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3" w:right="0"/>
              <w:jc w:val="left"/>
              <w:rPr>
                <w:rFonts w:ascii="宋体" w:hAnsi="宋体" w:cs="宋体" w:eastAsia="宋体" w:hint="default"/>
                <w:sz w:val="24"/>
                <w:szCs w:val="24"/>
              </w:rPr>
            </w:pPr>
            <w:r>
              <w:rPr>
                <w:rFonts w:ascii="宋体" w:hAnsi="宋体" w:cs="宋体" w:eastAsia="宋体" w:hint="default"/>
                <w:sz w:val="24"/>
                <w:szCs w:val="24"/>
              </w:rPr>
              <w:t>预提房屋租金</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780" w:right="0"/>
              <w:jc w:val="left"/>
              <w:rPr>
                <w:rFonts w:ascii="Arial" w:hAnsi="Arial" w:cs="Arial" w:eastAsia="Arial" w:hint="default"/>
                <w:sz w:val="24"/>
                <w:szCs w:val="24"/>
              </w:rPr>
            </w:pPr>
            <w:r>
              <w:rPr>
                <w:rFonts w:ascii="Arial"/>
                <w:sz w:val="24"/>
              </w:rPr>
              <w:t>664,069</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58"/>
              <w:jc w:val="right"/>
              <w:rPr>
                <w:rFonts w:ascii="Arial" w:hAnsi="Arial" w:cs="Arial" w:eastAsia="Arial" w:hint="default"/>
                <w:sz w:val="24"/>
                <w:szCs w:val="24"/>
              </w:rPr>
            </w:pPr>
            <w:r>
              <w:rPr>
                <w:rFonts w:ascii="Arial"/>
                <w:spacing w:val="-1"/>
                <w:sz w:val="24"/>
              </w:rPr>
              <w:t>505,493</w:t>
            </w:r>
          </w:p>
        </w:tc>
      </w:tr>
      <w:tr>
        <w:trPr>
          <w:trHeight w:val="321"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spacing w:line="267" w:lineRule="exact"/>
              <w:ind w:left="143" w:right="0"/>
              <w:jc w:val="left"/>
              <w:rPr>
                <w:rFonts w:ascii="宋体" w:hAnsi="宋体" w:cs="宋体" w:eastAsia="宋体" w:hint="default"/>
                <w:sz w:val="24"/>
                <w:szCs w:val="24"/>
              </w:rPr>
            </w:pPr>
            <w:r>
              <w:rPr>
                <w:rFonts w:ascii="宋体" w:hAnsi="宋体" w:cs="宋体" w:eastAsia="宋体" w:hint="default"/>
                <w:sz w:val="24"/>
                <w:szCs w:val="24"/>
              </w:rPr>
              <w:t>预提水电费</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13" w:right="0"/>
              <w:jc w:val="left"/>
              <w:rPr>
                <w:rFonts w:ascii="Arial" w:hAnsi="Arial" w:cs="Arial" w:eastAsia="Arial" w:hint="default"/>
                <w:sz w:val="24"/>
                <w:szCs w:val="24"/>
              </w:rPr>
            </w:pPr>
            <w:r>
              <w:rPr>
                <w:rFonts w:ascii="Arial"/>
                <w:sz w:val="24"/>
              </w:rPr>
              <w:t>94,794</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8"/>
              <w:jc w:val="right"/>
              <w:rPr>
                <w:rFonts w:ascii="Arial" w:hAnsi="Arial" w:cs="Arial" w:eastAsia="Arial" w:hint="default"/>
                <w:sz w:val="24"/>
                <w:szCs w:val="24"/>
              </w:rPr>
            </w:pPr>
            <w:r>
              <w:rPr>
                <w:rFonts w:ascii="Arial"/>
                <w:w w:val="95"/>
                <w:sz w:val="24"/>
              </w:rPr>
              <w:t>99,887</w:t>
            </w:r>
            <w:r>
              <w:rPr>
                <w:rFonts w:ascii="Arial"/>
                <w:sz w:val="24"/>
              </w:rPr>
            </w:r>
          </w:p>
        </w:tc>
      </w:tr>
      <w:tr>
        <w:trPr>
          <w:trHeight w:val="322"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spacing w:line="284" w:lineRule="exact"/>
              <w:ind w:left="143" w:right="0"/>
              <w:jc w:val="left"/>
              <w:rPr>
                <w:rFonts w:ascii="Arial" w:hAnsi="Arial" w:cs="Arial" w:eastAsia="Arial" w:hint="default"/>
                <w:sz w:val="24"/>
                <w:szCs w:val="24"/>
              </w:rPr>
            </w:pPr>
            <w:r>
              <w:rPr>
                <w:rFonts w:ascii="宋体" w:hAnsi="宋体" w:cs="宋体" w:eastAsia="宋体" w:hint="default"/>
                <w:sz w:val="24"/>
                <w:szCs w:val="24"/>
              </w:rPr>
              <w:t>积分计划</w:t>
            </w:r>
            <w:r>
              <w:rPr>
                <w:rFonts w:ascii="Arial" w:hAnsi="Arial" w:cs="Arial" w:eastAsia="Arial" w:hint="default"/>
                <w:sz w:val="24"/>
                <w:szCs w:val="24"/>
              </w:rPr>
              <w:t>(a)</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13" w:right="0"/>
              <w:jc w:val="left"/>
              <w:rPr>
                <w:rFonts w:ascii="Arial" w:hAnsi="Arial" w:cs="Arial" w:eastAsia="Arial" w:hint="default"/>
                <w:sz w:val="24"/>
                <w:szCs w:val="24"/>
              </w:rPr>
            </w:pPr>
            <w:r>
              <w:rPr>
                <w:rFonts w:ascii="Arial"/>
                <w:sz w:val="24"/>
              </w:rPr>
              <w:t>43,022</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8"/>
              <w:jc w:val="right"/>
              <w:rPr>
                <w:rFonts w:ascii="Arial" w:hAnsi="Arial" w:cs="Arial" w:eastAsia="Arial" w:hint="default"/>
                <w:sz w:val="24"/>
                <w:szCs w:val="24"/>
              </w:rPr>
            </w:pPr>
            <w:r>
              <w:rPr>
                <w:rFonts w:ascii="Arial"/>
                <w:w w:val="95"/>
                <w:sz w:val="24"/>
              </w:rPr>
              <w:t>76,929</w:t>
            </w:r>
            <w:r>
              <w:rPr>
                <w:rFonts w:ascii="Arial"/>
                <w:sz w:val="24"/>
              </w:rPr>
            </w:r>
          </w:p>
        </w:tc>
      </w:tr>
      <w:tr>
        <w:trPr>
          <w:trHeight w:val="318"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tabs>
                <w:tab w:pos="3194" w:val="left" w:leader="none"/>
                <w:tab w:pos="5052" w:val="left" w:leader="none"/>
              </w:tabs>
              <w:spacing w:line="263" w:lineRule="exact"/>
              <w:ind w:left="143" w:right="-1049"/>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01" w:type="dxa"/>
            <w:tcBorders>
              <w:top w:val="nil" w:sz="6" w:space="0" w:color="auto"/>
              <w:left w:val="nil" w:sz="6" w:space="0" w:color="auto"/>
              <w:bottom w:val="nil" w:sz="6" w:space="0" w:color="auto"/>
              <w:right w:val="nil" w:sz="6" w:space="0" w:color="auto"/>
            </w:tcBorders>
          </w:tcPr>
          <w:p>
            <w:pPr>
              <w:pStyle w:val="TableParagraph"/>
              <w:tabs>
                <w:tab w:pos="1973" w:val="left" w:leader="none"/>
                <w:tab w:pos="3561" w:val="left" w:leader="none"/>
              </w:tabs>
              <w:spacing w:line="240" w:lineRule="auto" w:before="24"/>
              <w:ind w:left="1048" w:right="-1461"/>
              <w:jc w:val="left"/>
              <w:rPr>
                <w:rFonts w:ascii="Arial" w:hAnsi="Arial" w:cs="Arial" w:eastAsia="Arial" w:hint="default"/>
                <w:sz w:val="24"/>
                <w:szCs w:val="24"/>
              </w:rPr>
            </w:pPr>
            <w:r>
              <w:rPr>
                <w:rFonts w:ascii="Arial"/>
                <w:w w:val="99"/>
                <w:sz w:val="24"/>
              </w:rPr>
            </w:r>
            <w:r>
              <w:rPr>
                <w:rFonts w:ascii="Arial"/>
                <w:sz w:val="24"/>
                <w:u w:val="single" w:color="000000"/>
              </w:rPr>
              <w:t>6,141</w:t>
            </w:r>
            <w:r>
              <w:rPr>
                <w:rFonts w:ascii="Arial"/>
                <w:spacing w:val="14"/>
                <w:sz w:val="24"/>
                <w:u w:val="single" w:color="000000"/>
              </w:rPr>
              <w:t> </w:t>
            </w:r>
            <w:r>
              <w:rPr>
                <w:rFonts w:ascii="Arial"/>
                <w:spacing w:val="14"/>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322" w:type="dxa"/>
            <w:tcBorders>
              <w:top w:val="nil" w:sz="6" w:space="0" w:color="auto"/>
              <w:left w:val="nil" w:sz="6" w:space="0" w:color="auto"/>
              <w:bottom w:val="nil" w:sz="6" w:space="0" w:color="auto"/>
              <w:right w:val="nil" w:sz="6" w:space="0" w:color="auto"/>
            </w:tcBorders>
          </w:tcPr>
          <w:p>
            <w:pPr>
              <w:pStyle w:val="TableParagraph"/>
              <w:tabs>
                <w:tab w:pos="718" w:val="left" w:leader="none"/>
              </w:tabs>
              <w:spacing w:line="240" w:lineRule="auto" w:before="24"/>
              <w:ind w:right="140"/>
              <w:jc w:val="right"/>
              <w:rPr>
                <w:rFonts w:ascii="Arial" w:hAnsi="Arial" w:cs="Arial" w:eastAsia="Arial" w:hint="default"/>
                <w:sz w:val="24"/>
                <w:szCs w:val="24"/>
              </w:rPr>
            </w:pPr>
            <w:r>
              <w:rPr>
                <w:rFonts w:ascii="Arial"/>
                <w:w w:val="99"/>
                <w:sz w:val="24"/>
              </w:rPr>
            </w:r>
            <w:r>
              <w:rPr>
                <w:rFonts w:ascii="Arial"/>
                <w:w w:val="95"/>
                <w:sz w:val="24"/>
                <w:u w:val="single" w:color="000000"/>
              </w:rPr>
              <w:t>2,177</w:t>
            </w:r>
            <w:r>
              <w:rPr>
                <w:rFonts w:ascii="Arial"/>
                <w:sz w:val="24"/>
                <w:u w:val="single" w:color="000000"/>
              </w:rPr>
              <w:tab/>
            </w:r>
            <w:r>
              <w:rPr>
                <w:rFonts w:ascii="Arial"/>
                <w:sz w:val="24"/>
              </w:rPr>
            </w:r>
          </w:p>
        </w:tc>
      </w:tr>
      <w:tr>
        <w:trPr>
          <w:trHeight w:val="434" w:hRule="exact"/>
        </w:trPr>
        <w:tc>
          <w:tcPr>
            <w:tcW w:w="851" w:type="dxa"/>
            <w:tcBorders>
              <w:top w:val="nil" w:sz="6" w:space="0" w:color="auto"/>
              <w:left w:val="nil" w:sz="6" w:space="0" w:color="auto"/>
              <w:bottom w:val="nil" w:sz="6" w:space="0" w:color="auto"/>
              <w:right w:val="nil" w:sz="6" w:space="0" w:color="auto"/>
            </w:tcBorders>
          </w:tcPr>
          <w:p>
            <w:pPr/>
          </w:p>
        </w:tc>
        <w:tc>
          <w:tcPr>
            <w:tcW w:w="6105" w:type="dxa"/>
            <w:gridSpan w:val="2"/>
            <w:tcBorders>
              <w:top w:val="nil" w:sz="6" w:space="0" w:color="auto"/>
              <w:left w:val="nil" w:sz="6" w:space="0" w:color="auto"/>
              <w:bottom w:val="nil" w:sz="6" w:space="0" w:color="auto"/>
              <w:right w:val="nil" w:sz="6" w:space="0" w:color="auto"/>
            </w:tcBorders>
          </w:tcPr>
          <w:p>
            <w:pPr>
              <w:pStyle w:val="TableParagraph"/>
              <w:tabs>
                <w:tab w:pos="4784" w:val="left" w:leader="none"/>
                <w:tab w:pos="5977" w:val="left" w:leader="none"/>
                <w:tab w:pos="7298" w:val="left" w:leader="none"/>
              </w:tabs>
              <w:spacing w:line="268" w:lineRule="exact"/>
              <w:ind w:left="3194" w:right="-1195"/>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808,026</w:t>
            </w:r>
            <w:r>
              <w:rPr>
                <w:rFonts w:ascii="Arial"/>
                <w:spacing w:val="16"/>
                <w:sz w:val="24"/>
                <w:u w:val="thick" w:color="000000"/>
              </w:rPr>
              <w:t> </w:t>
            </w:r>
            <w:r>
              <w:rPr>
                <w:rFonts w:ascii="Arial"/>
                <w:spacing w:val="1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322" w:type="dxa"/>
            <w:tcBorders>
              <w:top w:val="nil" w:sz="6" w:space="0" w:color="auto"/>
              <w:left w:val="nil" w:sz="6" w:space="0" w:color="auto"/>
              <w:bottom w:val="nil" w:sz="6" w:space="0" w:color="auto"/>
              <w:right w:val="nil" w:sz="6" w:space="0" w:color="auto"/>
            </w:tcBorders>
          </w:tcPr>
          <w:p>
            <w:pPr>
              <w:pStyle w:val="TableParagraph"/>
              <w:tabs>
                <w:tab w:pos="985" w:val="left" w:leader="none"/>
              </w:tabs>
              <w:spacing w:line="268" w:lineRule="exact"/>
              <w:ind w:right="140"/>
              <w:jc w:val="right"/>
              <w:rPr>
                <w:rFonts w:ascii="Arial" w:hAnsi="Arial" w:cs="Arial" w:eastAsia="Arial" w:hint="default"/>
                <w:sz w:val="24"/>
                <w:szCs w:val="24"/>
              </w:rPr>
            </w:pPr>
            <w:r>
              <w:rPr>
                <w:rFonts w:ascii="Arial"/>
                <w:w w:val="99"/>
                <w:sz w:val="24"/>
              </w:rPr>
            </w:r>
            <w:r>
              <w:rPr>
                <w:rFonts w:ascii="Arial"/>
                <w:spacing w:val="-1"/>
                <w:sz w:val="24"/>
                <w:u w:val="thick" w:color="000000"/>
              </w:rPr>
              <w:t>684,486</w:t>
              <w:tab/>
            </w:r>
            <w:r>
              <w:rPr>
                <w:rFonts w:ascii="Arial"/>
                <w:spacing w:val="-1"/>
                <w:sz w:val="24"/>
              </w:rPr>
            </w:r>
          </w:p>
        </w:tc>
      </w:tr>
      <w:tr>
        <w:trPr>
          <w:trHeight w:val="900"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4" w:right="0"/>
              <w:jc w:val="left"/>
              <w:rPr>
                <w:rFonts w:ascii="Arial" w:hAnsi="Arial" w:cs="Arial" w:eastAsia="Arial" w:hint="default"/>
                <w:sz w:val="24"/>
                <w:szCs w:val="24"/>
              </w:rPr>
            </w:pPr>
            <w:r>
              <w:rPr>
                <w:rFonts w:ascii="Arial"/>
                <w:sz w:val="24"/>
              </w:rPr>
              <w:t>(a)</w:t>
            </w:r>
          </w:p>
        </w:tc>
        <w:tc>
          <w:tcPr>
            <w:tcW w:w="8426"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36"/>
              <w:ind w:left="167" w:right="223"/>
              <w:jc w:val="left"/>
              <w:rPr>
                <w:rFonts w:ascii="宋体" w:hAnsi="宋体" w:cs="宋体" w:eastAsia="宋体" w:hint="default"/>
                <w:sz w:val="24"/>
                <w:szCs w:val="24"/>
              </w:rPr>
            </w:pPr>
            <w:r>
              <w:rPr>
                <w:rFonts w:ascii="宋体" w:hAnsi="宋体" w:cs="宋体" w:eastAsia="宋体" w:hint="default"/>
                <w:spacing w:val="2"/>
                <w:sz w:val="24"/>
                <w:szCs w:val="24"/>
              </w:rPr>
              <w:t>根据积分计划递延确认的收益，以授予顾客的积分为基准，并根据本集团已</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公布的积分使用方法和积分的预期兑付率，按公允价值确认。</w:t>
            </w:r>
          </w:p>
        </w:tc>
      </w:tr>
      <w:tr>
        <w:trPr>
          <w:trHeight w:val="591"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64" w:right="0"/>
              <w:jc w:val="left"/>
              <w:rPr>
                <w:rFonts w:ascii="Arial" w:hAnsi="Arial" w:cs="Arial" w:eastAsia="Arial" w:hint="default"/>
                <w:sz w:val="24"/>
                <w:szCs w:val="24"/>
              </w:rPr>
            </w:pPr>
            <w:r>
              <w:rPr>
                <w:rFonts w:ascii="Arial"/>
                <w:sz w:val="24"/>
              </w:rPr>
              <w:t>(33)</w:t>
            </w:r>
          </w:p>
        </w:tc>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67" w:right="0"/>
              <w:jc w:val="left"/>
              <w:rPr>
                <w:rFonts w:ascii="黑体" w:hAnsi="黑体" w:cs="黑体" w:eastAsia="黑体" w:hint="default"/>
                <w:sz w:val="24"/>
                <w:szCs w:val="24"/>
              </w:rPr>
            </w:pPr>
            <w:r>
              <w:rPr>
                <w:rFonts w:ascii="黑体" w:hAnsi="黑体" w:cs="黑体" w:eastAsia="黑体" w:hint="default"/>
                <w:sz w:val="24"/>
                <w:szCs w:val="24"/>
              </w:rPr>
              <w:t>长期借款</w:t>
            </w:r>
          </w:p>
        </w:tc>
        <w:tc>
          <w:tcPr>
            <w:tcW w:w="2101"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r>
      <w:tr>
        <w:trPr>
          <w:trHeight w:val="904"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321" w:lineRule="exact" w:before="99"/>
              <w:ind w:left="1173"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812"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21" w:lineRule="exact" w:before="99"/>
              <w:ind w:left="120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847"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7"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3"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42" w:right="0"/>
              <w:jc w:val="left"/>
              <w:rPr>
                <w:rFonts w:ascii="Arial" w:hAnsi="Arial" w:cs="Arial" w:eastAsia="Arial" w:hint="default"/>
                <w:sz w:val="24"/>
                <w:szCs w:val="24"/>
              </w:rPr>
            </w:pPr>
            <w:r>
              <w:rPr>
                <w:rFonts w:ascii="Arial"/>
                <w:sz w:val="24"/>
              </w:rPr>
              <w:t>379,916</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78"/>
              <w:jc w:val="right"/>
              <w:rPr>
                <w:rFonts w:ascii="Arial" w:hAnsi="Arial" w:cs="Arial" w:eastAsia="Arial" w:hint="default"/>
                <w:sz w:val="24"/>
                <w:szCs w:val="24"/>
              </w:rPr>
            </w:pPr>
            <w:r>
              <w:rPr>
                <w:rFonts w:ascii="Arial"/>
                <w:w w:val="95"/>
                <w:sz w:val="24"/>
              </w:rPr>
              <w:t>1,018,849</w:t>
            </w:r>
            <w:r>
              <w:rPr>
                <w:rFonts w:ascii="Arial"/>
                <w:sz w:val="24"/>
              </w:rPr>
            </w:r>
          </w:p>
        </w:tc>
      </w:tr>
      <w:tr>
        <w:trPr>
          <w:trHeight w:val="311"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spacing w:line="262" w:lineRule="exact"/>
              <w:ind w:left="103"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75" w:right="0"/>
              <w:jc w:val="left"/>
              <w:rPr>
                <w:rFonts w:ascii="Arial" w:hAnsi="Arial" w:cs="Arial" w:eastAsia="Arial" w:hint="default"/>
                <w:sz w:val="24"/>
                <w:szCs w:val="24"/>
              </w:rPr>
            </w:pPr>
            <w:r>
              <w:rPr>
                <w:rFonts w:ascii="Arial"/>
                <w:sz w:val="24"/>
              </w:rPr>
              <w:t>25,974</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0"/>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spacing w:line="262" w:lineRule="exact"/>
              <w:ind w:left="103"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75" w:right="0"/>
              <w:jc w:val="left"/>
              <w:rPr>
                <w:rFonts w:ascii="Arial" w:hAnsi="Arial" w:cs="Arial" w:eastAsia="Arial" w:hint="default"/>
                <w:sz w:val="24"/>
                <w:szCs w:val="24"/>
              </w:rPr>
            </w:pPr>
            <w:r>
              <w:rPr>
                <w:rFonts w:ascii="Arial"/>
                <w:sz w:val="24"/>
              </w:rPr>
              <w:t>14,189</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0"/>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Style w:val="TableParagraph"/>
              <w:spacing w:line="26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其中：一年内到期的长期借款</w:t>
            </w:r>
          </w:p>
        </w:tc>
        <w:tc>
          <w:tcPr>
            <w:tcW w:w="2101" w:type="dxa"/>
            <w:tcBorders>
              <w:top w:val="nil" w:sz="6" w:space="0" w:color="auto"/>
              <w:left w:val="nil" w:sz="6" w:space="0" w:color="auto"/>
              <w:bottom w:val="nil" w:sz="6" w:space="0" w:color="auto"/>
              <w:right w:val="nil" w:sz="6" w:space="0" w:color="auto"/>
            </w:tcBorders>
          </w:tcPr>
          <w:p>
            <w:pPr>
              <w:pStyle w:val="TableParagraph"/>
              <w:tabs>
                <w:tab w:pos="1197" w:val="left" w:leader="none"/>
              </w:tabs>
              <w:spacing w:line="240" w:lineRule="auto" w:before="18"/>
              <w:ind w:left="16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(62,161)</w:t>
            </w:r>
            <w:r>
              <w:rPr>
                <w:rFonts w:ascii="Arial"/>
                <w:sz w:val="24"/>
              </w:rPr>
            </w:r>
          </w:p>
        </w:tc>
        <w:tc>
          <w:tcPr>
            <w:tcW w:w="2322" w:type="dxa"/>
            <w:tcBorders>
              <w:top w:val="nil" w:sz="6" w:space="0" w:color="auto"/>
              <w:left w:val="nil" w:sz="6" w:space="0" w:color="auto"/>
              <w:bottom w:val="nil" w:sz="6" w:space="0" w:color="auto"/>
              <w:right w:val="nil" w:sz="6" w:space="0" w:color="auto"/>
            </w:tcBorders>
          </w:tcPr>
          <w:p>
            <w:pPr>
              <w:pStyle w:val="TableParagraph"/>
              <w:tabs>
                <w:tab w:pos="904" w:val="left" w:leader="none"/>
              </w:tabs>
              <w:spacing w:line="240" w:lineRule="auto" w:before="18"/>
              <w:ind w:right="19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(104,635)</w:t>
            </w:r>
            <w:r>
              <w:rPr>
                <w:rFonts w:ascii="Arial"/>
                <w:w w:val="95"/>
                <w:sz w:val="24"/>
              </w:rPr>
            </w:r>
            <w:r>
              <w:rPr>
                <w:rFonts w:ascii="Arial"/>
                <w:sz w:val="24"/>
              </w:rPr>
            </w:r>
          </w:p>
        </w:tc>
      </w:tr>
      <w:tr>
        <w:trPr>
          <w:trHeight w:val="263" w:hRule="exact"/>
        </w:trPr>
        <w:tc>
          <w:tcPr>
            <w:tcW w:w="851" w:type="dxa"/>
            <w:tcBorders>
              <w:top w:val="nil" w:sz="6" w:space="0" w:color="auto"/>
              <w:left w:val="nil" w:sz="6" w:space="0" w:color="auto"/>
              <w:bottom w:val="nil" w:sz="6" w:space="0" w:color="auto"/>
              <w:right w:val="nil" w:sz="6" w:space="0" w:color="auto"/>
            </w:tcBorders>
          </w:tcPr>
          <w:p>
            <w:pPr/>
          </w:p>
        </w:tc>
        <w:tc>
          <w:tcPr>
            <w:tcW w:w="400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tabs>
                <w:tab w:pos="1142" w:val="left" w:leader="none"/>
                <w:tab w:pos="2148" w:val="left" w:leader="none"/>
              </w:tabs>
              <w:spacing w:line="268" w:lineRule="exact"/>
              <w:ind w:left="164" w:right="-4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357,918</w:t>
              <w:tab/>
            </w:r>
            <w:r>
              <w:rPr>
                <w:rFonts w:ascii="Arial"/>
                <w:sz w:val="24"/>
              </w:rPr>
            </w:r>
          </w:p>
        </w:tc>
        <w:tc>
          <w:tcPr>
            <w:tcW w:w="2322" w:type="dxa"/>
            <w:tcBorders>
              <w:top w:val="nil" w:sz="6" w:space="0" w:color="auto"/>
              <w:left w:val="nil" w:sz="6" w:space="0" w:color="auto"/>
              <w:bottom w:val="nil" w:sz="6" w:space="0" w:color="auto"/>
              <w:right w:val="nil" w:sz="6" w:space="0" w:color="auto"/>
            </w:tcBorders>
          </w:tcPr>
          <w:p>
            <w:pPr>
              <w:pStyle w:val="TableParagraph"/>
              <w:tabs>
                <w:tab w:pos="983" w:val="left" w:leader="none"/>
                <w:tab w:pos="2005" w:val="left" w:leader="none"/>
              </w:tabs>
              <w:spacing w:line="268" w:lineRule="exact"/>
              <w:ind w:right="12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914,214</w:t>
              <w:tab/>
            </w:r>
            <w:r>
              <w:rPr>
                <w:rFonts w:ascii="Arial"/>
                <w:spacing w:val="-1"/>
                <w:sz w:val="24"/>
              </w:rPr>
            </w:r>
          </w:p>
        </w:tc>
      </w:tr>
    </w:tbl>
    <w:p>
      <w:pPr>
        <w:spacing w:after="0" w:line="268" w:lineRule="exact"/>
        <w:jc w:val="right"/>
        <w:rPr>
          <w:rFonts w:ascii="Arial" w:hAnsi="Arial" w:cs="Arial" w:eastAsia="Arial" w:hint="default"/>
          <w:sz w:val="24"/>
          <w:szCs w:val="24"/>
        </w:rPr>
        <w:sectPr>
          <w:pgSz w:w="11910" w:h="16840"/>
          <w:pgMar w:header="755" w:footer="914"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790"/>
        <w:gridCol w:w="8591"/>
      </w:tblGrid>
      <w:tr>
        <w:trPr>
          <w:trHeight w:val="416"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591" w:type="dxa"/>
            <w:tcBorders>
              <w:top w:val="nil" w:sz="6" w:space="0" w:color="auto"/>
              <w:left w:val="nil" w:sz="6" w:space="0" w:color="auto"/>
              <w:bottom w:val="nil" w:sz="6" w:space="0" w:color="auto"/>
              <w:right w:val="nil" w:sz="6" w:space="0" w:color="auto"/>
            </w:tcBorders>
          </w:tcPr>
          <w:p>
            <w:pPr>
              <w:pStyle w:val="TableParagraph"/>
              <w:spacing w:line="257" w:lineRule="exact"/>
              <w:ind w:left="16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(33)</w:t>
            </w:r>
          </w:p>
        </w:tc>
        <w:tc>
          <w:tcPr>
            <w:tcW w:w="859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3" w:right="0"/>
              <w:jc w:val="left"/>
              <w:rPr>
                <w:rFonts w:ascii="Arial" w:hAnsi="Arial" w:cs="Arial" w:eastAsia="Arial" w:hint="default"/>
                <w:sz w:val="24"/>
                <w:szCs w:val="24"/>
              </w:rPr>
            </w:pPr>
            <w:r>
              <w:rPr>
                <w:rFonts w:ascii="黑体" w:hAnsi="黑体" w:cs="黑体" w:eastAsia="黑体" w:hint="default"/>
                <w:sz w:val="24"/>
                <w:szCs w:val="24"/>
              </w:rPr>
              <w:t>长期借款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910" w:hRule="exact"/>
        </w:trPr>
        <w:tc>
          <w:tcPr>
            <w:tcW w:w="790" w:type="dxa"/>
            <w:tcBorders>
              <w:top w:val="nil" w:sz="6" w:space="0" w:color="auto"/>
              <w:left w:val="nil" w:sz="6" w:space="0" w:color="auto"/>
              <w:bottom w:val="nil" w:sz="6" w:space="0" w:color="auto"/>
              <w:right w:val="nil" w:sz="6" w:space="0" w:color="auto"/>
            </w:tcBorders>
          </w:tcPr>
          <w:p>
            <w:pPr/>
          </w:p>
        </w:tc>
        <w:tc>
          <w:tcPr>
            <w:tcW w:w="8591"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63" w:right="315"/>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8"/>
                <w:sz w:val="24"/>
                <w:szCs w:val="24"/>
              </w:rPr>
              <w:t> </w:t>
            </w:r>
            <w:r>
              <w:rPr>
                <w:rFonts w:ascii="Arial" w:hAnsi="Arial" w:cs="Arial" w:eastAsia="Arial" w:hint="default"/>
                <w:sz w:val="24"/>
                <w:szCs w:val="24"/>
              </w:rPr>
              <w:t>2015</w:t>
            </w:r>
            <w:r>
              <w:rPr>
                <w:rFonts w:ascii="Arial" w:hAnsi="Arial" w:cs="Arial" w:eastAsia="Arial" w:hint="default"/>
                <w:spacing w:val="-15"/>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Arial" w:hAnsi="Arial" w:cs="Arial" w:eastAsia="Arial" w:hint="default"/>
                <w:sz w:val="24"/>
                <w:szCs w:val="24"/>
              </w:rPr>
              <w:t>12</w:t>
            </w:r>
            <w:r>
              <w:rPr>
                <w:rFonts w:ascii="Arial" w:hAnsi="Arial" w:cs="Arial" w:eastAsia="Arial" w:hint="default"/>
                <w:spacing w:val="-15"/>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Arial" w:hAnsi="Arial" w:cs="Arial" w:eastAsia="Arial" w:hint="default"/>
                <w:sz w:val="24"/>
                <w:szCs w:val="24"/>
              </w:rPr>
              <w:t>31</w:t>
            </w:r>
            <w:r>
              <w:rPr>
                <w:rFonts w:ascii="Arial" w:hAnsi="Arial" w:cs="Arial" w:eastAsia="Arial" w:hint="default"/>
                <w:spacing w:val="-15"/>
                <w:sz w:val="24"/>
                <w:szCs w:val="24"/>
              </w:rPr>
              <w:t> </w:t>
            </w:r>
            <w:r>
              <w:rPr>
                <w:rFonts w:ascii="宋体" w:hAnsi="宋体" w:cs="宋体" w:eastAsia="宋体" w:hint="default"/>
                <w:sz w:val="24"/>
                <w:szCs w:val="24"/>
              </w:rPr>
              <w:t>日，本集团抵押借款余额由一笔美元银行抵押借款和一笔 日元抵押借款组成。</w:t>
            </w:r>
          </w:p>
        </w:tc>
      </w:tr>
      <w:tr>
        <w:trPr>
          <w:trHeight w:val="6874" w:hRule="exact"/>
        </w:trPr>
        <w:tc>
          <w:tcPr>
            <w:tcW w:w="790" w:type="dxa"/>
            <w:tcBorders>
              <w:top w:val="nil" w:sz="6" w:space="0" w:color="auto"/>
              <w:left w:val="nil" w:sz="6" w:space="0" w:color="auto"/>
              <w:bottom w:val="nil" w:sz="6" w:space="0" w:color="auto"/>
              <w:right w:val="nil" w:sz="6" w:space="0" w:color="auto"/>
            </w:tcBorders>
          </w:tcPr>
          <w:p>
            <w:pPr/>
          </w:p>
        </w:tc>
        <w:tc>
          <w:tcPr>
            <w:tcW w:w="8591" w:type="dxa"/>
            <w:tcBorders>
              <w:top w:val="nil" w:sz="6" w:space="0" w:color="auto"/>
              <w:left w:val="nil" w:sz="6" w:space="0" w:color="auto"/>
              <w:bottom w:val="nil" w:sz="6" w:space="0" w:color="auto"/>
              <w:right w:val="nil" w:sz="6" w:space="0" w:color="auto"/>
            </w:tcBorders>
          </w:tcPr>
          <w:p>
            <w:pPr>
              <w:pStyle w:val="TableParagraph"/>
              <w:spacing w:line="225" w:lineRule="auto" w:before="133"/>
              <w:ind w:left="163" w:right="309"/>
              <w:jc w:val="both"/>
              <w:rPr>
                <w:rFonts w:ascii="宋体" w:hAnsi="宋体" w:cs="宋体" w:eastAsia="宋体" w:hint="default"/>
                <w:sz w:val="24"/>
                <w:szCs w:val="24"/>
              </w:rPr>
            </w:pPr>
            <w:r>
              <w:rPr>
                <w:rFonts w:ascii="宋体" w:hAnsi="宋体" w:cs="宋体" w:eastAsia="宋体" w:hint="default"/>
                <w:spacing w:val="3"/>
                <w:sz w:val="24"/>
                <w:szCs w:val="24"/>
              </w:rPr>
              <w:t>第一笔抵押借款于</w:t>
            </w:r>
            <w:r>
              <w:rPr>
                <w:rFonts w:ascii="Arial" w:hAnsi="Arial" w:cs="Arial" w:eastAsia="Arial" w:hint="default"/>
                <w:spacing w:val="3"/>
                <w:sz w:val="24"/>
                <w:szCs w:val="24"/>
              </w:rPr>
              <w:t>2014</w:t>
            </w:r>
            <w:r>
              <w:rPr>
                <w:rFonts w:ascii="宋体" w:hAnsi="宋体" w:cs="宋体" w:eastAsia="宋体" w:hint="default"/>
                <w:spacing w:val="3"/>
                <w:sz w:val="24"/>
                <w:szCs w:val="24"/>
              </w:rPr>
              <w:t>年借入，金额为</w:t>
            </w:r>
            <w:r>
              <w:rPr>
                <w:rFonts w:ascii="Arial" w:hAnsi="Arial" w:cs="Arial" w:eastAsia="Arial" w:hint="default"/>
                <w:spacing w:val="3"/>
                <w:sz w:val="24"/>
                <w:szCs w:val="24"/>
              </w:rPr>
              <w:t>5,700</w:t>
            </w:r>
            <w:r>
              <w:rPr>
                <w:rFonts w:ascii="宋体" w:hAnsi="宋体" w:cs="宋体" w:eastAsia="宋体" w:hint="default"/>
                <w:spacing w:val="3"/>
                <w:sz w:val="24"/>
                <w:szCs w:val="24"/>
              </w:rPr>
              <w:t>万美元，折合约人民币</w:t>
            </w:r>
            <w:r>
              <w:rPr>
                <w:rFonts w:ascii="Arial" w:hAnsi="Arial" w:cs="Arial" w:eastAsia="Arial" w:hint="default"/>
                <w:spacing w:val="3"/>
                <w:sz w:val="24"/>
                <w:szCs w:val="24"/>
              </w:rPr>
              <w:t>3.7</w:t>
            </w:r>
            <w:r>
              <w:rPr>
                <w:rFonts w:ascii="宋体" w:hAnsi="宋体" w:cs="宋体" w:eastAsia="宋体" w:hint="default"/>
                <w:spacing w:val="3"/>
                <w:sz w:val="24"/>
                <w:szCs w:val="24"/>
              </w:rPr>
              <w:t>亿元</w:t>
            </w:r>
            <w:r>
              <w:rPr>
                <w:rFonts w:ascii="宋体" w:hAnsi="宋体" w:cs="宋体" w:eastAsia="宋体" w:hint="default"/>
                <w:spacing w:val="-89"/>
                <w:sz w:val="24"/>
                <w:szCs w:val="24"/>
              </w:rPr>
              <w:t> </w:t>
            </w:r>
            <w:r>
              <w:rPr>
                <w:rFonts w:ascii="Arial" w:hAnsi="Arial" w:cs="Arial" w:eastAsia="Arial" w:hint="default"/>
                <w:sz w:val="24"/>
                <w:szCs w:val="24"/>
              </w:rPr>
              <w:t>(2014</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日：金额为</w:t>
            </w:r>
            <w:r>
              <w:rPr>
                <w:rFonts w:ascii="Arial" w:hAnsi="Arial" w:cs="Arial" w:eastAsia="Arial" w:hint="default"/>
                <w:sz w:val="24"/>
                <w:szCs w:val="24"/>
              </w:rPr>
              <w:t>5,810</w:t>
            </w:r>
            <w:r>
              <w:rPr>
                <w:rFonts w:ascii="宋体" w:hAnsi="宋体" w:cs="宋体" w:eastAsia="宋体" w:hint="default"/>
                <w:sz w:val="24"/>
                <w:szCs w:val="24"/>
              </w:rPr>
              <w:t>万美元，折合约人民币</w:t>
            </w:r>
            <w:r>
              <w:rPr>
                <w:rFonts w:ascii="Arial" w:hAnsi="Arial" w:cs="Arial" w:eastAsia="Arial" w:hint="default"/>
                <w:sz w:val="24"/>
                <w:szCs w:val="24"/>
              </w:rPr>
              <w:t>3.56</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，系由本集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团账面价值约为人民币</w:t>
            </w:r>
            <w:r>
              <w:rPr>
                <w:rFonts w:ascii="Arial" w:hAnsi="Arial" w:cs="Arial" w:eastAsia="Arial" w:hint="default"/>
                <w:spacing w:val="2"/>
                <w:sz w:val="24"/>
                <w:szCs w:val="24"/>
              </w:rPr>
              <w:t>3.05</w:t>
            </w:r>
            <w:r>
              <w:rPr>
                <w:rFonts w:ascii="宋体" w:hAnsi="宋体" w:cs="宋体" w:eastAsia="宋体" w:hint="default"/>
                <w:spacing w:val="2"/>
                <w:sz w:val="24"/>
                <w:szCs w:val="24"/>
              </w:rPr>
              <w:t>亿元</w:t>
            </w:r>
            <w:r>
              <w:rPr>
                <w:rFonts w:ascii="Arial" w:hAnsi="Arial" w:cs="Arial" w:eastAsia="Arial" w:hint="default"/>
                <w:spacing w:val="2"/>
                <w:sz w:val="24"/>
                <w:szCs w:val="24"/>
              </w:rPr>
              <w:t>(</w:t>
            </w:r>
            <w:r>
              <w:rPr>
                <w:rFonts w:ascii="宋体" w:hAnsi="宋体" w:cs="宋体" w:eastAsia="宋体" w:hint="default"/>
                <w:spacing w:val="2"/>
                <w:sz w:val="24"/>
                <w:szCs w:val="24"/>
              </w:rPr>
              <w:t>原价约人民币</w:t>
            </w:r>
            <w:r>
              <w:rPr>
                <w:rFonts w:ascii="Arial" w:hAnsi="Arial" w:cs="Arial" w:eastAsia="Arial" w:hint="default"/>
                <w:spacing w:val="2"/>
                <w:sz w:val="24"/>
                <w:szCs w:val="24"/>
              </w:rPr>
              <w:t>3.29</w:t>
            </w:r>
            <w:r>
              <w:rPr>
                <w:rFonts w:ascii="宋体" w:hAnsi="宋体" w:cs="宋体" w:eastAsia="宋体" w:hint="default"/>
                <w:spacing w:val="2"/>
                <w:sz w:val="24"/>
                <w:szCs w:val="24"/>
              </w:rPr>
              <w:t>亿元</w:t>
            </w:r>
            <w:r>
              <w:rPr>
                <w:rFonts w:ascii="Arial" w:hAnsi="Arial" w:cs="Arial" w:eastAsia="Arial" w:hint="default"/>
                <w:spacing w:val="2"/>
                <w:sz w:val="24"/>
                <w:szCs w:val="24"/>
              </w:rPr>
              <w:t>)(2014</w:t>
            </w:r>
            <w:r>
              <w:rPr>
                <w:rFonts w:ascii="宋体" w:hAnsi="宋体" w:cs="宋体" w:eastAsia="宋体" w:hint="default"/>
                <w:spacing w:val="2"/>
                <w:sz w:val="24"/>
                <w:szCs w:val="24"/>
              </w:rPr>
              <w:t>年</w:t>
            </w:r>
            <w:r>
              <w:rPr>
                <w:rFonts w:ascii="Arial" w:hAnsi="Arial" w:cs="Arial" w:eastAsia="Arial" w:hint="default"/>
                <w:spacing w:val="2"/>
                <w:sz w:val="24"/>
                <w:szCs w:val="24"/>
              </w:rPr>
              <w:t>12</w:t>
            </w:r>
            <w:r>
              <w:rPr>
                <w:rFonts w:ascii="宋体" w:hAnsi="宋体" w:cs="宋体" w:eastAsia="宋体" w:hint="default"/>
                <w:spacing w:val="2"/>
                <w:sz w:val="24"/>
                <w:szCs w:val="24"/>
              </w:rPr>
              <w:t>月</w:t>
            </w:r>
            <w:r>
              <w:rPr>
                <w:rFonts w:ascii="Arial" w:hAnsi="Arial" w:cs="Arial" w:eastAsia="Arial" w:hint="default"/>
                <w:spacing w:val="2"/>
                <w:sz w:val="24"/>
                <w:szCs w:val="24"/>
              </w:rPr>
              <w:t>31</w:t>
            </w:r>
            <w:r>
              <w:rPr>
                <w:rFonts w:ascii="宋体" w:hAnsi="宋体" w:cs="宋体" w:eastAsia="宋体" w:hint="default"/>
                <w:spacing w:val="2"/>
                <w:sz w:val="24"/>
                <w:szCs w:val="24"/>
              </w:rPr>
              <w:t>日：</w:t>
            </w:r>
            <w:r>
              <w:rPr>
                <w:rFonts w:ascii="宋体" w:hAnsi="宋体" w:cs="宋体" w:eastAsia="宋体" w:hint="default"/>
                <w:spacing w:val="-116"/>
                <w:sz w:val="24"/>
                <w:szCs w:val="24"/>
              </w:rPr>
              <w:t> </w:t>
            </w:r>
            <w:r>
              <w:rPr>
                <w:rFonts w:ascii="宋体" w:hAnsi="宋体" w:cs="宋体" w:eastAsia="宋体" w:hint="default"/>
                <w:sz w:val="24"/>
                <w:szCs w:val="24"/>
              </w:rPr>
              <w:t>账面价值约为人民币</w:t>
            </w:r>
            <w:r>
              <w:rPr>
                <w:rFonts w:ascii="Arial" w:hAnsi="Arial" w:cs="Arial" w:eastAsia="Arial" w:hint="default"/>
                <w:sz w:val="24"/>
                <w:szCs w:val="24"/>
              </w:rPr>
              <w:t>3.13</w:t>
            </w:r>
            <w:r>
              <w:rPr>
                <w:rFonts w:ascii="宋体" w:hAnsi="宋体" w:cs="宋体" w:eastAsia="宋体" w:hint="default"/>
                <w:sz w:val="24"/>
                <w:szCs w:val="24"/>
              </w:rPr>
              <w:t>亿元、原价约人民币</w:t>
            </w:r>
            <w:r>
              <w:rPr>
                <w:rFonts w:ascii="Arial" w:hAnsi="Arial" w:cs="Arial" w:eastAsia="Arial" w:hint="default"/>
                <w:sz w:val="24"/>
                <w:szCs w:val="24"/>
              </w:rPr>
              <w:t>3.29</w:t>
            </w:r>
            <w:r>
              <w:rPr>
                <w:rFonts w:ascii="宋体" w:hAnsi="宋体" w:cs="宋体" w:eastAsia="宋体" w:hint="default"/>
                <w:sz w:val="24"/>
                <w:szCs w:val="24"/>
              </w:rPr>
              <w:t>亿元</w:t>
            </w:r>
            <w:r>
              <w:rPr>
                <w:rFonts w:ascii="Arial" w:hAnsi="Arial" w:cs="Arial" w:eastAsia="Arial" w:hint="default"/>
                <w:sz w:val="24"/>
                <w:szCs w:val="24"/>
              </w:rPr>
              <w:t>)</w:t>
            </w:r>
            <w:r>
              <w:rPr>
                <w:rFonts w:ascii="Arial" w:hAnsi="Arial" w:cs="Arial" w:eastAsia="Arial" w:hint="default"/>
                <w:spacing w:val="-36"/>
                <w:sz w:val="24"/>
                <w:szCs w:val="24"/>
              </w:rPr>
              <w:t> </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(14))</w:t>
            </w:r>
            <w:r>
              <w:rPr>
                <w:rFonts w:ascii="宋体" w:hAnsi="宋体" w:cs="宋体" w:eastAsia="宋体" w:hint="default"/>
                <w:sz w:val="24"/>
                <w:szCs w:val="24"/>
              </w:rPr>
              <w:t>的房屋建 筑物作抵押的</w:t>
            </w:r>
            <w:r>
              <w:rPr>
                <w:rFonts w:ascii="Arial" w:hAnsi="Arial" w:cs="Arial" w:eastAsia="Arial" w:hint="default"/>
                <w:sz w:val="24"/>
                <w:szCs w:val="24"/>
              </w:rPr>
              <w:t>5</w:t>
            </w:r>
            <w:r>
              <w:rPr>
                <w:rFonts w:ascii="宋体" w:hAnsi="宋体" w:cs="宋体" w:eastAsia="宋体" w:hint="default"/>
                <w:sz w:val="24"/>
                <w:szCs w:val="24"/>
              </w:rPr>
              <w:t>年期浮动利率借款，借款年利率为</w:t>
            </w:r>
            <w:r>
              <w:rPr>
                <w:rFonts w:ascii="Arial" w:hAnsi="Arial" w:cs="Arial" w:eastAsia="Arial" w:hint="default"/>
                <w:sz w:val="24"/>
                <w:szCs w:val="24"/>
              </w:rPr>
              <w:t>3</w:t>
            </w:r>
            <w:r>
              <w:rPr>
                <w:rFonts w:ascii="宋体" w:hAnsi="宋体" w:cs="宋体" w:eastAsia="宋体" w:hint="default"/>
                <w:sz w:val="24"/>
                <w:szCs w:val="24"/>
              </w:rPr>
              <w:t>个月美元</w:t>
            </w:r>
            <w:r>
              <w:rPr>
                <w:rFonts w:ascii="Arial" w:hAnsi="Arial" w:cs="Arial" w:eastAsia="Arial" w:hint="default"/>
                <w:sz w:val="24"/>
                <w:szCs w:val="24"/>
              </w:rPr>
              <w:t>LIBOR+2.48%</w:t>
            </w:r>
            <w:r>
              <w:rPr>
                <w:rFonts w:ascii="宋体" w:hAnsi="宋体" w:cs="宋体" w:eastAsia="宋体" w:hint="default"/>
                <w:sz w:val="24"/>
                <w:szCs w:val="24"/>
              </w:rPr>
              <w:t>，</w:t>
            </w:r>
            <w:r>
              <w:rPr>
                <w:rFonts w:ascii="宋体" w:hAnsi="宋体" w:cs="宋体" w:eastAsia="宋体" w:hint="default"/>
                <w:spacing w:val="-69"/>
                <w:sz w:val="24"/>
                <w:szCs w:val="24"/>
              </w:rPr>
              <w:t> </w:t>
            </w:r>
            <w:r>
              <w:rPr>
                <w:rFonts w:ascii="宋体" w:hAnsi="宋体" w:cs="宋体" w:eastAsia="宋体" w:hint="default"/>
                <w:sz w:val="24"/>
                <w:szCs w:val="24"/>
              </w:rPr>
              <w:t>利息每</w:t>
            </w:r>
            <w:r>
              <w:rPr>
                <w:rFonts w:ascii="Arial" w:hAnsi="Arial" w:cs="Arial" w:eastAsia="Arial" w:hint="default"/>
                <w:sz w:val="24"/>
                <w:szCs w:val="24"/>
              </w:rPr>
              <w:t>3</w:t>
            </w:r>
            <w:r>
              <w:rPr>
                <w:rFonts w:ascii="宋体" w:hAnsi="宋体" w:cs="宋体" w:eastAsia="宋体" w:hint="default"/>
                <w:sz w:val="24"/>
                <w:szCs w:val="24"/>
              </w:rPr>
              <w:t>个月支付一次，分期偿还本金，其中将于一年内到期的本金约为人民</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币</w:t>
            </w:r>
            <w:r>
              <w:rPr>
                <w:rFonts w:ascii="Arial" w:hAnsi="Arial" w:cs="Arial" w:eastAsia="Arial" w:hint="default"/>
                <w:sz w:val="24"/>
                <w:szCs w:val="24"/>
              </w:rPr>
              <w:t>5,844</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(31))</w:t>
            </w:r>
            <w:r>
              <w:rPr>
                <w:rFonts w:ascii="宋体" w:hAnsi="宋体" w:cs="宋体" w:eastAsia="宋体" w:hint="default"/>
                <w:sz w:val="24"/>
                <w:szCs w:val="24"/>
              </w:rPr>
              <w:t>，最后一笔本金偿还日为</w:t>
            </w:r>
            <w:r>
              <w:rPr>
                <w:rFonts w:ascii="Arial" w:hAnsi="Arial" w:cs="Arial" w:eastAsia="Arial" w:hint="default"/>
                <w:sz w:val="24"/>
                <w:szCs w:val="24"/>
              </w:rPr>
              <w:t>2019</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12</w:t>
            </w:r>
            <w:r>
              <w:rPr>
                <w:rFonts w:ascii="宋体" w:hAnsi="宋体" w:cs="宋体" w:eastAsia="宋体" w:hint="default"/>
                <w:sz w:val="24"/>
                <w:szCs w:val="24"/>
              </w:rPr>
              <w:t>日。</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5" w:lineRule="auto"/>
              <w:ind w:left="163" w:right="198"/>
              <w:jc w:val="both"/>
              <w:rPr>
                <w:rFonts w:ascii="宋体" w:hAnsi="宋体" w:cs="宋体" w:eastAsia="宋体" w:hint="default"/>
                <w:sz w:val="24"/>
                <w:szCs w:val="24"/>
              </w:rPr>
            </w:pPr>
            <w:r>
              <w:rPr>
                <w:rFonts w:ascii="宋体" w:hAnsi="宋体" w:cs="宋体" w:eastAsia="宋体" w:hint="default"/>
                <w:spacing w:val="5"/>
                <w:sz w:val="24"/>
                <w:szCs w:val="24"/>
              </w:rPr>
              <w:t>第二笔抵押借款于</w:t>
            </w:r>
            <w:r>
              <w:rPr>
                <w:rFonts w:ascii="Arial" w:hAnsi="Arial" w:cs="Arial" w:eastAsia="Arial" w:hint="default"/>
                <w:spacing w:val="5"/>
                <w:sz w:val="24"/>
                <w:szCs w:val="24"/>
              </w:rPr>
              <w:t>2015</w:t>
            </w:r>
            <w:r>
              <w:rPr>
                <w:rFonts w:ascii="宋体" w:hAnsi="宋体" w:cs="宋体" w:eastAsia="宋体" w:hint="default"/>
                <w:spacing w:val="5"/>
                <w:sz w:val="24"/>
                <w:szCs w:val="24"/>
              </w:rPr>
              <w:t>年借入，金额为</w:t>
            </w:r>
            <w:r>
              <w:rPr>
                <w:rFonts w:ascii="Arial" w:hAnsi="Arial" w:cs="Arial" w:eastAsia="Arial" w:hint="default"/>
                <w:spacing w:val="5"/>
                <w:sz w:val="24"/>
                <w:szCs w:val="24"/>
              </w:rPr>
              <w:t>1.76</w:t>
            </w:r>
            <w:r>
              <w:rPr>
                <w:rFonts w:ascii="宋体" w:hAnsi="宋体" w:cs="宋体" w:eastAsia="宋体" w:hint="default"/>
                <w:spacing w:val="5"/>
                <w:sz w:val="24"/>
                <w:szCs w:val="24"/>
              </w:rPr>
              <w:t>亿日元，折合约人民币</w:t>
            </w:r>
            <w:r>
              <w:rPr>
                <w:rFonts w:ascii="Arial" w:hAnsi="Arial" w:cs="Arial" w:eastAsia="Arial" w:hint="default"/>
                <w:spacing w:val="5"/>
                <w:sz w:val="24"/>
                <w:szCs w:val="24"/>
              </w:rPr>
              <w:t>948</w:t>
            </w:r>
            <w:r>
              <w:rPr>
                <w:rFonts w:ascii="宋体" w:hAnsi="宋体" w:cs="宋体" w:eastAsia="宋体" w:hint="default"/>
                <w:spacing w:val="5"/>
                <w:sz w:val="24"/>
                <w:szCs w:val="24"/>
              </w:rPr>
              <w:t>万元</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Arial" w:hAnsi="Arial" w:cs="Arial" w:eastAsia="Arial" w:hint="default"/>
                <w:spacing w:val="-3"/>
                <w:sz w:val="24"/>
                <w:szCs w:val="24"/>
              </w:rPr>
              <w:t>(2014</w:t>
            </w:r>
            <w:r>
              <w:rPr>
                <w:rFonts w:ascii="宋体" w:hAnsi="宋体" w:cs="宋体" w:eastAsia="宋体" w:hint="default"/>
                <w:spacing w:val="-3"/>
                <w:sz w:val="24"/>
                <w:szCs w:val="24"/>
              </w:rPr>
              <w:t>年</w:t>
            </w:r>
            <w:r>
              <w:rPr>
                <w:rFonts w:ascii="Arial" w:hAnsi="Arial" w:cs="Arial" w:eastAsia="Arial" w:hint="default"/>
                <w:spacing w:val="-3"/>
                <w:sz w:val="24"/>
                <w:szCs w:val="24"/>
              </w:rPr>
              <w:t>12</w:t>
            </w:r>
            <w:r>
              <w:rPr>
                <w:rFonts w:ascii="宋体" w:hAnsi="宋体" w:cs="宋体" w:eastAsia="宋体" w:hint="default"/>
                <w:spacing w:val="-3"/>
                <w:sz w:val="24"/>
                <w:szCs w:val="24"/>
              </w:rPr>
              <w:t>月</w:t>
            </w:r>
            <w:r>
              <w:rPr>
                <w:rFonts w:ascii="Arial" w:hAnsi="Arial" w:cs="Arial" w:eastAsia="Arial" w:hint="default"/>
                <w:spacing w:val="-3"/>
                <w:sz w:val="24"/>
                <w:szCs w:val="24"/>
              </w:rPr>
              <w:t>31</w:t>
            </w:r>
            <w:r>
              <w:rPr>
                <w:rFonts w:ascii="宋体" w:hAnsi="宋体" w:cs="宋体" w:eastAsia="宋体" w:hint="default"/>
                <w:spacing w:val="-3"/>
                <w:sz w:val="24"/>
                <w:szCs w:val="24"/>
              </w:rPr>
              <w:t>日：无</w:t>
            </w:r>
            <w:r>
              <w:rPr>
                <w:rFonts w:ascii="Arial" w:hAnsi="Arial" w:cs="Arial" w:eastAsia="Arial" w:hint="default"/>
                <w:spacing w:val="-3"/>
                <w:sz w:val="24"/>
                <w:szCs w:val="24"/>
              </w:rPr>
              <w:t>)</w:t>
            </w:r>
            <w:r>
              <w:rPr>
                <w:rFonts w:ascii="宋体" w:hAnsi="宋体" w:cs="宋体" w:eastAsia="宋体" w:hint="default"/>
                <w:spacing w:val="-3"/>
                <w:sz w:val="24"/>
                <w:szCs w:val="24"/>
              </w:rPr>
              <w:t>，系由本集团账面价值约为人民币</w:t>
            </w:r>
            <w:r>
              <w:rPr>
                <w:rFonts w:ascii="Arial" w:hAnsi="Arial" w:cs="Arial" w:eastAsia="Arial" w:hint="default"/>
                <w:spacing w:val="-3"/>
                <w:sz w:val="24"/>
                <w:szCs w:val="24"/>
              </w:rPr>
              <w:t>236</w:t>
            </w:r>
            <w:r>
              <w:rPr>
                <w:rFonts w:ascii="宋体" w:hAnsi="宋体" w:cs="宋体" w:eastAsia="宋体" w:hint="default"/>
                <w:spacing w:val="-3"/>
                <w:sz w:val="24"/>
                <w:szCs w:val="24"/>
              </w:rPr>
              <w:t>万元</w:t>
            </w:r>
            <w:r>
              <w:rPr>
                <w:rFonts w:ascii="Arial" w:hAnsi="Arial" w:cs="Arial" w:eastAsia="Arial" w:hint="default"/>
                <w:spacing w:val="-3"/>
                <w:sz w:val="24"/>
                <w:szCs w:val="24"/>
              </w:rPr>
              <w:t>(</w:t>
            </w:r>
            <w:r>
              <w:rPr>
                <w:rFonts w:ascii="宋体" w:hAnsi="宋体" w:cs="宋体" w:eastAsia="宋体" w:hint="default"/>
                <w:spacing w:val="-3"/>
                <w:sz w:val="24"/>
                <w:szCs w:val="24"/>
              </w:rPr>
              <w:t>原价约人民</w:t>
            </w:r>
            <w:r>
              <w:rPr>
                <w:rFonts w:ascii="宋体" w:hAnsi="宋体" w:cs="宋体" w:eastAsia="宋体" w:hint="default"/>
                <w:spacing w:val="-85"/>
                <w:sz w:val="24"/>
                <w:szCs w:val="24"/>
              </w:rPr>
              <w:t> </w:t>
            </w:r>
            <w:r>
              <w:rPr>
                <w:rFonts w:ascii="宋体" w:hAnsi="宋体" w:cs="宋体" w:eastAsia="宋体" w:hint="default"/>
                <w:sz w:val="24"/>
                <w:szCs w:val="24"/>
              </w:rPr>
              <w:t>币</w:t>
            </w:r>
            <w:r>
              <w:rPr>
                <w:rFonts w:ascii="Arial" w:hAnsi="Arial" w:cs="Arial" w:eastAsia="Arial" w:hint="default"/>
                <w:sz w:val="24"/>
                <w:szCs w:val="24"/>
              </w:rPr>
              <w:t>484</w:t>
            </w:r>
            <w:r>
              <w:rPr>
                <w:rFonts w:ascii="宋体" w:hAnsi="宋体" w:cs="宋体" w:eastAsia="宋体" w:hint="default"/>
                <w:sz w:val="24"/>
                <w:szCs w:val="24"/>
              </w:rPr>
              <w:t>万元</w:t>
            </w:r>
            <w:r>
              <w:rPr>
                <w:rFonts w:ascii="Arial" w:hAnsi="Arial" w:cs="Arial" w:eastAsia="Arial" w:hint="default"/>
                <w:sz w:val="24"/>
                <w:szCs w:val="24"/>
              </w:rPr>
              <w:t>) (2014</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(14))</w:t>
            </w:r>
            <w:r>
              <w:rPr>
                <w:rFonts w:ascii="宋体" w:hAnsi="宋体" w:cs="宋体" w:eastAsia="宋体" w:hint="default"/>
                <w:sz w:val="24"/>
                <w:szCs w:val="24"/>
              </w:rPr>
              <w:t>的房屋建筑物作抵押的</w:t>
            </w:r>
            <w:r>
              <w:rPr>
                <w:rFonts w:ascii="Arial" w:hAnsi="Arial" w:cs="Arial" w:eastAsia="Arial" w:hint="default"/>
                <w:sz w:val="24"/>
                <w:szCs w:val="24"/>
              </w:rPr>
              <w:t>9</w:t>
            </w:r>
            <w:r>
              <w:rPr>
                <w:rFonts w:ascii="宋体" w:hAnsi="宋体" w:cs="宋体" w:eastAsia="宋体" w:hint="default"/>
                <w:sz w:val="24"/>
                <w:szCs w:val="24"/>
              </w:rPr>
              <w:t>年期</w:t>
            </w:r>
            <w:r>
              <w:rPr>
                <w:rFonts w:ascii="宋体" w:hAnsi="宋体" w:cs="宋体" w:eastAsia="宋体" w:hint="default"/>
                <w:spacing w:val="-107"/>
                <w:sz w:val="24"/>
                <w:szCs w:val="24"/>
              </w:rPr>
              <w:t> </w:t>
            </w:r>
            <w:r>
              <w:rPr>
                <w:rFonts w:ascii="宋体" w:hAnsi="宋体" w:cs="宋体" w:eastAsia="宋体" w:hint="default"/>
                <w:sz w:val="24"/>
                <w:szCs w:val="24"/>
              </w:rPr>
              <w:t>固定利率借款，借款年利率为</w:t>
            </w:r>
            <w:r>
              <w:rPr>
                <w:rFonts w:ascii="Arial" w:hAnsi="Arial" w:cs="Arial" w:eastAsia="Arial" w:hint="default"/>
                <w:sz w:val="24"/>
                <w:szCs w:val="24"/>
              </w:rPr>
              <w:t>2.12%</w:t>
            </w:r>
            <w:r>
              <w:rPr>
                <w:rFonts w:ascii="宋体" w:hAnsi="宋体" w:cs="宋体" w:eastAsia="宋体" w:hint="default"/>
                <w:sz w:val="24"/>
                <w:szCs w:val="24"/>
              </w:rPr>
              <w:t>，利息每年支付一次，分期偿还本金，其 </w:t>
            </w:r>
            <w:r>
              <w:rPr>
                <w:rFonts w:ascii="宋体" w:hAnsi="宋体" w:cs="宋体" w:eastAsia="宋体" w:hint="default"/>
                <w:spacing w:val="-3"/>
                <w:sz w:val="24"/>
                <w:szCs w:val="24"/>
              </w:rPr>
              <w:t>中将于一年内到期的本金约为人民币</w:t>
            </w:r>
            <w:r>
              <w:rPr>
                <w:rFonts w:ascii="Arial" w:hAnsi="Arial" w:cs="Arial" w:eastAsia="Arial" w:hint="default"/>
                <w:spacing w:val="-3"/>
                <w:sz w:val="24"/>
                <w:szCs w:val="24"/>
              </w:rPr>
              <w:t>147</w:t>
            </w:r>
            <w:r>
              <w:rPr>
                <w:rFonts w:ascii="宋体" w:hAnsi="宋体" w:cs="宋体" w:eastAsia="宋体" w:hint="default"/>
                <w:spacing w:val="-3"/>
                <w:sz w:val="24"/>
                <w:szCs w:val="24"/>
              </w:rPr>
              <w:t>万元</w:t>
            </w:r>
            <w:r>
              <w:rPr>
                <w:rFonts w:ascii="Arial" w:hAnsi="Arial" w:cs="Arial" w:eastAsia="Arial" w:hint="default"/>
                <w:spacing w:val="-3"/>
                <w:sz w:val="24"/>
                <w:szCs w:val="24"/>
              </w:rPr>
              <w:t>(</w:t>
            </w:r>
            <w:r>
              <w:rPr>
                <w:rFonts w:ascii="宋体" w:hAnsi="宋体" w:cs="宋体" w:eastAsia="宋体" w:hint="default"/>
                <w:spacing w:val="-3"/>
                <w:sz w:val="24"/>
                <w:szCs w:val="24"/>
              </w:rPr>
              <w:t>附注四</w:t>
            </w:r>
            <w:r>
              <w:rPr>
                <w:rFonts w:ascii="Arial" w:hAnsi="Arial" w:cs="Arial" w:eastAsia="Arial" w:hint="default"/>
                <w:spacing w:val="-3"/>
                <w:sz w:val="24"/>
                <w:szCs w:val="24"/>
              </w:rPr>
              <w:t>(31))</w:t>
            </w:r>
            <w:r>
              <w:rPr>
                <w:rFonts w:ascii="宋体" w:hAnsi="宋体" w:cs="宋体" w:eastAsia="宋体" w:hint="default"/>
                <w:spacing w:val="-3"/>
                <w:sz w:val="24"/>
                <w:szCs w:val="24"/>
              </w:rPr>
              <w:t>，最后一笔本金偿还</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日为</w:t>
            </w:r>
            <w:r>
              <w:rPr>
                <w:rFonts w:ascii="Arial" w:hAnsi="Arial" w:cs="Arial" w:eastAsia="Arial" w:hint="default"/>
                <w:sz w:val="24"/>
                <w:szCs w:val="24"/>
              </w:rPr>
              <w:t>2020</w:t>
            </w:r>
            <w:r>
              <w:rPr>
                <w:rFonts w:ascii="宋体" w:hAnsi="宋体" w:cs="宋体" w:eastAsia="宋体" w:hint="default"/>
                <w:sz w:val="24"/>
                <w:szCs w:val="24"/>
              </w:rPr>
              <w:t>年</w:t>
            </w:r>
            <w:r>
              <w:rPr>
                <w:rFonts w:ascii="Arial" w:hAnsi="Arial" w:cs="Arial" w:eastAsia="Arial" w:hint="default"/>
                <w:sz w:val="24"/>
                <w:szCs w:val="24"/>
              </w:rPr>
              <w:t>6</w:t>
            </w:r>
            <w:r>
              <w:rPr>
                <w:rFonts w:ascii="宋体" w:hAnsi="宋体" w:cs="宋体" w:eastAsia="宋体" w:hint="default"/>
                <w:sz w:val="24"/>
                <w:szCs w:val="24"/>
              </w:rPr>
              <w:t>月</w:t>
            </w:r>
            <w:r>
              <w:rPr>
                <w:rFonts w:ascii="Arial" w:hAnsi="Arial" w:cs="Arial" w:eastAsia="Arial" w:hint="default"/>
                <w:sz w:val="24"/>
                <w:szCs w:val="24"/>
              </w:rPr>
              <w:t>30</w:t>
            </w:r>
            <w:r>
              <w:rPr>
                <w:rFonts w:ascii="宋体" w:hAnsi="宋体" w:cs="宋体" w:eastAsia="宋体" w:hint="default"/>
                <w:sz w:val="24"/>
                <w:szCs w:val="24"/>
              </w:rPr>
              <w:t>日。</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5" w:lineRule="auto"/>
              <w:ind w:left="163" w:right="198"/>
              <w:jc w:val="left"/>
              <w:rPr>
                <w:rFonts w:ascii="宋体" w:hAnsi="宋体" w:cs="宋体" w:eastAsia="宋体" w:hint="default"/>
                <w:sz w:val="24"/>
                <w:szCs w:val="24"/>
              </w:rPr>
            </w:pPr>
            <w:r>
              <w:rPr>
                <w:rFonts w:ascii="宋体" w:hAnsi="宋体" w:cs="宋体" w:eastAsia="宋体" w:hint="default"/>
                <w:spacing w:val="-3"/>
                <w:w w:val="99"/>
                <w:sz w:val="24"/>
                <w:szCs w:val="24"/>
              </w:rPr>
              <w:t>于</w:t>
            </w:r>
            <w:r>
              <w:rPr>
                <w:rFonts w:ascii="Arial" w:hAnsi="Arial" w:cs="Arial" w:eastAsia="Arial" w:hint="default"/>
                <w:spacing w:val="-3"/>
                <w:w w:val="99"/>
                <w:sz w:val="24"/>
                <w:szCs w:val="24"/>
              </w:rPr>
              <w:t>2015</w:t>
            </w:r>
            <w:r>
              <w:rPr>
                <w:rFonts w:ascii="宋体" w:hAnsi="宋体" w:cs="宋体" w:eastAsia="宋体" w:hint="default"/>
                <w:spacing w:val="-3"/>
                <w:w w:val="99"/>
                <w:sz w:val="24"/>
                <w:szCs w:val="24"/>
              </w:rPr>
              <w:t>年</w:t>
            </w:r>
            <w:r>
              <w:rPr>
                <w:rFonts w:ascii="Arial" w:hAnsi="Arial" w:cs="Arial" w:eastAsia="Arial" w:hint="default"/>
                <w:spacing w:val="-3"/>
                <w:w w:val="99"/>
                <w:sz w:val="24"/>
                <w:szCs w:val="24"/>
              </w:rPr>
              <w:t>12</w:t>
            </w:r>
            <w:r>
              <w:rPr>
                <w:rFonts w:ascii="宋体" w:hAnsi="宋体" w:cs="宋体" w:eastAsia="宋体" w:hint="default"/>
                <w:spacing w:val="-3"/>
                <w:w w:val="99"/>
                <w:sz w:val="24"/>
                <w:szCs w:val="24"/>
              </w:rPr>
              <w:t>月</w:t>
            </w:r>
            <w:r>
              <w:rPr>
                <w:rFonts w:ascii="Arial" w:hAnsi="Arial" w:cs="Arial" w:eastAsia="Arial" w:hint="default"/>
                <w:spacing w:val="-3"/>
                <w:w w:val="99"/>
                <w:sz w:val="24"/>
                <w:szCs w:val="24"/>
              </w:rPr>
              <w:t>31</w:t>
            </w:r>
            <w:r>
              <w:rPr>
                <w:rFonts w:ascii="宋体" w:hAnsi="宋体" w:cs="宋体" w:eastAsia="宋体" w:hint="default"/>
                <w:spacing w:val="-3"/>
                <w:w w:val="99"/>
                <w:sz w:val="24"/>
                <w:szCs w:val="24"/>
              </w:rPr>
              <w:t>日，美元银行质押借款约人民币</w:t>
            </w:r>
            <w:r>
              <w:rPr>
                <w:rFonts w:ascii="Arial" w:hAnsi="Arial" w:cs="Arial" w:eastAsia="Arial" w:hint="default"/>
                <w:spacing w:val="-3"/>
                <w:w w:val="99"/>
                <w:sz w:val="24"/>
                <w:szCs w:val="24"/>
              </w:rPr>
              <w:t>2,597</w:t>
            </w:r>
            <w:r>
              <w:rPr>
                <w:rFonts w:ascii="宋体" w:hAnsi="宋体" w:cs="宋体" w:eastAsia="宋体" w:hint="default"/>
                <w:spacing w:val="-3"/>
                <w:w w:val="99"/>
                <w:sz w:val="24"/>
                <w:szCs w:val="24"/>
              </w:rPr>
              <w:t>万元</w:t>
            </w:r>
            <w:r>
              <w:rPr>
                <w:rFonts w:ascii="Arial" w:hAnsi="Arial" w:cs="Arial" w:eastAsia="Arial" w:hint="default"/>
                <w:spacing w:val="-3"/>
                <w:w w:val="99"/>
                <w:sz w:val="24"/>
                <w:szCs w:val="24"/>
              </w:rPr>
              <w:t>(2014</w:t>
            </w:r>
            <w:r>
              <w:rPr>
                <w:rFonts w:ascii="宋体" w:hAnsi="宋体" w:cs="宋体" w:eastAsia="宋体" w:hint="default"/>
                <w:spacing w:val="-3"/>
                <w:w w:val="99"/>
                <w:sz w:val="24"/>
                <w:szCs w:val="24"/>
              </w:rPr>
              <w:t>年</w:t>
            </w:r>
            <w:r>
              <w:rPr>
                <w:rFonts w:ascii="Arial" w:hAnsi="Arial" w:cs="Arial" w:eastAsia="Arial" w:hint="default"/>
                <w:spacing w:val="-3"/>
                <w:w w:val="99"/>
                <w:sz w:val="24"/>
                <w:szCs w:val="24"/>
              </w:rPr>
              <w:t>12</w:t>
            </w:r>
            <w:r>
              <w:rPr>
                <w:rFonts w:ascii="宋体" w:hAnsi="宋体" w:cs="宋体" w:eastAsia="宋体" w:hint="default"/>
                <w:spacing w:val="-3"/>
                <w:w w:val="99"/>
                <w:sz w:val="24"/>
                <w:szCs w:val="24"/>
              </w:rPr>
              <w:t>月</w:t>
            </w:r>
            <w:r>
              <w:rPr>
                <w:rFonts w:ascii="Arial" w:hAnsi="Arial" w:cs="Arial" w:eastAsia="Arial" w:hint="default"/>
                <w:spacing w:val="-3"/>
                <w:w w:val="99"/>
                <w:sz w:val="24"/>
                <w:szCs w:val="24"/>
              </w:rPr>
              <w:t>31</w:t>
            </w:r>
            <w:r>
              <w:rPr>
                <w:rFonts w:ascii="宋体" w:hAnsi="宋体" w:cs="宋体" w:eastAsia="宋体" w:hint="default"/>
                <w:spacing w:val="-3"/>
                <w:w w:val="99"/>
                <w:sz w:val="24"/>
                <w:szCs w:val="24"/>
              </w:rPr>
              <w:t>日：</w:t>
            </w:r>
            <w:r>
              <w:rPr>
                <w:rFonts w:ascii="宋体" w:hAnsi="宋体" w:cs="宋体" w:eastAsia="宋体" w:hint="default"/>
                <w:spacing w:val="-110"/>
                <w:w w:val="99"/>
                <w:sz w:val="24"/>
                <w:szCs w:val="24"/>
              </w:rPr>
              <w:t> </w:t>
            </w:r>
            <w:r>
              <w:rPr>
                <w:rFonts w:ascii="宋体" w:hAnsi="宋体" w:cs="宋体" w:eastAsia="宋体" w:hint="default"/>
                <w:sz w:val="24"/>
                <w:szCs w:val="24"/>
              </w:rPr>
              <w:t>无</w:t>
            </w:r>
            <w:r>
              <w:rPr>
                <w:rFonts w:ascii="Arial" w:hAnsi="Arial" w:cs="Arial" w:eastAsia="Arial" w:hint="default"/>
                <w:sz w:val="24"/>
                <w:szCs w:val="24"/>
              </w:rPr>
              <w:t>)</w:t>
            </w:r>
            <w:r>
              <w:rPr>
                <w:rFonts w:ascii="宋体" w:hAnsi="宋体" w:cs="宋体" w:eastAsia="宋体" w:hint="default"/>
                <w:sz w:val="24"/>
                <w:szCs w:val="24"/>
              </w:rPr>
              <w:t>系由本集团存于银行的备用信用证保证金约人民币</w:t>
            </w:r>
            <w:r>
              <w:rPr>
                <w:rFonts w:ascii="Arial" w:hAnsi="Arial" w:cs="Arial" w:eastAsia="Arial" w:hint="default"/>
                <w:sz w:val="24"/>
                <w:szCs w:val="24"/>
              </w:rPr>
              <w:t>2,610</w:t>
            </w:r>
            <w:r>
              <w:rPr>
                <w:rFonts w:ascii="宋体" w:hAnsi="宋体" w:cs="宋体" w:eastAsia="宋体" w:hint="default"/>
                <w:sz w:val="24"/>
                <w:szCs w:val="24"/>
              </w:rPr>
              <w:t>万元</w:t>
            </w:r>
            <w:r>
              <w:rPr>
                <w:rFonts w:ascii="Arial" w:hAnsi="Arial" w:cs="Arial" w:eastAsia="Arial" w:hint="default"/>
                <w:sz w:val="24"/>
                <w:szCs w:val="24"/>
              </w:rPr>
              <w:t>(2014</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Arial" w:hAnsi="Arial" w:cs="Arial" w:eastAsia="Arial" w:hint="default"/>
                <w:sz w:val="24"/>
                <w:szCs w:val="24"/>
              </w:rPr>
              <w:t>31</w:t>
            </w:r>
            <w:r>
              <w:rPr>
                <w:rFonts w:ascii="宋体" w:hAnsi="宋体" w:cs="宋体" w:eastAsia="宋体" w:hint="default"/>
                <w:sz w:val="24"/>
                <w:szCs w:val="24"/>
              </w:rPr>
              <w:t>日：无</w:t>
            </w:r>
            <w:r>
              <w:rPr>
                <w:rFonts w:ascii="Arial" w:hAnsi="Arial" w:cs="Arial" w:eastAsia="Arial" w:hint="default"/>
                <w:sz w:val="24"/>
                <w:szCs w:val="24"/>
              </w:rPr>
              <w:t>)</w:t>
            </w:r>
            <w:r>
              <w:rPr>
                <w:rFonts w:ascii="Arial" w:hAnsi="Arial" w:cs="Arial" w:eastAsia="Arial" w:hint="default"/>
                <w:spacing w:val="12"/>
                <w:sz w:val="24"/>
                <w:szCs w:val="24"/>
              </w:rPr>
              <w:t> </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w:t>
            </w:r>
            <w:r>
              <w:rPr>
                <w:rFonts w:ascii="宋体" w:hAnsi="宋体" w:cs="宋体" w:eastAsia="宋体" w:hint="default"/>
                <w:sz w:val="24"/>
                <w:szCs w:val="24"/>
              </w:rPr>
              <w:t>作为质押的</w:t>
            </w:r>
            <w:r>
              <w:rPr>
                <w:rFonts w:ascii="Arial" w:hAnsi="Arial" w:cs="Arial" w:eastAsia="Arial" w:hint="default"/>
                <w:sz w:val="24"/>
                <w:szCs w:val="24"/>
              </w:rPr>
              <w:t>2</w:t>
            </w:r>
            <w:r>
              <w:rPr>
                <w:rFonts w:ascii="宋体" w:hAnsi="宋体" w:cs="宋体" w:eastAsia="宋体" w:hint="default"/>
                <w:sz w:val="24"/>
                <w:szCs w:val="24"/>
              </w:rPr>
              <w:t>年期浮动利率借款。借款年利率为</w:t>
            </w:r>
            <w:r>
              <w:rPr>
                <w:rFonts w:ascii="Arial" w:hAnsi="Arial" w:cs="Arial" w:eastAsia="Arial" w:hint="default"/>
                <w:sz w:val="24"/>
                <w:szCs w:val="24"/>
              </w:rPr>
              <w:t>3</w:t>
            </w:r>
            <w:r>
              <w:rPr>
                <w:rFonts w:ascii="宋体" w:hAnsi="宋体" w:cs="宋体" w:eastAsia="宋体" w:hint="default"/>
                <w:sz w:val="24"/>
                <w:szCs w:val="24"/>
              </w:rPr>
              <w:t>个月美 元</w:t>
            </w:r>
            <w:r>
              <w:rPr>
                <w:rFonts w:ascii="Arial" w:hAnsi="Arial" w:cs="Arial" w:eastAsia="Arial" w:hint="default"/>
                <w:sz w:val="24"/>
                <w:szCs w:val="24"/>
              </w:rPr>
              <w:t>LIBOR+1.7%</w:t>
            </w:r>
            <w:r>
              <w:rPr>
                <w:rFonts w:ascii="宋体" w:hAnsi="宋体" w:cs="宋体" w:eastAsia="宋体" w:hint="default"/>
                <w:sz w:val="24"/>
                <w:szCs w:val="24"/>
              </w:rPr>
              <w:t>，利息每季度支付一次，于</w:t>
            </w:r>
            <w:r>
              <w:rPr>
                <w:rFonts w:ascii="Arial" w:hAnsi="Arial" w:cs="Arial" w:eastAsia="Arial" w:hint="default"/>
                <w:sz w:val="24"/>
                <w:szCs w:val="24"/>
              </w:rPr>
              <w:t>2017</w:t>
            </w:r>
            <w:r>
              <w:rPr>
                <w:rFonts w:ascii="宋体" w:hAnsi="宋体" w:cs="宋体" w:eastAsia="宋体" w:hint="default"/>
                <w:sz w:val="24"/>
                <w:szCs w:val="24"/>
              </w:rPr>
              <w:t>年</w:t>
            </w:r>
            <w:r>
              <w:rPr>
                <w:rFonts w:ascii="Arial" w:hAnsi="Arial" w:cs="Arial" w:eastAsia="Arial" w:hint="default"/>
                <w:sz w:val="24"/>
                <w:szCs w:val="24"/>
              </w:rPr>
              <w:t>5</w:t>
            </w:r>
            <w:r>
              <w:rPr>
                <w:rFonts w:ascii="宋体" w:hAnsi="宋体" w:cs="宋体" w:eastAsia="宋体" w:hint="default"/>
                <w:sz w:val="24"/>
                <w:szCs w:val="24"/>
              </w:rPr>
              <w:t>月到期一次还本付息。</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21" w:lineRule="exact"/>
              <w:ind w:left="163" w:right="0"/>
              <w:jc w:val="both"/>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49"/>
                <w:sz w:val="24"/>
                <w:szCs w:val="24"/>
              </w:rPr>
              <w:t> </w:t>
            </w:r>
            <w:r>
              <w:rPr>
                <w:rFonts w:ascii="Arial" w:hAnsi="Arial" w:cs="Arial" w:eastAsia="Arial" w:hint="default"/>
                <w:sz w:val="24"/>
                <w:szCs w:val="24"/>
              </w:rPr>
              <w:t>2015</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日，长期借款的利率区间为</w:t>
            </w:r>
            <w:r>
              <w:rPr>
                <w:rFonts w:ascii="宋体" w:hAnsi="宋体" w:cs="宋体" w:eastAsia="宋体" w:hint="default"/>
                <w:spacing w:val="-49"/>
                <w:sz w:val="24"/>
                <w:szCs w:val="24"/>
              </w:rPr>
              <w:t> </w:t>
            </w:r>
            <w:r>
              <w:rPr>
                <w:rFonts w:ascii="Arial" w:hAnsi="Arial" w:cs="Arial" w:eastAsia="Arial" w:hint="default"/>
                <w:sz w:val="24"/>
                <w:szCs w:val="24"/>
              </w:rPr>
              <w:t>1.98%</w:t>
            </w:r>
            <w:r>
              <w:rPr>
                <w:rFonts w:ascii="宋体" w:hAnsi="宋体" w:cs="宋体" w:eastAsia="宋体" w:hint="default"/>
                <w:sz w:val="24"/>
                <w:szCs w:val="24"/>
              </w:rPr>
              <w:t>至</w:t>
            </w:r>
            <w:r>
              <w:rPr>
                <w:rFonts w:ascii="宋体" w:hAnsi="宋体" w:cs="宋体" w:eastAsia="宋体" w:hint="default"/>
                <w:spacing w:val="-49"/>
                <w:sz w:val="24"/>
                <w:szCs w:val="24"/>
              </w:rPr>
              <w:t> </w:t>
            </w:r>
            <w:r>
              <w:rPr>
                <w:rFonts w:ascii="Arial" w:hAnsi="Arial" w:cs="Arial" w:eastAsia="Arial" w:hint="default"/>
                <w:sz w:val="24"/>
                <w:szCs w:val="24"/>
              </w:rPr>
              <w:t>4.61%(2014</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p>
          <w:p>
            <w:pPr>
              <w:pStyle w:val="TableParagraph"/>
              <w:spacing w:line="321" w:lineRule="exact"/>
              <w:ind w:left="163" w:right="0"/>
              <w:jc w:val="both"/>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r>
              <w:rPr>
                <w:rFonts w:ascii="Arial" w:hAnsi="Arial" w:cs="Arial" w:eastAsia="Arial" w:hint="default"/>
                <w:sz w:val="24"/>
                <w:szCs w:val="24"/>
              </w:rPr>
              <w:t>2.72%</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4.15%)</w:t>
            </w:r>
            <w:r>
              <w:rPr>
                <w:rFonts w:ascii="宋体" w:hAnsi="宋体" w:cs="宋体" w:eastAsia="宋体" w:hint="default"/>
                <w:sz w:val="24"/>
                <w:szCs w:val="24"/>
              </w:rPr>
              <w:t>。</w:t>
            </w:r>
          </w:p>
        </w:tc>
      </w:tr>
    </w:tbl>
    <w:p>
      <w:pPr>
        <w:spacing w:after="0" w:line="321" w:lineRule="exact"/>
        <w:jc w:val="both"/>
        <w:rPr>
          <w:rFonts w:ascii="宋体" w:hAnsi="宋体" w:cs="宋体" w:eastAsia="宋体" w:hint="default"/>
          <w:sz w:val="24"/>
          <w:szCs w:val="24"/>
        </w:rPr>
        <w:sectPr>
          <w:pgSz w:w="11910" w:h="16840"/>
          <w:pgMar w:header="755" w:footer="914" w:top="186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754"/>
        <w:gridCol w:w="1653"/>
        <w:gridCol w:w="1224"/>
        <w:gridCol w:w="941"/>
        <w:gridCol w:w="1276"/>
        <w:gridCol w:w="978"/>
        <w:gridCol w:w="1106"/>
        <w:gridCol w:w="1066"/>
      </w:tblGrid>
      <w:tr>
        <w:trPr>
          <w:trHeight w:val="416"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exact"/>
              <w:ind w:right="1"/>
              <w:jc w:val="center"/>
              <w:rPr>
                <w:rFonts w:ascii="黑体" w:hAnsi="黑体" w:cs="黑体" w:eastAsia="黑体" w:hint="default"/>
                <w:sz w:val="24"/>
                <w:szCs w:val="24"/>
              </w:rPr>
            </w:pPr>
            <w:r>
              <w:rPr>
                <w:rFonts w:ascii="黑体" w:hAnsi="黑体" w:cs="黑体" w:eastAsia="黑体" w:hint="default"/>
                <w:sz w:val="24"/>
                <w:szCs w:val="24"/>
              </w:rPr>
              <w:t>四</w:t>
            </w:r>
          </w:p>
        </w:tc>
        <w:tc>
          <w:tcPr>
            <w:tcW w:w="3818"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2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581"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72" w:right="0"/>
              <w:jc w:val="center"/>
              <w:rPr>
                <w:rFonts w:ascii="Arial" w:hAnsi="Arial" w:cs="Arial" w:eastAsia="Arial" w:hint="default"/>
                <w:sz w:val="24"/>
                <w:szCs w:val="24"/>
              </w:rPr>
            </w:pPr>
            <w:r>
              <w:rPr>
                <w:rFonts w:ascii="Arial"/>
                <w:sz w:val="24"/>
              </w:rPr>
              <w:t>(34)</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3" w:right="0"/>
              <w:jc w:val="left"/>
              <w:rPr>
                <w:rFonts w:ascii="黑体" w:hAnsi="黑体" w:cs="黑体" w:eastAsia="黑体" w:hint="default"/>
                <w:sz w:val="24"/>
                <w:szCs w:val="24"/>
              </w:rPr>
            </w:pPr>
            <w:r>
              <w:rPr>
                <w:rFonts w:ascii="黑体" w:hAnsi="黑体" w:cs="黑体" w:eastAsia="黑体" w:hint="default"/>
                <w:sz w:val="24"/>
                <w:szCs w:val="24"/>
              </w:rPr>
              <w:t>应付债券</w:t>
            </w:r>
          </w:p>
        </w:tc>
        <w:tc>
          <w:tcPr>
            <w:tcW w:w="1224"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717" w:hRule="exact"/>
        </w:trPr>
        <w:tc>
          <w:tcPr>
            <w:tcW w:w="754"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49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2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4"/>
              <w:jc w:val="right"/>
              <w:rPr>
                <w:rFonts w:ascii="宋体" w:hAnsi="宋体" w:cs="宋体" w:eastAsia="宋体" w:hint="default"/>
                <w:sz w:val="18"/>
                <w:szCs w:val="18"/>
              </w:rPr>
            </w:pPr>
            <w:r>
              <w:rPr>
                <w:rFonts w:ascii="宋体" w:hAnsi="宋体" w:cs="宋体" w:eastAsia="宋体" w:hint="default"/>
                <w:sz w:val="18"/>
                <w:szCs w:val="18"/>
              </w:rPr>
              <w:t>本年发行</w:t>
            </w:r>
          </w:p>
        </w:tc>
        <w:tc>
          <w:tcPr>
            <w:tcW w:w="1276" w:type="dxa"/>
            <w:tcBorders>
              <w:top w:val="nil" w:sz="6" w:space="0" w:color="auto"/>
              <w:left w:val="nil" w:sz="6" w:space="0" w:color="auto"/>
              <w:bottom w:val="nil" w:sz="6" w:space="0" w:color="auto"/>
              <w:right w:val="nil" w:sz="6" w:space="0" w:color="auto"/>
            </w:tcBorders>
          </w:tcPr>
          <w:p>
            <w:pPr>
              <w:pStyle w:val="TableParagraph"/>
              <w:spacing w:line="235" w:lineRule="exact" w:before="113"/>
              <w:ind w:left="116" w:right="0"/>
              <w:jc w:val="left"/>
              <w:rPr>
                <w:rFonts w:ascii="宋体" w:hAnsi="宋体" w:cs="宋体" w:eastAsia="宋体" w:hint="default"/>
                <w:sz w:val="18"/>
                <w:szCs w:val="18"/>
              </w:rPr>
            </w:pPr>
            <w:r>
              <w:rPr>
                <w:rFonts w:ascii="宋体" w:hAnsi="宋体" w:cs="宋体" w:eastAsia="宋体" w:hint="default"/>
                <w:sz w:val="18"/>
                <w:szCs w:val="18"/>
              </w:rPr>
              <w:t>按面值计提</w:t>
            </w:r>
          </w:p>
          <w:p>
            <w:pPr>
              <w:pStyle w:val="TableParagraph"/>
              <w:spacing w:line="235" w:lineRule="exact"/>
              <w:ind w:left="656"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73" w:right="242" w:hanging="18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1106" w:type="dxa"/>
            <w:tcBorders>
              <w:top w:val="nil" w:sz="6" w:space="0" w:color="auto"/>
              <w:left w:val="nil" w:sz="6" w:space="0" w:color="auto"/>
              <w:bottom w:val="nil" w:sz="6" w:space="0" w:color="auto"/>
              <w:right w:val="nil" w:sz="6" w:space="0" w:color="auto"/>
            </w:tcBorders>
          </w:tcPr>
          <w:p>
            <w:pPr>
              <w:pStyle w:val="TableParagraph"/>
              <w:spacing w:line="235" w:lineRule="exact" w:before="113"/>
              <w:ind w:left="178" w:right="0"/>
              <w:jc w:val="left"/>
              <w:rPr>
                <w:rFonts w:ascii="宋体" w:hAnsi="宋体" w:cs="宋体" w:eastAsia="宋体" w:hint="default"/>
                <w:sz w:val="18"/>
                <w:szCs w:val="18"/>
              </w:rPr>
            </w:pPr>
            <w:r>
              <w:rPr>
                <w:rFonts w:ascii="宋体" w:hAnsi="宋体" w:cs="宋体" w:eastAsia="宋体" w:hint="default"/>
                <w:sz w:val="18"/>
                <w:szCs w:val="18"/>
              </w:rPr>
              <w:t>本年偿还</w:t>
            </w:r>
          </w:p>
          <w:p>
            <w:pPr>
              <w:pStyle w:val="TableParagraph"/>
              <w:spacing w:line="235" w:lineRule="exact"/>
              <w:ind w:left="538"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1066"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41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14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43" w:hRule="exact"/>
        </w:trPr>
        <w:tc>
          <w:tcPr>
            <w:tcW w:w="754"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9" w:right="0"/>
              <w:jc w:val="left"/>
              <w:rPr>
                <w:rFonts w:ascii="宋体" w:hAnsi="宋体" w:cs="宋体" w:eastAsia="宋体" w:hint="default"/>
                <w:sz w:val="18"/>
                <w:szCs w:val="18"/>
              </w:rPr>
            </w:pPr>
            <w:r>
              <w:rPr>
                <w:rFonts w:ascii="宋体" w:hAnsi="宋体" w:cs="宋体" w:eastAsia="宋体" w:hint="default"/>
                <w:sz w:val="18"/>
                <w:szCs w:val="18"/>
              </w:rPr>
              <w:t>公司债券</w:t>
            </w:r>
            <w:r>
              <w:rPr>
                <w:rFonts w:ascii="Arial" w:hAnsi="Arial" w:cs="Arial" w:eastAsia="Arial" w:hint="default"/>
                <w:sz w:val="18"/>
                <w:szCs w:val="18"/>
              </w:rPr>
              <w:t>-</w:t>
            </w:r>
            <w:r>
              <w:rPr>
                <w:rFonts w:ascii="宋体" w:hAnsi="宋体" w:cs="宋体" w:eastAsia="宋体" w:hint="default"/>
                <w:sz w:val="18"/>
                <w:szCs w:val="18"/>
              </w:rPr>
              <w:t>第一期</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Arial" w:hAnsi="Arial" w:cs="Arial" w:eastAsia="Arial" w:hint="default"/>
                <w:sz w:val="18"/>
                <w:szCs w:val="18"/>
              </w:rPr>
            </w:pPr>
            <w:r>
              <w:rPr>
                <w:rFonts w:ascii="Arial"/>
                <w:spacing w:val="-1"/>
                <w:sz w:val="18"/>
              </w:rPr>
              <w:t>4,478,291</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8"/>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1"/>
              <w:jc w:val="right"/>
              <w:rPr>
                <w:rFonts w:ascii="Arial" w:hAnsi="Arial" w:cs="Arial" w:eastAsia="Arial" w:hint="default"/>
                <w:sz w:val="18"/>
                <w:szCs w:val="18"/>
              </w:rPr>
            </w:pPr>
            <w:r>
              <w:rPr>
                <w:rFonts w:ascii="Arial"/>
                <w:spacing w:val="-1"/>
                <w:sz w:val="18"/>
              </w:rPr>
              <w:t>234,000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6"/>
              <w:jc w:val="right"/>
              <w:rPr>
                <w:rFonts w:ascii="Arial" w:hAnsi="Arial" w:cs="Arial" w:eastAsia="Arial" w:hint="default"/>
                <w:sz w:val="18"/>
                <w:szCs w:val="18"/>
              </w:rPr>
            </w:pPr>
            <w:r>
              <w:rPr>
                <w:rFonts w:ascii="Arial"/>
                <w:spacing w:val="-1"/>
                <w:sz w:val="18"/>
              </w:rPr>
              <w:t>6,968</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2"/>
              <w:jc w:val="right"/>
              <w:rPr>
                <w:rFonts w:ascii="Arial" w:hAnsi="Arial" w:cs="Arial" w:eastAsia="Arial" w:hint="default"/>
                <w:sz w:val="18"/>
                <w:szCs w:val="18"/>
              </w:rPr>
            </w:pPr>
            <w:r>
              <w:rPr>
                <w:rFonts w:ascii="Arial"/>
                <w:spacing w:val="-1"/>
                <w:sz w:val="18"/>
              </w:rPr>
              <w:t>(234,000)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2"/>
              <w:jc w:val="right"/>
              <w:rPr>
                <w:rFonts w:ascii="Arial" w:hAnsi="Arial" w:cs="Arial" w:eastAsia="Arial" w:hint="default"/>
                <w:sz w:val="18"/>
                <w:szCs w:val="18"/>
              </w:rPr>
            </w:pPr>
            <w:r>
              <w:rPr>
                <w:rFonts w:ascii="Arial"/>
                <w:spacing w:val="-1"/>
                <w:sz w:val="18"/>
              </w:rPr>
              <w:t>4,485,259</w:t>
            </w:r>
          </w:p>
        </w:tc>
      </w:tr>
      <w:tr>
        <w:trPr>
          <w:trHeight w:val="229" w:hRule="exact"/>
        </w:trPr>
        <w:tc>
          <w:tcPr>
            <w:tcW w:w="754"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08" w:lineRule="exact"/>
              <w:ind w:left="89" w:right="0"/>
              <w:jc w:val="left"/>
              <w:rPr>
                <w:rFonts w:ascii="宋体" w:hAnsi="宋体" w:cs="宋体" w:eastAsia="宋体" w:hint="default"/>
                <w:sz w:val="18"/>
                <w:szCs w:val="18"/>
              </w:rPr>
            </w:pPr>
            <w:r>
              <w:rPr>
                <w:rFonts w:ascii="宋体" w:hAnsi="宋体" w:cs="宋体" w:eastAsia="宋体" w:hint="default"/>
                <w:sz w:val="18"/>
                <w:szCs w:val="18"/>
              </w:rPr>
              <w:t>公司债券</w:t>
            </w:r>
            <w:r>
              <w:rPr>
                <w:rFonts w:ascii="Arial" w:hAnsi="Arial" w:cs="Arial" w:eastAsia="Arial" w:hint="default"/>
                <w:sz w:val="18"/>
                <w:szCs w:val="18"/>
              </w:rPr>
              <w:t>-</w:t>
            </w:r>
            <w:r>
              <w:rPr>
                <w:rFonts w:ascii="宋体" w:hAnsi="宋体" w:cs="宋体" w:eastAsia="宋体" w:hint="default"/>
                <w:sz w:val="18"/>
                <w:szCs w:val="18"/>
              </w:rPr>
              <w:t>第二期</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02"/>
              <w:jc w:val="right"/>
              <w:rPr>
                <w:rFonts w:ascii="Arial" w:hAnsi="Arial" w:cs="Arial" w:eastAsia="Arial" w:hint="default"/>
                <w:sz w:val="18"/>
                <w:szCs w:val="18"/>
              </w:rPr>
            </w:pPr>
            <w:r>
              <w:rPr>
                <w:rFonts w:ascii="Arial"/>
                <w:spacing w:val="-1"/>
                <w:sz w:val="18"/>
              </w:rPr>
              <w:t>3,482,886</w:t>
            </w:r>
          </w:p>
        </w:tc>
        <w:tc>
          <w:tcPr>
            <w:tcW w:w="94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18"/>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20"/>
              <w:jc w:val="right"/>
              <w:rPr>
                <w:rFonts w:ascii="Arial" w:hAnsi="Arial" w:cs="Arial" w:eastAsia="Arial" w:hint="default"/>
                <w:sz w:val="18"/>
                <w:szCs w:val="18"/>
              </w:rPr>
            </w:pPr>
            <w:r>
              <w:rPr>
                <w:rFonts w:ascii="Arial"/>
                <w:spacing w:val="-1"/>
                <w:sz w:val="18"/>
              </w:rPr>
              <w:t>208,250</w:t>
            </w:r>
          </w:p>
        </w:tc>
        <w:tc>
          <w:tcPr>
            <w:tcW w:w="97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76"/>
              <w:jc w:val="right"/>
              <w:rPr>
                <w:rFonts w:ascii="Arial" w:hAnsi="Arial" w:cs="Arial" w:eastAsia="Arial" w:hint="default"/>
                <w:sz w:val="18"/>
                <w:szCs w:val="18"/>
              </w:rPr>
            </w:pPr>
            <w:r>
              <w:rPr>
                <w:rFonts w:ascii="Arial"/>
                <w:spacing w:val="-1"/>
                <w:sz w:val="18"/>
              </w:rPr>
              <w:t>8,950</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sz w:val="18"/>
              </w:rPr>
              <w:t>(208,250)</w:t>
            </w: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2"/>
              <w:jc w:val="right"/>
              <w:rPr>
                <w:rFonts w:ascii="Arial" w:hAnsi="Arial" w:cs="Arial" w:eastAsia="Arial" w:hint="default"/>
                <w:sz w:val="18"/>
                <w:szCs w:val="18"/>
              </w:rPr>
            </w:pPr>
            <w:r>
              <w:rPr>
                <w:rFonts w:ascii="Arial"/>
                <w:spacing w:val="-1"/>
                <w:sz w:val="18"/>
              </w:rPr>
              <w:t>3,491,836</w:t>
            </w:r>
          </w:p>
        </w:tc>
      </w:tr>
      <w:tr>
        <w:trPr>
          <w:trHeight w:val="227" w:hRule="exact"/>
        </w:trPr>
        <w:tc>
          <w:tcPr>
            <w:tcW w:w="754"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7,961,177</w:t>
            </w:r>
          </w:p>
        </w:tc>
        <w:tc>
          <w:tcPr>
            <w:tcW w:w="941"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18"/>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92"/>
              <w:jc w:val="right"/>
              <w:rPr>
                <w:rFonts w:ascii="Arial" w:hAnsi="Arial" w:cs="Arial" w:eastAsia="Arial" w:hint="default"/>
                <w:sz w:val="18"/>
                <w:szCs w:val="18"/>
              </w:rPr>
            </w:pPr>
            <w:r>
              <w:rPr>
                <w:rFonts w:ascii="Arial"/>
                <w:spacing w:val="-1"/>
                <w:sz w:val="18"/>
              </w:rPr>
              <w:t>442,250</w:t>
            </w:r>
          </w:p>
        </w:tc>
        <w:tc>
          <w:tcPr>
            <w:tcW w:w="978"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78"/>
              <w:jc w:val="right"/>
              <w:rPr>
                <w:rFonts w:ascii="Arial" w:hAnsi="Arial" w:cs="Arial" w:eastAsia="Arial" w:hint="default"/>
                <w:sz w:val="18"/>
                <w:szCs w:val="18"/>
              </w:rPr>
            </w:pPr>
            <w:r>
              <w:rPr>
                <w:rFonts w:ascii="Arial"/>
                <w:spacing w:val="-1"/>
                <w:sz w:val="18"/>
              </w:rPr>
              <w:t>15,918</w:t>
            </w:r>
          </w:p>
        </w:tc>
        <w:tc>
          <w:tcPr>
            <w:tcW w:w="1106"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42"/>
              <w:jc w:val="right"/>
              <w:rPr>
                <w:rFonts w:ascii="Arial" w:hAnsi="Arial" w:cs="Arial" w:eastAsia="Arial" w:hint="default"/>
                <w:sz w:val="18"/>
                <w:szCs w:val="18"/>
              </w:rPr>
            </w:pPr>
            <w:r>
              <w:rPr>
                <w:rFonts w:ascii="Arial"/>
                <w:spacing w:val="-1"/>
                <w:sz w:val="18"/>
              </w:rPr>
              <w:t>(442,250)</w:t>
            </w:r>
          </w:p>
        </w:tc>
        <w:tc>
          <w:tcPr>
            <w:tcW w:w="1066"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3"/>
              <w:jc w:val="right"/>
              <w:rPr>
                <w:rFonts w:ascii="Arial" w:hAnsi="Arial" w:cs="Arial" w:eastAsia="Arial" w:hint="default"/>
                <w:sz w:val="18"/>
                <w:szCs w:val="18"/>
              </w:rPr>
            </w:pPr>
            <w:r>
              <w:rPr>
                <w:rFonts w:ascii="Arial"/>
                <w:spacing w:val="-1"/>
                <w:sz w:val="18"/>
              </w:rPr>
              <w:t>7,977,095</w:t>
            </w:r>
          </w:p>
        </w:tc>
      </w:tr>
    </w:tbl>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712"/>
        <w:gridCol w:w="1987"/>
        <w:gridCol w:w="1639"/>
        <w:gridCol w:w="2027"/>
        <w:gridCol w:w="1207"/>
        <w:gridCol w:w="1558"/>
      </w:tblGrid>
      <w:tr>
        <w:trPr>
          <w:trHeight w:val="409" w:hRule="exact"/>
        </w:trPr>
        <w:tc>
          <w:tcPr>
            <w:tcW w:w="9130" w:type="dxa"/>
            <w:gridSpan w:val="6"/>
            <w:tcBorders>
              <w:top w:val="nil" w:sz="6" w:space="0" w:color="auto"/>
              <w:left w:val="nil" w:sz="6" w:space="0" w:color="auto"/>
              <w:bottom w:val="nil" w:sz="6" w:space="0" w:color="auto"/>
              <w:right w:val="nil" w:sz="6" w:space="0" w:color="auto"/>
            </w:tcBorders>
          </w:tcPr>
          <w:p>
            <w:pPr>
              <w:pStyle w:val="TableParagraph"/>
              <w:spacing w:line="240" w:lineRule="exact"/>
              <w:ind w:left="866" w:right="0"/>
              <w:jc w:val="left"/>
              <w:rPr>
                <w:rFonts w:ascii="宋体" w:hAnsi="宋体" w:cs="宋体" w:eastAsia="宋体" w:hint="default"/>
                <w:sz w:val="24"/>
                <w:szCs w:val="24"/>
              </w:rPr>
            </w:pPr>
            <w:r>
              <w:rPr>
                <w:rFonts w:ascii="宋体" w:hAnsi="宋体" w:cs="宋体" w:eastAsia="宋体" w:hint="default"/>
                <w:sz w:val="24"/>
                <w:szCs w:val="24"/>
              </w:rPr>
              <w:t>债券有关信息如下：</w:t>
            </w:r>
          </w:p>
        </w:tc>
      </w:tr>
      <w:tr>
        <w:trPr>
          <w:trHeight w:val="500" w:hRule="exact"/>
        </w:trPr>
        <w:tc>
          <w:tcPr>
            <w:tcW w:w="712"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64"/>
              <w:jc w:val="right"/>
              <w:rPr>
                <w:rFonts w:ascii="宋体" w:hAnsi="宋体" w:cs="宋体" w:eastAsia="宋体" w:hint="default"/>
                <w:sz w:val="18"/>
                <w:szCs w:val="18"/>
              </w:rPr>
            </w:pPr>
            <w:r>
              <w:rPr>
                <w:rFonts w:ascii="宋体" w:hAnsi="宋体" w:cs="宋体" w:eastAsia="宋体" w:hint="default"/>
                <w:sz w:val="18"/>
                <w:szCs w:val="18"/>
              </w:rPr>
              <w:t>面值</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12"/>
              <w:jc w:val="right"/>
              <w:rPr>
                <w:rFonts w:ascii="宋体" w:hAnsi="宋体" w:cs="宋体" w:eastAsia="宋体" w:hint="default"/>
                <w:sz w:val="18"/>
                <w:szCs w:val="18"/>
              </w:rPr>
            </w:pPr>
            <w:r>
              <w:rPr>
                <w:rFonts w:ascii="宋体" w:hAnsi="宋体" w:cs="宋体" w:eastAsia="宋体" w:hint="default"/>
                <w:sz w:val="18"/>
                <w:szCs w:val="18"/>
              </w:rPr>
              <w:t>发行日期</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9"/>
              <w:jc w:val="right"/>
              <w:rPr>
                <w:rFonts w:ascii="宋体" w:hAnsi="宋体" w:cs="宋体" w:eastAsia="宋体" w:hint="default"/>
                <w:sz w:val="18"/>
                <w:szCs w:val="18"/>
              </w:rPr>
            </w:pPr>
            <w:r>
              <w:rPr>
                <w:rFonts w:ascii="宋体" w:hAnsi="宋体" w:cs="宋体" w:eastAsia="宋体" w:hint="default"/>
                <w:sz w:val="18"/>
                <w:szCs w:val="18"/>
              </w:rPr>
              <w:t>债券期限</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98"/>
              <w:jc w:val="right"/>
              <w:rPr>
                <w:rFonts w:ascii="宋体" w:hAnsi="宋体" w:cs="宋体" w:eastAsia="宋体" w:hint="default"/>
                <w:sz w:val="18"/>
                <w:szCs w:val="18"/>
              </w:rPr>
            </w:pPr>
            <w:r>
              <w:rPr>
                <w:rFonts w:ascii="宋体" w:hAnsi="宋体" w:cs="宋体" w:eastAsia="宋体" w:hint="default"/>
                <w:sz w:val="18"/>
                <w:szCs w:val="18"/>
              </w:rPr>
              <w:t>发行金额</w:t>
            </w:r>
          </w:p>
        </w:tc>
      </w:tr>
      <w:tr>
        <w:trPr>
          <w:trHeight w:val="363" w:hRule="exact"/>
        </w:trPr>
        <w:tc>
          <w:tcPr>
            <w:tcW w:w="712"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53" w:right="0"/>
              <w:jc w:val="left"/>
              <w:rPr>
                <w:rFonts w:ascii="Arial" w:hAnsi="Arial" w:cs="Arial" w:eastAsia="Arial" w:hint="default"/>
                <w:sz w:val="18"/>
                <w:szCs w:val="18"/>
              </w:rPr>
            </w:pPr>
            <w:r>
              <w:rPr>
                <w:rFonts w:ascii="宋体" w:hAnsi="宋体" w:cs="宋体" w:eastAsia="宋体" w:hint="default"/>
                <w:sz w:val="18"/>
                <w:szCs w:val="18"/>
              </w:rPr>
              <w:t>公司债券</w:t>
            </w:r>
            <w:r>
              <w:rPr>
                <w:rFonts w:ascii="Arial" w:hAnsi="Arial" w:cs="Arial" w:eastAsia="Arial" w:hint="default"/>
                <w:sz w:val="18"/>
                <w:szCs w:val="18"/>
              </w:rPr>
              <w:t>-</w:t>
            </w:r>
            <w:r>
              <w:rPr>
                <w:rFonts w:ascii="宋体" w:hAnsi="宋体" w:cs="宋体" w:eastAsia="宋体" w:hint="default"/>
                <w:sz w:val="18"/>
                <w:szCs w:val="18"/>
              </w:rPr>
              <w:t>第一期</w:t>
            </w:r>
            <w:r>
              <w:rPr>
                <w:rFonts w:ascii="Arial" w:hAnsi="Arial" w:cs="Arial" w:eastAsia="Arial" w:hint="default"/>
                <w:sz w:val="18"/>
                <w:szCs w:val="18"/>
              </w:rPr>
              <w:t>(a)</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5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45</w:t>
            </w:r>
            <w:r>
              <w:rPr>
                <w:rFonts w:ascii="Arial" w:hAnsi="Arial" w:cs="Arial" w:eastAsia="Arial" w:hint="default"/>
                <w:spacing w:val="-8"/>
                <w:sz w:val="18"/>
                <w:szCs w:val="18"/>
              </w:rPr>
              <w:t> </w:t>
            </w:r>
            <w:r>
              <w:rPr>
                <w:rFonts w:ascii="宋体" w:hAnsi="宋体" w:cs="宋体" w:eastAsia="宋体" w:hint="default"/>
                <w:sz w:val="18"/>
                <w:szCs w:val="18"/>
              </w:rPr>
              <w:t>亿元</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03"/>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9"/>
              <w:jc w:val="righ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00"/>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45</w:t>
            </w:r>
            <w:r>
              <w:rPr>
                <w:rFonts w:ascii="Arial" w:hAnsi="Arial" w:cs="Arial" w:eastAsia="Arial" w:hint="default"/>
                <w:spacing w:val="-8"/>
                <w:sz w:val="18"/>
                <w:szCs w:val="18"/>
              </w:rPr>
              <w:t> </w:t>
            </w:r>
            <w:r>
              <w:rPr>
                <w:rFonts w:ascii="宋体" w:hAnsi="宋体" w:cs="宋体" w:eastAsia="宋体" w:hint="default"/>
                <w:sz w:val="18"/>
                <w:szCs w:val="18"/>
              </w:rPr>
              <w:t>亿元</w:t>
            </w:r>
          </w:p>
        </w:tc>
      </w:tr>
      <w:tr>
        <w:trPr>
          <w:trHeight w:val="338" w:hRule="exact"/>
        </w:trPr>
        <w:tc>
          <w:tcPr>
            <w:tcW w:w="712"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Style w:val="TableParagraph"/>
              <w:spacing w:line="215" w:lineRule="exact"/>
              <w:ind w:left="153" w:right="0"/>
              <w:jc w:val="left"/>
              <w:rPr>
                <w:rFonts w:ascii="Arial" w:hAnsi="Arial" w:cs="Arial" w:eastAsia="Arial" w:hint="default"/>
                <w:sz w:val="18"/>
                <w:szCs w:val="18"/>
              </w:rPr>
            </w:pPr>
            <w:r>
              <w:rPr>
                <w:rFonts w:ascii="宋体" w:hAnsi="宋体" w:cs="宋体" w:eastAsia="宋体" w:hint="default"/>
                <w:sz w:val="18"/>
                <w:szCs w:val="18"/>
              </w:rPr>
              <w:t>公司债券</w:t>
            </w:r>
            <w:r>
              <w:rPr>
                <w:rFonts w:ascii="Arial" w:hAnsi="Arial" w:cs="Arial" w:eastAsia="Arial" w:hint="default"/>
                <w:sz w:val="18"/>
                <w:szCs w:val="18"/>
              </w:rPr>
              <w:t>-</w:t>
            </w:r>
            <w:r>
              <w:rPr>
                <w:rFonts w:ascii="宋体" w:hAnsi="宋体" w:cs="宋体" w:eastAsia="宋体" w:hint="default"/>
                <w:sz w:val="18"/>
                <w:szCs w:val="18"/>
              </w:rPr>
              <w:t>第二期</w:t>
            </w:r>
            <w:r>
              <w:rPr>
                <w:rFonts w:ascii="Arial" w:hAnsi="Arial" w:cs="Arial" w:eastAsia="Arial" w:hint="default"/>
                <w:sz w:val="18"/>
                <w:szCs w:val="18"/>
              </w:rPr>
              <w:t>(b)</w:t>
            </w:r>
          </w:p>
        </w:tc>
        <w:tc>
          <w:tcPr>
            <w:tcW w:w="1639" w:type="dxa"/>
            <w:tcBorders>
              <w:top w:val="nil" w:sz="6" w:space="0" w:color="auto"/>
              <w:left w:val="nil" w:sz="6" w:space="0" w:color="auto"/>
              <w:bottom w:val="nil" w:sz="6" w:space="0" w:color="auto"/>
              <w:right w:val="nil" w:sz="6" w:space="0" w:color="auto"/>
            </w:tcBorders>
          </w:tcPr>
          <w:p>
            <w:pPr>
              <w:pStyle w:val="TableParagraph"/>
              <w:spacing w:line="215" w:lineRule="exact"/>
              <w:ind w:right="15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35</w:t>
            </w:r>
            <w:r>
              <w:rPr>
                <w:rFonts w:ascii="Arial" w:hAnsi="Arial" w:cs="Arial" w:eastAsia="Arial" w:hint="default"/>
                <w:spacing w:val="-8"/>
                <w:sz w:val="18"/>
                <w:szCs w:val="18"/>
              </w:rPr>
              <w:t> </w:t>
            </w:r>
            <w:r>
              <w:rPr>
                <w:rFonts w:ascii="宋体" w:hAnsi="宋体" w:cs="宋体" w:eastAsia="宋体" w:hint="default"/>
                <w:sz w:val="18"/>
                <w:szCs w:val="18"/>
              </w:rPr>
              <w:t>亿元</w:t>
            </w:r>
          </w:p>
        </w:tc>
        <w:tc>
          <w:tcPr>
            <w:tcW w:w="2027" w:type="dxa"/>
            <w:tcBorders>
              <w:top w:val="nil" w:sz="6" w:space="0" w:color="auto"/>
              <w:left w:val="nil" w:sz="6" w:space="0" w:color="auto"/>
              <w:bottom w:val="nil" w:sz="6" w:space="0" w:color="auto"/>
              <w:right w:val="nil" w:sz="6" w:space="0" w:color="auto"/>
            </w:tcBorders>
          </w:tcPr>
          <w:p>
            <w:pPr>
              <w:pStyle w:val="TableParagraph"/>
              <w:spacing w:line="215" w:lineRule="exact"/>
              <w:ind w:right="303"/>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207" w:type="dxa"/>
            <w:tcBorders>
              <w:top w:val="nil" w:sz="6" w:space="0" w:color="auto"/>
              <w:left w:val="nil" w:sz="6" w:space="0" w:color="auto"/>
              <w:bottom w:val="nil" w:sz="6" w:space="0" w:color="auto"/>
              <w:right w:val="nil" w:sz="6" w:space="0" w:color="auto"/>
            </w:tcBorders>
          </w:tcPr>
          <w:p>
            <w:pPr>
              <w:pStyle w:val="TableParagraph"/>
              <w:spacing w:line="215" w:lineRule="exact"/>
              <w:ind w:right="164"/>
              <w:jc w:val="right"/>
              <w:rPr>
                <w:rFonts w:ascii="宋体" w:hAnsi="宋体" w:cs="宋体" w:eastAsia="宋体" w:hint="default"/>
                <w:sz w:val="18"/>
                <w:szCs w:val="18"/>
              </w:rPr>
            </w:pP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15" w:lineRule="exact"/>
              <w:ind w:right="200"/>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35</w:t>
            </w:r>
            <w:r>
              <w:rPr>
                <w:rFonts w:ascii="Arial" w:hAnsi="Arial" w:cs="Arial" w:eastAsia="Arial" w:hint="default"/>
                <w:spacing w:val="-8"/>
                <w:sz w:val="18"/>
                <w:szCs w:val="18"/>
              </w:rPr>
              <w:t> </w:t>
            </w:r>
            <w:r>
              <w:rPr>
                <w:rFonts w:ascii="宋体" w:hAnsi="宋体" w:cs="宋体" w:eastAsia="宋体" w:hint="default"/>
                <w:sz w:val="18"/>
                <w:szCs w:val="18"/>
              </w:rPr>
              <w:t>亿元</w:t>
            </w:r>
          </w:p>
        </w:tc>
      </w:tr>
      <w:tr>
        <w:trPr>
          <w:trHeight w:val="1478"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Arial" w:hAnsi="Arial" w:cs="Arial" w:eastAsia="Arial" w:hint="default"/>
                <w:sz w:val="24"/>
                <w:szCs w:val="24"/>
              </w:rPr>
            </w:pPr>
            <w:r>
              <w:rPr>
                <w:rFonts w:ascii="Arial"/>
                <w:sz w:val="24"/>
              </w:rPr>
              <w:t>(a)</w:t>
            </w:r>
          </w:p>
        </w:tc>
        <w:tc>
          <w:tcPr>
            <w:tcW w:w="8417" w:type="dxa"/>
            <w:gridSpan w:val="5"/>
            <w:tcBorders>
              <w:top w:val="nil" w:sz="6" w:space="0" w:color="auto"/>
              <w:left w:val="nil" w:sz="6" w:space="0" w:color="auto"/>
              <w:bottom w:val="nil" w:sz="6" w:space="0" w:color="auto"/>
              <w:right w:val="nil" w:sz="6" w:space="0" w:color="auto"/>
            </w:tcBorders>
          </w:tcPr>
          <w:p>
            <w:pPr>
              <w:pStyle w:val="TableParagraph"/>
              <w:spacing w:line="322" w:lineRule="exact" w:before="60"/>
              <w:ind w:left="218" w:right="0"/>
              <w:jc w:val="both"/>
              <w:rPr>
                <w:rFonts w:ascii="Arial" w:hAnsi="Arial" w:cs="Arial" w:eastAsia="Arial"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[2012]1419  </w:t>
            </w:r>
            <w:r>
              <w:rPr>
                <w:rFonts w:ascii="宋体" w:hAnsi="宋体" w:cs="宋体" w:eastAsia="宋体" w:hint="default"/>
                <w:sz w:val="24"/>
                <w:szCs w:val="24"/>
              </w:rPr>
              <w:t>号文核准，本公司于</w:t>
            </w:r>
            <w:r>
              <w:rPr>
                <w:rFonts w:ascii="宋体" w:hAnsi="宋体" w:cs="宋体" w:eastAsia="宋体" w:hint="default"/>
                <w:spacing w:val="-9"/>
                <w:sz w:val="24"/>
                <w:szCs w:val="24"/>
              </w:rPr>
              <w:t> </w:t>
            </w:r>
            <w:r>
              <w:rPr>
                <w:rFonts w:ascii="Arial" w:hAnsi="Arial" w:cs="Arial" w:eastAsia="Arial" w:hint="default"/>
                <w:sz w:val="24"/>
                <w:szCs w:val="24"/>
              </w:rPr>
              <w:t>2012</w:t>
            </w:r>
          </w:p>
          <w:p>
            <w:pPr>
              <w:pStyle w:val="TableParagraph"/>
              <w:spacing w:line="310" w:lineRule="exact" w:before="22"/>
              <w:ind w:left="218" w:right="199"/>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14</w:t>
            </w:r>
            <w:r>
              <w:rPr>
                <w:rFonts w:ascii="Arial" w:hAnsi="Arial" w:cs="Arial" w:eastAsia="Arial" w:hint="default"/>
                <w:spacing w:val="-2"/>
                <w:sz w:val="24"/>
                <w:szCs w:val="24"/>
              </w:rPr>
              <w:t> </w:t>
            </w:r>
            <w:r>
              <w:rPr>
                <w:rFonts w:ascii="宋体" w:hAnsi="宋体" w:cs="宋体" w:eastAsia="宋体" w:hint="default"/>
                <w:sz w:val="24"/>
                <w:szCs w:val="24"/>
              </w:rPr>
              <w:t>日发行第一期公司债券，此债券采用单利按年计息，固定年利率 为</w:t>
            </w:r>
            <w:r>
              <w:rPr>
                <w:rFonts w:ascii="宋体" w:hAnsi="宋体" w:cs="宋体" w:eastAsia="宋体" w:hint="default"/>
                <w:spacing w:val="-5"/>
                <w:sz w:val="24"/>
                <w:szCs w:val="24"/>
              </w:rPr>
              <w:t> </w:t>
            </w:r>
            <w:r>
              <w:rPr>
                <w:rFonts w:ascii="Arial" w:hAnsi="Arial" w:cs="Arial" w:eastAsia="Arial" w:hint="default"/>
                <w:sz w:val="24"/>
                <w:szCs w:val="24"/>
              </w:rPr>
              <w:t>5.20%</w:t>
            </w:r>
            <w:r>
              <w:rPr>
                <w:rFonts w:ascii="宋体" w:hAnsi="宋体" w:cs="宋体" w:eastAsia="宋体" w:hint="default"/>
                <w:sz w:val="24"/>
                <w:szCs w:val="24"/>
              </w:rPr>
              <w:t>，每年付息一次，到期一次还本，最后一期利息随本金兑付一起支 付。</w:t>
            </w:r>
          </w:p>
        </w:tc>
      </w:tr>
      <w:tr>
        <w:trPr>
          <w:trHeight w:val="1352"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(b)</w:t>
            </w:r>
          </w:p>
        </w:tc>
        <w:tc>
          <w:tcPr>
            <w:tcW w:w="8417" w:type="dxa"/>
            <w:gridSpan w:val="5"/>
            <w:tcBorders>
              <w:top w:val="nil" w:sz="6" w:space="0" w:color="auto"/>
              <w:left w:val="nil" w:sz="6" w:space="0" w:color="auto"/>
              <w:bottom w:val="nil" w:sz="6" w:space="0" w:color="auto"/>
              <w:right w:val="nil" w:sz="6" w:space="0" w:color="auto"/>
            </w:tcBorders>
          </w:tcPr>
          <w:p>
            <w:pPr>
              <w:pStyle w:val="TableParagraph"/>
              <w:spacing w:line="321" w:lineRule="exact" w:before="104"/>
              <w:ind w:left="218" w:right="0"/>
              <w:jc w:val="both"/>
              <w:rPr>
                <w:rFonts w:ascii="Arial" w:hAnsi="Arial" w:cs="Arial" w:eastAsia="Arial"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[2012]1419  </w:t>
            </w:r>
            <w:r>
              <w:rPr>
                <w:rFonts w:ascii="宋体" w:hAnsi="宋体" w:cs="宋体" w:eastAsia="宋体" w:hint="default"/>
                <w:sz w:val="24"/>
                <w:szCs w:val="24"/>
              </w:rPr>
              <w:t>号文核准，本公司于</w:t>
            </w:r>
            <w:r>
              <w:rPr>
                <w:rFonts w:ascii="宋体" w:hAnsi="宋体" w:cs="宋体" w:eastAsia="宋体" w:hint="default"/>
                <w:spacing w:val="-9"/>
                <w:sz w:val="24"/>
                <w:szCs w:val="24"/>
              </w:rPr>
              <w:t> </w:t>
            </w:r>
            <w:r>
              <w:rPr>
                <w:rFonts w:ascii="Arial" w:hAnsi="Arial" w:cs="Arial" w:eastAsia="Arial" w:hint="default"/>
                <w:sz w:val="24"/>
                <w:szCs w:val="24"/>
              </w:rPr>
              <w:t>2013</w:t>
            </w:r>
          </w:p>
          <w:p>
            <w:pPr>
              <w:pStyle w:val="TableParagraph"/>
              <w:spacing w:line="225" w:lineRule="auto" w:before="6"/>
              <w:ind w:left="218" w:right="199"/>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pacing w:val="-10"/>
                <w:sz w:val="24"/>
                <w:szCs w:val="24"/>
              </w:rPr>
              <w:t>11</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13</w:t>
            </w:r>
            <w:r>
              <w:rPr>
                <w:rFonts w:ascii="Arial" w:hAnsi="Arial" w:cs="Arial" w:eastAsia="Arial" w:hint="default"/>
                <w:spacing w:val="2"/>
                <w:sz w:val="24"/>
                <w:szCs w:val="24"/>
              </w:rPr>
              <w:t> </w:t>
            </w:r>
            <w:r>
              <w:rPr>
                <w:rFonts w:ascii="宋体" w:hAnsi="宋体" w:cs="宋体" w:eastAsia="宋体" w:hint="default"/>
                <w:sz w:val="24"/>
                <w:szCs w:val="24"/>
              </w:rPr>
              <w:t>日发行第二期公司债券。此债券采用单利按年计息，固定年利率 为</w:t>
            </w:r>
            <w:r>
              <w:rPr>
                <w:rFonts w:ascii="宋体" w:hAnsi="宋体" w:cs="宋体" w:eastAsia="宋体" w:hint="default"/>
                <w:spacing w:val="-5"/>
                <w:sz w:val="24"/>
                <w:szCs w:val="24"/>
              </w:rPr>
              <w:t> </w:t>
            </w:r>
            <w:r>
              <w:rPr>
                <w:rFonts w:ascii="Arial" w:hAnsi="Arial" w:cs="Arial" w:eastAsia="Arial" w:hint="default"/>
                <w:sz w:val="24"/>
                <w:szCs w:val="24"/>
              </w:rPr>
              <w:t>5.95%</w:t>
            </w:r>
            <w:r>
              <w:rPr>
                <w:rFonts w:ascii="宋体" w:hAnsi="宋体" w:cs="宋体" w:eastAsia="宋体" w:hint="default"/>
                <w:sz w:val="24"/>
                <w:szCs w:val="24"/>
              </w:rPr>
              <w:t>，每年付息一次，到期一次还本，最后一期利息随本金兑付一起支 付。</w:t>
            </w:r>
          </w:p>
        </w:tc>
      </w:tr>
    </w:tbl>
    <w:p>
      <w:pPr>
        <w:spacing w:after="0" w:line="225" w:lineRule="auto"/>
        <w:jc w:val="both"/>
        <w:rPr>
          <w:rFonts w:ascii="宋体" w:hAnsi="宋体" w:cs="宋体" w:eastAsia="宋体" w:hint="default"/>
          <w:sz w:val="24"/>
          <w:szCs w:val="24"/>
        </w:rPr>
        <w:sectPr>
          <w:pgSz w:w="11910" w:h="16840"/>
          <w:pgMar w:header="755" w:footer="914" w:top="1860" w:bottom="1100" w:left="1480" w:right="0"/>
        </w:sectPr>
      </w:pPr>
    </w:p>
    <w:p>
      <w:pPr>
        <w:spacing w:line="240" w:lineRule="auto" w:before="9"/>
        <w:rPr>
          <w:rFonts w:ascii="Times New Roman" w:hAnsi="Times New Roman" w:cs="Times New Roman" w:eastAsia="Times New Roman" w:hint="default"/>
          <w:sz w:val="4"/>
          <w:szCs w:val="4"/>
        </w:rPr>
      </w:pPr>
    </w:p>
    <w:tbl>
      <w:tblPr>
        <w:tblW w:w="0" w:type="auto"/>
        <w:jc w:val="left"/>
        <w:tblInd w:w="159" w:type="dxa"/>
        <w:tblLayout w:type="fixed"/>
        <w:tblCellMar>
          <w:top w:w="0" w:type="dxa"/>
          <w:left w:w="0" w:type="dxa"/>
          <w:bottom w:w="0" w:type="dxa"/>
          <w:right w:w="0" w:type="dxa"/>
        </w:tblCellMar>
        <w:tblLook w:val="01E0"/>
      </w:tblPr>
      <w:tblGrid>
        <w:gridCol w:w="754"/>
        <w:gridCol w:w="2219"/>
        <w:gridCol w:w="1882"/>
        <w:gridCol w:w="136"/>
        <w:gridCol w:w="1115"/>
        <w:gridCol w:w="142"/>
        <w:gridCol w:w="1134"/>
        <w:gridCol w:w="142"/>
        <w:gridCol w:w="2126"/>
      </w:tblGrid>
      <w:tr>
        <w:trPr>
          <w:trHeight w:val="416"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100"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8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r>
      <w:tr>
        <w:trPr>
          <w:trHeight w:val="546"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(35)</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4" w:right="0"/>
              <w:jc w:val="left"/>
              <w:rPr>
                <w:rFonts w:ascii="黑体" w:hAnsi="黑体" w:cs="黑体" w:eastAsia="黑体" w:hint="default"/>
                <w:sz w:val="24"/>
                <w:szCs w:val="24"/>
              </w:rPr>
            </w:pPr>
            <w:r>
              <w:rPr>
                <w:rFonts w:ascii="黑体" w:hAnsi="黑体" w:cs="黑体" w:eastAsia="黑体" w:hint="default"/>
                <w:sz w:val="24"/>
                <w:szCs w:val="24"/>
              </w:rPr>
              <w:t>预计负债</w:t>
            </w:r>
          </w:p>
        </w:tc>
        <w:tc>
          <w:tcPr>
            <w:tcW w:w="188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r>
      <w:tr>
        <w:trPr>
          <w:trHeight w:val="449" w:hRule="exact"/>
        </w:trPr>
        <w:tc>
          <w:tcPr>
            <w:tcW w:w="754" w:type="dxa"/>
            <w:tcBorders>
              <w:top w:val="nil" w:sz="6" w:space="0" w:color="auto"/>
              <w:left w:val="nil" w:sz="6" w:space="0" w:color="auto"/>
              <w:bottom w:val="nil" w:sz="6" w:space="0" w:color="auto"/>
              <w:right w:val="nil" w:sz="6" w:space="0" w:color="auto"/>
            </w:tcBorders>
          </w:tcPr>
          <w:p>
            <w:pPr/>
          </w:p>
        </w:tc>
        <w:tc>
          <w:tcPr>
            <w:tcW w:w="4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247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3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9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6"/>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43" w:hRule="exact"/>
        </w:trPr>
        <w:tc>
          <w:tcPr>
            <w:tcW w:w="754"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6" w:right="0"/>
              <w:jc w:val="left"/>
              <w:rPr>
                <w:rFonts w:ascii="宋体" w:hAnsi="宋体" w:cs="宋体" w:eastAsia="宋体" w:hint="default"/>
                <w:sz w:val="18"/>
                <w:szCs w:val="18"/>
              </w:rPr>
            </w:pPr>
            <w:r>
              <w:rPr>
                <w:rFonts w:ascii="宋体" w:hAnsi="宋体" w:cs="宋体" w:eastAsia="宋体" w:hint="default"/>
                <w:sz w:val="18"/>
                <w:szCs w:val="18"/>
              </w:rPr>
              <w:t>租赁房屋原状恢复义务</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86"/>
              <w:jc w:val="right"/>
              <w:rPr>
                <w:rFonts w:ascii="Arial" w:hAnsi="Arial" w:cs="Arial" w:eastAsia="Arial" w:hint="default"/>
                <w:sz w:val="18"/>
                <w:szCs w:val="18"/>
              </w:rPr>
            </w:pPr>
            <w:r>
              <w:rPr>
                <w:rFonts w:ascii="Arial"/>
                <w:spacing w:val="-1"/>
                <w:sz w:val="18"/>
              </w:rPr>
              <w:t>21,465</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6"/>
              <w:jc w:val="right"/>
              <w:rPr>
                <w:rFonts w:ascii="Arial" w:hAnsi="Arial" w:cs="Arial" w:eastAsia="Arial" w:hint="default"/>
                <w:sz w:val="18"/>
                <w:szCs w:val="18"/>
              </w:rPr>
            </w:pPr>
            <w:r>
              <w:rPr>
                <w:rFonts w:ascii="Arial"/>
                <w:spacing w:val="-1"/>
                <w:sz w:val="18"/>
              </w:rPr>
              <w:t>20,968</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6"/>
              <w:jc w:val="right"/>
              <w:rPr>
                <w:rFonts w:ascii="Arial" w:hAnsi="Arial" w:cs="Arial" w:eastAsia="Arial" w:hint="default"/>
                <w:sz w:val="18"/>
                <w:szCs w:val="18"/>
              </w:rPr>
            </w:pPr>
            <w:r>
              <w:rPr>
                <w:rFonts w:ascii="Arial"/>
                <w:spacing w:val="-1"/>
                <w:sz w:val="18"/>
              </w:rPr>
              <w:t>(93)</w:t>
            </w: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6"/>
              <w:jc w:val="right"/>
              <w:rPr>
                <w:rFonts w:ascii="Arial" w:hAnsi="Arial" w:cs="Arial" w:eastAsia="Arial" w:hint="default"/>
                <w:sz w:val="18"/>
                <w:szCs w:val="18"/>
              </w:rPr>
            </w:pPr>
            <w:r>
              <w:rPr>
                <w:rFonts w:ascii="Arial"/>
                <w:spacing w:val="-1"/>
                <w:sz w:val="18"/>
              </w:rPr>
              <w:t>42,340</w:t>
            </w:r>
          </w:p>
        </w:tc>
      </w:tr>
      <w:tr>
        <w:trPr>
          <w:trHeight w:val="233" w:hRule="exact"/>
        </w:trPr>
        <w:tc>
          <w:tcPr>
            <w:tcW w:w="754"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08" w:lineRule="exact"/>
              <w:ind w:left="126" w:right="0"/>
              <w:jc w:val="left"/>
              <w:rPr>
                <w:rFonts w:ascii="Arial" w:hAnsi="Arial" w:cs="Arial" w:eastAsia="Arial" w:hint="default"/>
                <w:sz w:val="18"/>
                <w:szCs w:val="18"/>
              </w:rPr>
            </w:pPr>
            <w:r>
              <w:rPr>
                <w:rFonts w:ascii="宋体" w:hAnsi="宋体" w:cs="宋体" w:eastAsia="宋体" w:hint="default"/>
                <w:sz w:val="18"/>
                <w:szCs w:val="18"/>
              </w:rPr>
              <w:t>待执行的亏损合同</w:t>
            </w:r>
            <w:r>
              <w:rPr>
                <w:rFonts w:ascii="Arial" w:hAnsi="Arial" w:cs="Arial" w:eastAsia="Arial" w:hint="default"/>
                <w:sz w:val="18"/>
                <w:szCs w:val="18"/>
              </w:rPr>
              <w:t>(a)</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1"/>
                <w:sz w:val="18"/>
              </w:rPr>
              <w:t>39,005</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(39,005)</w:t>
            </w: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754"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82" w:type="dxa"/>
            <w:tcBorders>
              <w:top w:val="nil" w:sz="6" w:space="0" w:color="auto"/>
              <w:left w:val="nil" w:sz="6" w:space="0" w:color="auto"/>
              <w:bottom w:val="nil" w:sz="6" w:space="0" w:color="auto"/>
              <w:right w:val="nil" w:sz="6" w:space="0" w:color="auto"/>
            </w:tcBorders>
          </w:tcPr>
          <w:p>
            <w:pPr>
              <w:pStyle w:val="TableParagraph"/>
              <w:tabs>
                <w:tab w:pos="1493" w:val="left" w:leader="none"/>
                <w:tab w:pos="1881"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774</w:t>
              <w:tab/>
            </w:r>
            <w:r>
              <w:rPr>
                <w:rFonts w:ascii="Arial"/>
                <w:spacing w:val="-1"/>
                <w:sz w:val="18"/>
              </w:rPr>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tabs>
                <w:tab w:pos="997" w:val="left" w:leader="none"/>
                <w:tab w:pos="1115"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tabs>
                <w:tab w:pos="656" w:val="left" w:leader="none"/>
                <w:tab w:pos="1133"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(654)</w:t>
              <w:tab/>
            </w:r>
            <w:r>
              <w:rPr>
                <w:rFonts w:ascii="Arial"/>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tabs>
                <w:tab w:pos="1768" w:val="left" w:leader="none"/>
                <w:tab w:pos="2126"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120</w:t>
              <w:tab/>
            </w:r>
            <w:r>
              <w:rPr>
                <w:rFonts w:ascii="Arial"/>
                <w:spacing w:val="-1"/>
                <w:sz w:val="18"/>
              </w:rPr>
            </w:r>
          </w:p>
        </w:tc>
      </w:tr>
      <w:tr>
        <w:trPr>
          <w:trHeight w:val="254" w:hRule="exact"/>
        </w:trPr>
        <w:tc>
          <w:tcPr>
            <w:tcW w:w="754" w:type="dxa"/>
            <w:tcBorders>
              <w:top w:val="nil" w:sz="6" w:space="0" w:color="auto"/>
              <w:left w:val="nil" w:sz="6" w:space="0" w:color="auto"/>
              <w:bottom w:val="nil" w:sz="6" w:space="0" w:color="auto"/>
              <w:right w:val="nil" w:sz="6" w:space="0" w:color="auto"/>
            </w:tcBorders>
          </w:tcPr>
          <w:p>
            <w:pPr/>
          </w:p>
        </w:tc>
        <w:tc>
          <w:tcPr>
            <w:tcW w:w="4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86"/>
              <w:jc w:val="right"/>
              <w:rPr>
                <w:rFonts w:ascii="Arial" w:hAnsi="Arial" w:cs="Arial" w:eastAsia="Arial" w:hint="default"/>
                <w:sz w:val="18"/>
                <w:szCs w:val="18"/>
              </w:rPr>
            </w:pPr>
            <w:r>
              <w:rPr>
                <w:rFonts w:ascii="Arial"/>
                <w:spacing w:val="-1"/>
                <w:sz w:val="18"/>
              </w:rPr>
              <w:t>61,244</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20,968</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(39,752)</w:t>
            </w: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42,460</w:t>
            </w:r>
          </w:p>
        </w:tc>
      </w:tr>
      <w:tr>
        <w:trPr>
          <w:trHeight w:val="1189"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19" w:right="0"/>
              <w:jc w:val="left"/>
              <w:rPr>
                <w:rFonts w:ascii="Arial" w:hAnsi="Arial" w:cs="Arial" w:eastAsia="Arial" w:hint="default"/>
                <w:sz w:val="24"/>
                <w:szCs w:val="24"/>
              </w:rPr>
            </w:pPr>
            <w:r>
              <w:rPr>
                <w:rFonts w:ascii="Arial"/>
                <w:sz w:val="24"/>
              </w:rPr>
              <w:t>(a)</w:t>
            </w:r>
          </w:p>
        </w:tc>
        <w:tc>
          <w:tcPr>
            <w:tcW w:w="889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32" w:lineRule="auto"/>
              <w:ind w:left="126" w:right="30"/>
              <w:jc w:val="both"/>
              <w:rPr>
                <w:rFonts w:ascii="宋体" w:hAnsi="宋体" w:cs="宋体" w:eastAsia="宋体" w:hint="default"/>
                <w:sz w:val="24"/>
                <w:szCs w:val="24"/>
              </w:rPr>
            </w:pPr>
            <w:r>
              <w:rPr>
                <w:rFonts w:ascii="宋体" w:hAnsi="宋体" w:cs="宋体" w:eastAsia="宋体" w:hint="default"/>
                <w:spacing w:val="2"/>
                <w:sz w:val="24"/>
                <w:szCs w:val="24"/>
              </w:rPr>
              <w:t>本集团签订的不可撤销的租赁合同，由于租入租出的价格差异导致履行该合同的预</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计成本超过预计收入而产生预计亏损。于</w:t>
            </w:r>
            <w:r>
              <w:rPr>
                <w:rFonts w:ascii="宋体" w:hAnsi="宋体" w:cs="宋体" w:eastAsia="宋体" w:hint="default"/>
                <w:spacing w:val="-43"/>
                <w:sz w:val="24"/>
                <w:szCs w:val="24"/>
              </w:rPr>
              <w:t> </w:t>
            </w: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日，本集团尚未履行完 毕的租赁合同的租赁价格已超过预计收入，因此转回该预计负债。</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233" w:type="dxa"/>
        <w:tblLayout w:type="fixed"/>
        <w:tblCellMar>
          <w:top w:w="0" w:type="dxa"/>
          <w:left w:w="0" w:type="dxa"/>
          <w:bottom w:w="0" w:type="dxa"/>
          <w:right w:w="0" w:type="dxa"/>
        </w:tblCellMar>
        <w:tblLook w:val="01E0"/>
      </w:tblPr>
      <w:tblGrid>
        <w:gridCol w:w="723"/>
        <w:gridCol w:w="1565"/>
        <w:gridCol w:w="1425"/>
        <w:gridCol w:w="1252"/>
        <w:gridCol w:w="1355"/>
        <w:gridCol w:w="1270"/>
        <w:gridCol w:w="2156"/>
      </w:tblGrid>
      <w:tr>
        <w:trPr>
          <w:trHeight w:val="416"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(36)</w:t>
            </w:r>
          </w:p>
        </w:tc>
        <w:tc>
          <w:tcPr>
            <w:tcW w:w="1565" w:type="dxa"/>
            <w:tcBorders>
              <w:top w:val="nil" w:sz="6" w:space="0" w:color="auto"/>
              <w:left w:val="nil" w:sz="6" w:space="0" w:color="auto"/>
              <w:bottom w:val="nil" w:sz="6" w:space="0" w:color="auto"/>
              <w:right w:val="nil" w:sz="6" w:space="0" w:color="auto"/>
            </w:tcBorders>
          </w:tcPr>
          <w:p>
            <w:pPr>
              <w:pStyle w:val="TableParagraph"/>
              <w:spacing w:line="247" w:lineRule="exact"/>
              <w:ind w:left="95" w:right="0"/>
              <w:jc w:val="left"/>
              <w:rPr>
                <w:rFonts w:ascii="黑体" w:hAnsi="黑体" w:cs="黑体" w:eastAsia="黑体" w:hint="default"/>
                <w:sz w:val="24"/>
                <w:szCs w:val="24"/>
              </w:rPr>
            </w:pPr>
            <w:r>
              <w:rPr>
                <w:rFonts w:ascii="黑体" w:hAnsi="黑体" w:cs="黑体" w:eastAsia="黑体" w:hint="default"/>
                <w:sz w:val="24"/>
                <w:szCs w:val="24"/>
              </w:rPr>
              <w:t>递延收益</w:t>
            </w:r>
          </w:p>
        </w:tc>
        <w:tc>
          <w:tcPr>
            <w:tcW w:w="1425"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
        </w:tc>
      </w:tr>
      <w:tr>
        <w:trPr>
          <w:trHeight w:val="727" w:hRule="exact"/>
        </w:trPr>
        <w:tc>
          <w:tcPr>
            <w:tcW w:w="72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50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23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6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8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70"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58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1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207"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820" w:hRule="exact"/>
        </w:trPr>
        <w:tc>
          <w:tcPr>
            <w:tcW w:w="72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4" w:lineRule="exact" w:before="80"/>
              <w:ind w:left="95" w:right="0"/>
              <w:jc w:val="left"/>
              <w:rPr>
                <w:rFonts w:ascii="宋体" w:hAnsi="宋体" w:cs="宋体" w:eastAsia="宋体" w:hint="default"/>
                <w:sz w:val="18"/>
                <w:szCs w:val="18"/>
              </w:rPr>
            </w:pPr>
            <w:r>
              <w:rPr>
                <w:rFonts w:ascii="宋体" w:hAnsi="宋体" w:cs="宋体" w:eastAsia="宋体" w:hint="default"/>
                <w:sz w:val="18"/>
                <w:szCs w:val="18"/>
              </w:rPr>
              <w:t>递延延保业务</w:t>
            </w:r>
          </w:p>
          <w:p>
            <w:pPr>
              <w:pStyle w:val="TableParagraph"/>
              <w:spacing w:line="234" w:lineRule="exact" w:before="21"/>
              <w:ind w:left="455" w:right="326"/>
              <w:jc w:val="left"/>
              <w:rPr>
                <w:rFonts w:ascii="Arial" w:hAnsi="Arial" w:cs="Arial" w:eastAsia="Arial" w:hint="default"/>
                <w:sz w:val="18"/>
                <w:szCs w:val="18"/>
              </w:rPr>
            </w:pPr>
            <w:r>
              <w:rPr>
                <w:rFonts w:ascii="宋体" w:hAnsi="宋体" w:cs="宋体" w:eastAsia="宋体" w:hint="default"/>
                <w:sz w:val="18"/>
                <w:szCs w:val="18"/>
              </w:rPr>
              <w:t>收入</w:t>
            </w:r>
            <w:r>
              <w:rPr>
                <w:rFonts w:ascii="Arial" w:hAnsi="Arial" w:cs="Arial" w:eastAsia="Arial" w:hint="default"/>
                <w:sz w:val="18"/>
                <w:szCs w:val="18"/>
              </w:rPr>
              <w:t>(</w:t>
            </w:r>
            <w:r>
              <w:rPr>
                <w:rFonts w:ascii="宋体" w:hAnsi="宋体" w:cs="宋体" w:eastAsia="宋体" w:hint="default"/>
                <w:sz w:val="18"/>
                <w:szCs w:val="18"/>
              </w:rPr>
              <w:t>附注 四</w:t>
            </w:r>
            <w:r>
              <w:rPr>
                <w:rFonts w:ascii="Arial" w:hAnsi="Arial" w:cs="Arial" w:eastAsia="Arial" w:hint="default"/>
                <w:sz w:val="18"/>
                <w:szCs w:val="18"/>
              </w:rPr>
              <w:t>(18)(a))</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32" w:right="0"/>
              <w:jc w:val="left"/>
              <w:rPr>
                <w:rFonts w:ascii="Arial" w:hAnsi="Arial" w:cs="Arial" w:eastAsia="Arial" w:hint="default"/>
                <w:sz w:val="18"/>
                <w:szCs w:val="18"/>
              </w:rPr>
            </w:pPr>
            <w:r>
              <w:rPr>
                <w:rFonts w:ascii="Arial"/>
                <w:sz w:val="18"/>
              </w:rPr>
              <w:t>1,056,136</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46" w:right="0"/>
              <w:jc w:val="left"/>
              <w:rPr>
                <w:rFonts w:ascii="Arial" w:hAnsi="Arial" w:cs="Arial" w:eastAsia="Arial" w:hint="default"/>
                <w:sz w:val="18"/>
                <w:szCs w:val="18"/>
              </w:rPr>
            </w:pPr>
            <w:r>
              <w:rPr>
                <w:rFonts w:ascii="Arial"/>
                <w:spacing w:val="-3"/>
                <w:sz w:val="18"/>
              </w:rPr>
              <w:t>505,011</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Arial" w:hAnsi="Arial" w:cs="Arial" w:eastAsia="Arial" w:hint="default"/>
                <w:sz w:val="18"/>
                <w:szCs w:val="18"/>
              </w:rPr>
            </w:pPr>
            <w:r>
              <w:rPr>
                <w:rFonts w:ascii="Arial"/>
                <w:sz w:val="18"/>
              </w:rPr>
              <w:t>(346,533)</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5"/>
              <w:jc w:val="right"/>
              <w:rPr>
                <w:rFonts w:ascii="Arial" w:hAnsi="Arial" w:cs="Arial" w:eastAsia="Arial" w:hint="default"/>
                <w:sz w:val="18"/>
                <w:szCs w:val="18"/>
              </w:rPr>
            </w:pPr>
            <w:r>
              <w:rPr>
                <w:rFonts w:ascii="Arial"/>
                <w:spacing w:val="-1"/>
                <w:sz w:val="18"/>
              </w:rPr>
              <w:t>1,214,614</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06"/>
              <w:ind w:left="667" w:right="0"/>
              <w:jc w:val="left"/>
              <w:rPr>
                <w:rFonts w:ascii="宋体" w:hAnsi="宋体" w:cs="宋体" w:eastAsia="宋体" w:hint="default"/>
                <w:sz w:val="18"/>
                <w:szCs w:val="18"/>
              </w:rPr>
            </w:pPr>
            <w:r>
              <w:rPr>
                <w:rFonts w:ascii="宋体" w:hAnsi="宋体" w:cs="宋体" w:eastAsia="宋体" w:hint="default"/>
                <w:sz w:val="18"/>
                <w:szCs w:val="18"/>
              </w:rPr>
              <w:t>预收客户的延保</w:t>
            </w:r>
          </w:p>
          <w:p>
            <w:pPr>
              <w:pStyle w:val="TableParagraph"/>
              <w:spacing w:line="235" w:lineRule="exact"/>
              <w:ind w:left="1207" w:right="0"/>
              <w:jc w:val="left"/>
              <w:rPr>
                <w:rFonts w:ascii="宋体" w:hAnsi="宋体" w:cs="宋体" w:eastAsia="宋体" w:hint="default"/>
                <w:sz w:val="18"/>
                <w:szCs w:val="18"/>
              </w:rPr>
            </w:pPr>
            <w:r>
              <w:rPr>
                <w:rFonts w:ascii="宋体" w:hAnsi="宋体" w:cs="宋体" w:eastAsia="宋体" w:hint="default"/>
                <w:sz w:val="18"/>
                <w:szCs w:val="18"/>
              </w:rPr>
              <w:t>业务收入</w:t>
            </w:r>
          </w:p>
        </w:tc>
      </w:tr>
      <w:tr>
        <w:trPr>
          <w:trHeight w:val="549" w:hRule="exact"/>
        </w:trPr>
        <w:tc>
          <w:tcPr>
            <w:tcW w:w="72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95" w:right="0"/>
              <w:jc w:val="left"/>
              <w:rPr>
                <w:rFonts w:ascii="Arial" w:hAnsi="Arial" w:cs="Arial" w:eastAsia="Arial" w:hint="default"/>
                <w:sz w:val="18"/>
                <w:szCs w:val="18"/>
              </w:rPr>
            </w:pPr>
            <w:r>
              <w:rPr>
                <w:rFonts w:ascii="宋体" w:hAnsi="宋体" w:cs="宋体" w:eastAsia="宋体" w:hint="default"/>
                <w:sz w:val="18"/>
                <w:szCs w:val="18"/>
              </w:rPr>
              <w:t>政府补助</w:t>
            </w:r>
            <w:r>
              <w:rPr>
                <w:rFonts w:ascii="Arial" w:hAnsi="Arial" w:cs="Arial" w:eastAsia="Arial" w:hint="default"/>
                <w:sz w:val="18"/>
                <w:szCs w:val="18"/>
              </w:rPr>
              <w:t>(a)</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511" w:val="left" w:leader="none"/>
                <w:tab w:pos="1787" w:val="left" w:leader="none"/>
              </w:tabs>
              <w:spacing w:line="240" w:lineRule="auto"/>
              <w:ind w:left="14" w:right="-364"/>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365,782</w:t>
              <w:tab/>
            </w:r>
            <w:r>
              <w:rPr>
                <w:rFonts w:ascii="Arial"/>
                <w:sz w:val="18"/>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720" w:val="left" w:leader="none"/>
              </w:tabs>
              <w:spacing w:line="240" w:lineRule="auto"/>
              <w:ind w:left="363" w:right="-469"/>
              <w:jc w:val="left"/>
              <w:rPr>
                <w:rFonts w:ascii="Arial" w:hAnsi="Arial" w:cs="Arial" w:eastAsia="Arial" w:hint="default"/>
                <w:sz w:val="18"/>
                <w:szCs w:val="18"/>
              </w:rPr>
            </w:pPr>
            <w:r>
              <w:rPr>
                <w:rFonts w:ascii="Arial"/>
                <w:w w:val="99"/>
                <w:sz w:val="18"/>
              </w:rPr>
            </w:r>
            <w:r>
              <w:rPr>
                <w:rFonts w:ascii="Arial"/>
                <w:sz w:val="18"/>
                <w:u w:val="single" w:color="000000"/>
              </w:rPr>
              <w:t>235,231</w:t>
              <w:tab/>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936" w:val="left" w:leader="none"/>
              </w:tabs>
              <w:spacing w:line="240" w:lineRule="auto"/>
              <w:ind w:left="468" w:right="-582"/>
              <w:jc w:val="left"/>
              <w:rPr>
                <w:rFonts w:ascii="Arial" w:hAnsi="Arial" w:cs="Arial" w:eastAsia="Arial" w:hint="default"/>
                <w:sz w:val="18"/>
                <w:szCs w:val="18"/>
              </w:rPr>
            </w:pPr>
            <w:r>
              <w:rPr>
                <w:rFonts w:ascii="Arial"/>
                <w:w w:val="99"/>
                <w:sz w:val="18"/>
              </w:rPr>
            </w:r>
            <w:r>
              <w:rPr>
                <w:rFonts w:ascii="Arial"/>
                <w:sz w:val="18"/>
                <w:u w:val="single" w:color="000000"/>
              </w:rPr>
              <w:t>(9,989)</w:t>
              <w:tab/>
            </w:r>
            <w:r>
              <w:rPr>
                <w:rFonts w:ascii="Arial"/>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Arial" w:hAnsi="Arial" w:cs="Arial" w:eastAsia="Arial" w:hint="default"/>
                <w:sz w:val="18"/>
                <w:szCs w:val="18"/>
              </w:rPr>
            </w:pPr>
            <w:r>
              <w:rPr>
                <w:rFonts w:ascii="Arial"/>
                <w:w w:val="99"/>
                <w:sz w:val="18"/>
              </w:rPr>
            </w:r>
            <w:r>
              <w:rPr>
                <w:rFonts w:ascii="Arial"/>
                <w:spacing w:val="-1"/>
                <w:sz w:val="18"/>
                <w:u w:val="single" w:color="000000"/>
              </w:rPr>
              <w:t>591,024</w:t>
            </w:r>
            <w:r>
              <w:rPr>
                <w:rFonts w:ascii="Arial"/>
                <w:spacing w:val="-1"/>
                <w:sz w:val="18"/>
              </w:rPr>
            </w:r>
          </w:p>
        </w:tc>
        <w:tc>
          <w:tcPr>
            <w:tcW w:w="2156" w:type="dxa"/>
            <w:tcBorders>
              <w:top w:val="nil" w:sz="6" w:space="0" w:color="auto"/>
              <w:left w:val="nil" w:sz="6" w:space="0" w:color="auto"/>
              <w:bottom w:val="nil" w:sz="6" w:space="0" w:color="auto"/>
              <w:right w:val="nil" w:sz="6" w:space="0" w:color="auto"/>
            </w:tcBorders>
          </w:tcPr>
          <w:p>
            <w:pPr>
              <w:pStyle w:val="TableParagraph"/>
              <w:spacing w:line="195" w:lineRule="exact"/>
              <w:ind w:left="156" w:right="0"/>
              <w:jc w:val="left"/>
              <w:rPr>
                <w:rFonts w:ascii="宋体" w:hAnsi="宋体" w:cs="宋体" w:eastAsia="宋体" w:hint="default"/>
                <w:sz w:val="18"/>
                <w:szCs w:val="18"/>
              </w:rPr>
            </w:pPr>
            <w:r>
              <w:rPr>
                <w:rFonts w:ascii="宋体" w:hAnsi="宋体" w:cs="宋体" w:eastAsia="宋体" w:hint="default"/>
                <w:sz w:val="18"/>
                <w:szCs w:val="18"/>
              </w:rPr>
              <w:t>子公司所在地相关部门</w:t>
            </w:r>
          </w:p>
          <w:p>
            <w:pPr>
              <w:pStyle w:val="TableParagraph"/>
              <w:spacing w:line="235" w:lineRule="exact"/>
              <w:ind w:left="876" w:right="0"/>
              <w:jc w:val="left"/>
              <w:rPr>
                <w:rFonts w:ascii="宋体" w:hAnsi="宋体" w:cs="宋体" w:eastAsia="宋体" w:hint="default"/>
                <w:sz w:val="18"/>
                <w:szCs w:val="18"/>
              </w:rPr>
            </w:pPr>
            <w:r>
              <w:rPr>
                <w:rFonts w:ascii="宋体" w:hAnsi="宋体" w:cs="宋体" w:eastAsia="宋体" w:hint="default"/>
                <w:sz w:val="18"/>
                <w:szCs w:val="18"/>
              </w:rPr>
              <w:t>补贴项目建设</w:t>
            </w:r>
          </w:p>
        </w:tc>
      </w:tr>
      <w:tr>
        <w:trPr>
          <w:trHeight w:val="299" w:hRule="exact"/>
        </w:trPr>
        <w:tc>
          <w:tcPr>
            <w:tcW w:w="72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left="361" w:right="0"/>
              <w:jc w:val="left"/>
              <w:rPr>
                <w:rFonts w:ascii="Arial" w:hAnsi="Arial" w:cs="Arial" w:eastAsia="Arial" w:hint="default"/>
                <w:sz w:val="18"/>
                <w:szCs w:val="18"/>
              </w:rPr>
            </w:pPr>
            <w:r>
              <w:rPr>
                <w:rFonts w:ascii="Arial"/>
                <w:sz w:val="18"/>
              </w:rPr>
              <w:t>1,421,918</w:t>
            </w:r>
          </w:p>
        </w:tc>
        <w:tc>
          <w:tcPr>
            <w:tcW w:w="1252"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left="363" w:right="0"/>
              <w:jc w:val="left"/>
              <w:rPr>
                <w:rFonts w:ascii="Arial" w:hAnsi="Arial" w:cs="Arial" w:eastAsia="Arial" w:hint="default"/>
                <w:sz w:val="18"/>
                <w:szCs w:val="18"/>
              </w:rPr>
            </w:pPr>
            <w:r>
              <w:rPr>
                <w:rFonts w:ascii="Arial"/>
                <w:sz w:val="18"/>
              </w:rPr>
              <w:t>740,242</w:t>
            </w:r>
          </w:p>
        </w:tc>
        <w:tc>
          <w:tcPr>
            <w:tcW w:w="1355"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left="268" w:right="0"/>
              <w:jc w:val="left"/>
              <w:rPr>
                <w:rFonts w:ascii="Arial" w:hAnsi="Arial" w:cs="Arial" w:eastAsia="Arial" w:hint="default"/>
                <w:sz w:val="18"/>
                <w:szCs w:val="18"/>
              </w:rPr>
            </w:pPr>
            <w:r>
              <w:rPr>
                <w:rFonts w:ascii="Arial"/>
                <w:sz w:val="18"/>
              </w:rPr>
              <w:t>(356,522)</w:t>
            </w:r>
          </w:p>
        </w:tc>
        <w:tc>
          <w:tcPr>
            <w:tcW w:w="1270"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27"/>
              <w:jc w:val="right"/>
              <w:rPr>
                <w:rFonts w:ascii="Arial" w:hAnsi="Arial" w:cs="Arial" w:eastAsia="Arial" w:hint="default"/>
                <w:sz w:val="18"/>
                <w:szCs w:val="18"/>
              </w:rPr>
            </w:pPr>
            <w:r>
              <w:rPr>
                <w:rFonts w:ascii="Arial"/>
                <w:spacing w:val="-1"/>
                <w:sz w:val="18"/>
              </w:rPr>
              <w:t>1,805,638</w:t>
            </w:r>
          </w:p>
        </w:tc>
        <w:tc>
          <w:tcPr>
            <w:tcW w:w="2156"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79"/>
        <w:gridCol w:w="1866"/>
        <w:gridCol w:w="1214"/>
        <w:gridCol w:w="1222"/>
        <w:gridCol w:w="1247"/>
        <w:gridCol w:w="1090"/>
        <w:gridCol w:w="1159"/>
        <w:gridCol w:w="1403"/>
      </w:tblGrid>
      <w:tr>
        <w:trPr>
          <w:trHeight w:val="788" w:hRule="exact"/>
        </w:trPr>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00" w:right="0"/>
              <w:jc w:val="left"/>
              <w:rPr>
                <w:rFonts w:ascii="Arial" w:hAnsi="Arial" w:cs="Arial" w:eastAsia="Arial" w:hint="default"/>
                <w:sz w:val="18"/>
                <w:szCs w:val="18"/>
              </w:rPr>
            </w:pPr>
            <w:r>
              <w:rPr>
                <w:rFonts w:ascii="Arial"/>
                <w:sz w:val="18"/>
              </w:rPr>
              <w:t>(a)</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1" w:lineRule="exact"/>
              <w:ind w:left="436"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6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35" w:lineRule="exact"/>
              <w:ind w:left="153" w:right="0"/>
              <w:jc w:val="left"/>
              <w:rPr>
                <w:rFonts w:ascii="宋体" w:hAnsi="宋体" w:cs="宋体" w:eastAsia="宋体" w:hint="default"/>
                <w:sz w:val="18"/>
                <w:szCs w:val="18"/>
              </w:rPr>
            </w:pPr>
            <w:r>
              <w:rPr>
                <w:rFonts w:ascii="宋体" w:hAnsi="宋体" w:cs="宋体" w:eastAsia="宋体" w:hint="default"/>
                <w:sz w:val="18"/>
                <w:szCs w:val="18"/>
              </w:rPr>
              <w:t>本年新增补</w:t>
            </w:r>
          </w:p>
          <w:p>
            <w:pPr>
              <w:pStyle w:val="TableParagraph"/>
              <w:spacing w:line="235" w:lineRule="exact"/>
              <w:ind w:left="513" w:right="0"/>
              <w:jc w:val="left"/>
              <w:rPr>
                <w:rFonts w:ascii="宋体" w:hAnsi="宋体" w:cs="宋体" w:eastAsia="宋体" w:hint="default"/>
                <w:sz w:val="18"/>
                <w:szCs w:val="18"/>
              </w:rPr>
            </w:pPr>
            <w:r>
              <w:rPr>
                <w:rFonts w:ascii="宋体" w:hAnsi="宋体" w:cs="宋体" w:eastAsia="宋体" w:hint="default"/>
                <w:sz w:val="18"/>
                <w:szCs w:val="18"/>
              </w:rPr>
              <w:t>助金额</w:t>
            </w:r>
          </w:p>
        </w:tc>
        <w:tc>
          <w:tcPr>
            <w:tcW w:w="1247" w:type="dxa"/>
            <w:tcBorders>
              <w:top w:val="nil" w:sz="6" w:space="0" w:color="auto"/>
              <w:left w:val="nil" w:sz="6" w:space="0" w:color="auto"/>
              <w:bottom w:val="nil" w:sz="6" w:space="0" w:color="auto"/>
              <w:right w:val="nil" w:sz="6" w:space="0" w:color="auto"/>
            </w:tcBorders>
          </w:tcPr>
          <w:p>
            <w:pPr>
              <w:pStyle w:val="TableParagraph"/>
              <w:spacing w:line="179" w:lineRule="exact"/>
              <w:ind w:right="177"/>
              <w:jc w:val="right"/>
              <w:rPr>
                <w:rFonts w:ascii="宋体" w:hAnsi="宋体" w:cs="宋体" w:eastAsia="宋体" w:hint="default"/>
                <w:sz w:val="18"/>
                <w:szCs w:val="18"/>
              </w:rPr>
            </w:pPr>
            <w:r>
              <w:rPr>
                <w:rFonts w:ascii="宋体" w:hAnsi="宋体" w:cs="宋体" w:eastAsia="宋体" w:hint="default"/>
                <w:sz w:val="18"/>
                <w:szCs w:val="18"/>
              </w:rPr>
              <w:t>本年计入营</w:t>
            </w:r>
          </w:p>
          <w:p>
            <w:pPr>
              <w:pStyle w:val="TableParagraph"/>
              <w:spacing w:line="233" w:lineRule="exact"/>
              <w:ind w:right="177"/>
              <w:jc w:val="right"/>
              <w:rPr>
                <w:rFonts w:ascii="宋体" w:hAnsi="宋体" w:cs="宋体" w:eastAsia="宋体" w:hint="default"/>
                <w:sz w:val="18"/>
                <w:szCs w:val="18"/>
              </w:rPr>
            </w:pPr>
            <w:r>
              <w:rPr>
                <w:rFonts w:ascii="宋体" w:hAnsi="宋体" w:cs="宋体" w:eastAsia="宋体" w:hint="default"/>
                <w:sz w:val="18"/>
                <w:szCs w:val="18"/>
              </w:rPr>
              <w:t>业外收入金</w:t>
            </w:r>
          </w:p>
          <w:p>
            <w:pPr>
              <w:pStyle w:val="TableParagraph"/>
              <w:spacing w:line="235" w:lineRule="exact"/>
              <w:ind w:right="176"/>
              <w:jc w:val="right"/>
              <w:rPr>
                <w:rFonts w:ascii="宋体" w:hAnsi="宋体" w:cs="宋体" w:eastAsia="宋体" w:hint="default"/>
                <w:sz w:val="18"/>
                <w:szCs w:val="18"/>
              </w:rPr>
            </w:pPr>
            <w:r>
              <w:rPr>
                <w:rFonts w:ascii="宋体" w:hAnsi="宋体" w:cs="宋体" w:eastAsia="宋体" w:hint="default"/>
                <w:sz w:val="18"/>
                <w:szCs w:val="18"/>
              </w:rPr>
              <w:t>额</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35" w:lineRule="exact"/>
              <w:ind w:left="178" w:right="0"/>
              <w:jc w:val="left"/>
              <w:rPr>
                <w:rFonts w:ascii="宋体" w:hAnsi="宋体" w:cs="宋体" w:eastAsia="宋体" w:hint="default"/>
                <w:sz w:val="18"/>
                <w:szCs w:val="18"/>
              </w:rPr>
            </w:pPr>
            <w:r>
              <w:rPr>
                <w:rFonts w:ascii="宋体" w:hAnsi="宋体" w:cs="宋体" w:eastAsia="宋体" w:hint="default"/>
                <w:sz w:val="18"/>
                <w:szCs w:val="18"/>
              </w:rPr>
              <w:t>本年其他</w:t>
            </w:r>
          </w:p>
          <w:p>
            <w:pPr>
              <w:pStyle w:val="TableParagraph"/>
              <w:spacing w:line="235" w:lineRule="exact"/>
              <w:ind w:left="538"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1" w:lineRule="exact"/>
              <w:ind w:left="46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9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1" w:lineRule="exact"/>
              <w:ind w:left="7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w:t>
            </w:r>
          </w:p>
          <w:p>
            <w:pPr>
              <w:pStyle w:val="TableParagraph"/>
              <w:spacing w:line="228" w:lineRule="exact"/>
              <w:ind w:left="483"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37"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59" w:right="0"/>
              <w:jc w:val="left"/>
              <w:rPr>
                <w:rFonts w:ascii="宋体" w:hAnsi="宋体" w:cs="宋体" w:eastAsia="宋体" w:hint="default"/>
                <w:sz w:val="18"/>
                <w:szCs w:val="18"/>
              </w:rPr>
            </w:pPr>
            <w:r>
              <w:rPr>
                <w:rFonts w:ascii="宋体" w:hAnsi="宋体" w:cs="宋体" w:eastAsia="宋体" w:hint="default"/>
                <w:sz w:val="18"/>
                <w:szCs w:val="18"/>
              </w:rPr>
              <w:t>沈阳物流基地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74"/>
              <w:jc w:val="right"/>
              <w:rPr>
                <w:rFonts w:ascii="Arial" w:hAnsi="Arial" w:cs="Arial" w:eastAsia="Arial" w:hint="default"/>
                <w:sz w:val="18"/>
                <w:szCs w:val="18"/>
              </w:rPr>
            </w:pPr>
            <w:r>
              <w:rPr>
                <w:rFonts w:ascii="Arial"/>
                <w:spacing w:val="-1"/>
                <w:sz w:val="18"/>
              </w:rPr>
              <w:t>5,738</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5"/>
              <w:jc w:val="right"/>
              <w:rPr>
                <w:rFonts w:ascii="Arial" w:hAnsi="Arial" w:cs="Arial" w:eastAsia="Arial" w:hint="default"/>
                <w:sz w:val="18"/>
                <w:szCs w:val="18"/>
              </w:rPr>
            </w:pPr>
            <w:r>
              <w:rPr>
                <w:rFonts w:ascii="Arial"/>
                <w:spacing w:val="-1"/>
                <w:sz w:val="18"/>
              </w:rPr>
              <w:t>56,800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77"/>
              <w:jc w:val="right"/>
              <w:rPr>
                <w:rFonts w:ascii="Arial" w:hAnsi="Arial" w:cs="Arial" w:eastAsia="Arial" w:hint="default"/>
                <w:sz w:val="18"/>
                <w:szCs w:val="18"/>
              </w:rPr>
            </w:pPr>
            <w:r>
              <w:rPr>
                <w:rFonts w:ascii="Arial"/>
                <w:spacing w:val="-1"/>
                <w:sz w:val="18"/>
              </w:rPr>
              <w:t>(839)</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1"/>
              <w:jc w:val="right"/>
              <w:rPr>
                <w:rFonts w:ascii="Arial" w:hAnsi="Arial" w:cs="Arial" w:eastAsia="Arial" w:hint="default"/>
                <w:sz w:val="18"/>
                <w:szCs w:val="18"/>
              </w:rPr>
            </w:pPr>
            <w:r>
              <w:rPr>
                <w:rFonts w:ascii="Arial"/>
                <w:spacing w:val="-1"/>
                <w:sz w:val="18"/>
              </w:rPr>
              <w:t>61,699</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196" w:lineRule="exact"/>
              <w:ind w:left="259" w:right="0"/>
              <w:jc w:val="left"/>
              <w:rPr>
                <w:rFonts w:ascii="宋体" w:hAnsi="宋体" w:cs="宋体" w:eastAsia="宋体" w:hint="default"/>
                <w:sz w:val="18"/>
                <w:szCs w:val="18"/>
              </w:rPr>
            </w:pPr>
            <w:r>
              <w:rPr>
                <w:rFonts w:ascii="宋体" w:hAnsi="宋体" w:cs="宋体" w:eastAsia="宋体" w:hint="default"/>
                <w:sz w:val="18"/>
                <w:szCs w:val="18"/>
              </w:rPr>
              <w:t>鄂州物流基地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5"/>
              <w:jc w:val="right"/>
              <w:rPr>
                <w:rFonts w:ascii="Arial" w:hAnsi="Arial" w:cs="Arial" w:eastAsia="Arial" w:hint="default"/>
                <w:sz w:val="18"/>
                <w:szCs w:val="18"/>
              </w:rPr>
            </w:pPr>
            <w:r>
              <w:rPr>
                <w:rFonts w:ascii="Arial"/>
                <w:w w:val="99"/>
                <w:sz w:val="18"/>
              </w:rPr>
              <w:t>-</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7"/>
              <w:jc w:val="right"/>
              <w:rPr>
                <w:rFonts w:ascii="Arial" w:hAnsi="Arial" w:cs="Arial" w:eastAsia="Arial" w:hint="default"/>
                <w:sz w:val="18"/>
                <w:szCs w:val="18"/>
              </w:rPr>
            </w:pPr>
            <w:r>
              <w:rPr>
                <w:rFonts w:ascii="Arial"/>
                <w:spacing w:val="-1"/>
                <w:sz w:val="18"/>
              </w:rPr>
              <w:t>56,682</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8"/>
              <w:jc w:val="right"/>
              <w:rPr>
                <w:rFonts w:ascii="Arial" w:hAnsi="Arial" w:cs="Arial" w:eastAsia="Arial" w:hint="default"/>
                <w:sz w:val="18"/>
                <w:szCs w:val="18"/>
              </w:rPr>
            </w:pPr>
            <w:r>
              <w:rPr>
                <w:rFonts w:ascii="Arial"/>
                <w:spacing w:val="-1"/>
                <w:sz w:val="18"/>
              </w:rPr>
              <w:t>(14)</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56,668</w:t>
            </w:r>
          </w:p>
        </w:tc>
        <w:tc>
          <w:tcPr>
            <w:tcW w:w="1403"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8"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195" w:lineRule="exact"/>
              <w:ind w:left="259" w:right="0"/>
              <w:jc w:val="left"/>
              <w:rPr>
                <w:rFonts w:ascii="宋体" w:hAnsi="宋体" w:cs="宋体" w:eastAsia="宋体" w:hint="default"/>
                <w:sz w:val="18"/>
                <w:szCs w:val="18"/>
              </w:rPr>
            </w:pPr>
            <w:r>
              <w:rPr>
                <w:rFonts w:ascii="宋体" w:hAnsi="宋体" w:cs="宋体" w:eastAsia="宋体" w:hint="default"/>
                <w:sz w:val="18"/>
                <w:szCs w:val="18"/>
              </w:rPr>
              <w:t>哈尔滨物流基地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5"/>
              <w:jc w:val="right"/>
              <w:rPr>
                <w:rFonts w:ascii="Arial" w:hAnsi="Arial" w:cs="Arial" w:eastAsia="Arial" w:hint="default"/>
                <w:sz w:val="18"/>
                <w:szCs w:val="18"/>
              </w:rPr>
            </w:pPr>
            <w:r>
              <w:rPr>
                <w:rFonts w:ascii="Arial"/>
                <w:spacing w:val="-1"/>
                <w:sz w:val="18"/>
              </w:rPr>
              <w:t>41,700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6"/>
              <w:jc w:val="right"/>
              <w:rPr>
                <w:rFonts w:ascii="Arial" w:hAnsi="Arial" w:cs="Arial" w:eastAsia="Arial" w:hint="default"/>
                <w:sz w:val="18"/>
                <w:szCs w:val="18"/>
              </w:rPr>
            </w:pPr>
            <w:r>
              <w:rPr>
                <w:rFonts w:ascii="Arial"/>
                <w:w w:val="99"/>
                <w:sz w:val="18"/>
              </w:rPr>
              <w:t>-</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7"/>
              <w:jc w:val="right"/>
              <w:rPr>
                <w:rFonts w:ascii="Arial" w:hAnsi="Arial" w:cs="Arial" w:eastAsia="Arial" w:hint="default"/>
                <w:sz w:val="18"/>
                <w:szCs w:val="18"/>
              </w:rPr>
            </w:pPr>
            <w:r>
              <w:rPr>
                <w:rFonts w:ascii="Arial"/>
                <w:spacing w:val="-1"/>
                <w:sz w:val="18"/>
              </w:rPr>
              <w:t>(975)</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2"/>
              <w:jc w:val="right"/>
              <w:rPr>
                <w:rFonts w:ascii="Arial" w:hAnsi="Arial" w:cs="Arial" w:eastAsia="Arial" w:hint="default"/>
                <w:sz w:val="18"/>
                <w:szCs w:val="18"/>
              </w:rPr>
            </w:pPr>
            <w:r>
              <w:rPr>
                <w:rFonts w:ascii="Arial"/>
                <w:spacing w:val="-1"/>
                <w:sz w:val="18"/>
              </w:rPr>
              <w:t>40,725</w:t>
            </w:r>
          </w:p>
        </w:tc>
        <w:tc>
          <w:tcPr>
            <w:tcW w:w="140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8"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9" w:right="0"/>
              <w:jc w:val="left"/>
              <w:rPr>
                <w:rFonts w:ascii="宋体" w:hAnsi="宋体" w:cs="宋体" w:eastAsia="宋体" w:hint="default"/>
                <w:sz w:val="18"/>
                <w:szCs w:val="18"/>
              </w:rPr>
            </w:pPr>
            <w:r>
              <w:rPr>
                <w:rFonts w:ascii="宋体" w:hAnsi="宋体" w:cs="宋体" w:eastAsia="宋体" w:hint="default"/>
                <w:sz w:val="18"/>
                <w:szCs w:val="18"/>
              </w:rPr>
              <w:t>北京物流基地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5"/>
              <w:jc w:val="right"/>
              <w:rPr>
                <w:rFonts w:ascii="Arial" w:hAnsi="Arial" w:cs="Arial" w:eastAsia="Arial" w:hint="default"/>
                <w:sz w:val="18"/>
                <w:szCs w:val="18"/>
              </w:rPr>
            </w:pPr>
            <w:r>
              <w:rPr>
                <w:rFonts w:ascii="Arial"/>
                <w:spacing w:val="-1"/>
                <w:sz w:val="18"/>
              </w:rPr>
              <w:t>36,661</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66"/>
              <w:jc w:val="right"/>
              <w:rPr>
                <w:rFonts w:ascii="Arial" w:hAnsi="Arial" w:cs="Arial" w:eastAsia="Arial" w:hint="default"/>
                <w:sz w:val="18"/>
                <w:szCs w:val="18"/>
              </w:rPr>
            </w:pPr>
            <w:r>
              <w:rPr>
                <w:rFonts w:ascii="Arial"/>
                <w:w w:val="99"/>
                <w:sz w:val="18"/>
              </w:rPr>
              <w:t>-</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7"/>
              <w:jc w:val="right"/>
              <w:rPr>
                <w:rFonts w:ascii="Arial" w:hAnsi="Arial" w:cs="Arial" w:eastAsia="Arial" w:hint="default"/>
                <w:sz w:val="18"/>
                <w:szCs w:val="18"/>
              </w:rPr>
            </w:pPr>
            <w:r>
              <w:rPr>
                <w:rFonts w:ascii="Arial"/>
                <w:spacing w:val="-1"/>
                <w:sz w:val="18"/>
              </w:rPr>
              <w:t>(893)</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1"/>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1"/>
              <w:jc w:val="right"/>
              <w:rPr>
                <w:rFonts w:ascii="Arial" w:hAnsi="Arial" w:cs="Arial" w:eastAsia="Arial" w:hint="default"/>
                <w:sz w:val="18"/>
                <w:szCs w:val="18"/>
              </w:rPr>
            </w:pPr>
            <w:r>
              <w:rPr>
                <w:rFonts w:ascii="Arial"/>
                <w:spacing w:val="-1"/>
                <w:sz w:val="18"/>
              </w:rPr>
              <w:t>35,768</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195" w:lineRule="exact"/>
              <w:ind w:left="259" w:right="0"/>
              <w:jc w:val="left"/>
              <w:rPr>
                <w:rFonts w:ascii="宋体" w:hAnsi="宋体" w:cs="宋体" w:eastAsia="宋体" w:hint="default"/>
                <w:sz w:val="18"/>
                <w:szCs w:val="18"/>
              </w:rPr>
            </w:pPr>
            <w:r>
              <w:rPr>
                <w:rFonts w:ascii="宋体" w:hAnsi="宋体" w:cs="宋体" w:eastAsia="宋体" w:hint="default"/>
                <w:sz w:val="18"/>
                <w:szCs w:val="18"/>
              </w:rPr>
              <w:t>临水景观基地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5"/>
              <w:jc w:val="right"/>
              <w:rPr>
                <w:rFonts w:ascii="Arial" w:hAnsi="Arial" w:cs="Arial" w:eastAsia="Arial" w:hint="default"/>
                <w:sz w:val="18"/>
                <w:szCs w:val="18"/>
              </w:rPr>
            </w:pPr>
            <w:r>
              <w:rPr>
                <w:rFonts w:ascii="Arial"/>
                <w:spacing w:val="-1"/>
                <w:sz w:val="18"/>
              </w:rPr>
              <w:t>20,438</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6"/>
              <w:jc w:val="right"/>
              <w:rPr>
                <w:rFonts w:ascii="Arial" w:hAnsi="Arial" w:cs="Arial" w:eastAsia="Arial" w:hint="default"/>
                <w:sz w:val="18"/>
                <w:szCs w:val="18"/>
              </w:rPr>
            </w:pPr>
            <w:r>
              <w:rPr>
                <w:rFonts w:ascii="Arial"/>
                <w:w w:val="99"/>
                <w:sz w:val="18"/>
              </w:rPr>
              <w:t>-</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7"/>
              <w:jc w:val="right"/>
              <w:rPr>
                <w:rFonts w:ascii="Arial" w:hAnsi="Arial" w:cs="Arial" w:eastAsia="Arial" w:hint="default"/>
                <w:sz w:val="18"/>
                <w:szCs w:val="18"/>
              </w:rPr>
            </w:pPr>
            <w:r>
              <w:rPr>
                <w:rFonts w:ascii="Arial"/>
                <w:spacing w:val="-1"/>
                <w:sz w:val="18"/>
              </w:rPr>
              <w:t>(340)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1"/>
              <w:jc w:val="right"/>
              <w:rPr>
                <w:rFonts w:ascii="Arial" w:hAnsi="Arial" w:cs="Arial" w:eastAsia="Arial" w:hint="default"/>
                <w:sz w:val="18"/>
                <w:szCs w:val="18"/>
              </w:rPr>
            </w:pPr>
            <w:r>
              <w:rPr>
                <w:rFonts w:ascii="Arial"/>
                <w:spacing w:val="-1"/>
                <w:sz w:val="18"/>
              </w:rPr>
              <w:t>20,098</w:t>
            </w:r>
          </w:p>
        </w:tc>
        <w:tc>
          <w:tcPr>
            <w:tcW w:w="140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196" w:lineRule="exact"/>
              <w:ind w:left="259" w:right="0"/>
              <w:jc w:val="left"/>
              <w:rPr>
                <w:rFonts w:ascii="宋体" w:hAnsi="宋体" w:cs="宋体" w:eastAsia="宋体" w:hint="default"/>
                <w:sz w:val="18"/>
                <w:szCs w:val="18"/>
              </w:rPr>
            </w:pPr>
            <w:r>
              <w:rPr>
                <w:rFonts w:ascii="宋体" w:hAnsi="宋体" w:cs="宋体" w:eastAsia="宋体" w:hint="default"/>
                <w:sz w:val="18"/>
                <w:szCs w:val="18"/>
              </w:rPr>
              <w:t>合肥物流基地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5"/>
              <w:jc w:val="right"/>
              <w:rPr>
                <w:rFonts w:ascii="Arial" w:hAnsi="Arial" w:cs="Arial" w:eastAsia="Arial" w:hint="default"/>
                <w:sz w:val="18"/>
                <w:szCs w:val="18"/>
              </w:rPr>
            </w:pPr>
            <w:r>
              <w:rPr>
                <w:rFonts w:ascii="Arial"/>
                <w:spacing w:val="-1"/>
                <w:sz w:val="18"/>
              </w:rPr>
              <w:t>34,072</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6"/>
              <w:jc w:val="right"/>
              <w:rPr>
                <w:rFonts w:ascii="Arial" w:hAnsi="Arial" w:cs="Arial" w:eastAsia="Arial" w:hint="default"/>
                <w:sz w:val="18"/>
                <w:szCs w:val="18"/>
              </w:rPr>
            </w:pPr>
            <w:r>
              <w:rPr>
                <w:rFonts w:ascii="Arial"/>
                <w:w w:val="99"/>
                <w:sz w:val="18"/>
              </w:rPr>
              <w:t>-</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7"/>
              <w:jc w:val="right"/>
              <w:rPr>
                <w:rFonts w:ascii="Arial" w:hAnsi="Arial" w:cs="Arial" w:eastAsia="Arial" w:hint="default"/>
                <w:sz w:val="18"/>
                <w:szCs w:val="18"/>
              </w:rPr>
            </w:pPr>
            <w:r>
              <w:rPr>
                <w:rFonts w:ascii="Arial"/>
                <w:spacing w:val="-1"/>
                <w:sz w:val="18"/>
              </w:rPr>
              <w:t>(761)</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spacing w:val="-3"/>
                <w:sz w:val="18"/>
              </w:rPr>
              <w:t>33,311</w:t>
            </w:r>
          </w:p>
        </w:tc>
        <w:tc>
          <w:tcPr>
            <w:tcW w:w="1403"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195" w:lineRule="exact"/>
              <w:ind w:left="259" w:right="0"/>
              <w:jc w:val="left"/>
              <w:rPr>
                <w:rFonts w:ascii="宋体" w:hAnsi="宋体" w:cs="宋体" w:eastAsia="宋体" w:hint="default"/>
                <w:sz w:val="18"/>
                <w:szCs w:val="18"/>
              </w:rPr>
            </w:pPr>
            <w:r>
              <w:rPr>
                <w:rFonts w:ascii="宋体" w:hAnsi="宋体" w:cs="宋体" w:eastAsia="宋体" w:hint="default"/>
                <w:sz w:val="18"/>
                <w:szCs w:val="18"/>
              </w:rPr>
              <w:t>长春物流基地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5"/>
              <w:jc w:val="right"/>
              <w:rPr>
                <w:rFonts w:ascii="Arial" w:hAnsi="Arial" w:cs="Arial" w:eastAsia="Arial" w:hint="default"/>
                <w:sz w:val="18"/>
                <w:szCs w:val="18"/>
              </w:rPr>
            </w:pPr>
            <w:r>
              <w:rPr>
                <w:rFonts w:ascii="Arial"/>
                <w:spacing w:val="-1"/>
                <w:sz w:val="18"/>
              </w:rPr>
              <w:t>33,761</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6"/>
              <w:jc w:val="right"/>
              <w:rPr>
                <w:rFonts w:ascii="Arial" w:hAnsi="Arial" w:cs="Arial" w:eastAsia="Arial" w:hint="default"/>
                <w:sz w:val="18"/>
                <w:szCs w:val="18"/>
              </w:rPr>
            </w:pPr>
            <w:r>
              <w:rPr>
                <w:rFonts w:ascii="Arial"/>
                <w:w w:val="99"/>
                <w:sz w:val="18"/>
              </w:rPr>
              <w:t>-</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7"/>
              <w:jc w:val="right"/>
              <w:rPr>
                <w:rFonts w:ascii="Arial" w:hAnsi="Arial" w:cs="Arial" w:eastAsia="Arial" w:hint="default"/>
                <w:sz w:val="18"/>
                <w:szCs w:val="18"/>
              </w:rPr>
            </w:pPr>
            <w:r>
              <w:rPr>
                <w:rFonts w:ascii="Arial"/>
                <w:spacing w:val="-1"/>
                <w:sz w:val="18"/>
              </w:rPr>
              <w:t>(712)</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18"/>
                <w:szCs w:val="18"/>
              </w:rPr>
            </w:pPr>
            <w:r>
              <w:rPr>
                <w:rFonts w:ascii="Arial"/>
                <w:spacing w:val="-1"/>
                <w:sz w:val="18"/>
              </w:rPr>
              <w:t>33,049</w:t>
            </w:r>
          </w:p>
        </w:tc>
        <w:tc>
          <w:tcPr>
            <w:tcW w:w="1403" w:type="dxa"/>
            <w:tcBorders>
              <w:top w:val="nil" w:sz="6" w:space="0" w:color="auto"/>
              <w:left w:val="nil" w:sz="6" w:space="0" w:color="auto"/>
              <w:bottom w:val="nil" w:sz="6" w:space="0" w:color="auto"/>
              <w:right w:val="nil" w:sz="6" w:space="0" w:color="auto"/>
            </w:tcBorders>
          </w:tcPr>
          <w:p>
            <w:pPr>
              <w:pStyle w:val="TableParagraph"/>
              <w:spacing w:line="195" w:lineRule="exact"/>
              <w:ind w:right="205"/>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南通苏宁物流基地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5"/>
              <w:jc w:val="right"/>
              <w:rPr>
                <w:rFonts w:ascii="Arial" w:hAnsi="Arial" w:cs="Arial" w:eastAsia="Arial" w:hint="default"/>
                <w:sz w:val="18"/>
                <w:szCs w:val="18"/>
              </w:rPr>
            </w:pPr>
            <w:r>
              <w:rPr>
                <w:rFonts w:ascii="Arial"/>
                <w:spacing w:val="-1"/>
                <w:sz w:val="18"/>
              </w:rPr>
              <w:t>31,790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6"/>
              <w:jc w:val="right"/>
              <w:rPr>
                <w:rFonts w:ascii="Arial" w:hAnsi="Arial" w:cs="Arial" w:eastAsia="Arial" w:hint="default"/>
                <w:sz w:val="18"/>
                <w:szCs w:val="18"/>
              </w:rPr>
            </w:pPr>
            <w:r>
              <w:rPr>
                <w:rFonts w:ascii="Arial"/>
                <w:w w:val="99"/>
                <w:sz w:val="18"/>
              </w:rPr>
              <w:t>-</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7"/>
              <w:jc w:val="right"/>
              <w:rPr>
                <w:rFonts w:ascii="Arial" w:hAnsi="Arial" w:cs="Arial" w:eastAsia="Arial" w:hint="default"/>
                <w:sz w:val="18"/>
                <w:szCs w:val="18"/>
              </w:rPr>
            </w:pPr>
            <w:r>
              <w:rPr>
                <w:rFonts w:ascii="Arial"/>
                <w:spacing w:val="-1"/>
                <w:sz w:val="18"/>
              </w:rPr>
              <w:t>(680)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1"/>
              <w:jc w:val="right"/>
              <w:rPr>
                <w:rFonts w:ascii="Arial" w:hAnsi="Arial" w:cs="Arial" w:eastAsia="Arial" w:hint="default"/>
                <w:sz w:val="18"/>
                <w:szCs w:val="18"/>
              </w:rPr>
            </w:pPr>
            <w:r>
              <w:rPr>
                <w:rFonts w:ascii="Arial"/>
                <w:spacing w:val="-3"/>
                <w:sz w:val="18"/>
              </w:rPr>
              <w:t>31,110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195" w:lineRule="exact"/>
              <w:ind w:left="259" w:right="0"/>
              <w:jc w:val="left"/>
              <w:rPr>
                <w:rFonts w:ascii="宋体" w:hAnsi="宋体" w:cs="宋体" w:eastAsia="宋体" w:hint="default"/>
                <w:sz w:val="18"/>
                <w:szCs w:val="18"/>
              </w:rPr>
            </w:pPr>
            <w:r>
              <w:rPr>
                <w:rFonts w:ascii="宋体" w:hAnsi="宋体" w:cs="宋体" w:eastAsia="宋体" w:hint="default"/>
                <w:sz w:val="18"/>
                <w:szCs w:val="18"/>
              </w:rPr>
              <w:t>东西湖物流基地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5"/>
              <w:jc w:val="right"/>
              <w:rPr>
                <w:rFonts w:ascii="Arial" w:hAnsi="Arial" w:cs="Arial" w:eastAsia="Arial" w:hint="default"/>
                <w:sz w:val="18"/>
                <w:szCs w:val="18"/>
              </w:rPr>
            </w:pPr>
            <w:r>
              <w:rPr>
                <w:rFonts w:ascii="Arial"/>
                <w:spacing w:val="-1"/>
                <w:sz w:val="18"/>
              </w:rPr>
              <w:t>29,492</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6"/>
              <w:jc w:val="right"/>
              <w:rPr>
                <w:rFonts w:ascii="Arial" w:hAnsi="Arial" w:cs="Arial" w:eastAsia="Arial" w:hint="default"/>
                <w:sz w:val="18"/>
                <w:szCs w:val="18"/>
              </w:rPr>
            </w:pPr>
            <w:r>
              <w:rPr>
                <w:rFonts w:ascii="Arial"/>
                <w:w w:val="99"/>
                <w:sz w:val="18"/>
              </w:rPr>
              <w:t>-</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7"/>
              <w:jc w:val="right"/>
              <w:rPr>
                <w:rFonts w:ascii="Arial" w:hAnsi="Arial" w:cs="Arial" w:eastAsia="Arial" w:hint="default"/>
                <w:sz w:val="18"/>
                <w:szCs w:val="18"/>
              </w:rPr>
            </w:pPr>
            <w:r>
              <w:rPr>
                <w:rFonts w:ascii="Arial"/>
                <w:spacing w:val="-1"/>
                <w:sz w:val="18"/>
              </w:rPr>
              <w:t>(631)</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1"/>
              <w:jc w:val="right"/>
              <w:rPr>
                <w:rFonts w:ascii="Arial" w:hAnsi="Arial" w:cs="Arial" w:eastAsia="Arial" w:hint="default"/>
                <w:sz w:val="18"/>
                <w:szCs w:val="18"/>
              </w:rPr>
            </w:pPr>
            <w:r>
              <w:rPr>
                <w:rFonts w:ascii="Arial"/>
                <w:spacing w:val="-1"/>
                <w:sz w:val="18"/>
              </w:rPr>
              <w:t>28,861</w:t>
            </w:r>
          </w:p>
        </w:tc>
        <w:tc>
          <w:tcPr>
            <w:tcW w:w="140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196" w:lineRule="exact"/>
              <w:ind w:left="259" w:right="0"/>
              <w:jc w:val="left"/>
              <w:rPr>
                <w:rFonts w:ascii="宋体" w:hAnsi="宋体" w:cs="宋体" w:eastAsia="宋体" w:hint="default"/>
                <w:sz w:val="18"/>
                <w:szCs w:val="18"/>
              </w:rPr>
            </w:pPr>
            <w:r>
              <w:rPr>
                <w:rFonts w:ascii="宋体" w:hAnsi="宋体" w:cs="宋体" w:eastAsia="宋体" w:hint="default"/>
                <w:sz w:val="18"/>
                <w:szCs w:val="18"/>
              </w:rPr>
              <w:t>渤宁苏宁物流基地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5"/>
              <w:jc w:val="right"/>
              <w:rPr>
                <w:rFonts w:ascii="Arial" w:hAnsi="Arial" w:cs="Arial" w:eastAsia="Arial" w:hint="default"/>
                <w:sz w:val="18"/>
                <w:szCs w:val="18"/>
              </w:rPr>
            </w:pPr>
            <w:r>
              <w:rPr>
                <w:rFonts w:ascii="Arial"/>
                <w:spacing w:val="-1"/>
                <w:sz w:val="18"/>
              </w:rPr>
              <w:t>29,144</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6"/>
              <w:jc w:val="right"/>
              <w:rPr>
                <w:rFonts w:ascii="Arial" w:hAnsi="Arial" w:cs="Arial" w:eastAsia="Arial" w:hint="default"/>
                <w:sz w:val="18"/>
                <w:szCs w:val="18"/>
              </w:rPr>
            </w:pPr>
            <w:r>
              <w:rPr>
                <w:rFonts w:ascii="Arial"/>
                <w:w w:val="99"/>
                <w:sz w:val="18"/>
              </w:rPr>
              <w:t>-</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7"/>
              <w:jc w:val="right"/>
              <w:rPr>
                <w:rFonts w:ascii="Arial" w:hAnsi="Arial" w:cs="Arial" w:eastAsia="Arial" w:hint="default"/>
                <w:sz w:val="18"/>
                <w:szCs w:val="18"/>
              </w:rPr>
            </w:pPr>
            <w:r>
              <w:rPr>
                <w:rFonts w:ascii="Arial"/>
                <w:spacing w:val="-1"/>
                <w:sz w:val="18"/>
              </w:rPr>
              <w:t>(629)</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18"/>
                <w:szCs w:val="18"/>
              </w:rPr>
            </w:pPr>
            <w:r>
              <w:rPr>
                <w:rFonts w:ascii="Arial"/>
                <w:spacing w:val="-1"/>
                <w:sz w:val="18"/>
              </w:rPr>
              <w:t>28,515</w:t>
            </w:r>
          </w:p>
        </w:tc>
        <w:tc>
          <w:tcPr>
            <w:tcW w:w="1403"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17" w:hRule="exact"/>
        </w:trPr>
        <w:tc>
          <w:tcPr>
            <w:tcW w:w="679"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195" w:lineRule="exact"/>
              <w:ind w:left="259" w:right="0"/>
              <w:jc w:val="left"/>
              <w:rPr>
                <w:rFonts w:ascii="宋体" w:hAnsi="宋体" w:cs="宋体" w:eastAsia="宋体" w:hint="default"/>
                <w:sz w:val="18"/>
                <w:szCs w:val="18"/>
              </w:rPr>
            </w:pPr>
            <w:r>
              <w:rPr>
                <w:rFonts w:ascii="宋体" w:hAnsi="宋体" w:cs="宋体" w:eastAsia="宋体" w:hint="default"/>
                <w:sz w:val="18"/>
                <w:szCs w:val="18"/>
              </w:rPr>
              <w:t>西安泾阳物流基地</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5"/>
              <w:jc w:val="right"/>
              <w:rPr>
                <w:rFonts w:ascii="Arial" w:hAnsi="Arial" w:cs="Arial" w:eastAsia="Arial" w:hint="default"/>
                <w:sz w:val="18"/>
                <w:szCs w:val="18"/>
              </w:rPr>
            </w:pPr>
            <w:r>
              <w:rPr>
                <w:rFonts w:ascii="Arial"/>
                <w:w w:val="99"/>
                <w:sz w:val="18"/>
              </w:rPr>
              <w:t>-</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7"/>
              <w:jc w:val="right"/>
              <w:rPr>
                <w:rFonts w:ascii="Arial" w:hAnsi="Arial" w:cs="Arial" w:eastAsia="Arial" w:hint="default"/>
                <w:sz w:val="18"/>
                <w:szCs w:val="18"/>
              </w:rPr>
            </w:pPr>
            <w:r>
              <w:rPr>
                <w:rFonts w:ascii="Arial"/>
                <w:spacing w:val="-1"/>
                <w:sz w:val="18"/>
              </w:rPr>
              <w:t>27,500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2"/>
              <w:jc w:val="right"/>
              <w:rPr>
                <w:rFonts w:ascii="Arial" w:hAnsi="Arial" w:cs="Arial" w:eastAsia="Arial" w:hint="default"/>
                <w:sz w:val="18"/>
                <w:szCs w:val="18"/>
              </w:rPr>
            </w:pPr>
            <w:r>
              <w:rPr>
                <w:rFonts w:ascii="Arial"/>
                <w:w w:val="99"/>
                <w:sz w:val="18"/>
              </w:rPr>
              <w:t>-</w:t>
            </w:r>
            <w:r>
              <w:rPr>
                <w:rFonts w:ascii="Arial"/>
                <w:sz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8"/>
              <w:jc w:val="righ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2"/>
              <w:jc w:val="right"/>
              <w:rPr>
                <w:rFonts w:ascii="Arial" w:hAnsi="Arial" w:cs="Arial" w:eastAsia="Arial" w:hint="default"/>
                <w:sz w:val="18"/>
                <w:szCs w:val="18"/>
              </w:rPr>
            </w:pPr>
            <w:r>
              <w:rPr>
                <w:rFonts w:ascii="Arial"/>
                <w:spacing w:val="-1"/>
                <w:sz w:val="18"/>
              </w:rPr>
              <w:t>27,500</w:t>
            </w:r>
          </w:p>
        </w:tc>
        <w:tc>
          <w:tcPr>
            <w:tcW w:w="140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195" w:lineRule="exact"/>
        <w:jc w:val="right"/>
        <w:rPr>
          <w:rFonts w:ascii="宋体" w:hAnsi="宋体" w:cs="宋体" w:eastAsia="宋体" w:hint="default"/>
          <w:sz w:val="18"/>
          <w:szCs w:val="18"/>
        </w:rPr>
        <w:sectPr>
          <w:pgSz w:w="11910" w:h="16840"/>
          <w:pgMar w:header="755" w:footer="914" w:top="186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773"/>
        <w:gridCol w:w="1771"/>
        <w:gridCol w:w="1160"/>
        <w:gridCol w:w="125"/>
        <w:gridCol w:w="967"/>
        <w:gridCol w:w="125"/>
        <w:gridCol w:w="1094"/>
        <w:gridCol w:w="125"/>
        <w:gridCol w:w="952"/>
        <w:gridCol w:w="126"/>
        <w:gridCol w:w="1152"/>
        <w:gridCol w:w="1423"/>
      </w:tblGrid>
      <w:tr>
        <w:trPr>
          <w:trHeight w:val="41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93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60" w:right="-3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58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(36)</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0" w:right="0"/>
              <w:jc w:val="left"/>
              <w:rPr>
                <w:rFonts w:ascii="Arial" w:hAnsi="Arial" w:cs="Arial" w:eastAsia="Arial" w:hint="default"/>
                <w:sz w:val="24"/>
                <w:szCs w:val="24"/>
              </w:rPr>
            </w:pPr>
            <w:r>
              <w:rPr>
                <w:rFonts w:ascii="黑体" w:hAnsi="黑体" w:cs="黑体" w:eastAsia="黑体" w:hint="default"/>
                <w:sz w:val="24"/>
                <w:szCs w:val="24"/>
              </w:rPr>
              <w:t>递延收益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60"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1041"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9" w:right="0"/>
              <w:jc w:val="left"/>
              <w:rPr>
                <w:rFonts w:ascii="Arial" w:hAnsi="Arial" w:cs="Arial" w:eastAsia="Arial" w:hint="default"/>
                <w:sz w:val="18"/>
                <w:szCs w:val="18"/>
              </w:rPr>
            </w:pPr>
            <w:r>
              <w:rPr>
                <w:rFonts w:ascii="Arial"/>
                <w:sz w:val="18"/>
              </w:rPr>
              <w:t>(a)</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6"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34"/>
              <w:ind w:left="47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58"/>
              <w:ind w:left="189" w:right="55"/>
              <w:jc w:val="left"/>
              <w:rPr>
                <w:rFonts w:ascii="宋体" w:hAnsi="宋体" w:cs="宋体" w:eastAsia="宋体" w:hint="default"/>
                <w:sz w:val="18"/>
                <w:szCs w:val="18"/>
              </w:rPr>
            </w:pPr>
            <w:r>
              <w:rPr>
                <w:rFonts w:ascii="宋体" w:hAnsi="宋体" w:cs="宋体" w:eastAsia="宋体" w:hint="default"/>
                <w:sz w:val="18"/>
                <w:szCs w:val="18"/>
              </w:rPr>
              <w:t>本年新增 补助金额</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35" w:right="57"/>
              <w:jc w:val="right"/>
              <w:rPr>
                <w:rFonts w:ascii="宋体" w:hAnsi="宋体" w:cs="宋体" w:eastAsia="宋体" w:hint="default"/>
                <w:sz w:val="18"/>
                <w:szCs w:val="18"/>
              </w:rPr>
            </w:pPr>
            <w:r>
              <w:rPr>
                <w:rFonts w:ascii="宋体" w:hAnsi="宋体" w:cs="宋体" w:eastAsia="宋体" w:hint="default"/>
                <w:sz w:val="18"/>
                <w:szCs w:val="18"/>
              </w:rPr>
              <w:t>本年计入营 业外收入金</w:t>
            </w:r>
          </w:p>
          <w:p>
            <w:pPr>
              <w:pStyle w:val="TableParagraph"/>
              <w:spacing w:line="233" w:lineRule="exact"/>
              <w:ind w:right="57"/>
              <w:jc w:val="right"/>
              <w:rPr>
                <w:rFonts w:ascii="宋体" w:hAnsi="宋体" w:cs="宋体" w:eastAsia="宋体" w:hint="default"/>
                <w:sz w:val="18"/>
                <w:szCs w:val="18"/>
              </w:rPr>
            </w:pPr>
            <w:r>
              <w:rPr>
                <w:rFonts w:ascii="宋体" w:hAnsi="宋体" w:cs="宋体" w:eastAsia="宋体" w:hint="default"/>
                <w:sz w:val="18"/>
                <w:szCs w:val="18"/>
              </w:rPr>
              <w:t>额</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34"/>
              <w:ind w:left="175" w:right="0"/>
              <w:jc w:val="left"/>
              <w:rPr>
                <w:rFonts w:ascii="宋体" w:hAnsi="宋体" w:cs="宋体" w:eastAsia="宋体" w:hint="default"/>
                <w:sz w:val="18"/>
                <w:szCs w:val="18"/>
              </w:rPr>
            </w:pPr>
            <w:r>
              <w:rPr>
                <w:rFonts w:ascii="宋体" w:hAnsi="宋体" w:cs="宋体" w:eastAsia="宋体" w:hint="default"/>
                <w:sz w:val="18"/>
                <w:szCs w:val="18"/>
              </w:rPr>
              <w:t>本年其他</w:t>
            </w:r>
          </w:p>
          <w:p>
            <w:pPr>
              <w:pStyle w:val="TableParagraph"/>
              <w:spacing w:line="234" w:lineRule="exact"/>
              <w:ind w:left="53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34"/>
              <w:ind w:left="469"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9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34"/>
              <w:ind w:left="92"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w:t>
            </w:r>
          </w:p>
          <w:p>
            <w:pPr>
              <w:pStyle w:val="TableParagraph"/>
              <w:spacing w:line="228" w:lineRule="exact"/>
              <w:ind w:left="502"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427"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46" w:right="0"/>
              <w:jc w:val="left"/>
              <w:rPr>
                <w:rFonts w:ascii="宋体" w:hAnsi="宋体" w:cs="宋体" w:eastAsia="宋体" w:hint="default"/>
                <w:sz w:val="18"/>
                <w:szCs w:val="18"/>
              </w:rPr>
            </w:pPr>
            <w:r>
              <w:rPr>
                <w:rFonts w:ascii="宋体" w:hAnsi="宋体" w:cs="宋体" w:eastAsia="宋体" w:hint="default"/>
                <w:sz w:val="18"/>
                <w:szCs w:val="18"/>
              </w:rPr>
              <w:t>江西南昌物流基地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18,633</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60" w:right="0"/>
              <w:jc w:val="left"/>
              <w:rPr>
                <w:rFonts w:ascii="Arial" w:hAnsi="Arial" w:cs="Arial" w:eastAsia="Arial" w:hint="default"/>
                <w:sz w:val="18"/>
                <w:szCs w:val="18"/>
              </w:rPr>
            </w:pPr>
            <w:r>
              <w:rPr>
                <w:rFonts w:ascii="Arial"/>
                <w:sz w:val="18"/>
              </w:rPr>
              <w:t>8,420</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(506)</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26,547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195" w:lineRule="exact"/>
              <w:ind w:left="146" w:right="0"/>
              <w:jc w:val="left"/>
              <w:rPr>
                <w:rFonts w:ascii="宋体" w:hAnsi="宋体" w:cs="宋体" w:eastAsia="宋体" w:hint="default"/>
                <w:sz w:val="18"/>
                <w:szCs w:val="18"/>
              </w:rPr>
            </w:pPr>
            <w:r>
              <w:rPr>
                <w:rFonts w:ascii="宋体" w:hAnsi="宋体" w:cs="宋体" w:eastAsia="宋体" w:hint="default"/>
                <w:spacing w:val="17"/>
                <w:sz w:val="18"/>
                <w:szCs w:val="18"/>
              </w:rPr>
              <w:t>佛山苏宁易达物流</w:t>
            </w:r>
          </w:p>
          <w:p>
            <w:pPr>
              <w:pStyle w:val="TableParagraph"/>
              <w:spacing w:line="235" w:lineRule="exact"/>
              <w:ind w:left="322" w:right="0"/>
              <w:jc w:val="left"/>
              <w:rPr>
                <w:rFonts w:ascii="宋体" w:hAnsi="宋体" w:cs="宋体" w:eastAsia="宋体" w:hint="default"/>
                <w:sz w:val="18"/>
                <w:szCs w:val="18"/>
              </w:rPr>
            </w:pPr>
            <w:r>
              <w:rPr>
                <w:rFonts w:ascii="宋体" w:hAnsi="宋体" w:cs="宋体" w:eastAsia="宋体" w:hint="default"/>
                <w:sz w:val="18"/>
                <w:szCs w:val="18"/>
              </w:rPr>
              <w:t>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60" w:right="0"/>
              <w:jc w:val="left"/>
              <w:rPr>
                <w:rFonts w:ascii="Arial" w:hAnsi="Arial" w:cs="Arial" w:eastAsia="Arial" w:hint="default"/>
                <w:sz w:val="18"/>
                <w:szCs w:val="18"/>
              </w:rPr>
            </w:pPr>
            <w:r>
              <w:rPr>
                <w:rFonts w:ascii="Arial"/>
                <w:sz w:val="18"/>
              </w:rPr>
              <w:t>26,000</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26,000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4"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盐城盐宁物流基地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spacing w:val="-1"/>
                <w:sz w:val="18"/>
              </w:rPr>
              <w:t>15,995</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6"/>
              <w:jc w:val="right"/>
              <w:rPr>
                <w:rFonts w:ascii="Arial" w:hAnsi="Arial" w:cs="Arial" w:eastAsia="Arial" w:hint="default"/>
                <w:sz w:val="18"/>
                <w:szCs w:val="18"/>
              </w:rPr>
            </w:pPr>
            <w:r>
              <w:rPr>
                <w:rFonts w:ascii="Arial"/>
                <w:spacing w:val="-1"/>
                <w:sz w:val="18"/>
              </w:rPr>
              <w:t>(345)</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spacing w:val="-1"/>
                <w:sz w:val="18"/>
              </w:rPr>
              <w:t>15,650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兰州物流基地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60" w:right="0"/>
              <w:jc w:val="left"/>
              <w:rPr>
                <w:rFonts w:ascii="Arial" w:hAnsi="Arial" w:cs="Arial" w:eastAsia="Arial" w:hint="default"/>
                <w:sz w:val="18"/>
                <w:szCs w:val="18"/>
              </w:rPr>
            </w:pPr>
            <w:r>
              <w:rPr>
                <w:rFonts w:ascii="Arial"/>
                <w:sz w:val="18"/>
              </w:rPr>
              <w:t>15,000</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6"/>
              <w:jc w:val="right"/>
              <w:rPr>
                <w:rFonts w:ascii="Arial" w:hAnsi="Arial" w:cs="Arial" w:eastAsia="Arial" w:hint="default"/>
                <w:sz w:val="18"/>
                <w:szCs w:val="18"/>
              </w:rPr>
            </w:pPr>
            <w:r>
              <w:rPr>
                <w:rFonts w:ascii="Arial"/>
                <w:spacing w:val="-1"/>
                <w:sz w:val="18"/>
              </w:rPr>
              <w:t>(158)</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spacing w:val="-1"/>
                <w:sz w:val="18"/>
              </w:rPr>
              <w:t>14,842</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195" w:lineRule="exact"/>
              <w:ind w:left="146" w:right="0"/>
              <w:jc w:val="left"/>
              <w:rPr>
                <w:rFonts w:ascii="宋体" w:hAnsi="宋体" w:cs="宋体" w:eastAsia="宋体" w:hint="default"/>
                <w:sz w:val="18"/>
                <w:szCs w:val="18"/>
              </w:rPr>
            </w:pPr>
            <w:r>
              <w:rPr>
                <w:rFonts w:ascii="宋体" w:hAnsi="宋体" w:cs="宋体" w:eastAsia="宋体" w:hint="default"/>
                <w:sz w:val="18"/>
                <w:szCs w:val="18"/>
              </w:rPr>
              <w:t>苏南物流基地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13,576</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(306)</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13,270</w:t>
            </w:r>
          </w:p>
        </w:tc>
        <w:tc>
          <w:tcPr>
            <w:tcW w:w="142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196" w:lineRule="exact"/>
              <w:ind w:left="146" w:right="0"/>
              <w:jc w:val="left"/>
              <w:rPr>
                <w:rFonts w:ascii="宋体" w:hAnsi="宋体" w:cs="宋体" w:eastAsia="宋体" w:hint="default"/>
                <w:sz w:val="18"/>
                <w:szCs w:val="18"/>
              </w:rPr>
            </w:pPr>
            <w:r>
              <w:rPr>
                <w:rFonts w:ascii="宋体" w:hAnsi="宋体" w:cs="宋体" w:eastAsia="宋体" w:hint="default"/>
                <w:sz w:val="18"/>
                <w:szCs w:val="18"/>
              </w:rPr>
              <w:t>绍兴物流基地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7" w:right="0"/>
              <w:jc w:val="left"/>
              <w:rPr>
                <w:rFonts w:ascii="Arial" w:hAnsi="Arial" w:cs="Arial" w:eastAsia="Arial" w:hint="default"/>
                <w:sz w:val="18"/>
                <w:szCs w:val="18"/>
              </w:rPr>
            </w:pPr>
            <w:r>
              <w:rPr>
                <w:rFonts w:ascii="Arial"/>
                <w:sz w:val="18"/>
              </w:rPr>
              <w:t>12,740</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(202)</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12,538</w:t>
            </w:r>
          </w:p>
        </w:tc>
        <w:tc>
          <w:tcPr>
            <w:tcW w:w="1423"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195" w:lineRule="exact"/>
              <w:ind w:left="146" w:right="0"/>
              <w:jc w:val="left"/>
              <w:rPr>
                <w:rFonts w:ascii="宋体" w:hAnsi="宋体" w:cs="宋体" w:eastAsia="宋体" w:hint="default"/>
                <w:sz w:val="18"/>
                <w:szCs w:val="18"/>
              </w:rPr>
            </w:pPr>
            <w:r>
              <w:rPr>
                <w:rFonts w:ascii="宋体" w:hAnsi="宋体" w:cs="宋体" w:eastAsia="宋体" w:hint="default"/>
                <w:sz w:val="18"/>
                <w:szCs w:val="18"/>
              </w:rPr>
              <w:t>中山物流基地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12,694</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(275)</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7"/>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12,419</w:t>
            </w:r>
          </w:p>
        </w:tc>
        <w:tc>
          <w:tcPr>
            <w:tcW w:w="142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重庆二期物流基地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73" w:right="0"/>
              <w:jc w:val="left"/>
              <w:rPr>
                <w:rFonts w:ascii="Arial" w:hAnsi="Arial" w:cs="Arial" w:eastAsia="Arial" w:hint="default"/>
                <w:sz w:val="18"/>
                <w:szCs w:val="18"/>
              </w:rPr>
            </w:pPr>
            <w:r>
              <w:rPr>
                <w:rFonts w:ascii="Arial"/>
                <w:spacing w:val="-3"/>
                <w:sz w:val="18"/>
              </w:rPr>
              <w:t>11,600</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6"/>
              <w:jc w:val="right"/>
              <w:rPr>
                <w:rFonts w:ascii="Arial" w:hAnsi="Arial" w:cs="Arial" w:eastAsia="Arial" w:hint="default"/>
                <w:sz w:val="18"/>
                <w:szCs w:val="18"/>
              </w:rPr>
            </w:pPr>
            <w:r>
              <w:rPr>
                <w:rFonts w:ascii="Arial"/>
                <w:spacing w:val="-1"/>
                <w:sz w:val="18"/>
              </w:rPr>
              <w:t>(826)</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spacing w:val="-1"/>
                <w:sz w:val="18"/>
              </w:rPr>
              <w:t>10,774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195" w:lineRule="exact"/>
              <w:ind w:left="146" w:right="0"/>
              <w:jc w:val="left"/>
              <w:rPr>
                <w:rFonts w:ascii="宋体" w:hAnsi="宋体" w:cs="宋体" w:eastAsia="宋体" w:hint="default"/>
                <w:sz w:val="18"/>
                <w:szCs w:val="18"/>
              </w:rPr>
            </w:pPr>
            <w:r>
              <w:rPr>
                <w:rFonts w:ascii="宋体" w:hAnsi="宋体" w:cs="宋体" w:eastAsia="宋体" w:hint="default"/>
                <w:spacing w:val="17"/>
                <w:sz w:val="18"/>
                <w:szCs w:val="18"/>
              </w:rPr>
              <w:t>常州苏宁易达物流</w:t>
            </w:r>
          </w:p>
          <w:p>
            <w:pPr>
              <w:pStyle w:val="TableParagraph"/>
              <w:spacing w:line="234" w:lineRule="exact"/>
              <w:ind w:left="322" w:right="0"/>
              <w:jc w:val="left"/>
              <w:rPr>
                <w:rFonts w:ascii="宋体" w:hAnsi="宋体" w:cs="宋体" w:eastAsia="宋体" w:hint="default"/>
                <w:sz w:val="18"/>
                <w:szCs w:val="18"/>
              </w:rPr>
            </w:pPr>
            <w:r>
              <w:rPr>
                <w:rFonts w:ascii="宋体" w:hAnsi="宋体" w:cs="宋体" w:eastAsia="宋体" w:hint="default"/>
                <w:sz w:val="18"/>
                <w:szCs w:val="18"/>
              </w:rPr>
              <w:t>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0" w:right="0"/>
              <w:jc w:val="left"/>
              <w:rPr>
                <w:rFonts w:ascii="Arial" w:hAnsi="Arial" w:cs="Arial" w:eastAsia="Arial" w:hint="default"/>
                <w:sz w:val="18"/>
                <w:szCs w:val="18"/>
              </w:rPr>
            </w:pPr>
            <w:r>
              <w:rPr>
                <w:rFonts w:ascii="Arial"/>
                <w:sz w:val="18"/>
              </w:rPr>
              <w:t>10,000</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10,000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珠海物流基地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spacing w:val="-1"/>
                <w:sz w:val="18"/>
              </w:rPr>
              <w:t>9,733</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6"/>
              <w:jc w:val="right"/>
              <w:rPr>
                <w:rFonts w:ascii="Arial" w:hAnsi="Arial" w:cs="Arial" w:eastAsia="Arial" w:hint="default"/>
                <w:sz w:val="18"/>
                <w:szCs w:val="18"/>
              </w:rPr>
            </w:pPr>
            <w:r>
              <w:rPr>
                <w:rFonts w:ascii="Arial"/>
                <w:spacing w:val="-1"/>
                <w:sz w:val="18"/>
              </w:rPr>
              <w:t>(200)</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spacing w:val="-1"/>
                <w:sz w:val="18"/>
              </w:rPr>
              <w:t>9,533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7"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195" w:lineRule="exact"/>
              <w:ind w:left="146" w:right="0"/>
              <w:jc w:val="left"/>
              <w:rPr>
                <w:rFonts w:ascii="宋体" w:hAnsi="宋体" w:cs="宋体" w:eastAsia="宋体" w:hint="default"/>
                <w:sz w:val="18"/>
                <w:szCs w:val="18"/>
              </w:rPr>
            </w:pPr>
            <w:r>
              <w:rPr>
                <w:rFonts w:ascii="宋体" w:hAnsi="宋体" w:cs="宋体" w:eastAsia="宋体" w:hint="default"/>
                <w:spacing w:val="17"/>
                <w:sz w:val="18"/>
                <w:szCs w:val="18"/>
              </w:rPr>
              <w:t>贵阳金阳新区物流</w:t>
            </w:r>
          </w:p>
          <w:p>
            <w:pPr>
              <w:pStyle w:val="TableParagraph"/>
              <w:spacing w:line="234" w:lineRule="exact"/>
              <w:ind w:left="322" w:right="0"/>
              <w:jc w:val="left"/>
              <w:rPr>
                <w:rFonts w:ascii="宋体" w:hAnsi="宋体" w:cs="宋体" w:eastAsia="宋体" w:hint="default"/>
                <w:sz w:val="18"/>
                <w:szCs w:val="18"/>
              </w:rPr>
            </w:pPr>
            <w:r>
              <w:rPr>
                <w:rFonts w:ascii="宋体" w:hAnsi="宋体" w:cs="宋体" w:eastAsia="宋体" w:hint="default"/>
                <w:sz w:val="18"/>
                <w:szCs w:val="18"/>
              </w:rPr>
              <w:t>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9,655</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sz w:val="18"/>
              </w:rPr>
              <w:t>(208)</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9,447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195" w:lineRule="exact"/>
              <w:ind w:left="146" w:right="0"/>
              <w:jc w:val="left"/>
              <w:rPr>
                <w:rFonts w:ascii="宋体" w:hAnsi="宋体" w:cs="宋体" w:eastAsia="宋体" w:hint="default"/>
                <w:sz w:val="18"/>
                <w:szCs w:val="18"/>
              </w:rPr>
            </w:pPr>
            <w:r>
              <w:rPr>
                <w:rFonts w:ascii="宋体" w:hAnsi="宋体" w:cs="宋体" w:eastAsia="宋体" w:hint="default"/>
                <w:sz w:val="18"/>
                <w:szCs w:val="18"/>
              </w:rPr>
              <w:t>包头苏宁电器广</w:t>
            </w:r>
          </w:p>
          <w:p>
            <w:pPr>
              <w:pStyle w:val="TableParagraph"/>
              <w:spacing w:line="234" w:lineRule="exact"/>
              <w:ind w:left="326" w:right="0"/>
              <w:jc w:val="left"/>
              <w:rPr>
                <w:rFonts w:ascii="宋体" w:hAnsi="宋体" w:cs="宋体" w:eastAsia="宋体" w:hint="default"/>
                <w:sz w:val="18"/>
                <w:szCs w:val="18"/>
              </w:rPr>
            </w:pPr>
            <w:r>
              <w:rPr>
                <w:rFonts w:ascii="宋体" w:hAnsi="宋体" w:cs="宋体" w:eastAsia="宋体" w:hint="default"/>
                <w:sz w:val="18"/>
                <w:szCs w:val="18"/>
              </w:rPr>
              <w:t>场</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4,917</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0" w:right="0"/>
              <w:jc w:val="left"/>
              <w:rPr>
                <w:rFonts w:ascii="Arial" w:hAnsi="Arial" w:cs="Arial" w:eastAsia="Arial" w:hint="default"/>
                <w:sz w:val="18"/>
                <w:szCs w:val="18"/>
              </w:rPr>
            </w:pPr>
            <w:r>
              <w:rPr>
                <w:rFonts w:ascii="Arial"/>
                <w:sz w:val="18"/>
              </w:rPr>
              <w:t>3,489</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sz w:val="18"/>
              </w:rPr>
              <w:t>(108)</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8,298</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乌鲁木齐物流基地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spacing w:val="-1"/>
                <w:sz w:val="18"/>
              </w:rPr>
              <w:t>6,777</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6"/>
              <w:jc w:val="right"/>
              <w:rPr>
                <w:rFonts w:ascii="Arial" w:hAnsi="Arial" w:cs="Arial" w:eastAsia="Arial" w:hint="default"/>
                <w:sz w:val="18"/>
                <w:szCs w:val="18"/>
              </w:rPr>
            </w:pPr>
            <w:r>
              <w:rPr>
                <w:rFonts w:ascii="Arial"/>
                <w:spacing w:val="-1"/>
                <w:sz w:val="18"/>
              </w:rPr>
              <w:t>(144)</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spacing w:val="-1"/>
                <w:sz w:val="18"/>
              </w:rPr>
              <w:t>6,633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195" w:lineRule="exact"/>
              <w:ind w:left="146" w:right="0"/>
              <w:jc w:val="left"/>
              <w:rPr>
                <w:rFonts w:ascii="宋体" w:hAnsi="宋体" w:cs="宋体" w:eastAsia="宋体" w:hint="default"/>
                <w:sz w:val="18"/>
                <w:szCs w:val="18"/>
              </w:rPr>
            </w:pPr>
            <w:r>
              <w:rPr>
                <w:rFonts w:ascii="宋体" w:hAnsi="宋体" w:cs="宋体" w:eastAsia="宋体" w:hint="default"/>
                <w:spacing w:val="17"/>
                <w:sz w:val="18"/>
                <w:szCs w:val="18"/>
              </w:rPr>
              <w:t>青岛胶宁苏宁物流</w:t>
            </w:r>
          </w:p>
          <w:p>
            <w:pPr>
              <w:pStyle w:val="TableParagraph"/>
              <w:spacing w:line="234" w:lineRule="exact"/>
              <w:ind w:left="322" w:right="0"/>
              <w:jc w:val="left"/>
              <w:rPr>
                <w:rFonts w:ascii="宋体" w:hAnsi="宋体" w:cs="宋体" w:eastAsia="宋体" w:hint="default"/>
                <w:sz w:val="18"/>
                <w:szCs w:val="18"/>
              </w:rPr>
            </w:pPr>
            <w:r>
              <w:rPr>
                <w:rFonts w:ascii="宋体" w:hAnsi="宋体" w:cs="宋体" w:eastAsia="宋体" w:hint="default"/>
                <w:sz w:val="18"/>
                <w:szCs w:val="18"/>
              </w:rPr>
              <w:t>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5,535</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7"/>
              <w:jc w:val="right"/>
              <w:rPr>
                <w:rFonts w:ascii="Arial" w:hAnsi="Arial" w:cs="Arial" w:eastAsia="Arial" w:hint="default"/>
                <w:sz w:val="18"/>
                <w:szCs w:val="18"/>
              </w:rPr>
            </w:pPr>
            <w:r>
              <w:rPr>
                <w:rFonts w:ascii="Arial"/>
                <w:spacing w:val="-1"/>
                <w:sz w:val="18"/>
              </w:rPr>
              <w:t>(96)</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5,439</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3"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郑州物流基地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60" w:right="0"/>
              <w:jc w:val="left"/>
              <w:rPr>
                <w:rFonts w:ascii="Arial" w:hAnsi="Arial" w:cs="Arial" w:eastAsia="Arial" w:hint="default"/>
                <w:sz w:val="18"/>
                <w:szCs w:val="18"/>
              </w:rPr>
            </w:pPr>
            <w:r>
              <w:rPr>
                <w:rFonts w:ascii="Arial"/>
                <w:sz w:val="18"/>
              </w:rPr>
              <w:t>4,500</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4"/>
              <w:jc w:val="right"/>
              <w:rPr>
                <w:rFonts w:ascii="Arial" w:hAnsi="Arial" w:cs="Arial" w:eastAsia="Arial" w:hint="default"/>
                <w:sz w:val="18"/>
                <w:szCs w:val="18"/>
              </w:rPr>
            </w:pPr>
            <w:r>
              <w:rPr>
                <w:rFonts w:ascii="Arial"/>
                <w:spacing w:val="-1"/>
                <w:sz w:val="18"/>
              </w:rPr>
              <w:t>4,500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4"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广州物流基地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spacing w:val="-1"/>
                <w:sz w:val="18"/>
              </w:rPr>
              <w:t>1,854</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60" w:right="0"/>
              <w:jc w:val="left"/>
              <w:rPr>
                <w:rFonts w:ascii="Arial" w:hAnsi="Arial" w:cs="Arial" w:eastAsia="Arial" w:hint="default"/>
                <w:sz w:val="18"/>
                <w:szCs w:val="18"/>
              </w:rPr>
            </w:pPr>
            <w:r>
              <w:rPr>
                <w:rFonts w:ascii="Arial"/>
                <w:sz w:val="18"/>
              </w:rPr>
              <w:t>2,000</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7"/>
              <w:jc w:val="right"/>
              <w:rPr>
                <w:rFonts w:ascii="Arial" w:hAnsi="Arial" w:cs="Arial" w:eastAsia="Arial" w:hint="default"/>
                <w:sz w:val="18"/>
                <w:szCs w:val="18"/>
              </w:rPr>
            </w:pPr>
            <w:r>
              <w:rPr>
                <w:rFonts w:ascii="Arial"/>
                <w:spacing w:val="-1"/>
                <w:sz w:val="18"/>
              </w:rPr>
              <w:t>(51)</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spacing w:val="-1"/>
                <w:sz w:val="18"/>
              </w:rPr>
              <w:t>3,803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4"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四川物流基地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spacing w:val="-1"/>
                <w:sz w:val="18"/>
              </w:rPr>
              <w:t>3,617</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7"/>
              <w:jc w:val="right"/>
              <w:rPr>
                <w:rFonts w:ascii="Arial" w:hAnsi="Arial" w:cs="Arial" w:eastAsia="Arial" w:hint="default"/>
                <w:sz w:val="18"/>
                <w:szCs w:val="18"/>
              </w:rPr>
            </w:pPr>
            <w:r>
              <w:rPr>
                <w:rFonts w:ascii="Arial"/>
                <w:spacing w:val="-1"/>
                <w:sz w:val="18"/>
              </w:rPr>
              <w:t>(81)</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spacing w:val="-1"/>
                <w:sz w:val="18"/>
              </w:rPr>
              <w:t>3,536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7"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温州物流基地</w:t>
            </w:r>
          </w:p>
        </w:tc>
        <w:tc>
          <w:tcPr>
            <w:tcW w:w="1160" w:type="dxa"/>
            <w:tcBorders>
              <w:top w:val="nil" w:sz="6" w:space="0" w:color="auto"/>
              <w:left w:val="nil" w:sz="6" w:space="0" w:color="auto"/>
              <w:bottom w:val="nil" w:sz="6" w:space="0" w:color="auto"/>
              <w:right w:val="nil" w:sz="6" w:space="0" w:color="auto"/>
            </w:tcBorders>
          </w:tcPr>
          <w:p>
            <w:pPr>
              <w:pStyle w:val="TableParagraph"/>
              <w:tabs>
                <w:tab w:pos="1028" w:val="left" w:leader="none"/>
              </w:tabs>
              <w:spacing w:line="240" w:lineRule="auto" w:before="10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tabs>
                <w:tab w:pos="610" w:val="left" w:leader="none"/>
                <w:tab w:pos="967" w:val="left" w:leader="none"/>
              </w:tabs>
              <w:spacing w:line="240" w:lineRule="auto" w:before="105"/>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500</w:t>
              <w:tab/>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tabs>
                <w:tab w:pos="801" w:val="left" w:leader="none"/>
                <w:tab w:pos="1079" w:val="left" w:leader="none"/>
              </w:tabs>
              <w:spacing w:line="240" w:lineRule="auto" w:before="10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(9)</w:t>
              <w:tab/>
            </w:r>
            <w:r>
              <w:rPr>
                <w:rFonts w:ascii="Arial"/>
                <w:w w:val="95"/>
                <w:sz w:val="18"/>
              </w:rPr>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tabs>
                <w:tab w:pos="820" w:val="left" w:leader="none"/>
              </w:tabs>
              <w:spacing w:line="240" w:lineRule="auto" w:before="105"/>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tabs>
                <w:tab w:pos="781" w:val="left" w:leader="none"/>
                <w:tab w:pos="1137" w:val="left" w:leader="none"/>
              </w:tabs>
              <w:spacing w:line="240" w:lineRule="auto" w:before="10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491</w:t>
              <w:tab/>
            </w:r>
            <w:r>
              <w:rPr>
                <w:rFonts w:ascii="Arial"/>
                <w:spacing w:val="-1"/>
                <w:sz w:val="18"/>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0" w:hRule="exact"/>
        </w:trPr>
        <w:tc>
          <w:tcPr>
            <w:tcW w:w="773"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single" w:sz="12" w:space="0" w:color="000000"/>
              <w:right w:val="nil" w:sz="6" w:space="0" w:color="auto"/>
            </w:tcBorders>
          </w:tcPr>
          <w:p>
            <w:pPr>
              <w:pStyle w:val="TableParagraph"/>
              <w:spacing w:line="203" w:lineRule="exact"/>
              <w:ind w:right="56"/>
              <w:jc w:val="right"/>
              <w:rPr>
                <w:rFonts w:ascii="Arial" w:hAnsi="Arial" w:cs="Arial" w:eastAsia="Arial" w:hint="default"/>
                <w:sz w:val="18"/>
                <w:szCs w:val="18"/>
              </w:rPr>
            </w:pPr>
            <w:r>
              <w:rPr>
                <w:rFonts w:ascii="Arial"/>
                <w:spacing w:val="-1"/>
                <w:sz w:val="18"/>
              </w:rPr>
              <w:t>365,782</w:t>
            </w:r>
          </w:p>
        </w:tc>
        <w:tc>
          <w:tcPr>
            <w:tcW w:w="1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single" w:sz="12" w:space="0" w:color="000000"/>
              <w:right w:val="nil" w:sz="6" w:space="0" w:color="auto"/>
            </w:tcBorders>
          </w:tcPr>
          <w:p>
            <w:pPr>
              <w:pStyle w:val="TableParagraph"/>
              <w:spacing w:line="203" w:lineRule="exact"/>
              <w:ind w:left="259" w:right="0"/>
              <w:jc w:val="left"/>
              <w:rPr>
                <w:rFonts w:ascii="Arial" w:hAnsi="Arial" w:cs="Arial" w:eastAsia="Arial" w:hint="default"/>
                <w:sz w:val="18"/>
                <w:szCs w:val="18"/>
              </w:rPr>
            </w:pPr>
            <w:r>
              <w:rPr>
                <w:rFonts w:ascii="Arial"/>
                <w:sz w:val="18"/>
              </w:rPr>
              <w:t>235,231</w:t>
            </w:r>
          </w:p>
        </w:tc>
        <w:tc>
          <w:tcPr>
            <w:tcW w:w="12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12" w:space="0" w:color="000000"/>
              <w:right w:val="nil" w:sz="6" w:space="0" w:color="auto"/>
            </w:tcBorders>
          </w:tcPr>
          <w:p>
            <w:pPr>
              <w:pStyle w:val="TableParagraph"/>
              <w:spacing w:line="203" w:lineRule="exact"/>
              <w:ind w:right="57"/>
              <w:jc w:val="right"/>
              <w:rPr>
                <w:rFonts w:ascii="Arial" w:hAnsi="Arial" w:cs="Arial" w:eastAsia="Arial" w:hint="default"/>
                <w:sz w:val="18"/>
                <w:szCs w:val="18"/>
              </w:rPr>
            </w:pPr>
            <w:r>
              <w:rPr>
                <w:rFonts w:ascii="Arial"/>
                <w:spacing w:val="-1"/>
                <w:sz w:val="18"/>
              </w:rPr>
              <w:t>(9,989)</w:t>
            </w:r>
          </w:p>
        </w:tc>
        <w:tc>
          <w:tcPr>
            <w:tcW w:w="125"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single" w:sz="12" w:space="0" w:color="000000"/>
              <w:right w:val="nil" w:sz="6" w:space="0" w:color="auto"/>
            </w:tcBorders>
          </w:tcPr>
          <w:p>
            <w:pPr>
              <w:pStyle w:val="TableParagraph"/>
              <w:spacing w:line="203" w:lineRule="exact"/>
              <w:ind w:right="54"/>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12" w:space="0" w:color="000000"/>
              <w:right w:val="nil" w:sz="6" w:space="0" w:color="auto"/>
            </w:tcBorders>
          </w:tcPr>
          <w:p>
            <w:pPr>
              <w:pStyle w:val="TableParagraph"/>
              <w:spacing w:line="203" w:lineRule="exact"/>
              <w:ind w:right="56"/>
              <w:jc w:val="right"/>
              <w:rPr>
                <w:rFonts w:ascii="Arial" w:hAnsi="Arial" w:cs="Arial" w:eastAsia="Arial" w:hint="default"/>
                <w:sz w:val="18"/>
                <w:szCs w:val="18"/>
              </w:rPr>
            </w:pPr>
            <w:r>
              <w:rPr>
                <w:rFonts w:ascii="Arial"/>
                <w:spacing w:val="-1"/>
                <w:sz w:val="18"/>
              </w:rPr>
              <w:t>591,024</w:t>
            </w:r>
          </w:p>
        </w:tc>
        <w:tc>
          <w:tcPr>
            <w:tcW w:w="142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914" w:top="1860" w:bottom="1100" w:left="146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802"/>
        <w:gridCol w:w="4200"/>
        <w:gridCol w:w="2124"/>
        <w:gridCol w:w="2678"/>
      </w:tblGrid>
      <w:tr>
        <w:trPr>
          <w:trHeight w:val="416"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200" w:type="dxa"/>
            <w:tcBorders>
              <w:top w:val="nil" w:sz="6" w:space="0" w:color="auto"/>
              <w:left w:val="nil" w:sz="6" w:space="0" w:color="auto"/>
              <w:bottom w:val="nil" w:sz="6" w:space="0" w:color="auto"/>
              <w:right w:val="nil" w:sz="6" w:space="0" w:color="auto"/>
            </w:tcBorders>
          </w:tcPr>
          <w:p>
            <w:pPr>
              <w:pStyle w:val="TableParagraph"/>
              <w:spacing w:line="257" w:lineRule="exact"/>
              <w:ind w:left="5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24" w:type="dxa"/>
            <w:tcBorders>
              <w:top w:val="nil" w:sz="6" w:space="0" w:color="auto"/>
              <w:left w:val="nil" w:sz="6" w:space="0" w:color="auto"/>
              <w:bottom w:val="nil" w:sz="6" w:space="0" w:color="auto"/>
              <w:right w:val="nil" w:sz="6" w:space="0" w:color="auto"/>
            </w:tcBorders>
          </w:tcPr>
          <w:p>
            <w:pPr/>
          </w:p>
        </w:tc>
        <w:tc>
          <w:tcPr>
            <w:tcW w:w="2678" w:type="dxa"/>
            <w:tcBorders>
              <w:top w:val="nil" w:sz="6" w:space="0" w:color="auto"/>
              <w:left w:val="nil" w:sz="6" w:space="0" w:color="auto"/>
              <w:bottom w:val="nil" w:sz="6" w:space="0" w:color="auto"/>
              <w:right w:val="nil" w:sz="6" w:space="0" w:color="auto"/>
            </w:tcBorders>
          </w:tcPr>
          <w:p>
            <w:pPr/>
          </w:p>
        </w:tc>
      </w:tr>
      <w:tr>
        <w:trPr>
          <w:trHeight w:val="585"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(37)</w:t>
            </w: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5" w:right="0"/>
              <w:jc w:val="left"/>
              <w:rPr>
                <w:rFonts w:ascii="黑体" w:hAnsi="黑体" w:cs="黑体" w:eastAsia="黑体" w:hint="default"/>
                <w:sz w:val="24"/>
                <w:szCs w:val="24"/>
              </w:rPr>
            </w:pPr>
            <w:r>
              <w:rPr>
                <w:rFonts w:ascii="黑体" w:hAnsi="黑体" w:cs="黑体" w:eastAsia="黑体" w:hint="default"/>
                <w:sz w:val="24"/>
                <w:szCs w:val="24"/>
              </w:rPr>
              <w:t>长期应付职工薪酬</w:t>
            </w:r>
          </w:p>
        </w:tc>
        <w:tc>
          <w:tcPr>
            <w:tcW w:w="2124" w:type="dxa"/>
            <w:tcBorders>
              <w:top w:val="nil" w:sz="6" w:space="0" w:color="auto"/>
              <w:left w:val="nil" w:sz="6" w:space="0" w:color="auto"/>
              <w:bottom w:val="nil" w:sz="6" w:space="0" w:color="auto"/>
              <w:right w:val="nil" w:sz="6" w:space="0" w:color="auto"/>
            </w:tcBorders>
          </w:tcPr>
          <w:p>
            <w:pPr/>
          </w:p>
        </w:tc>
        <w:tc>
          <w:tcPr>
            <w:tcW w:w="2678" w:type="dxa"/>
            <w:tcBorders>
              <w:top w:val="nil" w:sz="6" w:space="0" w:color="auto"/>
              <w:left w:val="nil" w:sz="6" w:space="0" w:color="auto"/>
              <w:bottom w:val="nil" w:sz="6" w:space="0" w:color="auto"/>
              <w:right w:val="nil" w:sz="6" w:space="0" w:color="auto"/>
            </w:tcBorders>
          </w:tcPr>
          <w:p>
            <w:pPr/>
          </w:p>
        </w:tc>
      </w:tr>
      <w:tr>
        <w:trPr>
          <w:trHeight w:val="593" w:hRule="exact"/>
        </w:trPr>
        <w:tc>
          <w:tcPr>
            <w:tcW w:w="802" w:type="dxa"/>
            <w:tcBorders>
              <w:top w:val="nil" w:sz="6" w:space="0" w:color="auto"/>
              <w:left w:val="nil" w:sz="6" w:space="0" w:color="auto"/>
              <w:bottom w:val="nil" w:sz="6" w:space="0" w:color="auto"/>
              <w:right w:val="nil" w:sz="6" w:space="0" w:color="auto"/>
            </w:tcBorders>
          </w:tcPr>
          <w:p>
            <w:pPr/>
          </w:p>
        </w:tc>
        <w:tc>
          <w:tcPr>
            <w:tcW w:w="63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880"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606" w:hRule="exact"/>
        </w:trPr>
        <w:tc>
          <w:tcPr>
            <w:tcW w:w="802"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tabs>
                <w:tab w:pos="3497" w:val="left" w:leader="none"/>
                <w:tab w:pos="5072" w:val="left" w:leader="none"/>
              </w:tabs>
              <w:spacing w:line="240" w:lineRule="auto" w:before="89"/>
              <w:ind w:right="-977"/>
              <w:jc w:val="right"/>
              <w:rPr>
                <w:rFonts w:ascii="Arial" w:hAnsi="Arial" w:cs="Arial" w:eastAsia="Arial" w:hint="default"/>
                <w:sz w:val="24"/>
                <w:szCs w:val="24"/>
              </w:rPr>
            </w:pPr>
            <w:r>
              <w:rPr>
                <w:rFonts w:ascii="宋体" w:hAnsi="宋体" w:cs="宋体" w:eastAsia="宋体" w:hint="default"/>
                <w:position w:val="2"/>
                <w:sz w:val="24"/>
                <w:szCs w:val="24"/>
              </w:rPr>
              <w:t>设定收益计划——养老金计划</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124" w:type="dxa"/>
            <w:tcBorders>
              <w:top w:val="nil" w:sz="6" w:space="0" w:color="auto"/>
              <w:left w:val="nil" w:sz="6" w:space="0" w:color="auto"/>
              <w:bottom w:val="nil" w:sz="6" w:space="0" w:color="auto"/>
              <w:right w:val="nil" w:sz="6" w:space="0" w:color="auto"/>
            </w:tcBorders>
          </w:tcPr>
          <w:p>
            <w:pPr>
              <w:pStyle w:val="TableParagraph"/>
              <w:tabs>
                <w:tab w:pos="3804" w:val="left" w:leader="none"/>
              </w:tabs>
              <w:spacing w:line="240" w:lineRule="auto" w:before="165"/>
              <w:ind w:left="976" w:right="-1682"/>
              <w:jc w:val="left"/>
              <w:rPr>
                <w:rFonts w:ascii="Arial" w:hAnsi="Arial" w:cs="Arial" w:eastAsia="Arial" w:hint="default"/>
                <w:sz w:val="24"/>
                <w:szCs w:val="24"/>
              </w:rPr>
            </w:pPr>
            <w:r>
              <w:rPr>
                <w:rFonts w:ascii="Arial"/>
                <w:w w:val="99"/>
                <w:sz w:val="24"/>
              </w:rPr>
            </w:r>
            <w:r>
              <w:rPr>
                <w:rFonts w:ascii="Arial"/>
                <w:sz w:val="24"/>
                <w:u w:val="thick" w:color="000000"/>
              </w:rPr>
              <w:t>20,854 </w:t>
            </w:r>
            <w:r>
              <w:rPr>
                <w:rFonts w:ascii="Arial"/>
                <w:spacing w:val="-34"/>
                <w:sz w:val="24"/>
                <w:u w:val="thick" w:color="000000"/>
              </w:rPr>
              <w:t> </w:t>
            </w:r>
            <w:r>
              <w:rPr>
                <w:rFonts w:ascii="Arial"/>
                <w:spacing w:val="-34"/>
                <w:sz w:val="24"/>
              </w:rPr>
            </w:r>
            <w:r>
              <w:rPr>
                <w:rFonts w:ascii="Arial"/>
                <w:sz w:val="24"/>
              </w:rPr>
              <w:t> </w:t>
            </w:r>
            <w:r>
              <w:rPr>
                <w:rFonts w:ascii="Arial"/>
                <w:spacing w:val="8"/>
                <w:sz w:val="24"/>
              </w:rPr>
              <w:t> </w:t>
            </w:r>
            <w:r>
              <w:rPr>
                <w:rFonts w:ascii="Arial"/>
                <w:spacing w:val="8"/>
                <w:w w:val="100"/>
                <w:sz w:val="24"/>
              </w:rPr>
            </w:r>
            <w:r>
              <w:rPr>
                <w:rFonts w:ascii="Arial"/>
                <w:w w:val="100"/>
                <w:sz w:val="24"/>
                <w:u w:val="thick" w:color="000000"/>
              </w:rPr>
              <w:t> </w:t>
            </w:r>
            <w:r>
              <w:rPr>
                <w:rFonts w:ascii="Arial"/>
                <w:sz w:val="24"/>
                <w:u w:val="thick" w:color="000000"/>
              </w:rPr>
              <w:tab/>
            </w:r>
            <w:r>
              <w:rPr>
                <w:rFonts w:ascii="Arial"/>
                <w:sz w:val="24"/>
              </w:rPr>
            </w:r>
          </w:p>
        </w:tc>
        <w:tc>
          <w:tcPr>
            <w:tcW w:w="2678"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65"/>
              <w:ind w:right="154"/>
              <w:jc w:val="right"/>
              <w:rPr>
                <w:rFonts w:ascii="Arial" w:hAnsi="Arial" w:cs="Arial" w:eastAsia="Arial" w:hint="default"/>
                <w:sz w:val="24"/>
                <w:szCs w:val="24"/>
              </w:rPr>
            </w:pPr>
            <w:r>
              <w:rPr>
                <w:rFonts w:ascii="Arial"/>
                <w:w w:val="99"/>
                <w:sz w:val="24"/>
              </w:rPr>
            </w:r>
            <w:r>
              <w:rPr>
                <w:rFonts w:ascii="Arial"/>
                <w:w w:val="95"/>
                <w:sz w:val="24"/>
                <w:u w:val="thick" w:color="000000"/>
              </w:rPr>
              <w:t>17,233</w:t>
            </w:r>
            <w:r>
              <w:rPr>
                <w:rFonts w:ascii="Arial"/>
                <w:sz w:val="24"/>
                <w:u w:val="thick" w:color="000000"/>
              </w:rPr>
              <w:tab/>
            </w:r>
            <w:r>
              <w:rPr>
                <w:rFonts w:ascii="Arial"/>
                <w:sz w:val="24"/>
              </w:rPr>
            </w:r>
          </w:p>
        </w:tc>
      </w:tr>
      <w:tr>
        <w:trPr>
          <w:trHeight w:val="592"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20" w:right="0"/>
              <w:jc w:val="left"/>
              <w:rPr>
                <w:rFonts w:ascii="Arial" w:hAnsi="Arial" w:cs="Arial" w:eastAsia="Arial" w:hint="default"/>
                <w:sz w:val="24"/>
                <w:szCs w:val="24"/>
              </w:rPr>
            </w:pPr>
            <w:r>
              <w:rPr>
                <w:rFonts w:ascii="Arial"/>
                <w:sz w:val="24"/>
              </w:rPr>
              <w:t>(38)</w:t>
            </w: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75" w:right="0"/>
              <w:jc w:val="left"/>
              <w:rPr>
                <w:rFonts w:ascii="黑体" w:hAnsi="黑体" w:cs="黑体" w:eastAsia="黑体" w:hint="default"/>
                <w:sz w:val="24"/>
                <w:szCs w:val="24"/>
              </w:rPr>
            </w:pPr>
            <w:r>
              <w:rPr>
                <w:rFonts w:ascii="黑体" w:hAnsi="黑体" w:cs="黑体" w:eastAsia="黑体" w:hint="default"/>
                <w:sz w:val="24"/>
                <w:szCs w:val="24"/>
              </w:rPr>
              <w:t>其他非流动负债</w:t>
            </w:r>
          </w:p>
        </w:tc>
        <w:tc>
          <w:tcPr>
            <w:tcW w:w="2124" w:type="dxa"/>
            <w:tcBorders>
              <w:top w:val="nil" w:sz="6" w:space="0" w:color="auto"/>
              <w:left w:val="nil" w:sz="6" w:space="0" w:color="auto"/>
              <w:bottom w:val="nil" w:sz="6" w:space="0" w:color="auto"/>
              <w:right w:val="nil" w:sz="6" w:space="0" w:color="auto"/>
            </w:tcBorders>
          </w:tcPr>
          <w:p>
            <w:pPr/>
          </w:p>
        </w:tc>
        <w:tc>
          <w:tcPr>
            <w:tcW w:w="2678" w:type="dxa"/>
            <w:tcBorders>
              <w:top w:val="nil" w:sz="6" w:space="0" w:color="auto"/>
              <w:left w:val="nil" w:sz="6" w:space="0" w:color="auto"/>
              <w:bottom w:val="nil" w:sz="6" w:space="0" w:color="auto"/>
              <w:right w:val="nil" w:sz="6" w:space="0" w:color="auto"/>
            </w:tcBorders>
          </w:tcPr>
          <w:p>
            <w:pPr/>
          </w:p>
        </w:tc>
      </w:tr>
      <w:tr>
        <w:trPr>
          <w:trHeight w:val="593" w:hRule="exact"/>
        </w:trPr>
        <w:tc>
          <w:tcPr>
            <w:tcW w:w="802" w:type="dxa"/>
            <w:tcBorders>
              <w:top w:val="nil" w:sz="6" w:space="0" w:color="auto"/>
              <w:left w:val="nil" w:sz="6" w:space="0" w:color="auto"/>
              <w:bottom w:val="nil" w:sz="6" w:space="0" w:color="auto"/>
              <w:right w:val="nil" w:sz="6" w:space="0" w:color="auto"/>
            </w:tcBorders>
          </w:tcPr>
          <w:p>
            <w:pPr/>
          </w:p>
        </w:tc>
        <w:tc>
          <w:tcPr>
            <w:tcW w:w="63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880"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35" w:hRule="exact"/>
        </w:trPr>
        <w:tc>
          <w:tcPr>
            <w:tcW w:w="802"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tabs>
                <w:tab w:pos="3497" w:val="left" w:leader="none"/>
                <w:tab w:pos="5072" w:val="left" w:leader="none"/>
              </w:tabs>
              <w:spacing w:line="240" w:lineRule="auto" w:before="89"/>
              <w:ind w:right="-977"/>
              <w:jc w:val="right"/>
              <w:rPr>
                <w:rFonts w:ascii="Arial" w:hAnsi="Arial" w:cs="Arial" w:eastAsia="Arial" w:hint="default"/>
                <w:sz w:val="24"/>
                <w:szCs w:val="24"/>
              </w:rPr>
            </w:pPr>
            <w:r>
              <w:rPr>
                <w:rFonts w:ascii="宋体" w:hAnsi="宋体" w:cs="宋体" w:eastAsia="宋体" w:hint="default"/>
                <w:position w:val="2"/>
                <w:sz w:val="24"/>
                <w:szCs w:val="24"/>
              </w:rPr>
              <w:t>远期外汇合同的公允价值亏损</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124" w:type="dxa"/>
            <w:tcBorders>
              <w:top w:val="nil" w:sz="6" w:space="0" w:color="auto"/>
              <w:left w:val="nil" w:sz="6" w:space="0" w:color="auto"/>
              <w:bottom w:val="nil" w:sz="6" w:space="0" w:color="auto"/>
              <w:right w:val="nil" w:sz="6" w:space="0" w:color="auto"/>
            </w:tcBorders>
          </w:tcPr>
          <w:p>
            <w:pPr>
              <w:pStyle w:val="TableParagraph"/>
              <w:tabs>
                <w:tab w:pos="3953" w:val="left" w:leader="none"/>
              </w:tabs>
              <w:spacing w:line="240" w:lineRule="auto" w:before="165"/>
              <w:ind w:left="976" w:right="-1830"/>
              <w:jc w:val="left"/>
              <w:rPr>
                <w:rFonts w:ascii="Arial" w:hAnsi="Arial" w:cs="Arial" w:eastAsia="Arial" w:hint="default"/>
                <w:sz w:val="24"/>
                <w:szCs w:val="24"/>
              </w:rPr>
            </w:pPr>
            <w:r>
              <w:rPr>
                <w:rFonts w:ascii="Arial"/>
                <w:w w:val="99"/>
                <w:sz w:val="24"/>
              </w:rPr>
            </w:r>
            <w:r>
              <w:rPr>
                <w:rFonts w:ascii="Arial"/>
                <w:sz w:val="24"/>
                <w:u w:val="thick" w:color="000000"/>
              </w:rPr>
              <w:t>20,499 </w:t>
            </w:r>
            <w:r>
              <w:rPr>
                <w:rFonts w:ascii="Arial"/>
                <w:spacing w:val="-34"/>
                <w:sz w:val="24"/>
                <w:u w:val="thick" w:color="000000"/>
              </w:rPr>
              <w:t> </w:t>
            </w:r>
            <w:r>
              <w:rPr>
                <w:rFonts w:ascii="Arial"/>
                <w:spacing w:val="-34"/>
                <w:sz w:val="24"/>
              </w:rPr>
            </w:r>
            <w:r>
              <w:rPr>
                <w:rFonts w:ascii="Arial"/>
                <w:sz w:val="24"/>
              </w:rPr>
              <w:t> </w:t>
            </w:r>
            <w:r>
              <w:rPr>
                <w:rFonts w:ascii="Arial"/>
                <w:spacing w:val="8"/>
                <w:sz w:val="24"/>
              </w:rPr>
              <w:t> </w:t>
            </w:r>
            <w:r>
              <w:rPr>
                <w:rFonts w:ascii="Arial"/>
                <w:spacing w:val="8"/>
                <w:w w:val="100"/>
                <w:sz w:val="24"/>
              </w:rPr>
            </w:r>
            <w:r>
              <w:rPr>
                <w:rFonts w:ascii="Arial"/>
                <w:w w:val="100"/>
                <w:sz w:val="24"/>
                <w:u w:val="thick" w:color="000000"/>
              </w:rPr>
              <w:t> </w:t>
            </w:r>
            <w:r>
              <w:rPr>
                <w:rFonts w:ascii="Arial"/>
                <w:sz w:val="24"/>
                <w:u w:val="thick" w:color="000000"/>
              </w:rPr>
              <w:tab/>
            </w:r>
            <w:r>
              <w:rPr>
                <w:rFonts w:ascii="Arial"/>
                <w:sz w:val="24"/>
              </w:rPr>
            </w:r>
          </w:p>
        </w:tc>
        <w:tc>
          <w:tcPr>
            <w:tcW w:w="2678"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65"/>
              <w:ind w:right="154"/>
              <w:jc w:val="right"/>
              <w:rPr>
                <w:rFonts w:ascii="Arial" w:hAnsi="Arial" w:cs="Arial" w:eastAsia="Arial" w:hint="default"/>
                <w:sz w:val="24"/>
                <w:szCs w:val="24"/>
              </w:rPr>
            </w:pPr>
            <w:r>
              <w:rPr>
                <w:rFonts w:ascii="Arial"/>
                <w:w w:val="99"/>
                <w:sz w:val="24"/>
              </w:rPr>
            </w:r>
            <w:r>
              <w:rPr>
                <w:rFonts w:ascii="Arial"/>
                <w:w w:val="95"/>
                <w:sz w:val="24"/>
                <w:u w:val="thick" w:color="000000"/>
              </w:rPr>
              <w:t>4,873</w:t>
            </w:r>
            <w:r>
              <w:rPr>
                <w:rFonts w:ascii="Arial"/>
                <w:sz w:val="24"/>
                <w:u w:val="thick" w:color="000000"/>
              </w:rPr>
              <w:tab/>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14" w:top="1860" w:bottom="1100" w:left="1480" w:right="0"/>
        </w:sectPr>
      </w:pPr>
    </w:p>
    <w:p>
      <w:pPr>
        <w:pStyle w:val="Heading3"/>
        <w:spacing w:line="310" w:lineRule="exact" w:before="45"/>
        <w:ind w:left="320" w:right="12499"/>
        <w:jc w:val="left"/>
        <w:rPr>
          <w:rFonts w:ascii="黑体" w:hAnsi="黑体" w:cs="黑体" w:eastAsia="黑体" w:hint="default"/>
        </w:rPr>
      </w:pPr>
      <w:r>
        <w:rPr>
          <w:rFonts w:ascii="黑体" w:hAnsi="黑体" w:cs="黑体" w:eastAsia="黑体" w:hint="default"/>
        </w:rPr>
        <w:t>苏宁云商集团股份有限公司 财务报表附注</w:t>
      </w:r>
    </w:p>
    <w:p>
      <w:pPr>
        <w:pStyle w:val="Heading3"/>
        <w:spacing w:line="295" w:lineRule="exact"/>
        <w:ind w:left="319" w:right="12499"/>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w:t>
      </w:r>
    </w:p>
    <w:p>
      <w:pPr>
        <w:spacing w:line="243" w:lineRule="exact" w:before="0"/>
        <w:ind w:left="319"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5"/>
        <w:rPr>
          <w:rFonts w:ascii="Arial" w:hAnsi="Arial" w:cs="Arial" w:eastAsia="Arial"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773"/>
        <w:gridCol w:w="2210"/>
        <w:gridCol w:w="1982"/>
        <w:gridCol w:w="142"/>
        <w:gridCol w:w="1057"/>
        <w:gridCol w:w="143"/>
        <w:gridCol w:w="990"/>
        <w:gridCol w:w="142"/>
        <w:gridCol w:w="1559"/>
        <w:gridCol w:w="142"/>
        <w:gridCol w:w="1208"/>
        <w:gridCol w:w="142"/>
        <w:gridCol w:w="1134"/>
        <w:gridCol w:w="140"/>
        <w:gridCol w:w="2199"/>
      </w:tblGrid>
      <w:tr>
        <w:trPr>
          <w:trHeight w:val="41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334"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5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
        </w:tc>
      </w:tr>
      <w:tr>
        <w:trPr>
          <w:trHeight w:val="580"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(39)</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6" w:right="0"/>
              <w:jc w:val="left"/>
              <w:rPr>
                <w:rFonts w:ascii="黑体" w:hAnsi="黑体" w:cs="黑体" w:eastAsia="黑体" w:hint="default"/>
                <w:sz w:val="24"/>
                <w:szCs w:val="24"/>
              </w:rPr>
            </w:pPr>
            <w:r>
              <w:rPr>
                <w:rFonts w:ascii="黑体" w:hAnsi="黑体" w:cs="黑体" w:eastAsia="黑体" w:hint="default"/>
                <w:sz w:val="24"/>
                <w:szCs w:val="24"/>
              </w:rPr>
              <w:t>股本</w:t>
            </w:r>
          </w:p>
        </w:tc>
        <w:tc>
          <w:tcPr>
            <w:tcW w:w="19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
        </w:tc>
      </w:tr>
      <w:tr>
        <w:trPr>
          <w:trHeight w:val="382"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2"/>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4" w:space="0" w:color="000000"/>
              <w:right w:val="nil" w:sz="6" w:space="0" w:color="auto"/>
            </w:tcBorders>
          </w:tcPr>
          <w:p>
            <w:pPr/>
          </w:p>
        </w:tc>
        <w:tc>
          <w:tcPr>
            <w:tcW w:w="143" w:type="dxa"/>
            <w:tcBorders>
              <w:top w:val="nil" w:sz="6" w:space="0" w:color="auto"/>
              <w:left w:val="nil" w:sz="6" w:space="0" w:color="auto"/>
              <w:bottom w:val="single" w:sz="4" w:space="0" w:color="000000"/>
              <w:right w:val="nil" w:sz="6" w:space="0" w:color="auto"/>
            </w:tcBorders>
          </w:tcPr>
          <w:p>
            <w:pPr/>
          </w:p>
        </w:tc>
        <w:tc>
          <w:tcPr>
            <w:tcW w:w="990"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91"/>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42" w:type="dxa"/>
            <w:tcBorders>
              <w:top w:val="nil" w:sz="6" w:space="0" w:color="auto"/>
              <w:left w:val="nil" w:sz="6" w:space="0" w:color="auto"/>
              <w:bottom w:val="single" w:sz="4" w:space="0" w:color="000000"/>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2"/>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40"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c>
          <w:tcPr>
            <w:tcW w:w="3181" w:type="dxa"/>
            <w:gridSpan w:val="3"/>
            <w:tcBorders>
              <w:top w:val="nil" w:sz="6" w:space="0" w:color="auto"/>
              <w:left w:val="nil" w:sz="6" w:space="0" w:color="auto"/>
              <w:bottom w:val="nil" w:sz="6" w:space="0" w:color="auto"/>
              <w:right w:val="nil" w:sz="6" w:space="0" w:color="auto"/>
            </w:tcBorders>
          </w:tcPr>
          <w:p>
            <w:pPr>
              <w:pStyle w:val="TableParagraph"/>
              <w:spacing w:line="210" w:lineRule="exact"/>
              <w:ind w:right="4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143" w:type="dxa"/>
            <w:tcBorders>
              <w:top w:val="single" w:sz="4" w:space="0" w:color="000000"/>
              <w:left w:val="nil" w:sz="6" w:space="0" w:color="auto"/>
              <w:bottom w:val="nil" w:sz="6" w:space="0" w:color="auto"/>
              <w:right w:val="nil" w:sz="6" w:space="0" w:color="auto"/>
            </w:tcBorders>
          </w:tcPr>
          <w:p>
            <w:pPr/>
          </w:p>
        </w:tc>
        <w:tc>
          <w:tcPr>
            <w:tcW w:w="990" w:type="dxa"/>
            <w:tcBorders>
              <w:top w:val="single" w:sz="4" w:space="0" w:color="000000"/>
              <w:left w:val="nil" w:sz="6" w:space="0" w:color="auto"/>
              <w:bottom w:val="nil" w:sz="6" w:space="0" w:color="auto"/>
              <w:right w:val="nil" w:sz="6" w:space="0" w:color="auto"/>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送股</w:t>
            </w:r>
          </w:p>
        </w:tc>
        <w:tc>
          <w:tcPr>
            <w:tcW w:w="142" w:type="dxa"/>
            <w:tcBorders>
              <w:top w:val="single" w:sz="4" w:space="0" w:color="000000"/>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05" w:lineRule="exact"/>
              <w:ind w:right="26"/>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42" w:type="dxa"/>
            <w:tcBorders>
              <w:top w:val="single" w:sz="4" w:space="0" w:color="000000"/>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其他</w:t>
            </w:r>
          </w:p>
        </w:tc>
        <w:tc>
          <w:tcPr>
            <w:tcW w:w="142"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小计</w:t>
            </w:r>
          </w:p>
        </w:tc>
        <w:tc>
          <w:tcPr>
            <w:tcW w:w="14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
        </w:tc>
      </w:tr>
      <w:tr>
        <w:trPr>
          <w:trHeight w:val="354"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9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82"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57"/>
              <w:jc w:val="right"/>
              <w:rPr>
                <w:rFonts w:ascii="Arial" w:hAnsi="Arial" w:cs="Arial" w:eastAsia="Arial" w:hint="default"/>
                <w:sz w:val="18"/>
                <w:szCs w:val="18"/>
              </w:rPr>
            </w:pPr>
            <w:r>
              <w:rPr>
                <w:rFonts w:ascii="Arial"/>
                <w:spacing w:val="-1"/>
                <w:sz w:val="18"/>
              </w:rPr>
              <w:t>7,383,043</w:t>
            </w: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spacing w:val="-1"/>
                <w:sz w:val="18"/>
              </w:rPr>
              <w:t>7,383,043</w:t>
            </w:r>
          </w:p>
        </w:tc>
      </w:tr>
      <w:tr>
        <w:trPr>
          <w:trHeight w:val="529"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c>
          <w:tcPr>
            <w:tcW w:w="1982"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1"/>
                <w:szCs w:val="21"/>
              </w:rPr>
            </w:pPr>
          </w:p>
          <w:p>
            <w:pPr>
              <w:pStyle w:val="TableParagraph"/>
              <w:spacing w:line="240" w:lineRule="auto"/>
              <w:ind w:right="42"/>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single" w:sz="12" w:space="0" w:color="000000"/>
              <w:left w:val="nil" w:sz="6" w:space="0" w:color="auto"/>
              <w:bottom w:val="single" w:sz="4" w:space="0" w:color="000000"/>
              <w:right w:val="nil" w:sz="6" w:space="0" w:color="auto"/>
            </w:tcBorders>
          </w:tcPr>
          <w:p>
            <w:pPr/>
          </w:p>
        </w:tc>
        <w:tc>
          <w:tcPr>
            <w:tcW w:w="143" w:type="dxa"/>
            <w:tcBorders>
              <w:top w:val="nil" w:sz="6" w:space="0" w:color="auto"/>
              <w:left w:val="nil" w:sz="6" w:space="0" w:color="auto"/>
              <w:bottom w:val="single" w:sz="4" w:space="0" w:color="000000"/>
              <w:right w:val="nil" w:sz="6" w:space="0" w:color="auto"/>
            </w:tcBorders>
          </w:tcPr>
          <w:p>
            <w:pPr/>
          </w:p>
        </w:tc>
        <w:tc>
          <w:tcPr>
            <w:tcW w:w="990" w:type="dxa"/>
            <w:tcBorders>
              <w:top w:val="single" w:sz="12" w:space="0" w:color="000000"/>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559" w:type="dxa"/>
            <w:tcBorders>
              <w:top w:val="single" w:sz="12"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42" w:type="dxa"/>
            <w:tcBorders>
              <w:top w:val="nil" w:sz="6" w:space="0" w:color="auto"/>
              <w:left w:val="nil" w:sz="6" w:space="0" w:color="auto"/>
              <w:bottom w:val="single" w:sz="4" w:space="0" w:color="000000"/>
              <w:right w:val="nil" w:sz="6" w:space="0" w:color="auto"/>
            </w:tcBorders>
          </w:tcPr>
          <w:p>
            <w:pPr/>
          </w:p>
        </w:tc>
        <w:tc>
          <w:tcPr>
            <w:tcW w:w="1208" w:type="dxa"/>
            <w:tcBorders>
              <w:top w:val="single" w:sz="12" w:space="0" w:color="000000"/>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134" w:type="dxa"/>
            <w:tcBorders>
              <w:top w:val="single" w:sz="12" w:space="0" w:color="000000"/>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99"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1"/>
                <w:szCs w:val="21"/>
              </w:rPr>
            </w:pPr>
          </w:p>
          <w:p>
            <w:pPr>
              <w:pStyle w:val="TableParagraph"/>
              <w:spacing w:line="240" w:lineRule="auto"/>
              <w:ind w:right="42"/>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42"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c>
          <w:tcPr>
            <w:tcW w:w="3181"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right="4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143" w:type="dxa"/>
            <w:tcBorders>
              <w:top w:val="single" w:sz="4" w:space="0" w:color="000000"/>
              <w:left w:val="nil" w:sz="6" w:space="0" w:color="auto"/>
              <w:bottom w:val="nil" w:sz="6" w:space="0" w:color="auto"/>
              <w:right w:val="nil" w:sz="6" w:space="0" w:color="auto"/>
            </w:tcBorders>
          </w:tcPr>
          <w:p>
            <w:pPr/>
          </w:p>
        </w:tc>
        <w:tc>
          <w:tcPr>
            <w:tcW w:w="990" w:type="dxa"/>
            <w:tcBorders>
              <w:top w:val="single" w:sz="4" w:space="0" w:color="000000"/>
              <w:left w:val="nil" w:sz="6" w:space="0" w:color="auto"/>
              <w:bottom w:val="nil" w:sz="6" w:space="0" w:color="auto"/>
              <w:right w:val="nil" w:sz="6" w:space="0" w:color="auto"/>
            </w:tcBorders>
          </w:tcPr>
          <w:p>
            <w:pPr>
              <w:pStyle w:val="TableParagraph"/>
              <w:spacing w:line="207" w:lineRule="exact"/>
              <w:ind w:right="41"/>
              <w:jc w:val="right"/>
              <w:rPr>
                <w:rFonts w:ascii="宋体" w:hAnsi="宋体" w:cs="宋体" w:eastAsia="宋体" w:hint="default"/>
                <w:sz w:val="18"/>
                <w:szCs w:val="18"/>
              </w:rPr>
            </w:pPr>
            <w:r>
              <w:rPr>
                <w:rFonts w:ascii="宋体" w:hAnsi="宋体" w:cs="宋体" w:eastAsia="宋体" w:hint="default"/>
                <w:sz w:val="18"/>
                <w:szCs w:val="18"/>
              </w:rPr>
              <w:t>送股</w:t>
            </w:r>
          </w:p>
        </w:tc>
        <w:tc>
          <w:tcPr>
            <w:tcW w:w="142" w:type="dxa"/>
            <w:tcBorders>
              <w:top w:val="single" w:sz="4" w:space="0" w:color="000000"/>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07" w:lineRule="exact"/>
              <w:ind w:right="26"/>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42" w:type="dxa"/>
            <w:tcBorders>
              <w:top w:val="single" w:sz="4" w:space="0" w:color="000000"/>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07" w:lineRule="exact"/>
              <w:ind w:right="41"/>
              <w:jc w:val="right"/>
              <w:rPr>
                <w:rFonts w:ascii="宋体" w:hAnsi="宋体" w:cs="宋体" w:eastAsia="宋体" w:hint="default"/>
                <w:sz w:val="18"/>
                <w:szCs w:val="18"/>
              </w:rPr>
            </w:pPr>
            <w:r>
              <w:rPr>
                <w:rFonts w:ascii="宋体" w:hAnsi="宋体" w:cs="宋体" w:eastAsia="宋体" w:hint="default"/>
                <w:sz w:val="18"/>
                <w:szCs w:val="18"/>
              </w:rPr>
              <w:t>其他</w:t>
            </w:r>
          </w:p>
        </w:tc>
        <w:tc>
          <w:tcPr>
            <w:tcW w:w="142"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07" w:lineRule="exact"/>
              <w:ind w:right="41"/>
              <w:jc w:val="right"/>
              <w:rPr>
                <w:rFonts w:ascii="宋体" w:hAnsi="宋体" w:cs="宋体" w:eastAsia="宋体" w:hint="default"/>
                <w:sz w:val="18"/>
                <w:szCs w:val="18"/>
              </w:rPr>
            </w:pPr>
            <w:r>
              <w:rPr>
                <w:rFonts w:ascii="宋体" w:hAnsi="宋体" w:cs="宋体" w:eastAsia="宋体" w:hint="default"/>
                <w:sz w:val="18"/>
                <w:szCs w:val="18"/>
              </w:rPr>
              <w:t>小计</w:t>
            </w:r>
          </w:p>
        </w:tc>
        <w:tc>
          <w:tcPr>
            <w:tcW w:w="14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
        </w:tc>
      </w:tr>
      <w:tr>
        <w:trPr>
          <w:trHeight w:val="353"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82"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57"/>
              <w:jc w:val="right"/>
              <w:rPr>
                <w:rFonts w:ascii="Arial" w:hAnsi="Arial" w:cs="Arial" w:eastAsia="Arial" w:hint="default"/>
                <w:sz w:val="18"/>
                <w:szCs w:val="18"/>
              </w:rPr>
            </w:pPr>
            <w:r>
              <w:rPr>
                <w:rFonts w:ascii="Arial"/>
                <w:spacing w:val="-1"/>
                <w:sz w:val="18"/>
              </w:rPr>
              <w:t>7,383,043</w:t>
            </w: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1"/>
              <w:jc w:val="right"/>
              <w:rPr>
                <w:rFonts w:ascii="Arial" w:hAnsi="Arial" w:cs="Arial" w:eastAsia="Arial" w:hint="default"/>
                <w:sz w:val="18"/>
                <w:szCs w:val="18"/>
              </w:rPr>
            </w:pPr>
            <w:r>
              <w:rPr>
                <w:rFonts w:ascii="Arial"/>
                <w:spacing w:val="-1"/>
                <w:sz w:val="18"/>
              </w:rPr>
              <w:t>7,383,043</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7"/>
          <w:szCs w:val="17"/>
        </w:rPr>
      </w:pPr>
    </w:p>
    <w:p>
      <w:pPr>
        <w:spacing w:before="0"/>
        <w:ind w:left="0" w:right="716" w:firstLine="0"/>
        <w:jc w:val="right"/>
        <w:rPr>
          <w:rFonts w:ascii="Times New Roman" w:hAnsi="Times New Roman" w:cs="Times New Roman" w:eastAsia="Times New Roman" w:hint="default"/>
          <w:sz w:val="18"/>
          <w:szCs w:val="18"/>
        </w:rPr>
      </w:pPr>
      <w:r>
        <w:rPr/>
        <w:pict>
          <v:shape style="position:absolute;margin-left:774.47998pt;margin-top:18.402344pt;width:67.5pt;height:38.5pt;mso-position-horizontal-relative:page;mso-position-vertical-relative:paragraph;z-index:2512" type="#_x0000_t75" stroked="false">
            <v:imagedata r:id="rId23" o:title=""/>
          </v:shape>
        </w:pict>
      </w:r>
      <w:r>
        <w:rPr>
          <w:rFonts w:ascii="Times New Roman"/>
          <w:sz w:val="18"/>
        </w:rPr>
        <w:t>195</w:t>
      </w:r>
    </w:p>
    <w:p>
      <w:pPr>
        <w:spacing w:after="0"/>
        <w:jc w:val="right"/>
        <w:rPr>
          <w:rFonts w:ascii="Times New Roman" w:hAnsi="Times New Roman" w:cs="Times New Roman" w:eastAsia="Times New Roman" w:hint="default"/>
          <w:sz w:val="18"/>
          <w:szCs w:val="18"/>
        </w:rPr>
        <w:sectPr>
          <w:headerReference w:type="default" r:id="rId59"/>
          <w:footerReference w:type="default" r:id="rId60"/>
          <w:pgSz w:w="16840" w:h="11910" w:orient="landscape"/>
          <w:pgMar w:header="0" w:footer="0" w:top="660" w:bottom="0" w:left="11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773"/>
        <w:gridCol w:w="2683"/>
        <w:gridCol w:w="1309"/>
        <w:gridCol w:w="283"/>
        <w:gridCol w:w="1126"/>
        <w:gridCol w:w="266"/>
        <w:gridCol w:w="1135"/>
        <w:gridCol w:w="266"/>
        <w:gridCol w:w="1252"/>
      </w:tblGrid>
      <w:tr>
        <w:trPr>
          <w:trHeight w:val="41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99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581"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(40)</w:t>
            </w:r>
          </w:p>
        </w:tc>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6" w:right="0"/>
              <w:jc w:val="left"/>
              <w:rPr>
                <w:rFonts w:ascii="黑体" w:hAnsi="黑体" w:cs="黑体" w:eastAsia="黑体" w:hint="default"/>
                <w:sz w:val="24"/>
                <w:szCs w:val="24"/>
              </w:rPr>
            </w:pPr>
            <w:r>
              <w:rPr>
                <w:rFonts w:ascii="黑体" w:hAnsi="黑体" w:cs="黑体" w:eastAsia="黑体" w:hint="default"/>
                <w:sz w:val="24"/>
                <w:szCs w:val="24"/>
              </w:rPr>
              <w:t>资本公积</w:t>
            </w:r>
          </w:p>
        </w:tc>
        <w:tc>
          <w:tcPr>
            <w:tcW w:w="130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751"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63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6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41"/>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4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58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1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45"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6" w:right="0"/>
              <w:jc w:val="left"/>
              <w:rPr>
                <w:rFonts w:ascii="Arial" w:hAnsi="Arial" w:cs="Arial" w:eastAsia="Arial" w:hint="default"/>
                <w:sz w:val="18"/>
                <w:szCs w:val="18"/>
              </w:rPr>
            </w:pPr>
            <w:r>
              <w:rPr>
                <w:rFonts w:ascii="宋体" w:hAnsi="宋体" w:cs="宋体" w:eastAsia="宋体" w:hint="default"/>
                <w:sz w:val="18"/>
                <w:szCs w:val="18"/>
              </w:rPr>
              <w:t>股本溢价</w:t>
            </w:r>
            <w:r>
              <w:rPr>
                <w:rFonts w:ascii="Arial" w:hAnsi="Arial" w:cs="Arial" w:eastAsia="Arial" w:hint="default"/>
                <w:sz w:val="18"/>
                <w:szCs w:val="18"/>
              </w:rPr>
              <w:t>(a)</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42"/>
              <w:jc w:val="right"/>
              <w:rPr>
                <w:rFonts w:ascii="Arial" w:hAnsi="Arial" w:cs="Arial" w:eastAsia="Arial" w:hint="default"/>
                <w:sz w:val="18"/>
                <w:szCs w:val="18"/>
              </w:rPr>
            </w:pPr>
            <w:r>
              <w:rPr>
                <w:rFonts w:ascii="Arial"/>
                <w:spacing w:val="-1"/>
                <w:sz w:val="18"/>
              </w:rPr>
              <w:t>4,537,204</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42"/>
              <w:jc w:val="right"/>
              <w:rPr>
                <w:rFonts w:ascii="Arial" w:hAnsi="Arial" w:cs="Arial" w:eastAsia="Arial" w:hint="default"/>
                <w:sz w:val="18"/>
                <w:szCs w:val="18"/>
              </w:rPr>
            </w:pPr>
            <w:r>
              <w:rPr>
                <w:rFonts w:ascii="Arial"/>
                <w:spacing w:val="-1"/>
                <w:sz w:val="18"/>
              </w:rPr>
              <w:t>558,173</w:t>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42"/>
              <w:jc w:val="right"/>
              <w:rPr>
                <w:rFonts w:ascii="Arial" w:hAnsi="Arial" w:cs="Arial" w:eastAsia="Arial" w:hint="default"/>
                <w:sz w:val="18"/>
                <w:szCs w:val="18"/>
              </w:rPr>
            </w:pPr>
            <w:r>
              <w:rPr>
                <w:rFonts w:ascii="Arial"/>
                <w:spacing w:val="-1"/>
                <w:sz w:val="18"/>
              </w:rPr>
              <w:t>5,095,377</w:t>
            </w:r>
          </w:p>
        </w:tc>
      </w:tr>
      <w:tr>
        <w:trPr>
          <w:trHeight w:val="248"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08" w:lineRule="exact"/>
              <w:ind w:left="146" w:right="0"/>
              <w:jc w:val="left"/>
              <w:rPr>
                <w:rFonts w:ascii="Arial" w:hAnsi="Arial" w:cs="Arial" w:eastAsia="Arial" w:hint="default"/>
                <w:sz w:val="18"/>
                <w:szCs w:val="18"/>
              </w:rPr>
            </w:pPr>
            <w:r>
              <w:rPr>
                <w:rFonts w:ascii="宋体" w:hAnsi="宋体" w:cs="宋体" w:eastAsia="宋体" w:hint="default"/>
                <w:sz w:val="18"/>
                <w:szCs w:val="18"/>
              </w:rPr>
              <w:t>其他资本公积 </w:t>
            </w:r>
            <w:r>
              <w:rPr>
                <w:rFonts w:ascii="Arial" w:hAnsi="Arial" w:cs="Arial" w:eastAsia="Arial" w:hint="default"/>
                <w:sz w:val="18"/>
                <w:szCs w:val="18"/>
              </w:rPr>
              <w:t>-</w:t>
            </w:r>
          </w:p>
        </w:tc>
        <w:tc>
          <w:tcPr>
            <w:tcW w:w="130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264"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36" w:lineRule="exact"/>
              <w:ind w:left="507"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(b)</w:t>
            </w:r>
          </w:p>
        </w:tc>
        <w:tc>
          <w:tcPr>
            <w:tcW w:w="1309"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42"/>
              <w:ind w:right="4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142,363</w:t>
            </w:r>
            <w:r>
              <w:rPr>
                <w:rFonts w:ascii="Arial"/>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42"/>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tabs>
                <w:tab w:pos="1031" w:val="left" w:leader="none"/>
              </w:tabs>
              <w:spacing w:line="240" w:lineRule="auto" w:before="42"/>
              <w:ind w:left="-19"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42"/>
              <w:ind w:left="-28" w:right="4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142,363</w:t>
            </w:r>
            <w:r>
              <w:rPr>
                <w:rFonts w:ascii="Arial"/>
                <w:spacing w:val="-1"/>
                <w:sz w:val="18"/>
              </w:rPr>
            </w:r>
          </w:p>
        </w:tc>
      </w:tr>
      <w:tr>
        <w:trPr>
          <w:trHeight w:val="220"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single" w:sz="12" w:space="0" w:color="000000"/>
              <w:right w:val="nil" w:sz="6" w:space="0" w:color="auto"/>
            </w:tcBorders>
          </w:tcPr>
          <w:p>
            <w:pPr>
              <w:pStyle w:val="TableParagraph"/>
              <w:spacing w:line="203" w:lineRule="exact"/>
              <w:ind w:right="42"/>
              <w:jc w:val="right"/>
              <w:rPr>
                <w:rFonts w:ascii="Arial" w:hAnsi="Arial" w:cs="Arial" w:eastAsia="Arial" w:hint="default"/>
                <w:sz w:val="18"/>
                <w:szCs w:val="18"/>
              </w:rPr>
            </w:pPr>
            <w:r>
              <w:rPr>
                <w:rFonts w:ascii="Arial"/>
                <w:spacing w:val="-1"/>
                <w:sz w:val="18"/>
              </w:rPr>
              <w:t>4,679,567</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12" w:space="0" w:color="000000"/>
              <w:right w:val="nil" w:sz="6" w:space="0" w:color="auto"/>
            </w:tcBorders>
          </w:tcPr>
          <w:p>
            <w:pPr>
              <w:pStyle w:val="TableParagraph"/>
              <w:spacing w:line="203" w:lineRule="exact"/>
              <w:ind w:right="42"/>
              <w:jc w:val="right"/>
              <w:rPr>
                <w:rFonts w:ascii="Arial" w:hAnsi="Arial" w:cs="Arial" w:eastAsia="Arial" w:hint="default"/>
                <w:sz w:val="18"/>
                <w:szCs w:val="18"/>
              </w:rPr>
            </w:pPr>
            <w:r>
              <w:rPr>
                <w:rFonts w:ascii="Arial"/>
                <w:spacing w:val="-1"/>
                <w:sz w:val="18"/>
              </w:rPr>
              <w:t>558,173</w:t>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Style w:val="TableParagraph"/>
              <w:spacing w:line="203" w:lineRule="exact"/>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single" w:sz="12" w:space="0" w:color="000000"/>
              <w:right w:val="nil" w:sz="6" w:space="0" w:color="auto"/>
            </w:tcBorders>
          </w:tcPr>
          <w:p>
            <w:pPr>
              <w:pStyle w:val="TableParagraph"/>
              <w:spacing w:line="203" w:lineRule="exact"/>
              <w:ind w:right="42"/>
              <w:jc w:val="right"/>
              <w:rPr>
                <w:rFonts w:ascii="Arial" w:hAnsi="Arial" w:cs="Arial" w:eastAsia="Arial" w:hint="default"/>
                <w:sz w:val="18"/>
                <w:szCs w:val="18"/>
              </w:rPr>
            </w:pPr>
            <w:r>
              <w:rPr>
                <w:rFonts w:ascii="Arial"/>
                <w:spacing w:val="-1"/>
                <w:sz w:val="18"/>
              </w:rPr>
              <w:t>5,237,740</w:t>
            </w:r>
          </w:p>
        </w:tc>
      </w:tr>
      <w:tr>
        <w:trPr>
          <w:trHeight w:val="1382"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
        </w:tc>
        <w:tc>
          <w:tcPr>
            <w:tcW w:w="130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07"/>
              <w:ind w:left="640"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7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41"/>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3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07"/>
              <w:ind w:left="58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1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78"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6"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1"/>
              <w:jc w:val="right"/>
              <w:rPr>
                <w:rFonts w:ascii="Arial" w:hAnsi="Arial" w:cs="Arial" w:eastAsia="Arial" w:hint="default"/>
                <w:sz w:val="18"/>
                <w:szCs w:val="18"/>
              </w:rPr>
            </w:pPr>
            <w:r>
              <w:rPr>
                <w:rFonts w:ascii="Arial"/>
                <w:spacing w:val="-1"/>
                <w:sz w:val="18"/>
              </w:rPr>
              <w:t>4,537,204</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6"/>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2"/>
              <w:jc w:val="right"/>
              <w:rPr>
                <w:rFonts w:ascii="Arial" w:hAnsi="Arial" w:cs="Arial" w:eastAsia="Arial" w:hint="default"/>
                <w:sz w:val="18"/>
                <w:szCs w:val="18"/>
              </w:rPr>
            </w:pPr>
            <w:r>
              <w:rPr>
                <w:rFonts w:ascii="Arial"/>
                <w:spacing w:val="-1"/>
                <w:sz w:val="18"/>
              </w:rPr>
              <w:t>4,537,204</w:t>
            </w:r>
          </w:p>
        </w:tc>
      </w:tr>
      <w:tr>
        <w:trPr>
          <w:trHeight w:val="227"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09" w:lineRule="exact"/>
              <w:ind w:left="146" w:right="0"/>
              <w:jc w:val="left"/>
              <w:rPr>
                <w:rFonts w:ascii="Arial" w:hAnsi="Arial" w:cs="Arial" w:eastAsia="Arial" w:hint="default"/>
                <w:sz w:val="18"/>
                <w:szCs w:val="18"/>
              </w:rPr>
            </w:pPr>
            <w:r>
              <w:rPr>
                <w:rFonts w:ascii="宋体" w:hAnsi="宋体" w:cs="宋体" w:eastAsia="宋体" w:hint="default"/>
                <w:sz w:val="18"/>
                <w:szCs w:val="18"/>
              </w:rPr>
              <w:t>其他资本公积 </w:t>
            </w:r>
            <w:r>
              <w:rPr>
                <w:rFonts w:ascii="Arial" w:hAnsi="Arial" w:cs="Arial" w:eastAsia="Arial" w:hint="default"/>
                <w:sz w:val="18"/>
                <w:szCs w:val="18"/>
              </w:rPr>
              <w:t>-</w:t>
            </w:r>
          </w:p>
        </w:tc>
        <w:tc>
          <w:tcPr>
            <w:tcW w:w="130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277"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15" w:lineRule="exact"/>
              <w:ind w:left="507"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(b)</w:t>
            </w:r>
          </w:p>
        </w:tc>
        <w:tc>
          <w:tcPr>
            <w:tcW w:w="130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21"/>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142,363</w:t>
            </w:r>
            <w:r>
              <w:rPr>
                <w:rFonts w:ascii="Arial"/>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21"/>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tabs>
                <w:tab w:pos="1037" w:val="left" w:leader="none"/>
              </w:tabs>
              <w:spacing w:line="240" w:lineRule="auto" w:before="21"/>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tabs>
                <w:tab w:pos="529" w:val="left" w:leader="none"/>
              </w:tabs>
              <w:spacing w:line="240" w:lineRule="auto" w:before="21"/>
              <w:ind w:right="4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142,363</w:t>
            </w:r>
            <w:r>
              <w:rPr>
                <w:rFonts w:ascii="Arial"/>
                <w:spacing w:val="-1"/>
                <w:sz w:val="18"/>
              </w:rPr>
            </w:r>
          </w:p>
        </w:tc>
      </w:tr>
      <w:tr>
        <w:trPr>
          <w:trHeight w:val="254" w:hRule="exact"/>
        </w:trPr>
        <w:tc>
          <w:tcPr>
            <w:tcW w:w="773"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41"/>
              <w:jc w:val="right"/>
              <w:rPr>
                <w:rFonts w:ascii="Arial" w:hAnsi="Arial" w:cs="Arial" w:eastAsia="Arial" w:hint="default"/>
                <w:sz w:val="18"/>
                <w:szCs w:val="18"/>
              </w:rPr>
            </w:pPr>
            <w:r>
              <w:rPr>
                <w:rFonts w:ascii="Arial"/>
                <w:spacing w:val="-1"/>
                <w:sz w:val="18"/>
              </w:rPr>
              <w:t>4,679,567</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6"/>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42"/>
              <w:jc w:val="right"/>
              <w:rPr>
                <w:rFonts w:ascii="Arial" w:hAnsi="Arial" w:cs="Arial" w:eastAsia="Arial" w:hint="default"/>
                <w:sz w:val="18"/>
                <w:szCs w:val="18"/>
              </w:rPr>
            </w:pPr>
            <w:r>
              <w:rPr>
                <w:rFonts w:ascii="Arial"/>
                <w:spacing w:val="-1"/>
                <w:sz w:val="18"/>
              </w:rPr>
              <w:t>4,679,567</w:t>
            </w:r>
          </w:p>
        </w:tc>
      </w:tr>
      <w:tr>
        <w:trPr>
          <w:trHeight w:val="3564"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1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28" w:lineRule="auto"/>
              <w:ind w:left="146" w:right="41"/>
              <w:jc w:val="both"/>
              <w:rPr>
                <w:rFonts w:ascii="宋体" w:hAnsi="宋体" w:cs="宋体" w:eastAsia="宋体" w:hint="default"/>
                <w:sz w:val="24"/>
                <w:szCs w:val="24"/>
              </w:rPr>
            </w:pPr>
            <w:r>
              <w:rPr>
                <w:rFonts w:ascii="宋体" w:hAnsi="宋体" w:cs="宋体" w:eastAsia="宋体" w:hint="default"/>
                <w:sz w:val="24"/>
                <w:szCs w:val="24"/>
              </w:rPr>
              <w:t>本集团之子公司日本</w:t>
            </w:r>
            <w:r>
              <w:rPr>
                <w:rFonts w:ascii="宋体" w:hAnsi="宋体" w:cs="宋体" w:eastAsia="宋体" w:hint="default"/>
                <w:spacing w:val="-64"/>
                <w:sz w:val="24"/>
                <w:szCs w:val="24"/>
              </w:rPr>
              <w:t> </w:t>
            </w:r>
            <w:r>
              <w:rPr>
                <w:rFonts w:ascii="Arial" w:hAnsi="Arial" w:cs="Arial" w:eastAsia="Arial" w:hint="default"/>
                <w:sz w:val="24"/>
                <w:szCs w:val="24"/>
              </w:rPr>
              <w:t>LAOX</w:t>
            </w:r>
            <w:r>
              <w:rPr>
                <w:rFonts w:ascii="Arial" w:hAnsi="Arial" w:cs="Arial" w:eastAsia="Arial" w:hint="default"/>
                <w:spacing w:val="-11"/>
                <w:sz w:val="24"/>
                <w:szCs w:val="24"/>
              </w:rPr>
              <w:t> </w:t>
            </w:r>
            <w:r>
              <w:rPr>
                <w:rFonts w:ascii="宋体" w:hAnsi="宋体" w:cs="宋体" w:eastAsia="宋体" w:hint="default"/>
                <w:sz w:val="24"/>
                <w:szCs w:val="24"/>
              </w:rPr>
              <w:t>为日本上市公司，其于</w:t>
            </w:r>
            <w:r>
              <w:rPr>
                <w:rFonts w:ascii="宋体" w:hAnsi="宋体" w:cs="宋体" w:eastAsia="宋体" w:hint="default"/>
                <w:spacing w:val="-64"/>
                <w:sz w:val="24"/>
                <w:szCs w:val="24"/>
              </w:rPr>
              <w:t> </w:t>
            </w: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3</w:t>
            </w:r>
            <w:r>
              <w:rPr>
                <w:rFonts w:ascii="Arial" w:hAnsi="Arial" w:cs="Arial" w:eastAsia="Arial" w:hint="default"/>
                <w:spacing w:val="-11"/>
                <w:sz w:val="24"/>
                <w:szCs w:val="24"/>
              </w:rPr>
              <w:t> </w:t>
            </w:r>
            <w:r>
              <w:rPr>
                <w:rFonts w:ascii="宋体" w:hAnsi="宋体" w:cs="宋体" w:eastAsia="宋体" w:hint="default"/>
                <w:sz w:val="24"/>
                <w:szCs w:val="24"/>
              </w:rPr>
              <w:t>月审议通过公开 </w:t>
            </w:r>
            <w:r>
              <w:rPr>
                <w:rFonts w:ascii="宋体" w:hAnsi="宋体" w:cs="宋体" w:eastAsia="宋体" w:hint="default"/>
                <w:spacing w:val="-1"/>
                <w:sz w:val="24"/>
                <w:szCs w:val="24"/>
              </w:rPr>
              <w:t>发行新股及向本集团发行新股预约权事宜。本集团不参与该次公开发行，仅认</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购其发行的新股预约权。于</w:t>
            </w:r>
            <w:r>
              <w:rPr>
                <w:rFonts w:ascii="宋体" w:hAnsi="宋体" w:cs="宋体" w:eastAsia="宋体" w:hint="default"/>
                <w:spacing w:val="-65"/>
                <w:sz w:val="24"/>
                <w:szCs w:val="24"/>
              </w:rPr>
              <w:t> </w:t>
            </w: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3</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9</w:t>
            </w:r>
            <w:r>
              <w:rPr>
                <w:rFonts w:ascii="Arial" w:hAnsi="Arial" w:cs="Arial" w:eastAsia="Arial" w:hint="default"/>
                <w:spacing w:val="-12"/>
                <w:sz w:val="24"/>
                <w:szCs w:val="24"/>
              </w:rPr>
              <w:t> </w:t>
            </w:r>
            <w:r>
              <w:rPr>
                <w:rFonts w:ascii="宋体" w:hAnsi="宋体" w:cs="宋体" w:eastAsia="宋体" w:hint="default"/>
                <w:sz w:val="24"/>
                <w:szCs w:val="24"/>
              </w:rPr>
              <w:t>日，本集团作为日本</w:t>
            </w:r>
            <w:r>
              <w:rPr>
                <w:rFonts w:ascii="宋体" w:hAnsi="宋体" w:cs="宋体" w:eastAsia="宋体" w:hint="default"/>
                <w:spacing w:val="-65"/>
                <w:sz w:val="24"/>
                <w:szCs w:val="24"/>
              </w:rPr>
              <w:t> </w:t>
            </w:r>
            <w:r>
              <w:rPr>
                <w:rFonts w:ascii="Arial" w:hAnsi="Arial" w:cs="Arial" w:eastAsia="Arial" w:hint="default"/>
                <w:sz w:val="24"/>
                <w:szCs w:val="24"/>
              </w:rPr>
              <w:t>LAOX</w:t>
            </w:r>
            <w:r>
              <w:rPr>
                <w:rFonts w:ascii="Arial" w:hAnsi="Arial" w:cs="Arial" w:eastAsia="Arial" w:hint="default"/>
                <w:spacing w:val="-12"/>
                <w:sz w:val="24"/>
                <w:szCs w:val="24"/>
              </w:rPr>
              <w:t> </w:t>
            </w:r>
            <w:r>
              <w:rPr>
                <w:rFonts w:ascii="宋体" w:hAnsi="宋体" w:cs="宋体" w:eastAsia="宋体" w:hint="default"/>
                <w:sz w:val="24"/>
                <w:szCs w:val="24"/>
              </w:rPr>
              <w:t>第一大 股东，与第三大股东</w:t>
            </w:r>
            <w:r>
              <w:rPr>
                <w:rFonts w:ascii="Arial" w:hAnsi="Arial" w:cs="Arial" w:eastAsia="Arial" w:hint="default"/>
                <w:sz w:val="24"/>
                <w:szCs w:val="24"/>
              </w:rPr>
              <w:t>“</w:t>
            </w:r>
            <w:r>
              <w:rPr>
                <w:rFonts w:ascii="宋体" w:hAnsi="宋体" w:cs="宋体" w:eastAsia="宋体" w:hint="default"/>
                <w:sz w:val="24"/>
                <w:szCs w:val="24"/>
              </w:rPr>
              <w:t>日本观光免税株式会社</w:t>
            </w:r>
            <w:r>
              <w:rPr>
                <w:rFonts w:ascii="Arial" w:hAnsi="Arial" w:cs="Arial" w:eastAsia="Arial" w:hint="default"/>
                <w:sz w:val="24"/>
                <w:szCs w:val="24"/>
              </w:rPr>
              <w:t>”</w:t>
            </w:r>
            <w:r>
              <w:rPr>
                <w:rFonts w:ascii="宋体" w:hAnsi="宋体" w:cs="宋体" w:eastAsia="宋体" w:hint="default"/>
                <w:sz w:val="24"/>
                <w:szCs w:val="24"/>
              </w:rPr>
              <w:t>签署一致行动协议，以确保本次</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公开发行新股完成后，本集团仍对日本</w:t>
            </w:r>
            <w:r>
              <w:rPr>
                <w:rFonts w:ascii="宋体" w:hAnsi="宋体" w:cs="宋体" w:eastAsia="宋体" w:hint="default"/>
                <w:spacing w:val="-64"/>
                <w:sz w:val="24"/>
                <w:szCs w:val="24"/>
              </w:rPr>
              <w:t> </w:t>
            </w:r>
            <w:r>
              <w:rPr>
                <w:rFonts w:ascii="Arial" w:hAnsi="Arial" w:cs="Arial" w:eastAsia="Arial" w:hint="default"/>
                <w:sz w:val="24"/>
                <w:szCs w:val="24"/>
              </w:rPr>
              <w:t>LAOX</w:t>
            </w:r>
            <w:r>
              <w:rPr>
                <w:rFonts w:ascii="Arial" w:hAnsi="Arial" w:cs="Arial" w:eastAsia="Arial" w:hint="default"/>
                <w:spacing w:val="-11"/>
                <w:sz w:val="24"/>
                <w:szCs w:val="24"/>
              </w:rPr>
              <w:t> </w:t>
            </w:r>
            <w:r>
              <w:rPr>
                <w:rFonts w:ascii="宋体" w:hAnsi="宋体" w:cs="宋体" w:eastAsia="宋体" w:hint="default"/>
                <w:sz w:val="24"/>
                <w:szCs w:val="24"/>
              </w:rPr>
              <w:t>拥有控制权。截至</w:t>
            </w:r>
            <w:r>
              <w:rPr>
                <w:rFonts w:ascii="宋体" w:hAnsi="宋体" w:cs="宋体" w:eastAsia="宋体" w:hint="default"/>
                <w:spacing w:val="-64"/>
                <w:sz w:val="24"/>
                <w:szCs w:val="24"/>
              </w:rPr>
              <w:t> </w:t>
            </w: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3</w:t>
            </w:r>
            <w:r>
              <w:rPr>
                <w:rFonts w:ascii="Arial" w:hAnsi="Arial" w:cs="Arial" w:eastAsia="Arial" w:hint="default"/>
                <w:spacing w:val="-11"/>
                <w:sz w:val="24"/>
                <w:szCs w:val="24"/>
              </w:rPr>
              <w:t> </w:t>
            </w:r>
            <w:r>
              <w:rPr>
                <w:rFonts w:ascii="宋体" w:hAnsi="宋体" w:cs="宋体" w:eastAsia="宋体" w:hint="default"/>
                <w:sz w:val="24"/>
                <w:szCs w:val="24"/>
              </w:rPr>
              <w:t>月 </w:t>
            </w:r>
            <w:r>
              <w:rPr>
                <w:rFonts w:ascii="Arial" w:hAnsi="Arial" w:cs="Arial" w:eastAsia="Arial" w:hint="default"/>
                <w:sz w:val="24"/>
                <w:szCs w:val="24"/>
              </w:rPr>
              <w:t>25</w:t>
            </w:r>
            <w:r>
              <w:rPr>
                <w:rFonts w:ascii="Arial" w:hAnsi="Arial" w:cs="Arial" w:eastAsia="Arial" w:hint="default"/>
                <w:spacing w:val="2"/>
                <w:sz w:val="24"/>
                <w:szCs w:val="24"/>
              </w:rPr>
              <w:t> </w:t>
            </w:r>
            <w:r>
              <w:rPr>
                <w:rFonts w:ascii="宋体" w:hAnsi="宋体" w:cs="宋体" w:eastAsia="宋体" w:hint="default"/>
                <w:spacing w:val="-4"/>
                <w:sz w:val="24"/>
                <w:szCs w:val="24"/>
              </w:rPr>
              <w:t>日止，本次公开发行新股交割完成。由于本次公开发行新股，稀释了本集团</w:t>
            </w:r>
            <w:r>
              <w:rPr>
                <w:rFonts w:ascii="宋体" w:hAnsi="宋体" w:cs="宋体" w:eastAsia="宋体" w:hint="default"/>
                <w:sz w:val="24"/>
                <w:szCs w:val="24"/>
              </w:rPr>
              <w:t> 对日本</w:t>
            </w:r>
            <w:r>
              <w:rPr>
                <w:rFonts w:ascii="宋体" w:hAnsi="宋体" w:cs="宋体" w:eastAsia="宋体" w:hint="default"/>
                <w:spacing w:val="-55"/>
                <w:sz w:val="24"/>
                <w:szCs w:val="24"/>
              </w:rPr>
              <w:t> </w:t>
            </w:r>
            <w:r>
              <w:rPr>
                <w:rFonts w:ascii="Arial" w:hAnsi="Arial" w:cs="Arial" w:eastAsia="Arial" w:hint="default"/>
                <w:sz w:val="24"/>
                <w:szCs w:val="24"/>
              </w:rPr>
              <w:t>LAOX</w:t>
            </w:r>
            <w:r>
              <w:rPr>
                <w:rFonts w:ascii="Arial" w:hAnsi="Arial" w:cs="Arial" w:eastAsia="Arial" w:hint="default"/>
                <w:spacing w:val="-2"/>
                <w:sz w:val="24"/>
                <w:szCs w:val="24"/>
              </w:rPr>
              <w:t> </w:t>
            </w:r>
            <w:r>
              <w:rPr>
                <w:rFonts w:ascii="宋体" w:hAnsi="宋体" w:cs="宋体" w:eastAsia="宋体" w:hint="default"/>
                <w:spacing w:val="-3"/>
                <w:sz w:val="24"/>
                <w:szCs w:val="24"/>
              </w:rPr>
              <w:t>的股权比例，因此按照新股发行前本集团股权比例计算本集团在</w:t>
            </w:r>
            <w:r>
              <w:rPr>
                <w:rFonts w:ascii="宋体" w:hAnsi="宋体" w:cs="宋体" w:eastAsia="宋体" w:hint="default"/>
                <w:sz w:val="24"/>
                <w:szCs w:val="24"/>
              </w:rPr>
              <w:t> 新股发行前日本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pacing w:val="-3"/>
                <w:sz w:val="24"/>
                <w:szCs w:val="24"/>
              </w:rPr>
              <w:t>账面净资产中的份额，该份额与新股发行后按本集团新</w:t>
            </w:r>
            <w:r>
              <w:rPr>
                <w:rFonts w:ascii="宋体" w:hAnsi="宋体" w:cs="宋体" w:eastAsia="宋体" w:hint="default"/>
                <w:sz w:val="24"/>
                <w:szCs w:val="24"/>
              </w:rPr>
              <w:t> 的持股比例计算的日本</w:t>
            </w:r>
            <w:r>
              <w:rPr>
                <w:rFonts w:ascii="宋体" w:hAnsi="宋体" w:cs="宋体" w:eastAsia="宋体" w:hint="default"/>
                <w:spacing w:val="-47"/>
                <w:sz w:val="24"/>
                <w:szCs w:val="24"/>
              </w:rPr>
              <w:t> </w:t>
            </w:r>
            <w:r>
              <w:rPr>
                <w:rFonts w:ascii="Arial" w:hAnsi="Arial" w:cs="Arial" w:eastAsia="Arial" w:hint="default"/>
                <w:sz w:val="24"/>
                <w:szCs w:val="24"/>
              </w:rPr>
              <w:t>LAOX</w:t>
            </w:r>
            <w:r>
              <w:rPr>
                <w:rFonts w:ascii="Arial" w:hAnsi="Arial" w:cs="Arial" w:eastAsia="Arial" w:hint="default"/>
                <w:spacing w:val="6"/>
                <w:sz w:val="24"/>
                <w:szCs w:val="24"/>
              </w:rPr>
              <w:t> </w:t>
            </w:r>
            <w:r>
              <w:rPr>
                <w:rFonts w:ascii="宋体" w:hAnsi="宋体" w:cs="宋体" w:eastAsia="宋体" w:hint="default"/>
                <w:sz w:val="24"/>
                <w:szCs w:val="24"/>
              </w:rPr>
              <w:t>账面净资产份额之间的差额约人民币</w:t>
            </w:r>
            <w:r>
              <w:rPr>
                <w:rFonts w:ascii="宋体" w:hAnsi="宋体" w:cs="宋体" w:eastAsia="宋体" w:hint="default"/>
                <w:spacing w:val="-47"/>
                <w:sz w:val="24"/>
                <w:szCs w:val="24"/>
              </w:rPr>
              <w:t> </w:t>
            </w:r>
            <w:r>
              <w:rPr>
                <w:rFonts w:ascii="Arial" w:hAnsi="Arial" w:cs="Arial" w:eastAsia="Arial" w:hint="default"/>
                <w:sz w:val="24"/>
                <w:szCs w:val="24"/>
              </w:rPr>
              <w:t>5.57</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宋体" w:hAnsi="宋体" w:cs="宋体" w:eastAsia="宋体" w:hint="default"/>
                <w:spacing w:val="-2"/>
                <w:sz w:val="24"/>
                <w:szCs w:val="24"/>
              </w:rPr>
              <w:t> </w:t>
            </w:r>
            <w:r>
              <w:rPr>
                <w:rFonts w:ascii="宋体" w:hAnsi="宋体" w:cs="宋体" w:eastAsia="宋体" w:hint="default"/>
                <w:sz w:val="24"/>
                <w:szCs w:val="24"/>
              </w:rPr>
              <w:t>计入资本公积</w:t>
            </w:r>
            <w:r>
              <w:rPr>
                <w:rFonts w:ascii="Arial" w:hAnsi="Arial" w:cs="Arial" w:eastAsia="Arial" w:hint="default"/>
                <w:sz w:val="24"/>
                <w:szCs w:val="24"/>
              </w:rPr>
              <w:t>-</w:t>
            </w:r>
            <w:r>
              <w:rPr>
                <w:rFonts w:ascii="宋体" w:hAnsi="宋体" w:cs="宋体" w:eastAsia="宋体" w:hint="default"/>
                <w:sz w:val="24"/>
                <w:szCs w:val="24"/>
              </w:rPr>
              <w:t>股本溢价。</w:t>
            </w:r>
          </w:p>
        </w:tc>
      </w:tr>
      <w:tr>
        <w:trPr>
          <w:trHeight w:val="1671" w:hRule="exact"/>
        </w:trPr>
        <w:tc>
          <w:tcPr>
            <w:tcW w:w="773" w:type="dxa"/>
            <w:tcBorders>
              <w:top w:val="nil" w:sz="6" w:space="0" w:color="auto"/>
              <w:left w:val="nil" w:sz="6" w:space="0" w:color="auto"/>
              <w:bottom w:val="nil" w:sz="6" w:space="0" w:color="auto"/>
              <w:right w:val="nil" w:sz="6" w:space="0" w:color="auto"/>
            </w:tcBorders>
          </w:tcPr>
          <w:p>
            <w:pPr/>
          </w:p>
        </w:tc>
        <w:tc>
          <w:tcPr>
            <w:tcW w:w="8319" w:type="dxa"/>
            <w:gridSpan w:val="8"/>
            <w:tcBorders>
              <w:top w:val="nil" w:sz="6" w:space="0" w:color="auto"/>
              <w:left w:val="nil" w:sz="6" w:space="0" w:color="auto"/>
              <w:bottom w:val="nil" w:sz="6" w:space="0" w:color="auto"/>
              <w:right w:val="nil" w:sz="6" w:space="0" w:color="auto"/>
            </w:tcBorders>
          </w:tcPr>
          <w:p>
            <w:pPr>
              <w:pStyle w:val="TableParagraph"/>
              <w:spacing w:line="225" w:lineRule="auto" w:before="128"/>
              <w:ind w:left="146" w:right="42"/>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8"/>
                <w:sz w:val="24"/>
                <w:szCs w:val="24"/>
              </w:rPr>
              <w:t> </w:t>
            </w:r>
            <w:r>
              <w:rPr>
                <w:rFonts w:ascii="Arial" w:hAnsi="Arial" w:cs="Arial" w:eastAsia="Arial" w:hint="default"/>
                <w:sz w:val="24"/>
                <w:szCs w:val="24"/>
              </w:rPr>
              <w:t>2015</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月，本集团以约人民币</w:t>
            </w:r>
            <w:r>
              <w:rPr>
                <w:rFonts w:ascii="宋体" w:hAnsi="宋体" w:cs="宋体" w:eastAsia="宋体" w:hint="default"/>
                <w:spacing w:val="-58"/>
                <w:sz w:val="24"/>
                <w:szCs w:val="24"/>
              </w:rPr>
              <w:t> </w:t>
            </w:r>
            <w:r>
              <w:rPr>
                <w:rFonts w:ascii="Arial" w:hAnsi="Arial" w:cs="Arial" w:eastAsia="Arial" w:hint="default"/>
                <w:sz w:val="24"/>
                <w:szCs w:val="24"/>
              </w:rPr>
              <w:t>7,815</w:t>
            </w:r>
            <w:r>
              <w:rPr>
                <w:rFonts w:ascii="Arial" w:hAnsi="Arial" w:cs="Arial" w:eastAsia="Arial" w:hint="default"/>
                <w:spacing w:val="-5"/>
                <w:sz w:val="24"/>
                <w:szCs w:val="24"/>
              </w:rPr>
              <w:t> </w:t>
            </w:r>
            <w:r>
              <w:rPr>
                <w:rFonts w:ascii="宋体" w:hAnsi="宋体" w:cs="宋体" w:eastAsia="宋体" w:hint="default"/>
                <w:sz w:val="24"/>
                <w:szCs w:val="24"/>
              </w:rPr>
              <w:t>万元的对价收购子公司重庆苏宁小 </w:t>
            </w:r>
            <w:r>
              <w:rPr>
                <w:rFonts w:ascii="宋体" w:hAnsi="宋体" w:cs="宋体" w:eastAsia="宋体" w:hint="default"/>
                <w:spacing w:val="-4"/>
                <w:w w:val="99"/>
                <w:sz w:val="24"/>
                <w:szCs w:val="24"/>
              </w:rPr>
              <w:t>额贷款有限公司</w:t>
            </w:r>
            <w:r>
              <w:rPr>
                <w:rFonts w:ascii="Arial" w:hAnsi="Arial" w:cs="Arial" w:eastAsia="Arial" w:hint="default"/>
                <w:spacing w:val="-4"/>
                <w:w w:val="99"/>
                <w:sz w:val="24"/>
                <w:szCs w:val="24"/>
              </w:rPr>
              <w:t>(</w:t>
            </w:r>
            <w:r>
              <w:rPr>
                <w:rFonts w:ascii="Arial" w:hAnsi="Arial" w:cs="Arial" w:eastAsia="Arial" w:hint="default"/>
                <w:spacing w:val="-4"/>
                <w:w w:val="99"/>
                <w:sz w:val="24"/>
                <w:szCs w:val="24"/>
              </w:rPr>
              <w:t>“</w:t>
            </w:r>
            <w:r>
              <w:rPr>
                <w:rFonts w:ascii="宋体" w:hAnsi="宋体" w:cs="宋体" w:eastAsia="宋体" w:hint="default"/>
                <w:spacing w:val="-4"/>
                <w:w w:val="99"/>
                <w:sz w:val="24"/>
                <w:szCs w:val="24"/>
              </w:rPr>
              <w:t>重庆苏宁小贷</w:t>
            </w:r>
            <w:r>
              <w:rPr>
                <w:rFonts w:ascii="Arial" w:hAnsi="Arial" w:cs="Arial" w:eastAsia="Arial" w:hint="default"/>
                <w:spacing w:val="-4"/>
                <w:w w:val="99"/>
                <w:sz w:val="24"/>
                <w:szCs w:val="24"/>
              </w:rPr>
              <w:t>”</w:t>
            </w:r>
            <w:r>
              <w:rPr>
                <w:rFonts w:ascii="Arial" w:hAnsi="Arial" w:cs="Arial" w:eastAsia="Arial" w:hint="default"/>
                <w:spacing w:val="-4"/>
                <w:w w:val="99"/>
                <w:sz w:val="24"/>
                <w:szCs w:val="24"/>
              </w:rPr>
              <w:t>)25%</w:t>
            </w:r>
            <w:r>
              <w:rPr>
                <w:rFonts w:ascii="宋体" w:hAnsi="宋体" w:cs="宋体" w:eastAsia="宋体" w:hint="default"/>
                <w:spacing w:val="-4"/>
                <w:w w:val="99"/>
                <w:sz w:val="24"/>
                <w:szCs w:val="24"/>
              </w:rPr>
              <w:t>的少数股权，本集团新取得的长期股权投</w:t>
            </w:r>
            <w:r>
              <w:rPr>
                <w:rFonts w:ascii="宋体" w:hAnsi="宋体" w:cs="宋体" w:eastAsia="宋体" w:hint="default"/>
                <w:spacing w:val="-84"/>
                <w:w w:val="99"/>
                <w:sz w:val="24"/>
                <w:szCs w:val="24"/>
              </w:rPr>
              <w:t> </w:t>
            </w:r>
            <w:r>
              <w:rPr>
                <w:rFonts w:ascii="宋体" w:hAnsi="宋体" w:cs="宋体" w:eastAsia="宋体" w:hint="default"/>
                <w:spacing w:val="-84"/>
                <w:w w:val="99"/>
                <w:sz w:val="24"/>
                <w:szCs w:val="24"/>
              </w:rPr>
            </w:r>
            <w:r>
              <w:rPr>
                <w:rFonts w:ascii="宋体" w:hAnsi="宋体" w:cs="宋体" w:eastAsia="宋体" w:hint="default"/>
                <w:sz w:val="24"/>
                <w:szCs w:val="24"/>
              </w:rPr>
              <w:t>资成本与按照新增</w:t>
            </w:r>
            <w:r>
              <w:rPr>
                <w:rFonts w:ascii="宋体" w:hAnsi="宋体" w:cs="宋体" w:eastAsia="宋体" w:hint="default"/>
                <w:spacing w:val="21"/>
                <w:sz w:val="24"/>
                <w:szCs w:val="24"/>
              </w:rPr>
              <w:t> </w:t>
            </w:r>
            <w:r>
              <w:rPr>
                <w:rFonts w:ascii="Arial" w:hAnsi="Arial" w:cs="Arial" w:eastAsia="Arial" w:hint="default"/>
                <w:spacing w:val="2"/>
                <w:sz w:val="24"/>
                <w:szCs w:val="24"/>
              </w:rPr>
              <w:t>25%</w:t>
            </w:r>
            <w:r>
              <w:rPr>
                <w:rFonts w:ascii="宋体" w:hAnsi="宋体" w:cs="宋体" w:eastAsia="宋体" w:hint="default"/>
                <w:spacing w:val="2"/>
                <w:sz w:val="24"/>
                <w:szCs w:val="24"/>
              </w:rPr>
              <w:t>的持股股比例计算的应享有重庆苏宁小贷自购买日开</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始持续计算的可辨认净资产份额之间的差额约人民币 </w:t>
            </w:r>
            <w:r>
              <w:rPr>
                <w:rFonts w:ascii="Arial" w:hAnsi="Arial" w:cs="Arial" w:eastAsia="Arial" w:hint="default"/>
                <w:sz w:val="24"/>
                <w:szCs w:val="24"/>
              </w:rPr>
              <w:t>90 </w:t>
            </w:r>
            <w:r>
              <w:rPr>
                <w:rFonts w:ascii="宋体" w:hAnsi="宋体" w:cs="宋体" w:eastAsia="宋体" w:hint="default"/>
                <w:sz w:val="24"/>
                <w:szCs w:val="24"/>
              </w:rPr>
              <w:t>万元计入资本公积</w:t>
            </w:r>
            <w:r>
              <w:rPr>
                <w:rFonts w:ascii="宋体" w:hAnsi="宋体" w:cs="宋体" w:eastAsia="宋体" w:hint="default"/>
                <w:spacing w:val="-21"/>
                <w:sz w:val="24"/>
                <w:szCs w:val="24"/>
              </w:rPr>
              <w:t> </w:t>
            </w:r>
            <w:r>
              <w:rPr>
                <w:rFonts w:ascii="Arial" w:hAnsi="Arial" w:cs="Arial" w:eastAsia="Arial" w:hint="default"/>
                <w:sz w:val="24"/>
                <w:szCs w:val="24"/>
              </w:rPr>
              <w:t>–</w:t>
            </w:r>
            <w:r>
              <w:rPr>
                <w:rFonts w:ascii="Arial" w:hAnsi="Arial" w:cs="Arial" w:eastAsia="Arial" w:hint="default"/>
                <w:w w:val="99"/>
                <w:sz w:val="24"/>
                <w:szCs w:val="24"/>
              </w:rPr>
              <w:t> </w:t>
            </w:r>
            <w:r>
              <w:rPr>
                <w:rFonts w:ascii="宋体" w:hAnsi="宋体" w:cs="宋体" w:eastAsia="宋体" w:hint="default"/>
                <w:sz w:val="24"/>
                <w:szCs w:val="24"/>
              </w:rPr>
              <w:t>资本溢价。</w:t>
            </w:r>
          </w:p>
        </w:tc>
      </w:tr>
    </w:tbl>
    <w:p>
      <w:pPr>
        <w:spacing w:after="0" w:line="225" w:lineRule="auto"/>
        <w:jc w:val="both"/>
        <w:rPr>
          <w:rFonts w:ascii="宋体" w:hAnsi="宋体" w:cs="宋体" w:eastAsia="宋体" w:hint="default"/>
          <w:sz w:val="24"/>
          <w:szCs w:val="24"/>
        </w:rPr>
        <w:sectPr>
          <w:footerReference w:type="default" r:id="rId61"/>
          <w:pgSz w:w="11910" w:h="16840"/>
          <w:pgMar w:footer="914" w:header="0" w:top="1860" w:bottom="1100" w:left="1420" w:right="0"/>
          <w:pgNumType w:start="196"/>
        </w:sectPr>
      </w:pPr>
    </w:p>
    <w:p>
      <w:pPr>
        <w:spacing w:line="240" w:lineRule="auto" w:before="2"/>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742"/>
        <w:gridCol w:w="5766"/>
        <w:gridCol w:w="3231"/>
      </w:tblGrid>
      <w:tr>
        <w:trPr>
          <w:trHeight w:val="416"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766" w:type="dxa"/>
            <w:tcBorders>
              <w:top w:val="nil" w:sz="6" w:space="0" w:color="auto"/>
              <w:left w:val="nil" w:sz="6" w:space="0" w:color="auto"/>
              <w:bottom w:val="nil" w:sz="6" w:space="0" w:color="auto"/>
              <w:right w:val="nil" w:sz="6" w:space="0" w:color="auto"/>
            </w:tcBorders>
          </w:tcPr>
          <w:p>
            <w:pPr>
              <w:pStyle w:val="TableParagraph"/>
              <w:spacing w:line="257" w:lineRule="exact"/>
              <w:ind w:left="11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231" w:type="dxa"/>
            <w:tcBorders>
              <w:top w:val="nil" w:sz="6" w:space="0" w:color="auto"/>
              <w:left w:val="nil" w:sz="6" w:space="0" w:color="auto"/>
              <w:bottom w:val="nil" w:sz="6" w:space="0" w:color="auto"/>
              <w:right w:val="nil" w:sz="6" w:space="0" w:color="auto"/>
            </w:tcBorders>
          </w:tcPr>
          <w:p>
            <w:pPr/>
          </w:p>
        </w:tc>
      </w:tr>
      <w:tr>
        <w:trPr>
          <w:trHeight w:val="588"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(40)</w:t>
            </w:r>
          </w:p>
        </w:tc>
        <w:tc>
          <w:tcPr>
            <w:tcW w:w="576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5" w:right="0"/>
              <w:jc w:val="left"/>
              <w:rPr>
                <w:rFonts w:ascii="Arial" w:hAnsi="Arial" w:cs="Arial" w:eastAsia="Arial" w:hint="default"/>
                <w:sz w:val="24"/>
                <w:szCs w:val="24"/>
              </w:rPr>
            </w:pPr>
            <w:r>
              <w:rPr>
                <w:rFonts w:ascii="黑体" w:hAnsi="黑体" w:cs="黑体" w:eastAsia="黑体" w:hint="default"/>
                <w:sz w:val="24"/>
                <w:szCs w:val="24"/>
              </w:rPr>
              <w:t>资本公积</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231" w:type="dxa"/>
            <w:tcBorders>
              <w:top w:val="nil" w:sz="6" w:space="0" w:color="auto"/>
              <w:left w:val="nil" w:sz="6" w:space="0" w:color="auto"/>
              <w:bottom w:val="nil" w:sz="6" w:space="0" w:color="auto"/>
              <w:right w:val="nil" w:sz="6" w:space="0" w:color="auto"/>
            </w:tcBorders>
          </w:tcPr>
          <w:p>
            <w:pPr/>
          </w:p>
        </w:tc>
      </w:tr>
      <w:tr>
        <w:trPr>
          <w:trHeight w:val="2417"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8997" w:type="dxa"/>
            <w:gridSpan w:val="2"/>
            <w:tcBorders>
              <w:top w:val="nil" w:sz="6" w:space="0" w:color="auto"/>
              <w:left w:val="nil" w:sz="6" w:space="0" w:color="auto"/>
              <w:bottom w:val="nil" w:sz="6" w:space="0" w:color="auto"/>
              <w:right w:val="nil" w:sz="6" w:space="0" w:color="auto"/>
            </w:tcBorders>
          </w:tcPr>
          <w:p>
            <w:pPr>
              <w:pStyle w:val="TableParagraph"/>
              <w:spacing w:line="225" w:lineRule="auto" w:before="114"/>
              <w:ind w:left="228" w:right="198"/>
              <w:jc w:val="both"/>
              <w:rPr>
                <w:rFonts w:ascii="宋体" w:hAnsi="宋体" w:cs="宋体" w:eastAsia="宋体" w:hint="default"/>
                <w:sz w:val="24"/>
                <w:szCs w:val="24"/>
              </w:rPr>
            </w:pPr>
            <w:r>
              <w:rPr>
                <w:rFonts w:ascii="宋体" w:hAnsi="宋体" w:cs="宋体" w:eastAsia="宋体" w:hint="default"/>
                <w:spacing w:val="2"/>
                <w:sz w:val="24"/>
                <w:szCs w:val="24"/>
              </w:rPr>
              <w:t>经</w:t>
            </w:r>
            <w:r>
              <w:rPr>
                <w:rFonts w:ascii="Arial" w:hAnsi="Arial" w:cs="Arial" w:eastAsia="Arial" w:hint="default"/>
                <w:spacing w:val="2"/>
                <w:sz w:val="24"/>
                <w:szCs w:val="24"/>
              </w:rPr>
              <w:t>2011</w:t>
            </w:r>
            <w:r>
              <w:rPr>
                <w:rFonts w:ascii="宋体" w:hAnsi="宋体" w:cs="宋体" w:eastAsia="宋体" w:hint="default"/>
                <w:spacing w:val="2"/>
                <w:sz w:val="24"/>
                <w:szCs w:val="24"/>
              </w:rPr>
              <w:t>年</w:t>
            </w:r>
            <w:r>
              <w:rPr>
                <w:rFonts w:ascii="Arial" w:hAnsi="Arial" w:cs="Arial" w:eastAsia="Arial" w:hint="default"/>
                <w:spacing w:val="2"/>
                <w:sz w:val="24"/>
                <w:szCs w:val="24"/>
              </w:rPr>
              <w:t>4</w:t>
            </w:r>
            <w:r>
              <w:rPr>
                <w:rFonts w:ascii="宋体" w:hAnsi="宋体" w:cs="宋体" w:eastAsia="宋体" w:hint="default"/>
                <w:spacing w:val="2"/>
                <w:sz w:val="24"/>
                <w:szCs w:val="24"/>
              </w:rPr>
              <w:t>月</w:t>
            </w:r>
            <w:r>
              <w:rPr>
                <w:rFonts w:ascii="Arial" w:hAnsi="Arial" w:cs="Arial" w:eastAsia="Arial" w:hint="default"/>
                <w:spacing w:val="2"/>
                <w:sz w:val="24"/>
                <w:szCs w:val="24"/>
              </w:rPr>
              <w:t>29</w:t>
            </w:r>
            <w:r>
              <w:rPr>
                <w:rFonts w:ascii="宋体" w:hAnsi="宋体" w:cs="宋体" w:eastAsia="宋体" w:hint="default"/>
                <w:spacing w:val="2"/>
                <w:sz w:val="24"/>
                <w:szCs w:val="24"/>
              </w:rPr>
              <w:t>日召开的第四届董事会第十二次会议审议通过，本公司对《</w:t>
            </w:r>
            <w:r>
              <w:rPr>
                <w:rFonts w:ascii="Arial" w:hAnsi="Arial" w:cs="Arial" w:eastAsia="Arial" w:hint="default"/>
                <w:spacing w:val="2"/>
                <w:sz w:val="24"/>
                <w:szCs w:val="24"/>
              </w:rPr>
              <w:t>2010</w:t>
            </w:r>
            <w:r>
              <w:rPr>
                <w:rFonts w:ascii="Arial" w:hAnsi="Arial" w:cs="Arial" w:eastAsia="Arial" w:hint="default"/>
                <w:spacing w:val="-29"/>
                <w:sz w:val="24"/>
                <w:szCs w:val="24"/>
              </w:rPr>
              <w:t> </w:t>
            </w:r>
            <w:r>
              <w:rPr>
                <w:rFonts w:ascii="宋体" w:hAnsi="宋体" w:cs="宋体" w:eastAsia="宋体" w:hint="default"/>
                <w:sz w:val="24"/>
                <w:szCs w:val="24"/>
              </w:rPr>
              <w:t>年股票期权激励计划》行权价格进行调整，调整后的股票行权价格为人民币</w:t>
            </w:r>
            <w:r>
              <w:rPr>
                <w:rFonts w:ascii="Arial" w:hAnsi="Arial" w:cs="Arial" w:eastAsia="Arial" w:hint="default"/>
                <w:sz w:val="24"/>
                <w:szCs w:val="24"/>
              </w:rPr>
              <w:t>14.40</w:t>
            </w:r>
            <w:r>
              <w:rPr>
                <w:rFonts w:ascii="Arial" w:hAnsi="Arial" w:cs="Arial" w:eastAsia="Arial" w:hint="default"/>
                <w:spacing w:val="-46"/>
                <w:sz w:val="24"/>
                <w:szCs w:val="24"/>
              </w:rPr>
              <w:t> </w:t>
            </w:r>
            <w:r>
              <w:rPr>
                <w:rFonts w:ascii="Arial" w:hAnsi="Arial" w:cs="Arial" w:eastAsia="Arial" w:hint="default"/>
                <w:spacing w:val="-46"/>
                <w:sz w:val="24"/>
                <w:szCs w:val="24"/>
              </w:rPr>
            </w:r>
            <w:r>
              <w:rPr>
                <w:rFonts w:ascii="宋体" w:hAnsi="宋体" w:cs="宋体" w:eastAsia="宋体" w:hint="default"/>
                <w:sz w:val="24"/>
                <w:szCs w:val="24"/>
              </w:rPr>
              <w:t>元。该股票期权激励计划的有效期为自股票期权授权日起五年，已于</w:t>
            </w:r>
            <w:r>
              <w:rPr>
                <w:rFonts w:ascii="Arial" w:hAnsi="Arial" w:cs="Arial" w:eastAsia="Arial" w:hint="default"/>
                <w:sz w:val="24"/>
                <w:szCs w:val="24"/>
              </w:rPr>
              <w:t>2015</w:t>
            </w:r>
            <w:r>
              <w:rPr>
                <w:rFonts w:ascii="宋体" w:hAnsi="宋体" w:cs="宋体" w:eastAsia="宋体" w:hint="default"/>
                <w:sz w:val="24"/>
                <w:szCs w:val="24"/>
              </w:rPr>
              <w:t>年</w:t>
            </w:r>
            <w:r>
              <w:rPr>
                <w:rFonts w:ascii="Arial" w:hAnsi="Arial" w:cs="Arial" w:eastAsia="Arial" w:hint="default"/>
                <w:sz w:val="24"/>
                <w:szCs w:val="24"/>
              </w:rPr>
              <w:t>11</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26</w:t>
            </w:r>
            <w:r>
              <w:rPr>
                <w:rFonts w:ascii="宋体" w:hAnsi="宋体" w:cs="宋体" w:eastAsia="宋体" w:hint="default"/>
                <w:sz w:val="24"/>
                <w:szCs w:val="24"/>
              </w:rPr>
              <w:t>日有效期限届满，故该股票期权计划终止。</w:t>
            </w: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0" w:lineRule="exact"/>
              <w:ind w:left="228" w:right="199"/>
              <w:jc w:val="both"/>
              <w:rPr>
                <w:rFonts w:ascii="宋体" w:hAnsi="宋体" w:cs="宋体" w:eastAsia="宋体" w:hint="default"/>
                <w:sz w:val="24"/>
                <w:szCs w:val="24"/>
              </w:rPr>
            </w:pPr>
            <w:r>
              <w:rPr>
                <w:rFonts w:ascii="宋体" w:hAnsi="宋体" w:cs="宋体" w:eastAsia="宋体" w:hint="default"/>
                <w:spacing w:val="-2"/>
                <w:sz w:val="24"/>
                <w:szCs w:val="24"/>
              </w:rPr>
              <w:t>经</w:t>
            </w:r>
            <w:r>
              <w:rPr>
                <w:rFonts w:ascii="Arial" w:hAnsi="Arial" w:cs="Arial" w:eastAsia="Arial" w:hint="default"/>
                <w:spacing w:val="-2"/>
                <w:sz w:val="24"/>
                <w:szCs w:val="24"/>
              </w:rPr>
              <w:t>2016</w:t>
            </w:r>
            <w:r>
              <w:rPr>
                <w:rFonts w:ascii="宋体" w:hAnsi="宋体" w:cs="宋体" w:eastAsia="宋体" w:hint="default"/>
                <w:spacing w:val="-2"/>
                <w:sz w:val="24"/>
                <w:szCs w:val="24"/>
              </w:rPr>
              <w:t>年</w:t>
            </w:r>
            <w:r>
              <w:rPr>
                <w:rFonts w:ascii="Arial" w:hAnsi="Arial" w:cs="Arial" w:eastAsia="Arial" w:hint="default"/>
                <w:spacing w:val="-2"/>
                <w:sz w:val="24"/>
                <w:szCs w:val="24"/>
              </w:rPr>
              <w:t>3</w:t>
            </w:r>
            <w:r>
              <w:rPr>
                <w:rFonts w:ascii="宋体" w:hAnsi="宋体" w:cs="宋体" w:eastAsia="宋体" w:hint="default"/>
                <w:spacing w:val="-2"/>
                <w:sz w:val="24"/>
                <w:szCs w:val="24"/>
              </w:rPr>
              <w:t>月</w:t>
            </w:r>
            <w:r>
              <w:rPr>
                <w:rFonts w:ascii="Arial" w:hAnsi="Arial" w:cs="Arial" w:eastAsia="Arial" w:hint="default"/>
                <w:spacing w:val="-2"/>
                <w:sz w:val="24"/>
                <w:szCs w:val="24"/>
              </w:rPr>
              <w:t>12</w:t>
            </w:r>
            <w:r>
              <w:rPr>
                <w:rFonts w:ascii="宋体" w:hAnsi="宋体" w:cs="宋体" w:eastAsia="宋体" w:hint="default"/>
                <w:spacing w:val="-2"/>
                <w:sz w:val="24"/>
                <w:szCs w:val="24"/>
              </w:rPr>
              <w:t>日召开的第五届董事会第二十八次会议审议通过，本公司将对已授</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予的全部股票期权予以注销。</w:t>
            </w:r>
          </w:p>
        </w:tc>
      </w:tr>
      <w:tr>
        <w:trPr>
          <w:trHeight w:val="587" w:hRule="exact"/>
        </w:trPr>
        <w:tc>
          <w:tcPr>
            <w:tcW w:w="742" w:type="dxa"/>
            <w:tcBorders>
              <w:top w:val="nil" w:sz="6" w:space="0" w:color="auto"/>
              <w:left w:val="nil" w:sz="6" w:space="0" w:color="auto"/>
              <w:bottom w:val="nil" w:sz="6" w:space="0" w:color="auto"/>
              <w:right w:val="nil" w:sz="6" w:space="0" w:color="auto"/>
            </w:tcBorders>
          </w:tcPr>
          <w:p>
            <w:pPr/>
          </w:p>
        </w:tc>
        <w:tc>
          <w:tcPr>
            <w:tcW w:w="576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28" w:right="0"/>
              <w:jc w:val="left"/>
              <w:rPr>
                <w:rFonts w:ascii="宋体" w:hAnsi="宋体" w:cs="宋体" w:eastAsia="宋体" w:hint="default"/>
                <w:sz w:val="24"/>
                <w:szCs w:val="24"/>
              </w:rPr>
            </w:pPr>
            <w:r>
              <w:rPr>
                <w:rFonts w:ascii="宋体" w:hAnsi="宋体" w:cs="宋体" w:eastAsia="宋体" w:hint="default"/>
                <w:sz w:val="24"/>
                <w:szCs w:val="24"/>
              </w:rPr>
              <w:t>授予日股票期权公允价值的确定方法</w:t>
            </w:r>
          </w:p>
        </w:tc>
        <w:tc>
          <w:tcPr>
            <w:tcW w:w="3231" w:type="dxa"/>
            <w:tcBorders>
              <w:top w:val="nil" w:sz="6" w:space="0" w:color="auto"/>
              <w:left w:val="nil" w:sz="6" w:space="0" w:color="auto"/>
              <w:bottom w:val="nil" w:sz="6" w:space="0" w:color="auto"/>
              <w:right w:val="nil" w:sz="6" w:space="0" w:color="auto"/>
            </w:tcBorders>
          </w:tcPr>
          <w:p>
            <w:pPr/>
          </w:p>
        </w:tc>
      </w:tr>
      <w:tr>
        <w:trPr>
          <w:trHeight w:val="587" w:hRule="exact"/>
        </w:trPr>
        <w:tc>
          <w:tcPr>
            <w:tcW w:w="742" w:type="dxa"/>
            <w:tcBorders>
              <w:top w:val="nil" w:sz="6" w:space="0" w:color="auto"/>
              <w:left w:val="nil" w:sz="6" w:space="0" w:color="auto"/>
              <w:bottom w:val="nil" w:sz="6" w:space="0" w:color="auto"/>
              <w:right w:val="nil" w:sz="6" w:space="0" w:color="auto"/>
            </w:tcBorders>
          </w:tcPr>
          <w:p>
            <w:pPr/>
          </w:p>
        </w:tc>
        <w:tc>
          <w:tcPr>
            <w:tcW w:w="8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28" w:right="0"/>
              <w:jc w:val="left"/>
              <w:rPr>
                <w:rFonts w:ascii="宋体" w:hAnsi="宋体" w:cs="宋体" w:eastAsia="宋体" w:hint="default"/>
                <w:sz w:val="24"/>
                <w:szCs w:val="24"/>
              </w:rPr>
            </w:pPr>
            <w:r>
              <w:rPr>
                <w:rFonts w:ascii="宋体" w:hAnsi="宋体" w:cs="宋体" w:eastAsia="宋体" w:hint="default"/>
                <w:sz w:val="24"/>
                <w:szCs w:val="24"/>
              </w:rPr>
              <w:t>本集团采用期权定价模型确定股票期权的公允价值。主要参数列示如下：</w:t>
            </w:r>
          </w:p>
        </w:tc>
      </w:tr>
      <w:tr>
        <w:trPr>
          <w:trHeight w:val="1527" w:hRule="exact"/>
        </w:trPr>
        <w:tc>
          <w:tcPr>
            <w:tcW w:w="742" w:type="dxa"/>
            <w:tcBorders>
              <w:top w:val="nil" w:sz="6" w:space="0" w:color="auto"/>
              <w:left w:val="nil" w:sz="6" w:space="0" w:color="auto"/>
              <w:bottom w:val="nil" w:sz="6" w:space="0" w:color="auto"/>
              <w:right w:val="nil" w:sz="6" w:space="0" w:color="auto"/>
            </w:tcBorders>
          </w:tcPr>
          <w:p>
            <w:pPr/>
          </w:p>
        </w:tc>
        <w:tc>
          <w:tcPr>
            <w:tcW w:w="8997" w:type="dxa"/>
            <w:gridSpan w:val="2"/>
            <w:tcBorders>
              <w:top w:val="nil" w:sz="6" w:space="0" w:color="auto"/>
              <w:left w:val="nil" w:sz="6" w:space="0" w:color="auto"/>
              <w:bottom w:val="nil" w:sz="6" w:space="0" w:color="auto"/>
              <w:right w:val="nil" w:sz="6" w:space="0" w:color="auto"/>
            </w:tcBorders>
          </w:tcPr>
          <w:p>
            <w:pPr>
              <w:pStyle w:val="TableParagraph"/>
              <w:tabs>
                <w:tab w:pos="4428" w:val="left" w:leader="none"/>
              </w:tabs>
              <w:spacing w:line="321" w:lineRule="exact" w:before="99"/>
              <w:ind w:left="228" w:right="0"/>
              <w:jc w:val="left"/>
              <w:rPr>
                <w:rFonts w:ascii="宋体" w:hAnsi="宋体" w:cs="宋体" w:eastAsia="宋体" w:hint="default"/>
                <w:sz w:val="24"/>
                <w:szCs w:val="24"/>
              </w:rPr>
            </w:pPr>
            <w:r>
              <w:rPr>
                <w:rFonts w:ascii="宋体" w:hAnsi="宋体" w:cs="宋体" w:eastAsia="宋体" w:hint="default"/>
                <w:sz w:val="24"/>
                <w:szCs w:val="24"/>
              </w:rPr>
              <w:t>期权行权价格：</w:t>
              <w:tab/>
              <w:t>人民币</w:t>
            </w:r>
            <w:r>
              <w:rPr>
                <w:rFonts w:ascii="Arial" w:hAnsi="Arial" w:cs="Arial" w:eastAsia="Arial" w:hint="default"/>
                <w:sz w:val="24"/>
                <w:szCs w:val="24"/>
              </w:rPr>
              <w:t>14.50</w:t>
            </w:r>
            <w:r>
              <w:rPr>
                <w:rFonts w:ascii="宋体" w:hAnsi="宋体" w:cs="宋体" w:eastAsia="宋体" w:hint="default"/>
                <w:sz w:val="24"/>
                <w:szCs w:val="24"/>
              </w:rPr>
              <w:t>元</w:t>
            </w:r>
          </w:p>
          <w:p>
            <w:pPr>
              <w:pStyle w:val="TableParagraph"/>
              <w:tabs>
                <w:tab w:pos="4428" w:val="left" w:leader="none"/>
              </w:tabs>
              <w:spacing w:line="311" w:lineRule="exact"/>
              <w:ind w:left="228" w:right="0"/>
              <w:jc w:val="left"/>
              <w:rPr>
                <w:rFonts w:ascii="宋体" w:hAnsi="宋体" w:cs="宋体" w:eastAsia="宋体" w:hint="default"/>
                <w:sz w:val="24"/>
                <w:szCs w:val="24"/>
              </w:rPr>
            </w:pPr>
            <w:r>
              <w:rPr>
                <w:rFonts w:ascii="宋体" w:hAnsi="宋体" w:cs="宋体" w:eastAsia="宋体" w:hint="default"/>
                <w:sz w:val="24"/>
                <w:szCs w:val="24"/>
              </w:rPr>
              <w:t>各期期权的有效期：</w:t>
              <w:tab/>
            </w:r>
            <w:r>
              <w:rPr>
                <w:rFonts w:ascii="Arial" w:hAnsi="Arial" w:cs="Arial" w:eastAsia="Arial" w:hint="default"/>
                <w:sz w:val="24"/>
                <w:szCs w:val="24"/>
              </w:rPr>
              <w:t>1.5</w:t>
            </w:r>
            <w:r>
              <w:rPr>
                <w:rFonts w:ascii="宋体" w:hAnsi="宋体" w:cs="宋体" w:eastAsia="宋体" w:hint="default"/>
                <w:sz w:val="24"/>
                <w:szCs w:val="24"/>
              </w:rPr>
              <w:t>年、</w:t>
            </w:r>
            <w:r>
              <w:rPr>
                <w:rFonts w:ascii="Arial" w:hAnsi="Arial" w:cs="Arial" w:eastAsia="Arial" w:hint="default"/>
                <w:sz w:val="24"/>
                <w:szCs w:val="24"/>
              </w:rPr>
              <w:t>2.5</w:t>
            </w:r>
            <w:r>
              <w:rPr>
                <w:rFonts w:ascii="宋体" w:hAnsi="宋体" w:cs="宋体" w:eastAsia="宋体" w:hint="default"/>
                <w:sz w:val="24"/>
                <w:szCs w:val="24"/>
              </w:rPr>
              <w:t>年、</w:t>
            </w:r>
            <w:r>
              <w:rPr>
                <w:rFonts w:ascii="Arial" w:hAnsi="Arial" w:cs="Arial" w:eastAsia="Arial" w:hint="default"/>
                <w:sz w:val="24"/>
                <w:szCs w:val="24"/>
              </w:rPr>
              <w:t>3.5</w:t>
            </w:r>
            <w:r>
              <w:rPr>
                <w:rFonts w:ascii="宋体" w:hAnsi="宋体" w:cs="宋体" w:eastAsia="宋体" w:hint="default"/>
                <w:sz w:val="24"/>
                <w:szCs w:val="24"/>
              </w:rPr>
              <w:t>年、</w:t>
            </w:r>
            <w:r>
              <w:rPr>
                <w:rFonts w:ascii="Arial" w:hAnsi="Arial" w:cs="Arial" w:eastAsia="Arial" w:hint="default"/>
                <w:sz w:val="24"/>
                <w:szCs w:val="24"/>
              </w:rPr>
              <w:t>4.5</w:t>
            </w:r>
            <w:r>
              <w:rPr>
                <w:rFonts w:ascii="宋体" w:hAnsi="宋体" w:cs="宋体" w:eastAsia="宋体" w:hint="default"/>
                <w:sz w:val="24"/>
                <w:szCs w:val="24"/>
              </w:rPr>
              <w:t>年</w:t>
            </w:r>
          </w:p>
          <w:p>
            <w:pPr>
              <w:pStyle w:val="TableParagraph"/>
              <w:tabs>
                <w:tab w:pos="4428" w:val="left" w:leader="none"/>
              </w:tabs>
              <w:spacing w:line="312" w:lineRule="exact"/>
              <w:ind w:left="228" w:right="0"/>
              <w:jc w:val="left"/>
              <w:rPr>
                <w:rFonts w:ascii="Arial" w:hAnsi="Arial" w:cs="Arial" w:eastAsia="Arial" w:hint="default"/>
                <w:sz w:val="24"/>
                <w:szCs w:val="24"/>
              </w:rPr>
            </w:pPr>
            <w:r>
              <w:rPr>
                <w:rFonts w:ascii="宋体" w:hAnsi="宋体" w:cs="宋体" w:eastAsia="宋体" w:hint="default"/>
                <w:sz w:val="24"/>
                <w:szCs w:val="24"/>
              </w:rPr>
              <w:t>各期股价预计波动率：</w:t>
              <w:tab/>
            </w:r>
            <w:r>
              <w:rPr>
                <w:rFonts w:ascii="Arial" w:hAnsi="Arial" w:cs="Arial" w:eastAsia="Arial" w:hint="default"/>
                <w:sz w:val="24"/>
                <w:szCs w:val="24"/>
              </w:rPr>
              <w:t>37.3%</w:t>
            </w:r>
            <w:r>
              <w:rPr>
                <w:rFonts w:ascii="宋体" w:hAnsi="宋体" w:cs="宋体" w:eastAsia="宋体" w:hint="default"/>
                <w:sz w:val="24"/>
                <w:szCs w:val="24"/>
              </w:rPr>
              <w:t>、</w:t>
            </w:r>
            <w:r>
              <w:rPr>
                <w:rFonts w:ascii="Arial" w:hAnsi="Arial" w:cs="Arial" w:eastAsia="Arial" w:hint="default"/>
                <w:sz w:val="24"/>
                <w:szCs w:val="24"/>
              </w:rPr>
              <w:t>45.1%</w:t>
            </w:r>
            <w:r>
              <w:rPr>
                <w:rFonts w:ascii="宋体" w:hAnsi="宋体" w:cs="宋体" w:eastAsia="宋体" w:hint="default"/>
                <w:sz w:val="24"/>
                <w:szCs w:val="24"/>
              </w:rPr>
              <w:t>、</w:t>
            </w:r>
            <w:r>
              <w:rPr>
                <w:rFonts w:ascii="Arial" w:hAnsi="Arial" w:cs="Arial" w:eastAsia="Arial" w:hint="default"/>
                <w:sz w:val="24"/>
                <w:szCs w:val="24"/>
              </w:rPr>
              <w:t>46.8%</w:t>
            </w:r>
            <w:r>
              <w:rPr>
                <w:rFonts w:ascii="宋体" w:hAnsi="宋体" w:cs="宋体" w:eastAsia="宋体" w:hint="default"/>
                <w:sz w:val="24"/>
                <w:szCs w:val="24"/>
              </w:rPr>
              <w:t>、</w:t>
            </w:r>
            <w:r>
              <w:rPr>
                <w:rFonts w:ascii="Arial" w:hAnsi="Arial" w:cs="Arial" w:eastAsia="Arial" w:hint="default"/>
                <w:sz w:val="24"/>
                <w:szCs w:val="24"/>
              </w:rPr>
              <w:t>48.3%</w:t>
            </w:r>
          </w:p>
          <w:p>
            <w:pPr>
              <w:pStyle w:val="TableParagraph"/>
              <w:tabs>
                <w:tab w:pos="4428" w:val="left" w:leader="none"/>
              </w:tabs>
              <w:spacing w:line="321" w:lineRule="exact"/>
              <w:ind w:left="228" w:right="0"/>
              <w:jc w:val="left"/>
              <w:rPr>
                <w:rFonts w:ascii="Arial" w:hAnsi="Arial" w:cs="Arial" w:eastAsia="Arial" w:hint="default"/>
                <w:sz w:val="24"/>
                <w:szCs w:val="24"/>
              </w:rPr>
            </w:pPr>
            <w:r>
              <w:rPr>
                <w:rFonts w:ascii="宋体" w:hAnsi="宋体" w:cs="宋体" w:eastAsia="宋体" w:hint="default"/>
                <w:sz w:val="24"/>
                <w:szCs w:val="24"/>
              </w:rPr>
              <w:t>期权有效期内的无风险利率：</w:t>
              <w:tab/>
            </w:r>
            <w:r>
              <w:rPr>
                <w:rFonts w:ascii="Arial" w:hAnsi="Arial" w:cs="Arial" w:eastAsia="Arial" w:hint="default"/>
                <w:sz w:val="24"/>
                <w:szCs w:val="24"/>
              </w:rPr>
              <w:t>2.53%</w:t>
            </w:r>
            <w:r>
              <w:rPr>
                <w:rFonts w:ascii="宋体" w:hAnsi="宋体" w:cs="宋体" w:eastAsia="宋体" w:hint="default"/>
                <w:sz w:val="24"/>
                <w:szCs w:val="24"/>
              </w:rPr>
              <w:t>、</w:t>
            </w:r>
            <w:r>
              <w:rPr>
                <w:rFonts w:ascii="Arial" w:hAnsi="Arial" w:cs="Arial" w:eastAsia="Arial" w:hint="default"/>
                <w:sz w:val="24"/>
                <w:szCs w:val="24"/>
              </w:rPr>
              <w:t>2.92%</w:t>
            </w:r>
            <w:r>
              <w:rPr>
                <w:rFonts w:ascii="宋体" w:hAnsi="宋体" w:cs="宋体" w:eastAsia="宋体" w:hint="default"/>
                <w:sz w:val="24"/>
                <w:szCs w:val="24"/>
              </w:rPr>
              <w:t>、</w:t>
            </w:r>
            <w:r>
              <w:rPr>
                <w:rFonts w:ascii="Arial" w:hAnsi="Arial" w:cs="Arial" w:eastAsia="Arial" w:hint="default"/>
                <w:sz w:val="24"/>
                <w:szCs w:val="24"/>
              </w:rPr>
              <w:t>3.20%</w:t>
            </w:r>
            <w:r>
              <w:rPr>
                <w:rFonts w:ascii="宋体" w:hAnsi="宋体" w:cs="宋体" w:eastAsia="宋体" w:hint="default"/>
                <w:sz w:val="24"/>
                <w:szCs w:val="24"/>
              </w:rPr>
              <w:t>、</w:t>
            </w:r>
            <w:r>
              <w:rPr>
                <w:rFonts w:ascii="Arial" w:hAnsi="Arial" w:cs="Arial" w:eastAsia="Arial" w:hint="default"/>
                <w:sz w:val="24"/>
                <w:szCs w:val="24"/>
              </w:rPr>
              <w:t>3.49%</w:t>
            </w:r>
          </w:p>
        </w:tc>
      </w:tr>
      <w:tr>
        <w:trPr>
          <w:trHeight w:val="587" w:hRule="exact"/>
        </w:trPr>
        <w:tc>
          <w:tcPr>
            <w:tcW w:w="742" w:type="dxa"/>
            <w:tcBorders>
              <w:top w:val="nil" w:sz="6" w:space="0" w:color="auto"/>
              <w:left w:val="nil" w:sz="6" w:space="0" w:color="auto"/>
              <w:bottom w:val="nil" w:sz="6" w:space="0" w:color="auto"/>
              <w:right w:val="nil" w:sz="6" w:space="0" w:color="auto"/>
            </w:tcBorders>
          </w:tcPr>
          <w:p>
            <w:pPr/>
          </w:p>
        </w:tc>
        <w:tc>
          <w:tcPr>
            <w:tcW w:w="8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228" w:right="0"/>
              <w:jc w:val="left"/>
              <w:rPr>
                <w:rFonts w:ascii="宋体" w:hAnsi="宋体" w:cs="宋体" w:eastAsia="宋体" w:hint="default"/>
                <w:sz w:val="24"/>
                <w:szCs w:val="24"/>
              </w:rPr>
            </w:pPr>
            <w:r>
              <w:rPr>
                <w:rFonts w:ascii="宋体" w:hAnsi="宋体" w:cs="宋体" w:eastAsia="宋体" w:hint="default"/>
                <w:sz w:val="24"/>
                <w:szCs w:val="24"/>
              </w:rPr>
              <w:t>根据以上参数计算得出的股票期权的公允价值为：约人民币</w:t>
            </w:r>
            <w:r>
              <w:rPr>
                <w:rFonts w:ascii="宋体" w:hAnsi="宋体" w:cs="宋体" w:eastAsia="宋体" w:hint="default"/>
                <w:spacing w:val="-61"/>
                <w:sz w:val="24"/>
                <w:szCs w:val="24"/>
              </w:rPr>
              <w:t> </w:t>
            </w:r>
            <w:r>
              <w:rPr>
                <w:rFonts w:ascii="Arial" w:hAnsi="Arial" w:cs="Arial" w:eastAsia="Arial" w:hint="default"/>
                <w:sz w:val="24"/>
                <w:szCs w:val="24"/>
              </w:rPr>
              <w:t>3.95</w:t>
            </w:r>
            <w:r>
              <w:rPr>
                <w:rFonts w:ascii="Arial" w:hAnsi="Arial" w:cs="Arial" w:eastAsia="Arial" w:hint="default"/>
                <w:spacing w:val="-8"/>
                <w:sz w:val="24"/>
                <w:szCs w:val="24"/>
              </w:rPr>
              <w:t> </w:t>
            </w:r>
            <w:r>
              <w:rPr>
                <w:rFonts w:ascii="宋体" w:hAnsi="宋体" w:cs="宋体" w:eastAsia="宋体" w:hint="default"/>
                <w:sz w:val="24"/>
                <w:szCs w:val="24"/>
              </w:rPr>
              <w:t>亿元。</w:t>
            </w:r>
          </w:p>
        </w:tc>
      </w:tr>
      <w:tr>
        <w:trPr>
          <w:trHeight w:val="581" w:hRule="exact"/>
        </w:trPr>
        <w:tc>
          <w:tcPr>
            <w:tcW w:w="742" w:type="dxa"/>
            <w:tcBorders>
              <w:top w:val="nil" w:sz="6" w:space="0" w:color="auto"/>
              <w:left w:val="nil" w:sz="6" w:space="0" w:color="auto"/>
              <w:bottom w:val="nil" w:sz="6" w:space="0" w:color="auto"/>
              <w:right w:val="nil" w:sz="6" w:space="0" w:color="auto"/>
            </w:tcBorders>
          </w:tcPr>
          <w:p>
            <w:pPr/>
          </w:p>
        </w:tc>
        <w:tc>
          <w:tcPr>
            <w:tcW w:w="576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8" w:right="0"/>
              <w:jc w:val="left"/>
              <w:rPr>
                <w:rFonts w:ascii="宋体" w:hAnsi="宋体" w:cs="宋体" w:eastAsia="宋体" w:hint="default"/>
                <w:sz w:val="24"/>
                <w:szCs w:val="24"/>
              </w:rPr>
            </w:pPr>
            <w:r>
              <w:rPr>
                <w:rFonts w:ascii="宋体" w:hAnsi="宋体" w:cs="宋体" w:eastAsia="宋体" w:hint="default"/>
                <w:sz w:val="24"/>
                <w:szCs w:val="24"/>
              </w:rPr>
              <w:t>股份支付交易对财务状况和经营成果的影响</w:t>
            </w:r>
          </w:p>
        </w:tc>
        <w:tc>
          <w:tcPr>
            <w:tcW w:w="3231" w:type="dxa"/>
            <w:tcBorders>
              <w:top w:val="nil" w:sz="6" w:space="0" w:color="auto"/>
              <w:left w:val="nil" w:sz="6" w:space="0" w:color="auto"/>
              <w:bottom w:val="nil" w:sz="6" w:space="0" w:color="auto"/>
              <w:right w:val="nil" w:sz="6" w:space="0" w:color="auto"/>
            </w:tcBorders>
          </w:tcPr>
          <w:p>
            <w:pPr/>
          </w:p>
        </w:tc>
      </w:tr>
      <w:tr>
        <w:trPr>
          <w:trHeight w:val="452" w:hRule="exact"/>
        </w:trPr>
        <w:tc>
          <w:tcPr>
            <w:tcW w:w="742" w:type="dxa"/>
            <w:tcBorders>
              <w:top w:val="nil" w:sz="6" w:space="0" w:color="auto"/>
              <w:left w:val="nil" w:sz="6" w:space="0" w:color="auto"/>
              <w:bottom w:val="nil" w:sz="6" w:space="0" w:color="auto"/>
              <w:right w:val="nil" w:sz="6" w:space="0" w:color="auto"/>
            </w:tcBorders>
          </w:tcPr>
          <w:p>
            <w:pPr/>
          </w:p>
        </w:tc>
        <w:tc>
          <w:tcPr>
            <w:tcW w:w="5766"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309" w:hRule="exact"/>
        </w:trPr>
        <w:tc>
          <w:tcPr>
            <w:tcW w:w="742" w:type="dxa"/>
            <w:tcBorders>
              <w:top w:val="nil" w:sz="6" w:space="0" w:color="auto"/>
              <w:left w:val="nil" w:sz="6" w:space="0" w:color="auto"/>
              <w:bottom w:val="nil" w:sz="6" w:space="0" w:color="auto"/>
              <w:right w:val="nil" w:sz="6" w:space="0" w:color="auto"/>
            </w:tcBorders>
          </w:tcPr>
          <w:p>
            <w:pPr/>
          </w:p>
        </w:tc>
        <w:tc>
          <w:tcPr>
            <w:tcW w:w="5766" w:type="dxa"/>
            <w:tcBorders>
              <w:top w:val="nil" w:sz="6" w:space="0" w:color="auto"/>
              <w:left w:val="nil" w:sz="6" w:space="0" w:color="auto"/>
              <w:bottom w:val="nil" w:sz="6" w:space="0" w:color="auto"/>
              <w:right w:val="nil" w:sz="6" w:space="0" w:color="auto"/>
            </w:tcBorders>
          </w:tcPr>
          <w:p>
            <w:pPr>
              <w:pStyle w:val="TableParagraph"/>
              <w:spacing w:line="274" w:lineRule="exact"/>
              <w:ind w:right="735"/>
              <w:jc w:val="right"/>
              <w:rPr>
                <w:rFonts w:ascii="宋体" w:hAnsi="宋体" w:cs="宋体" w:eastAsia="宋体" w:hint="default"/>
                <w:sz w:val="24"/>
                <w:szCs w:val="24"/>
              </w:rPr>
            </w:pPr>
            <w:r>
              <w:rPr>
                <w:rFonts w:ascii="宋体" w:hAnsi="宋体" w:cs="宋体" w:eastAsia="宋体" w:hint="default"/>
                <w:sz w:val="24"/>
                <w:szCs w:val="24"/>
              </w:rPr>
              <w:t>当期因权益结算的股份支付而计提的费用总额</w:t>
            </w:r>
          </w:p>
        </w:tc>
        <w:tc>
          <w:tcPr>
            <w:tcW w:w="3231" w:type="dxa"/>
            <w:tcBorders>
              <w:top w:val="nil" w:sz="6" w:space="0" w:color="auto"/>
              <w:left w:val="nil" w:sz="6" w:space="0" w:color="auto"/>
              <w:bottom w:val="nil" w:sz="6" w:space="0" w:color="auto"/>
              <w:right w:val="nil" w:sz="6" w:space="0" w:color="auto"/>
            </w:tcBorders>
          </w:tcPr>
          <w:p>
            <w:pPr>
              <w:pStyle w:val="TableParagraph"/>
              <w:spacing w:line="272" w:lineRule="exact"/>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455" w:hRule="exact"/>
        </w:trPr>
        <w:tc>
          <w:tcPr>
            <w:tcW w:w="742" w:type="dxa"/>
            <w:tcBorders>
              <w:top w:val="nil" w:sz="6" w:space="0" w:color="auto"/>
              <w:left w:val="nil" w:sz="6" w:space="0" w:color="auto"/>
              <w:bottom w:val="nil" w:sz="6" w:space="0" w:color="auto"/>
              <w:right w:val="nil" w:sz="6" w:space="0" w:color="auto"/>
            </w:tcBorders>
          </w:tcPr>
          <w:p>
            <w:pPr/>
          </w:p>
        </w:tc>
        <w:tc>
          <w:tcPr>
            <w:tcW w:w="5766" w:type="dxa"/>
            <w:tcBorders>
              <w:top w:val="nil" w:sz="6" w:space="0" w:color="auto"/>
              <w:left w:val="nil" w:sz="6" w:space="0" w:color="auto"/>
              <w:bottom w:val="nil" w:sz="6" w:space="0" w:color="auto"/>
              <w:right w:val="nil" w:sz="6" w:space="0" w:color="auto"/>
            </w:tcBorders>
          </w:tcPr>
          <w:p>
            <w:pPr>
              <w:pStyle w:val="TableParagraph"/>
              <w:spacing w:line="275" w:lineRule="exact"/>
              <w:ind w:right="735"/>
              <w:jc w:val="right"/>
              <w:rPr>
                <w:rFonts w:ascii="宋体" w:hAnsi="宋体" w:cs="宋体" w:eastAsia="宋体" w:hint="default"/>
                <w:sz w:val="24"/>
                <w:szCs w:val="24"/>
              </w:rPr>
            </w:pPr>
            <w:r>
              <w:rPr>
                <w:rFonts w:ascii="宋体" w:hAnsi="宋体" w:cs="宋体" w:eastAsia="宋体" w:hint="default"/>
                <w:sz w:val="24"/>
                <w:szCs w:val="24"/>
              </w:rPr>
              <w:t>资本公积中以权益结算的股份支付的累计金额</w:t>
            </w:r>
          </w:p>
        </w:tc>
        <w:tc>
          <w:tcPr>
            <w:tcW w:w="3231" w:type="dxa"/>
            <w:tcBorders>
              <w:top w:val="nil" w:sz="6" w:space="0" w:color="auto"/>
              <w:left w:val="nil" w:sz="6" w:space="0" w:color="auto"/>
              <w:bottom w:val="nil" w:sz="6" w:space="0" w:color="auto"/>
              <w:right w:val="nil" w:sz="6" w:space="0" w:color="auto"/>
            </w:tcBorders>
          </w:tcPr>
          <w:p>
            <w:pPr>
              <w:pStyle w:val="TableParagraph"/>
              <w:spacing w:line="293" w:lineRule="exact"/>
              <w:ind w:right="198"/>
              <w:jc w:val="righ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13,976</w:t>
            </w:r>
            <w:r>
              <w:rPr>
                <w:rFonts w:ascii="Arial" w:hAnsi="Arial" w:cs="Arial" w:eastAsia="Arial" w:hint="default"/>
                <w:spacing w:val="-9"/>
                <w:sz w:val="24"/>
                <w:szCs w:val="24"/>
              </w:rPr>
              <w:t> </w:t>
            </w:r>
            <w:r>
              <w:rPr>
                <w:rFonts w:ascii="宋体" w:hAnsi="宋体" w:cs="宋体" w:eastAsia="宋体" w:hint="default"/>
                <w:sz w:val="24"/>
                <w:szCs w:val="24"/>
              </w:rPr>
              <w:t>万元</w:t>
            </w:r>
          </w:p>
        </w:tc>
      </w:tr>
      <w:tr>
        <w:trPr>
          <w:trHeight w:val="731" w:hRule="exact"/>
        </w:trPr>
        <w:tc>
          <w:tcPr>
            <w:tcW w:w="742" w:type="dxa"/>
            <w:tcBorders>
              <w:top w:val="nil" w:sz="6" w:space="0" w:color="auto"/>
              <w:left w:val="nil" w:sz="6" w:space="0" w:color="auto"/>
              <w:bottom w:val="nil" w:sz="6" w:space="0" w:color="auto"/>
              <w:right w:val="nil" w:sz="6" w:space="0" w:color="auto"/>
            </w:tcBorders>
          </w:tcPr>
          <w:p>
            <w:pPr/>
          </w:p>
        </w:tc>
        <w:tc>
          <w:tcPr>
            <w:tcW w:w="8997"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24"/>
              <w:ind w:left="228" w:right="198"/>
              <w:jc w:val="left"/>
              <w:rPr>
                <w:rFonts w:ascii="宋体" w:hAnsi="宋体" w:cs="宋体" w:eastAsia="宋体" w:hint="default"/>
                <w:sz w:val="24"/>
                <w:szCs w:val="24"/>
              </w:rPr>
            </w:pPr>
            <w:r>
              <w:rPr>
                <w:rFonts w:ascii="宋体" w:hAnsi="宋体" w:cs="宋体" w:eastAsia="宋体" w:hint="default"/>
                <w:spacing w:val="-2"/>
                <w:sz w:val="24"/>
                <w:szCs w:val="24"/>
              </w:rPr>
              <w:t>于行权价格调整日，根据调整后的股票行权价格重新计算得出的股票期权公允价值</w:t>
            </w:r>
            <w:r>
              <w:rPr>
                <w:rFonts w:ascii="宋体" w:hAnsi="宋体" w:cs="宋体" w:eastAsia="宋体" w:hint="default"/>
                <w:sz w:val="24"/>
                <w:szCs w:val="24"/>
              </w:rPr>
              <w:t> 接近根据原行权价格计算的公允价值。于</w:t>
            </w:r>
            <w:r>
              <w:rPr>
                <w:rFonts w:ascii="宋体" w:hAnsi="宋体" w:cs="宋体" w:eastAsia="宋体" w:hint="default"/>
                <w:spacing w:val="-62"/>
                <w:sz w:val="24"/>
                <w:szCs w:val="24"/>
              </w:rPr>
              <w:t> </w:t>
            </w: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年度，无实际行权的股票期权。</w:t>
            </w:r>
          </w:p>
        </w:tc>
      </w:tr>
    </w:tbl>
    <w:p>
      <w:pPr>
        <w:spacing w:after="0" w:line="312" w:lineRule="exact"/>
        <w:jc w:val="left"/>
        <w:rPr>
          <w:rFonts w:ascii="宋体" w:hAnsi="宋体" w:cs="宋体" w:eastAsia="宋体" w:hint="default"/>
          <w:sz w:val="24"/>
          <w:szCs w:val="24"/>
        </w:rPr>
        <w:sectPr>
          <w:pgSz w:w="11910" w:h="16840"/>
          <w:pgMar w:header="0" w:footer="914" w:top="1860" w:bottom="1100" w:left="1480" w:right="0"/>
        </w:sectPr>
      </w:pPr>
    </w:p>
    <w:p>
      <w:pPr>
        <w:pStyle w:val="Heading3"/>
        <w:spacing w:line="310" w:lineRule="exact" w:before="45"/>
        <w:ind w:left="240" w:right="12499"/>
        <w:jc w:val="left"/>
        <w:rPr>
          <w:rFonts w:ascii="黑体" w:hAnsi="黑体" w:cs="黑体" w:eastAsia="黑体" w:hint="default"/>
        </w:rPr>
      </w:pPr>
      <w:r>
        <w:rPr>
          <w:rFonts w:ascii="黑体" w:hAnsi="黑体" w:cs="黑体" w:eastAsia="黑体" w:hint="default"/>
        </w:rPr>
        <w:t>苏宁云商集团股份有限公司 财务报表附注</w:t>
      </w:r>
    </w:p>
    <w:p>
      <w:pPr>
        <w:pStyle w:val="Heading3"/>
        <w:spacing w:line="295" w:lineRule="exact"/>
        <w:ind w:left="239" w:right="12499"/>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w:t>
      </w:r>
    </w:p>
    <w:p>
      <w:pPr>
        <w:spacing w:line="243" w:lineRule="exact" w:before="0"/>
        <w:ind w:left="239"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4"/>
        <w:rPr>
          <w:rFonts w:ascii="Arial" w:hAnsi="Arial" w:cs="Arial" w:eastAsia="Arial"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72"/>
        <w:gridCol w:w="4138"/>
        <w:gridCol w:w="1528"/>
        <w:gridCol w:w="1170"/>
        <w:gridCol w:w="1034"/>
        <w:gridCol w:w="234"/>
        <w:gridCol w:w="1337"/>
        <w:gridCol w:w="1422"/>
        <w:gridCol w:w="1292"/>
        <w:gridCol w:w="1168"/>
        <w:gridCol w:w="926"/>
      </w:tblGrid>
      <w:tr>
        <w:trPr>
          <w:trHeight w:val="49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138" w:type="dxa"/>
            <w:tcBorders>
              <w:top w:val="nil" w:sz="6" w:space="0" w:color="auto"/>
              <w:left w:val="nil" w:sz="6" w:space="0" w:color="auto"/>
              <w:bottom w:val="nil" w:sz="6" w:space="0" w:color="auto"/>
              <w:right w:val="nil" w:sz="6" w:space="0" w:color="auto"/>
            </w:tcBorders>
          </w:tcPr>
          <w:p>
            <w:pPr>
              <w:pStyle w:val="TableParagraph"/>
              <w:spacing w:line="257" w:lineRule="exact"/>
              <w:ind w:left="14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28"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r>
      <w:tr>
        <w:trPr>
          <w:trHeight w:val="75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(41)</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4" w:right="0"/>
              <w:jc w:val="left"/>
              <w:rPr>
                <w:rFonts w:ascii="黑体" w:hAnsi="黑体" w:cs="黑体" w:eastAsia="黑体" w:hint="default"/>
                <w:sz w:val="24"/>
                <w:szCs w:val="24"/>
              </w:rPr>
            </w:pPr>
            <w:r>
              <w:rPr>
                <w:rFonts w:ascii="黑体" w:hAnsi="黑体" w:cs="黑体" w:eastAsia="黑体" w:hint="default"/>
                <w:sz w:val="24"/>
                <w:szCs w:val="24"/>
              </w:rPr>
              <w:t>其他综合收益</w:t>
            </w:r>
          </w:p>
        </w:tc>
        <w:tc>
          <w:tcPr>
            <w:tcW w:w="1528"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r>
      <w:tr>
        <w:trPr>
          <w:trHeight w:val="518" w:hRule="exact"/>
        </w:trPr>
        <w:tc>
          <w:tcPr>
            <w:tcW w:w="772"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
        </w:tc>
        <w:tc>
          <w:tcPr>
            <w:tcW w:w="373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18"/>
                <w:szCs w:val="18"/>
              </w:rPr>
            </w:pPr>
          </w:p>
          <w:p>
            <w:pPr>
              <w:pStyle w:val="TableParagraph"/>
              <w:spacing w:line="240" w:lineRule="auto"/>
              <w:ind w:left="808" w:right="0"/>
              <w:jc w:val="left"/>
              <w:rPr>
                <w:rFonts w:ascii="宋体" w:hAnsi="宋体" w:cs="宋体" w:eastAsia="宋体" w:hint="default"/>
                <w:sz w:val="18"/>
                <w:szCs w:val="18"/>
              </w:rPr>
            </w:pPr>
            <w:r>
              <w:rPr>
                <w:rFonts w:ascii="宋体" w:hAnsi="宋体" w:cs="宋体" w:eastAsia="宋体" w:hint="default"/>
                <w:sz w:val="18"/>
                <w:szCs w:val="18"/>
              </w:rPr>
              <w:t>资产负债表中其他综合收益</w:t>
            </w:r>
          </w:p>
        </w:tc>
        <w:tc>
          <w:tcPr>
            <w:tcW w:w="234"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
        </w:tc>
        <w:tc>
          <w:tcPr>
            <w:tcW w:w="388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Arial" w:hAnsi="Arial" w:cs="Arial" w:eastAsia="Arial" w:hint="default"/>
                <w:sz w:val="18"/>
                <w:szCs w:val="18"/>
              </w:rPr>
              <w:t>2015</w:t>
            </w:r>
            <w:r>
              <w:rPr>
                <w:rFonts w:ascii="宋体" w:hAnsi="宋体" w:cs="宋体" w:eastAsia="宋体" w:hint="default"/>
                <w:sz w:val="18"/>
                <w:szCs w:val="18"/>
              </w:rPr>
              <w:t>年度利润表中其他综合收益</w:t>
            </w:r>
          </w:p>
        </w:tc>
        <w:tc>
          <w:tcPr>
            <w:tcW w:w="926" w:type="dxa"/>
            <w:tcBorders>
              <w:top w:val="nil" w:sz="6" w:space="0" w:color="auto"/>
              <w:left w:val="nil" w:sz="6" w:space="0" w:color="auto"/>
              <w:bottom w:val="single" w:sz="4" w:space="0" w:color="000000"/>
              <w:right w:val="nil" w:sz="6" w:space="0" w:color="auto"/>
            </w:tcBorders>
          </w:tcPr>
          <w:p>
            <w:pPr/>
          </w:p>
        </w:tc>
      </w:tr>
      <w:tr>
        <w:trPr>
          <w:trHeight w:val="785" w:hRule="exact"/>
        </w:trPr>
        <w:tc>
          <w:tcPr>
            <w:tcW w:w="772"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318" w:right="0"/>
              <w:jc w:val="center"/>
              <w:rPr>
                <w:rFonts w:ascii="宋体" w:hAnsi="宋体" w:cs="宋体" w:eastAsia="宋体" w:hint="default"/>
                <w:sz w:val="18"/>
                <w:szCs w:val="18"/>
              </w:rPr>
            </w:pPr>
            <w:r>
              <w:rPr>
                <w:rFonts w:ascii="Arial" w:hAnsi="Arial" w:cs="Arial" w:eastAsia="Arial" w:hint="default"/>
                <w:sz w:val="18"/>
                <w:szCs w:val="18"/>
              </w:rPr>
              <w:t>2014</w:t>
            </w:r>
            <w:r>
              <w:rPr>
                <w:rFonts w:ascii="宋体" w:hAnsi="宋体" w:cs="宋体" w:eastAsia="宋体" w:hint="default"/>
                <w:sz w:val="18"/>
                <w:szCs w:val="18"/>
              </w:rPr>
              <w:t>年</w:t>
            </w:r>
          </w:p>
          <w:p>
            <w:pPr>
              <w:pStyle w:val="TableParagraph"/>
              <w:spacing w:line="240" w:lineRule="auto" w:before="24"/>
              <w:ind w:left="138"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1170" w:type="dxa"/>
            <w:tcBorders>
              <w:top w:val="single" w:sz="4" w:space="0" w:color="000000"/>
              <w:left w:val="nil" w:sz="6" w:space="0" w:color="auto"/>
              <w:bottom w:val="nil" w:sz="6" w:space="0" w:color="auto"/>
              <w:right w:val="nil" w:sz="6" w:space="0" w:color="auto"/>
            </w:tcBorders>
          </w:tcPr>
          <w:p>
            <w:pPr>
              <w:pStyle w:val="TableParagraph"/>
              <w:spacing w:line="278" w:lineRule="auto" w:before="11"/>
              <w:ind w:left="242" w:right="205"/>
              <w:jc w:val="left"/>
              <w:rPr>
                <w:rFonts w:ascii="宋体" w:hAnsi="宋体" w:cs="宋体" w:eastAsia="宋体" w:hint="default"/>
                <w:sz w:val="18"/>
                <w:szCs w:val="18"/>
              </w:rPr>
            </w:pPr>
            <w:r>
              <w:rPr>
                <w:rFonts w:ascii="宋体" w:hAnsi="宋体" w:cs="宋体" w:eastAsia="宋体" w:hint="default"/>
                <w:sz w:val="18"/>
                <w:szCs w:val="18"/>
              </w:rPr>
              <w:t>税后归属 于本公司</w:t>
            </w:r>
          </w:p>
        </w:tc>
        <w:tc>
          <w:tcPr>
            <w:tcW w:w="103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36" w:right="0"/>
              <w:jc w:val="center"/>
              <w:rPr>
                <w:rFonts w:ascii="宋体" w:hAnsi="宋体" w:cs="宋体" w:eastAsia="宋体" w:hint="default"/>
                <w:sz w:val="18"/>
                <w:szCs w:val="18"/>
              </w:rPr>
            </w:pPr>
            <w:r>
              <w:rPr>
                <w:rFonts w:ascii="Arial" w:hAnsi="Arial" w:cs="Arial" w:eastAsia="Arial" w:hint="default"/>
                <w:sz w:val="18"/>
                <w:szCs w:val="18"/>
              </w:rPr>
              <w:t>2015</w:t>
            </w:r>
            <w:r>
              <w:rPr>
                <w:rFonts w:ascii="宋体" w:hAnsi="宋体" w:cs="宋体" w:eastAsia="宋体" w:hint="default"/>
                <w:sz w:val="18"/>
                <w:szCs w:val="18"/>
              </w:rPr>
              <w:t>年</w:t>
            </w:r>
          </w:p>
          <w:p>
            <w:pPr>
              <w:pStyle w:val="TableParagraph"/>
              <w:spacing w:line="240" w:lineRule="auto" w:before="24"/>
              <w:ind w:left="56"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234"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35" w:lineRule="exact" w:before="10"/>
              <w:ind w:left="136" w:right="0"/>
              <w:jc w:val="left"/>
              <w:rPr>
                <w:rFonts w:ascii="宋体" w:hAnsi="宋体" w:cs="宋体" w:eastAsia="宋体" w:hint="default"/>
                <w:sz w:val="18"/>
                <w:szCs w:val="18"/>
              </w:rPr>
            </w:pPr>
            <w:r>
              <w:rPr>
                <w:rFonts w:ascii="宋体" w:hAnsi="宋体" w:cs="宋体" w:eastAsia="宋体" w:hint="default"/>
                <w:sz w:val="18"/>
                <w:szCs w:val="18"/>
              </w:rPr>
              <w:t>本年所得税前</w:t>
            </w:r>
          </w:p>
          <w:p>
            <w:pPr>
              <w:pStyle w:val="TableParagraph"/>
              <w:spacing w:line="235" w:lineRule="exact"/>
              <w:ind w:left="676"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17" w:right="122" w:hanging="122"/>
              <w:jc w:val="left"/>
              <w:rPr>
                <w:rFonts w:ascii="宋体" w:hAnsi="宋体" w:cs="宋体" w:eastAsia="宋体" w:hint="default"/>
                <w:sz w:val="18"/>
                <w:szCs w:val="18"/>
              </w:rPr>
            </w:pPr>
            <w:r>
              <w:rPr>
                <w:rFonts w:ascii="宋体" w:hAnsi="宋体" w:cs="宋体" w:eastAsia="宋体" w:hint="default"/>
                <w:spacing w:val="-9"/>
                <w:sz w:val="18"/>
                <w:szCs w:val="18"/>
              </w:rPr>
              <w:t>减：前期计入其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他综合收益本</w:t>
            </w:r>
          </w:p>
          <w:p>
            <w:pPr>
              <w:pStyle w:val="TableParagraph"/>
              <w:spacing w:line="233" w:lineRule="exact"/>
              <w:ind w:left="757" w:right="0"/>
              <w:jc w:val="left"/>
              <w:rPr>
                <w:rFonts w:ascii="宋体" w:hAnsi="宋体" w:cs="宋体" w:eastAsia="宋体" w:hint="default"/>
                <w:sz w:val="18"/>
                <w:szCs w:val="18"/>
              </w:rPr>
            </w:pPr>
            <w:r>
              <w:rPr>
                <w:rFonts w:ascii="宋体" w:hAnsi="宋体" w:cs="宋体" w:eastAsia="宋体" w:hint="default"/>
                <w:sz w:val="18"/>
                <w:szCs w:val="18"/>
              </w:rPr>
              <w:t>年转出</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35" w:lineRule="exact" w:before="10"/>
              <w:ind w:right="138"/>
              <w:jc w:val="right"/>
              <w:rPr>
                <w:rFonts w:ascii="宋体" w:hAnsi="宋体" w:cs="宋体" w:eastAsia="宋体" w:hint="default"/>
                <w:sz w:val="18"/>
                <w:szCs w:val="18"/>
              </w:rPr>
            </w:pPr>
            <w:r>
              <w:rPr>
                <w:rFonts w:ascii="宋体" w:hAnsi="宋体" w:cs="宋体" w:eastAsia="宋体" w:hint="default"/>
                <w:spacing w:val="-4"/>
                <w:sz w:val="18"/>
                <w:szCs w:val="18"/>
              </w:rPr>
              <w:t>减：所得税费</w:t>
            </w:r>
          </w:p>
          <w:p>
            <w:pPr>
              <w:pStyle w:val="TableParagraph"/>
              <w:spacing w:line="235" w:lineRule="exact"/>
              <w:ind w:right="138"/>
              <w:jc w:val="right"/>
              <w:rPr>
                <w:rFonts w:ascii="宋体" w:hAnsi="宋体" w:cs="宋体" w:eastAsia="宋体" w:hint="default"/>
                <w:sz w:val="18"/>
                <w:szCs w:val="18"/>
              </w:rPr>
            </w:pPr>
            <w:r>
              <w:rPr>
                <w:rFonts w:ascii="宋体" w:hAnsi="宋体" w:cs="宋体" w:eastAsia="宋体" w:hint="default"/>
                <w:sz w:val="18"/>
                <w:szCs w:val="18"/>
              </w:rPr>
              <w:t>用</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35" w:lineRule="exact" w:before="10"/>
              <w:ind w:left="94" w:right="0"/>
              <w:jc w:val="left"/>
              <w:rPr>
                <w:rFonts w:ascii="宋体" w:hAnsi="宋体" w:cs="宋体" w:eastAsia="宋体" w:hint="default"/>
                <w:sz w:val="18"/>
                <w:szCs w:val="18"/>
              </w:rPr>
            </w:pPr>
            <w:r>
              <w:rPr>
                <w:rFonts w:ascii="宋体" w:hAnsi="宋体" w:cs="宋体" w:eastAsia="宋体" w:hint="default"/>
                <w:sz w:val="18"/>
                <w:szCs w:val="18"/>
              </w:rPr>
              <w:t>税后归属于</w:t>
            </w:r>
          </w:p>
          <w:p>
            <w:pPr>
              <w:pStyle w:val="TableParagraph"/>
              <w:spacing w:line="235" w:lineRule="exact"/>
              <w:ind w:left="45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99" w:right="104"/>
              <w:jc w:val="right"/>
              <w:rPr>
                <w:rFonts w:ascii="宋体" w:hAnsi="宋体" w:cs="宋体" w:eastAsia="宋体" w:hint="default"/>
                <w:sz w:val="18"/>
                <w:szCs w:val="18"/>
              </w:rPr>
            </w:pPr>
            <w:r>
              <w:rPr>
                <w:rFonts w:ascii="宋体" w:hAnsi="宋体" w:cs="宋体" w:eastAsia="宋体" w:hint="default"/>
                <w:sz w:val="18"/>
                <w:szCs w:val="18"/>
              </w:rPr>
              <w:t>税后归属 于少数股</w:t>
            </w:r>
          </w:p>
          <w:p>
            <w:pPr>
              <w:pStyle w:val="TableParagraph"/>
              <w:spacing w:line="233" w:lineRule="exact"/>
              <w:ind w:right="104"/>
              <w:jc w:val="right"/>
              <w:rPr>
                <w:rFonts w:ascii="宋体" w:hAnsi="宋体" w:cs="宋体" w:eastAsia="宋体" w:hint="default"/>
                <w:sz w:val="18"/>
                <w:szCs w:val="18"/>
              </w:rPr>
            </w:pPr>
            <w:r>
              <w:rPr>
                <w:rFonts w:ascii="宋体" w:hAnsi="宋体" w:cs="宋体" w:eastAsia="宋体" w:hint="default"/>
                <w:sz w:val="18"/>
                <w:szCs w:val="18"/>
              </w:rPr>
              <w:t>东</w:t>
            </w:r>
          </w:p>
        </w:tc>
      </w:tr>
      <w:tr>
        <w:trPr>
          <w:trHeight w:val="404" w:hRule="exact"/>
        </w:trPr>
        <w:tc>
          <w:tcPr>
            <w:tcW w:w="772"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4"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1528"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r>
      <w:tr>
        <w:trPr>
          <w:trHeight w:val="415" w:hRule="exact"/>
        </w:trPr>
        <w:tc>
          <w:tcPr>
            <w:tcW w:w="772"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6"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578" w:right="0"/>
              <w:jc w:val="left"/>
              <w:rPr>
                <w:rFonts w:ascii="Arial" w:hAnsi="Arial" w:cs="Arial" w:eastAsia="Arial" w:hint="default"/>
                <w:sz w:val="18"/>
                <w:szCs w:val="18"/>
              </w:rPr>
            </w:pPr>
            <w:r>
              <w:rPr>
                <w:rFonts w:ascii="Arial"/>
                <w:spacing w:val="-3"/>
                <w:sz w:val="18"/>
              </w:rPr>
              <w:t>110,181</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06"/>
              <w:jc w:val="right"/>
              <w:rPr>
                <w:rFonts w:ascii="Arial" w:hAnsi="Arial" w:cs="Arial" w:eastAsia="Arial" w:hint="default"/>
                <w:sz w:val="18"/>
                <w:szCs w:val="18"/>
              </w:rPr>
            </w:pPr>
            <w:r>
              <w:rPr>
                <w:rFonts w:ascii="Arial"/>
                <w:spacing w:val="-1"/>
                <w:sz w:val="18"/>
              </w:rPr>
              <w:t>158,299</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75" w:right="0"/>
              <w:jc w:val="left"/>
              <w:rPr>
                <w:rFonts w:ascii="Arial" w:hAnsi="Arial" w:cs="Arial" w:eastAsia="Arial" w:hint="default"/>
                <w:sz w:val="18"/>
                <w:szCs w:val="18"/>
              </w:rPr>
            </w:pPr>
            <w:r>
              <w:rPr>
                <w:rFonts w:ascii="Arial"/>
                <w:sz w:val="18"/>
              </w:rPr>
              <w:t>268,480</w:t>
            </w:r>
          </w:p>
        </w:tc>
        <w:tc>
          <w:tcPr>
            <w:tcW w:w="234"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18"/>
              <w:jc w:val="right"/>
              <w:rPr>
                <w:rFonts w:ascii="Arial" w:hAnsi="Arial" w:cs="Arial" w:eastAsia="Arial" w:hint="default"/>
                <w:sz w:val="18"/>
                <w:szCs w:val="18"/>
              </w:rPr>
            </w:pPr>
            <w:r>
              <w:rPr>
                <w:rFonts w:ascii="Arial"/>
                <w:spacing w:val="-1"/>
                <w:sz w:val="18"/>
              </w:rPr>
              <w:t>220,164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89"/>
              <w:jc w:val="right"/>
              <w:rPr>
                <w:rFonts w:ascii="Arial" w:hAnsi="Arial" w:cs="Arial" w:eastAsia="Arial" w:hint="default"/>
                <w:sz w:val="18"/>
                <w:szCs w:val="18"/>
              </w:rPr>
            </w:pPr>
            <w:r>
              <w:rPr>
                <w:rFonts w:ascii="Arial"/>
                <w:spacing w:val="-1"/>
                <w:sz w:val="18"/>
              </w:rPr>
              <w:t>(8,669)</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92"/>
              <w:jc w:val="right"/>
              <w:rPr>
                <w:rFonts w:ascii="Arial" w:hAnsi="Arial" w:cs="Arial" w:eastAsia="Arial" w:hint="default"/>
                <w:sz w:val="18"/>
                <w:szCs w:val="18"/>
              </w:rPr>
            </w:pPr>
            <w:r>
              <w:rPr>
                <w:rFonts w:ascii="Arial"/>
                <w:spacing w:val="-1"/>
                <w:sz w:val="18"/>
              </w:rPr>
              <w:t>(52,841)</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44" w:right="0"/>
              <w:jc w:val="left"/>
              <w:rPr>
                <w:rFonts w:ascii="Arial" w:hAnsi="Arial" w:cs="Arial" w:eastAsia="Arial" w:hint="default"/>
                <w:sz w:val="18"/>
                <w:szCs w:val="18"/>
              </w:rPr>
            </w:pPr>
            <w:r>
              <w:rPr>
                <w:rFonts w:ascii="Arial"/>
                <w:sz w:val="18"/>
              </w:rPr>
              <w:t>158,299</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56"/>
              <w:jc w:val="right"/>
              <w:rPr>
                <w:rFonts w:ascii="Arial" w:hAnsi="Arial" w:cs="Arial" w:eastAsia="Arial" w:hint="default"/>
                <w:sz w:val="18"/>
                <w:szCs w:val="18"/>
              </w:rPr>
            </w:pPr>
            <w:r>
              <w:rPr>
                <w:rFonts w:ascii="Arial"/>
                <w:spacing w:val="-1"/>
                <w:w w:val="95"/>
                <w:sz w:val="18"/>
              </w:rPr>
              <w:t>355</w:t>
            </w:r>
            <w:r>
              <w:rPr>
                <w:rFonts w:ascii="Arial"/>
                <w:sz w:val="18"/>
              </w:rPr>
            </w:r>
          </w:p>
        </w:tc>
      </w:tr>
      <w:tr>
        <w:trPr>
          <w:trHeight w:val="307" w:hRule="exact"/>
        </w:trPr>
        <w:tc>
          <w:tcPr>
            <w:tcW w:w="772"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40"/>
              <w:jc w:val="right"/>
              <w:rPr>
                <w:rFonts w:ascii="Arial" w:hAnsi="Arial" w:cs="Arial" w:eastAsia="Arial" w:hint="default"/>
                <w:sz w:val="18"/>
                <w:szCs w:val="18"/>
              </w:rPr>
            </w:pPr>
            <w:r>
              <w:rPr>
                <w:rFonts w:ascii="Arial"/>
                <w:spacing w:val="-1"/>
                <w:sz w:val="18"/>
              </w:rPr>
              <w:t>(187,524)</w:t>
            </w: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63"/>
              <w:jc w:val="right"/>
              <w:rPr>
                <w:rFonts w:ascii="Arial" w:hAnsi="Arial" w:cs="Arial" w:eastAsia="Arial" w:hint="default"/>
                <w:sz w:val="18"/>
                <w:szCs w:val="18"/>
              </w:rPr>
            </w:pPr>
            <w:r>
              <w:rPr>
                <w:rFonts w:ascii="Arial"/>
                <w:spacing w:val="-1"/>
                <w:sz w:val="18"/>
              </w:rPr>
              <w:t>(19,123)</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9"/>
              <w:jc w:val="right"/>
              <w:rPr>
                <w:rFonts w:ascii="Arial" w:hAnsi="Arial" w:cs="Arial" w:eastAsia="Arial" w:hint="default"/>
                <w:sz w:val="18"/>
                <w:szCs w:val="18"/>
              </w:rPr>
            </w:pPr>
            <w:r>
              <w:rPr>
                <w:rFonts w:ascii="Arial"/>
                <w:spacing w:val="-1"/>
                <w:sz w:val="18"/>
              </w:rPr>
              <w:t>(206,647)</w:t>
            </w:r>
          </w:p>
        </w:tc>
        <w:tc>
          <w:tcPr>
            <w:tcW w:w="234"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94"/>
              <w:jc w:val="right"/>
              <w:rPr>
                <w:rFonts w:ascii="Arial" w:hAnsi="Arial" w:cs="Arial" w:eastAsia="Arial" w:hint="default"/>
                <w:sz w:val="18"/>
                <w:szCs w:val="18"/>
              </w:rPr>
            </w:pPr>
            <w:r>
              <w:rPr>
                <w:rFonts w:ascii="Arial"/>
                <w:spacing w:val="-1"/>
                <w:sz w:val="18"/>
              </w:rPr>
              <w:t>50,010</w:t>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22"/>
              <w:jc w:val="right"/>
              <w:rPr>
                <w:rFonts w:ascii="Arial" w:hAnsi="Arial" w:cs="Arial" w:eastAsia="Arial" w:hint="default"/>
                <w:sz w:val="18"/>
                <w:szCs w:val="18"/>
              </w:rPr>
            </w:pPr>
            <w:r>
              <w:rPr>
                <w:rFonts w:ascii="Arial"/>
                <w:w w:val="99"/>
                <w:sz w:val="18"/>
              </w:rPr>
              <w:t>-</w:t>
            </w:r>
            <w:r>
              <w:rPr>
                <w:rFonts w:ascii="Arial"/>
                <w:sz w:val="18"/>
              </w:rPr>
            </w:r>
          </w:p>
        </w:tc>
        <w:tc>
          <w:tcPr>
            <w:tcW w:w="129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62"/>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98" w:right="0"/>
              <w:jc w:val="left"/>
              <w:rPr>
                <w:rFonts w:ascii="Arial" w:hAnsi="Arial" w:cs="Arial" w:eastAsia="Arial" w:hint="default"/>
                <w:sz w:val="18"/>
                <w:szCs w:val="18"/>
              </w:rPr>
            </w:pPr>
            <w:r>
              <w:rPr>
                <w:rFonts w:ascii="Arial"/>
                <w:sz w:val="18"/>
              </w:rPr>
              <w:t>(19,123)</w:t>
            </w: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4"/>
              <w:jc w:val="right"/>
              <w:rPr>
                <w:rFonts w:ascii="Arial" w:hAnsi="Arial" w:cs="Arial" w:eastAsia="Arial" w:hint="default"/>
                <w:sz w:val="18"/>
                <w:szCs w:val="18"/>
              </w:rPr>
            </w:pPr>
            <w:r>
              <w:rPr>
                <w:rFonts w:ascii="Arial"/>
                <w:spacing w:val="-1"/>
                <w:sz w:val="18"/>
              </w:rPr>
              <w:t>69,133</w:t>
            </w:r>
          </w:p>
        </w:tc>
      </w:tr>
      <w:tr>
        <w:trPr>
          <w:trHeight w:val="345" w:hRule="exact"/>
        </w:trPr>
        <w:tc>
          <w:tcPr>
            <w:tcW w:w="772"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240"/>
              <w:jc w:val="right"/>
              <w:rPr>
                <w:rFonts w:ascii="Arial" w:hAnsi="Arial" w:cs="Arial" w:eastAsia="Arial" w:hint="default"/>
                <w:sz w:val="18"/>
                <w:szCs w:val="18"/>
              </w:rPr>
            </w:pPr>
            <w:r>
              <w:rPr>
                <w:rFonts w:ascii="Arial"/>
                <w:spacing w:val="-1"/>
                <w:sz w:val="18"/>
              </w:rPr>
              <w:t>(77,343)</w:t>
            </w:r>
          </w:p>
        </w:tc>
        <w:tc>
          <w:tcPr>
            <w:tcW w:w="1170"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206"/>
              <w:jc w:val="right"/>
              <w:rPr>
                <w:rFonts w:ascii="Arial" w:hAnsi="Arial" w:cs="Arial" w:eastAsia="Arial" w:hint="default"/>
                <w:sz w:val="18"/>
                <w:szCs w:val="18"/>
              </w:rPr>
            </w:pPr>
            <w:r>
              <w:rPr>
                <w:rFonts w:ascii="Arial"/>
                <w:spacing w:val="-1"/>
                <w:sz w:val="18"/>
              </w:rPr>
              <w:t>139,176</w:t>
            </w:r>
          </w:p>
        </w:tc>
        <w:tc>
          <w:tcPr>
            <w:tcW w:w="1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63"/>
              <w:jc w:val="right"/>
              <w:rPr>
                <w:rFonts w:ascii="Arial" w:hAnsi="Arial" w:cs="Arial" w:eastAsia="Arial" w:hint="default"/>
                <w:sz w:val="18"/>
                <w:szCs w:val="18"/>
              </w:rPr>
            </w:pPr>
            <w:r>
              <w:rPr>
                <w:rFonts w:ascii="Arial"/>
                <w:spacing w:val="-1"/>
                <w:sz w:val="18"/>
              </w:rPr>
              <w:t>61,833</w:t>
            </w:r>
          </w:p>
        </w:tc>
        <w:tc>
          <w:tcPr>
            <w:tcW w:w="234"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94"/>
              <w:jc w:val="right"/>
              <w:rPr>
                <w:rFonts w:ascii="Arial" w:hAnsi="Arial" w:cs="Arial" w:eastAsia="Arial" w:hint="default"/>
                <w:sz w:val="18"/>
                <w:szCs w:val="18"/>
              </w:rPr>
            </w:pPr>
            <w:r>
              <w:rPr>
                <w:rFonts w:ascii="Arial"/>
                <w:spacing w:val="-1"/>
                <w:sz w:val="18"/>
              </w:rPr>
              <w:t>270,174</w:t>
            </w: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89"/>
              <w:jc w:val="right"/>
              <w:rPr>
                <w:rFonts w:ascii="Arial" w:hAnsi="Arial" w:cs="Arial" w:eastAsia="Arial" w:hint="default"/>
                <w:sz w:val="18"/>
                <w:szCs w:val="18"/>
              </w:rPr>
            </w:pPr>
            <w:r>
              <w:rPr>
                <w:rFonts w:ascii="Arial"/>
                <w:spacing w:val="-1"/>
                <w:sz w:val="18"/>
              </w:rPr>
              <w:t>(8,669)</w:t>
            </w:r>
          </w:p>
        </w:tc>
        <w:tc>
          <w:tcPr>
            <w:tcW w:w="1292"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07"/>
              <w:jc w:val="right"/>
              <w:rPr>
                <w:rFonts w:ascii="Arial" w:hAnsi="Arial" w:cs="Arial" w:eastAsia="Arial" w:hint="default"/>
                <w:sz w:val="18"/>
                <w:szCs w:val="18"/>
              </w:rPr>
            </w:pPr>
            <w:r>
              <w:rPr>
                <w:rFonts w:ascii="Arial"/>
                <w:spacing w:val="-1"/>
                <w:sz w:val="18"/>
              </w:rPr>
              <w:t>(52,841)</w:t>
            </w:r>
          </w:p>
        </w:tc>
        <w:tc>
          <w:tcPr>
            <w:tcW w:w="1168"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left="362" w:right="0"/>
              <w:jc w:val="left"/>
              <w:rPr>
                <w:rFonts w:ascii="Arial" w:hAnsi="Arial" w:cs="Arial" w:eastAsia="Arial" w:hint="default"/>
                <w:sz w:val="18"/>
                <w:szCs w:val="18"/>
              </w:rPr>
            </w:pPr>
            <w:r>
              <w:rPr>
                <w:rFonts w:ascii="Arial"/>
                <w:sz w:val="18"/>
              </w:rPr>
              <w:t>139,176</w:t>
            </w:r>
          </w:p>
        </w:tc>
        <w:tc>
          <w:tcPr>
            <w:tcW w:w="9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56"/>
              <w:jc w:val="right"/>
              <w:rPr>
                <w:rFonts w:ascii="Arial" w:hAnsi="Arial" w:cs="Arial" w:eastAsia="Arial" w:hint="default"/>
                <w:sz w:val="18"/>
                <w:szCs w:val="18"/>
              </w:rPr>
            </w:pPr>
            <w:r>
              <w:rPr>
                <w:rFonts w:ascii="Arial"/>
                <w:spacing w:val="-1"/>
                <w:sz w:val="18"/>
              </w:rPr>
              <w:t>69,488</w:t>
            </w:r>
          </w:p>
        </w:tc>
      </w:tr>
    </w:tbl>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0"/>
          <w:szCs w:val="10"/>
        </w:rPr>
      </w:pPr>
    </w:p>
    <w:tbl>
      <w:tblPr>
        <w:tblW w:w="0" w:type="auto"/>
        <w:jc w:val="left"/>
        <w:tblInd w:w="805" w:type="dxa"/>
        <w:tblLayout w:type="fixed"/>
        <w:tblCellMar>
          <w:top w:w="0" w:type="dxa"/>
          <w:left w:w="0" w:type="dxa"/>
          <w:bottom w:w="0" w:type="dxa"/>
          <w:right w:w="0" w:type="dxa"/>
        </w:tblCellMar>
        <w:tblLook w:val="01E0"/>
      </w:tblPr>
      <w:tblGrid>
        <w:gridCol w:w="4190"/>
        <w:gridCol w:w="1522"/>
        <w:gridCol w:w="1177"/>
        <w:gridCol w:w="1034"/>
        <w:gridCol w:w="233"/>
        <w:gridCol w:w="1358"/>
        <w:gridCol w:w="1389"/>
        <w:gridCol w:w="1395"/>
        <w:gridCol w:w="1076"/>
        <w:gridCol w:w="934"/>
      </w:tblGrid>
      <w:tr>
        <w:trPr>
          <w:trHeight w:val="253" w:hRule="exact"/>
        </w:trPr>
        <w:tc>
          <w:tcPr>
            <w:tcW w:w="7923"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4998" w:right="0"/>
              <w:jc w:val="left"/>
              <w:rPr>
                <w:rFonts w:ascii="宋体" w:hAnsi="宋体" w:cs="宋体" w:eastAsia="宋体" w:hint="default"/>
                <w:sz w:val="18"/>
                <w:szCs w:val="18"/>
              </w:rPr>
            </w:pPr>
            <w:r>
              <w:rPr>
                <w:rFonts w:ascii="宋体" w:hAnsi="宋体" w:cs="宋体" w:eastAsia="宋体" w:hint="default"/>
                <w:sz w:val="18"/>
                <w:szCs w:val="18"/>
              </w:rPr>
              <w:t>资产负债表中其他综合收益</w:t>
            </w:r>
          </w:p>
        </w:tc>
        <w:tc>
          <w:tcPr>
            <w:tcW w:w="233"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
        </w:tc>
        <w:tc>
          <w:tcPr>
            <w:tcW w:w="3860" w:type="dxa"/>
            <w:gridSpan w:val="3"/>
            <w:tcBorders>
              <w:top w:val="nil" w:sz="6" w:space="0" w:color="auto"/>
              <w:left w:val="nil" w:sz="6" w:space="0" w:color="auto"/>
              <w:bottom w:val="single" w:sz="4" w:space="0" w:color="000000"/>
              <w:right w:val="nil" w:sz="6" w:space="0" w:color="auto"/>
            </w:tcBorders>
          </w:tcPr>
          <w:p>
            <w:pPr>
              <w:pStyle w:val="TableParagraph"/>
              <w:spacing w:line="193" w:lineRule="exact"/>
              <w:ind w:left="468" w:right="0"/>
              <w:jc w:val="left"/>
              <w:rPr>
                <w:rFonts w:ascii="宋体" w:hAnsi="宋体" w:cs="宋体" w:eastAsia="宋体" w:hint="default"/>
                <w:sz w:val="18"/>
                <w:szCs w:val="18"/>
              </w:rPr>
            </w:pPr>
            <w:r>
              <w:rPr>
                <w:rFonts w:ascii="Arial" w:hAnsi="Arial" w:cs="Arial" w:eastAsia="Arial" w:hint="default"/>
                <w:sz w:val="18"/>
                <w:szCs w:val="18"/>
              </w:rPr>
              <w:t>2014</w:t>
            </w:r>
            <w:r>
              <w:rPr>
                <w:rFonts w:ascii="宋体" w:hAnsi="宋体" w:cs="宋体" w:eastAsia="宋体" w:hint="default"/>
                <w:sz w:val="18"/>
                <w:szCs w:val="18"/>
              </w:rPr>
              <w:t>年度利润表中其他综合收益</w:t>
            </w:r>
          </w:p>
        </w:tc>
        <w:tc>
          <w:tcPr>
            <w:tcW w:w="934" w:type="dxa"/>
            <w:tcBorders>
              <w:top w:val="nil" w:sz="6" w:space="0" w:color="auto"/>
              <w:left w:val="nil" w:sz="6" w:space="0" w:color="auto"/>
              <w:bottom w:val="single" w:sz="4" w:space="0" w:color="000000"/>
              <w:right w:val="nil" w:sz="6" w:space="0" w:color="auto"/>
            </w:tcBorders>
          </w:tcPr>
          <w:p>
            <w:pPr/>
          </w:p>
        </w:tc>
      </w:tr>
      <w:tr>
        <w:trPr>
          <w:trHeight w:val="784" w:hRule="exact"/>
        </w:trPr>
        <w:tc>
          <w:tcPr>
            <w:tcW w:w="4190"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25" w:right="0"/>
              <w:jc w:val="center"/>
              <w:rPr>
                <w:rFonts w:ascii="宋体" w:hAnsi="宋体" w:cs="宋体" w:eastAsia="宋体" w:hint="default"/>
                <w:sz w:val="18"/>
                <w:szCs w:val="18"/>
              </w:rPr>
            </w:pPr>
            <w:r>
              <w:rPr>
                <w:rFonts w:ascii="Arial" w:hAnsi="Arial" w:cs="Arial" w:eastAsia="Arial" w:hint="default"/>
                <w:sz w:val="18"/>
                <w:szCs w:val="18"/>
              </w:rPr>
              <w:t>2013</w:t>
            </w:r>
            <w:r>
              <w:rPr>
                <w:rFonts w:ascii="宋体" w:hAnsi="宋体" w:cs="宋体" w:eastAsia="宋体" w:hint="default"/>
                <w:sz w:val="18"/>
                <w:szCs w:val="18"/>
              </w:rPr>
              <w:t>年</w:t>
            </w:r>
          </w:p>
          <w:p>
            <w:pPr>
              <w:pStyle w:val="TableParagraph"/>
              <w:spacing w:line="240" w:lineRule="auto" w:before="24"/>
              <w:ind w:left="145"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1177"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247" w:right="207"/>
              <w:jc w:val="left"/>
              <w:rPr>
                <w:rFonts w:ascii="宋体" w:hAnsi="宋体" w:cs="宋体" w:eastAsia="宋体" w:hint="default"/>
                <w:sz w:val="18"/>
                <w:szCs w:val="18"/>
              </w:rPr>
            </w:pPr>
            <w:r>
              <w:rPr>
                <w:rFonts w:ascii="宋体" w:hAnsi="宋体" w:cs="宋体" w:eastAsia="宋体" w:hint="default"/>
                <w:sz w:val="18"/>
                <w:szCs w:val="18"/>
              </w:rPr>
              <w:t>税后归属 于本公司</w:t>
            </w:r>
          </w:p>
        </w:tc>
        <w:tc>
          <w:tcPr>
            <w:tcW w:w="103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33" w:right="0"/>
              <w:jc w:val="center"/>
              <w:rPr>
                <w:rFonts w:ascii="宋体" w:hAnsi="宋体" w:cs="宋体" w:eastAsia="宋体" w:hint="default"/>
                <w:sz w:val="18"/>
                <w:szCs w:val="18"/>
              </w:rPr>
            </w:pPr>
            <w:r>
              <w:rPr>
                <w:rFonts w:ascii="Arial" w:hAnsi="Arial" w:cs="Arial" w:eastAsia="Arial" w:hint="default"/>
                <w:sz w:val="18"/>
                <w:szCs w:val="18"/>
              </w:rPr>
              <w:t>2014</w:t>
            </w:r>
            <w:r>
              <w:rPr>
                <w:rFonts w:ascii="宋体" w:hAnsi="宋体" w:cs="宋体" w:eastAsia="宋体" w:hint="default"/>
                <w:sz w:val="18"/>
                <w:szCs w:val="18"/>
              </w:rPr>
              <w:t>年</w:t>
            </w:r>
          </w:p>
          <w:p>
            <w:pPr>
              <w:pStyle w:val="TableParagraph"/>
              <w:spacing w:line="240" w:lineRule="auto" w:before="24"/>
              <w:ind w:left="53"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233"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nil" w:sz="6" w:space="0" w:color="auto"/>
              <w:right w:val="nil" w:sz="6" w:space="0" w:color="auto"/>
            </w:tcBorders>
          </w:tcPr>
          <w:p>
            <w:pPr>
              <w:pStyle w:val="TableParagraph"/>
              <w:spacing w:line="235" w:lineRule="exact" w:before="9"/>
              <w:ind w:left="138" w:right="0"/>
              <w:jc w:val="left"/>
              <w:rPr>
                <w:rFonts w:ascii="宋体" w:hAnsi="宋体" w:cs="宋体" w:eastAsia="宋体" w:hint="default"/>
                <w:sz w:val="18"/>
                <w:szCs w:val="18"/>
              </w:rPr>
            </w:pPr>
            <w:r>
              <w:rPr>
                <w:rFonts w:ascii="宋体" w:hAnsi="宋体" w:cs="宋体" w:eastAsia="宋体" w:hint="default"/>
                <w:sz w:val="18"/>
                <w:szCs w:val="18"/>
              </w:rPr>
              <w:t>本年所得税前</w:t>
            </w:r>
          </w:p>
          <w:p>
            <w:pPr>
              <w:pStyle w:val="TableParagraph"/>
              <w:spacing w:line="235" w:lineRule="exact"/>
              <w:ind w:left="678"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98" w:right="108" w:hanging="122"/>
              <w:jc w:val="left"/>
              <w:rPr>
                <w:rFonts w:ascii="宋体" w:hAnsi="宋体" w:cs="宋体" w:eastAsia="宋体" w:hint="default"/>
                <w:sz w:val="18"/>
                <w:szCs w:val="18"/>
              </w:rPr>
            </w:pPr>
            <w:r>
              <w:rPr>
                <w:rFonts w:ascii="宋体" w:hAnsi="宋体" w:cs="宋体" w:eastAsia="宋体" w:hint="default"/>
                <w:spacing w:val="-9"/>
                <w:sz w:val="18"/>
                <w:szCs w:val="18"/>
              </w:rPr>
              <w:t>减：前期计入其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他综合收益本</w:t>
            </w:r>
          </w:p>
          <w:p>
            <w:pPr>
              <w:pStyle w:val="TableParagraph"/>
              <w:spacing w:line="233" w:lineRule="exact"/>
              <w:ind w:left="738" w:right="0"/>
              <w:jc w:val="left"/>
              <w:rPr>
                <w:rFonts w:ascii="宋体" w:hAnsi="宋体" w:cs="宋体" w:eastAsia="宋体" w:hint="default"/>
                <w:sz w:val="18"/>
                <w:szCs w:val="18"/>
              </w:rPr>
            </w:pPr>
            <w:r>
              <w:rPr>
                <w:rFonts w:ascii="宋体" w:hAnsi="宋体" w:cs="宋体" w:eastAsia="宋体" w:hint="default"/>
                <w:sz w:val="18"/>
                <w:szCs w:val="18"/>
              </w:rPr>
              <w:t>年转出</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35" w:lineRule="exact" w:before="9"/>
              <w:ind w:right="202"/>
              <w:jc w:val="right"/>
              <w:rPr>
                <w:rFonts w:ascii="宋体" w:hAnsi="宋体" w:cs="宋体" w:eastAsia="宋体" w:hint="default"/>
                <w:sz w:val="18"/>
                <w:szCs w:val="18"/>
              </w:rPr>
            </w:pPr>
            <w:r>
              <w:rPr>
                <w:rFonts w:ascii="宋体" w:hAnsi="宋体" w:cs="宋体" w:eastAsia="宋体" w:hint="default"/>
                <w:sz w:val="18"/>
                <w:szCs w:val="18"/>
              </w:rPr>
              <w:t>减：所得税费</w:t>
            </w:r>
          </w:p>
          <w:p>
            <w:pPr>
              <w:pStyle w:val="TableParagraph"/>
              <w:spacing w:line="235" w:lineRule="exact"/>
              <w:ind w:right="202"/>
              <w:jc w:val="right"/>
              <w:rPr>
                <w:rFonts w:ascii="宋体" w:hAnsi="宋体" w:cs="宋体" w:eastAsia="宋体" w:hint="default"/>
                <w:sz w:val="18"/>
                <w:szCs w:val="18"/>
              </w:rPr>
            </w:pPr>
            <w:r>
              <w:rPr>
                <w:rFonts w:ascii="宋体" w:hAnsi="宋体" w:cs="宋体" w:eastAsia="宋体" w:hint="default"/>
                <w:sz w:val="18"/>
                <w:szCs w:val="18"/>
              </w:rPr>
              <w:t>用</w:t>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85" w:right="168"/>
              <w:jc w:val="left"/>
              <w:rPr>
                <w:rFonts w:ascii="宋体" w:hAnsi="宋体" w:cs="宋体" w:eastAsia="宋体" w:hint="default"/>
                <w:sz w:val="18"/>
                <w:szCs w:val="18"/>
              </w:rPr>
            </w:pPr>
            <w:r>
              <w:rPr>
                <w:rFonts w:ascii="宋体" w:hAnsi="宋体" w:cs="宋体" w:eastAsia="宋体" w:hint="default"/>
                <w:sz w:val="18"/>
                <w:szCs w:val="18"/>
              </w:rPr>
              <w:t>税后归属 于本公司</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4" w:right="107"/>
              <w:jc w:val="right"/>
              <w:rPr>
                <w:rFonts w:ascii="宋体" w:hAnsi="宋体" w:cs="宋体" w:eastAsia="宋体" w:hint="default"/>
                <w:sz w:val="18"/>
                <w:szCs w:val="18"/>
              </w:rPr>
            </w:pPr>
            <w:r>
              <w:rPr>
                <w:rFonts w:ascii="宋体" w:hAnsi="宋体" w:cs="宋体" w:eastAsia="宋体" w:hint="default"/>
                <w:sz w:val="18"/>
                <w:szCs w:val="18"/>
              </w:rPr>
              <w:t>税后归属 于少数股</w:t>
            </w:r>
          </w:p>
          <w:p>
            <w:pPr>
              <w:pStyle w:val="TableParagraph"/>
              <w:spacing w:line="233" w:lineRule="exact"/>
              <w:ind w:right="107"/>
              <w:jc w:val="right"/>
              <w:rPr>
                <w:rFonts w:ascii="宋体" w:hAnsi="宋体" w:cs="宋体" w:eastAsia="宋体" w:hint="default"/>
                <w:sz w:val="18"/>
                <w:szCs w:val="18"/>
              </w:rPr>
            </w:pPr>
            <w:r>
              <w:rPr>
                <w:rFonts w:ascii="宋体" w:hAnsi="宋体" w:cs="宋体" w:eastAsia="宋体" w:hint="default"/>
                <w:sz w:val="18"/>
                <w:szCs w:val="18"/>
              </w:rPr>
              <w:t>东</w:t>
            </w:r>
          </w:p>
        </w:tc>
      </w:tr>
      <w:tr>
        <w:trPr>
          <w:trHeight w:val="314"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1522"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r>
      <w:tr>
        <w:trPr>
          <w:trHeight w:val="325"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45"/>
              <w:jc w:val="right"/>
              <w:rPr>
                <w:rFonts w:ascii="Arial" w:hAnsi="Arial" w:cs="Arial" w:eastAsia="Arial" w:hint="default"/>
                <w:sz w:val="18"/>
                <w:szCs w:val="18"/>
              </w:rPr>
            </w:pPr>
            <w:r>
              <w:rPr>
                <w:rFonts w:ascii="Arial"/>
                <w:spacing w:val="-1"/>
                <w:sz w:val="18"/>
              </w:rPr>
              <w:t>(16,386)</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02" w:right="0"/>
              <w:jc w:val="left"/>
              <w:rPr>
                <w:rFonts w:ascii="Arial" w:hAnsi="Arial" w:cs="Arial" w:eastAsia="Arial" w:hint="default"/>
                <w:sz w:val="18"/>
                <w:szCs w:val="18"/>
              </w:rPr>
            </w:pPr>
            <w:r>
              <w:rPr>
                <w:rFonts w:ascii="Arial"/>
                <w:sz w:val="18"/>
              </w:rPr>
              <w:t>126,567</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7"/>
              <w:jc w:val="right"/>
              <w:rPr>
                <w:rFonts w:ascii="Arial" w:hAnsi="Arial" w:cs="Arial" w:eastAsia="Arial" w:hint="default"/>
                <w:sz w:val="18"/>
                <w:szCs w:val="18"/>
              </w:rPr>
            </w:pPr>
            <w:r>
              <w:rPr>
                <w:rFonts w:ascii="Arial"/>
                <w:spacing w:val="-3"/>
                <w:sz w:val="18"/>
              </w:rPr>
              <w:t>110,181</w:t>
            </w:r>
          </w:p>
        </w:tc>
        <w:tc>
          <w:tcPr>
            <w:tcW w:w="233"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4"/>
              <w:jc w:val="right"/>
              <w:rPr>
                <w:rFonts w:ascii="Arial" w:hAnsi="Arial" w:cs="Arial" w:eastAsia="Arial" w:hint="default"/>
                <w:sz w:val="18"/>
                <w:szCs w:val="18"/>
              </w:rPr>
            </w:pPr>
            <w:r>
              <w:rPr>
                <w:rFonts w:ascii="Arial"/>
                <w:spacing w:val="-1"/>
                <w:sz w:val="18"/>
              </w:rPr>
              <w:t>164,400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3"/>
              <w:jc w:val="right"/>
              <w:rPr>
                <w:rFonts w:ascii="Arial" w:hAnsi="Arial" w:cs="Arial" w:eastAsia="Arial" w:hint="default"/>
                <w:sz w:val="18"/>
                <w:szCs w:val="18"/>
              </w:rPr>
            </w:pPr>
            <w:r>
              <w:rPr>
                <w:rFonts w:ascii="Arial"/>
                <w:spacing w:val="-1"/>
                <w:sz w:val="18"/>
              </w:rPr>
              <w:t>(1,767)</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83"/>
              <w:jc w:val="right"/>
              <w:rPr>
                <w:rFonts w:ascii="Arial" w:hAnsi="Arial" w:cs="Arial" w:eastAsia="Arial" w:hint="default"/>
                <w:sz w:val="18"/>
                <w:szCs w:val="18"/>
              </w:rPr>
            </w:pPr>
            <w:r>
              <w:rPr>
                <w:rFonts w:ascii="Arial"/>
                <w:spacing w:val="-1"/>
                <w:sz w:val="18"/>
              </w:rPr>
              <w:t>(36,238)</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62"/>
              <w:jc w:val="right"/>
              <w:rPr>
                <w:rFonts w:ascii="Arial" w:hAnsi="Arial" w:cs="Arial" w:eastAsia="Arial" w:hint="default"/>
                <w:sz w:val="18"/>
                <w:szCs w:val="18"/>
              </w:rPr>
            </w:pPr>
            <w:r>
              <w:rPr>
                <w:rFonts w:ascii="Arial"/>
                <w:spacing w:val="-1"/>
                <w:sz w:val="18"/>
              </w:rPr>
              <w:t>126,567</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7"/>
              <w:jc w:val="right"/>
              <w:rPr>
                <w:rFonts w:ascii="Arial" w:hAnsi="Arial" w:cs="Arial" w:eastAsia="Arial" w:hint="default"/>
                <w:sz w:val="18"/>
                <w:szCs w:val="18"/>
              </w:rPr>
            </w:pPr>
            <w:r>
              <w:rPr>
                <w:rFonts w:ascii="Arial"/>
                <w:spacing w:val="-1"/>
                <w:sz w:val="18"/>
              </w:rPr>
              <w:t>(172)</w:t>
            </w:r>
          </w:p>
        </w:tc>
      </w:tr>
      <w:tr>
        <w:trPr>
          <w:trHeight w:val="308"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2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45"/>
              <w:jc w:val="right"/>
              <w:rPr>
                <w:rFonts w:ascii="Arial" w:hAnsi="Arial" w:cs="Arial" w:eastAsia="Arial" w:hint="default"/>
                <w:sz w:val="18"/>
                <w:szCs w:val="18"/>
              </w:rPr>
            </w:pPr>
            <w:r>
              <w:rPr>
                <w:rFonts w:ascii="Arial"/>
                <w:spacing w:val="-1"/>
                <w:sz w:val="18"/>
              </w:rPr>
              <w:t>(124,374)</w:t>
            </w:r>
          </w:p>
        </w:tc>
        <w:tc>
          <w:tcPr>
            <w:tcW w:w="117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343" w:right="0"/>
              <w:jc w:val="left"/>
              <w:rPr>
                <w:rFonts w:ascii="Arial" w:hAnsi="Arial" w:cs="Arial" w:eastAsia="Arial" w:hint="default"/>
                <w:sz w:val="18"/>
                <w:szCs w:val="18"/>
              </w:rPr>
            </w:pPr>
            <w:r>
              <w:rPr>
                <w:rFonts w:ascii="Arial"/>
                <w:sz w:val="18"/>
              </w:rPr>
              <w:t>(63,150)</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7"/>
              <w:jc w:val="right"/>
              <w:rPr>
                <w:rFonts w:ascii="Arial" w:hAnsi="Arial" w:cs="Arial" w:eastAsia="Arial" w:hint="default"/>
                <w:sz w:val="18"/>
                <w:szCs w:val="18"/>
              </w:rPr>
            </w:pPr>
            <w:r>
              <w:rPr>
                <w:rFonts w:ascii="Arial"/>
                <w:spacing w:val="-1"/>
                <w:sz w:val="18"/>
              </w:rPr>
              <w:t>(187,524)</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75"/>
              <w:jc w:val="right"/>
              <w:rPr>
                <w:rFonts w:ascii="Arial" w:hAnsi="Arial" w:cs="Arial" w:eastAsia="Arial" w:hint="default"/>
                <w:sz w:val="18"/>
                <w:szCs w:val="18"/>
              </w:rPr>
            </w:pPr>
            <w:r>
              <w:rPr>
                <w:rFonts w:ascii="Arial"/>
                <w:spacing w:val="-1"/>
                <w:sz w:val="18"/>
              </w:rPr>
              <w:t>(96,143)</w:t>
            </w:r>
            <w:r>
              <w:rPr>
                <w:rFonts w:ascii="Arial"/>
                <w:sz w:val="18"/>
              </w:rPr>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3"/>
              <w:jc w:val="right"/>
              <w:rPr>
                <w:rFonts w:ascii="Arial" w:hAnsi="Arial" w:cs="Arial" w:eastAsia="Arial" w:hint="default"/>
                <w:sz w:val="18"/>
                <w:szCs w:val="18"/>
              </w:rPr>
            </w:pPr>
            <w:r>
              <w:rPr>
                <w:rFonts w:ascii="Arial"/>
                <w:w w:val="99"/>
                <w:sz w:val="18"/>
              </w:rPr>
              <w:t>-</w:t>
            </w:r>
            <w:r>
              <w:rPr>
                <w:rFonts w:ascii="Arial"/>
                <w:sz w:val="18"/>
              </w:rPr>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44"/>
              <w:jc w:val="right"/>
              <w:rPr>
                <w:rFonts w:ascii="Arial" w:hAnsi="Arial" w:cs="Arial" w:eastAsia="Arial" w:hint="default"/>
                <w:sz w:val="18"/>
                <w:szCs w:val="18"/>
              </w:rPr>
            </w:pPr>
            <w:r>
              <w:rPr>
                <w:rFonts w:ascii="Arial"/>
                <w:w w:val="99"/>
                <w:sz w:val="18"/>
              </w:rPr>
              <w:t>-</w:t>
            </w:r>
            <w:r>
              <w:rPr>
                <w:rFonts w:ascii="Arial"/>
                <w:sz w:val="18"/>
              </w:rPr>
            </w: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2"/>
              <w:jc w:val="right"/>
              <w:rPr>
                <w:rFonts w:ascii="Arial" w:hAnsi="Arial" w:cs="Arial" w:eastAsia="Arial" w:hint="default"/>
                <w:sz w:val="18"/>
                <w:szCs w:val="18"/>
              </w:rPr>
            </w:pPr>
            <w:r>
              <w:rPr>
                <w:rFonts w:ascii="Arial"/>
                <w:spacing w:val="-1"/>
                <w:sz w:val="18"/>
              </w:rPr>
              <w:t>(63,150)</w:t>
            </w:r>
            <w:r>
              <w:rPr>
                <w:rFonts w:ascii="Arial"/>
                <w:sz w:val="18"/>
              </w:rPr>
            </w: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7"/>
              <w:jc w:val="right"/>
              <w:rPr>
                <w:rFonts w:ascii="Arial" w:hAnsi="Arial" w:cs="Arial" w:eastAsia="Arial" w:hint="default"/>
                <w:sz w:val="18"/>
                <w:szCs w:val="18"/>
              </w:rPr>
            </w:pPr>
            <w:r>
              <w:rPr>
                <w:rFonts w:ascii="Arial"/>
                <w:spacing w:val="-1"/>
                <w:sz w:val="18"/>
              </w:rPr>
              <w:t>(32,993)</w:t>
            </w:r>
          </w:p>
        </w:tc>
      </w:tr>
      <w:tr>
        <w:trPr>
          <w:trHeight w:val="353" w:hRule="exact"/>
        </w:trPr>
        <w:tc>
          <w:tcPr>
            <w:tcW w:w="4190"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245"/>
              <w:jc w:val="right"/>
              <w:rPr>
                <w:rFonts w:ascii="Arial" w:hAnsi="Arial" w:cs="Arial" w:eastAsia="Arial" w:hint="default"/>
                <w:sz w:val="18"/>
                <w:szCs w:val="18"/>
              </w:rPr>
            </w:pPr>
            <w:r>
              <w:rPr>
                <w:rFonts w:ascii="Arial"/>
                <w:spacing w:val="-1"/>
                <w:sz w:val="18"/>
              </w:rPr>
              <w:t>(140,760)</w:t>
            </w:r>
          </w:p>
        </w:tc>
        <w:tc>
          <w:tcPr>
            <w:tcW w:w="1177"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left="402" w:right="0"/>
              <w:jc w:val="left"/>
              <w:rPr>
                <w:rFonts w:ascii="Arial" w:hAnsi="Arial" w:cs="Arial" w:eastAsia="Arial" w:hint="default"/>
                <w:sz w:val="18"/>
                <w:szCs w:val="18"/>
              </w:rPr>
            </w:pPr>
            <w:r>
              <w:rPr>
                <w:rFonts w:ascii="Arial"/>
                <w:sz w:val="18"/>
              </w:rPr>
              <w:t>63,417</w:t>
            </w:r>
          </w:p>
        </w:tc>
        <w:tc>
          <w:tcPr>
            <w:tcW w:w="1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47"/>
              <w:jc w:val="right"/>
              <w:rPr>
                <w:rFonts w:ascii="Arial" w:hAnsi="Arial" w:cs="Arial" w:eastAsia="Arial" w:hint="default"/>
                <w:sz w:val="18"/>
                <w:szCs w:val="18"/>
              </w:rPr>
            </w:pPr>
            <w:r>
              <w:rPr>
                <w:rFonts w:ascii="Arial"/>
                <w:spacing w:val="-1"/>
                <w:sz w:val="18"/>
              </w:rPr>
              <w:t>(77,343)</w:t>
            </w:r>
          </w:p>
        </w:tc>
        <w:tc>
          <w:tcPr>
            <w:tcW w:w="233"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135"/>
              <w:jc w:val="right"/>
              <w:rPr>
                <w:rFonts w:ascii="Arial" w:hAnsi="Arial" w:cs="Arial" w:eastAsia="Arial" w:hint="default"/>
                <w:sz w:val="18"/>
                <w:szCs w:val="18"/>
              </w:rPr>
            </w:pPr>
            <w:r>
              <w:rPr>
                <w:rFonts w:ascii="Arial"/>
                <w:spacing w:val="-1"/>
                <w:sz w:val="18"/>
              </w:rPr>
              <w:t>68,257</w:t>
            </w:r>
          </w:p>
        </w:tc>
        <w:tc>
          <w:tcPr>
            <w:tcW w:w="1389"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143"/>
              <w:jc w:val="right"/>
              <w:rPr>
                <w:rFonts w:ascii="Arial" w:hAnsi="Arial" w:cs="Arial" w:eastAsia="Arial" w:hint="default"/>
                <w:sz w:val="18"/>
                <w:szCs w:val="18"/>
              </w:rPr>
            </w:pPr>
            <w:r>
              <w:rPr>
                <w:rFonts w:ascii="Arial"/>
                <w:spacing w:val="-1"/>
                <w:sz w:val="18"/>
              </w:rPr>
              <w:t>(1,767)</w:t>
            </w:r>
          </w:p>
        </w:tc>
        <w:tc>
          <w:tcPr>
            <w:tcW w:w="1395"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183"/>
              <w:jc w:val="right"/>
              <w:rPr>
                <w:rFonts w:ascii="Arial" w:hAnsi="Arial" w:cs="Arial" w:eastAsia="Arial" w:hint="default"/>
                <w:sz w:val="18"/>
                <w:szCs w:val="18"/>
              </w:rPr>
            </w:pPr>
            <w:r>
              <w:rPr>
                <w:rFonts w:ascii="Arial"/>
                <w:spacing w:val="-1"/>
                <w:sz w:val="18"/>
              </w:rPr>
              <w:t>(36,238)</w:t>
            </w:r>
          </w:p>
        </w:tc>
        <w:tc>
          <w:tcPr>
            <w:tcW w:w="1076"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169"/>
              <w:jc w:val="right"/>
              <w:rPr>
                <w:rFonts w:ascii="Arial" w:hAnsi="Arial" w:cs="Arial" w:eastAsia="Arial" w:hint="default"/>
                <w:sz w:val="18"/>
                <w:szCs w:val="18"/>
              </w:rPr>
            </w:pPr>
            <w:r>
              <w:rPr>
                <w:rFonts w:ascii="Arial"/>
                <w:spacing w:val="-1"/>
                <w:sz w:val="18"/>
              </w:rPr>
              <w:t>63,417</w:t>
            </w:r>
          </w:p>
        </w:tc>
        <w:tc>
          <w:tcPr>
            <w:tcW w:w="934"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67"/>
              <w:jc w:val="right"/>
              <w:rPr>
                <w:rFonts w:ascii="Arial" w:hAnsi="Arial" w:cs="Arial" w:eastAsia="Arial" w:hint="default"/>
                <w:sz w:val="18"/>
                <w:szCs w:val="18"/>
              </w:rPr>
            </w:pPr>
            <w:r>
              <w:rPr>
                <w:rFonts w:ascii="Arial"/>
                <w:spacing w:val="-1"/>
                <w:sz w:val="18"/>
              </w:rPr>
              <w:t>(33,165)</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7"/>
          <w:szCs w:val="17"/>
        </w:rPr>
      </w:pPr>
    </w:p>
    <w:p>
      <w:pPr>
        <w:spacing w:before="0"/>
        <w:ind w:left="0" w:right="716" w:firstLine="0"/>
        <w:jc w:val="right"/>
        <w:rPr>
          <w:rFonts w:ascii="Times New Roman" w:hAnsi="Times New Roman" w:cs="Times New Roman" w:eastAsia="Times New Roman" w:hint="default"/>
          <w:sz w:val="18"/>
          <w:szCs w:val="18"/>
        </w:rPr>
      </w:pPr>
      <w:r>
        <w:rPr/>
        <w:pict>
          <v:shape style="position:absolute;margin-left:774.47998pt;margin-top:18.402344pt;width:67.5pt;height:38.5pt;mso-position-horizontal-relative:page;mso-position-vertical-relative:paragraph;z-index:2536" type="#_x0000_t75" stroked="false">
            <v:imagedata r:id="rId23" o:title=""/>
          </v:shape>
        </w:pict>
      </w:r>
      <w:r>
        <w:rPr>
          <w:rFonts w:ascii="Times New Roman"/>
          <w:sz w:val="18"/>
        </w:rPr>
        <w:t>198</w:t>
      </w:r>
    </w:p>
    <w:p>
      <w:pPr>
        <w:spacing w:after="0"/>
        <w:jc w:val="right"/>
        <w:rPr>
          <w:rFonts w:ascii="Times New Roman" w:hAnsi="Times New Roman" w:cs="Times New Roman" w:eastAsia="Times New Roman" w:hint="default"/>
          <w:sz w:val="18"/>
          <w:szCs w:val="18"/>
        </w:rPr>
        <w:sectPr>
          <w:headerReference w:type="default" r:id="rId62"/>
          <w:footerReference w:type="default" r:id="rId63"/>
          <w:pgSz w:w="16840" w:h="11910" w:orient="landscape"/>
          <w:pgMar w:header="0" w:footer="0" w:top="660" w:bottom="0" w:left="120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759"/>
        <w:gridCol w:w="1882"/>
        <w:gridCol w:w="1512"/>
        <w:gridCol w:w="167"/>
        <w:gridCol w:w="1356"/>
        <w:gridCol w:w="281"/>
        <w:gridCol w:w="1346"/>
        <w:gridCol w:w="269"/>
        <w:gridCol w:w="1462"/>
      </w:tblGrid>
      <w:tr>
        <w:trPr>
          <w:trHeight w:val="496"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exact"/>
              <w:ind w:right="6"/>
              <w:jc w:val="center"/>
              <w:rPr>
                <w:rFonts w:ascii="黑体" w:hAnsi="黑体" w:cs="黑体" w:eastAsia="黑体" w:hint="default"/>
                <w:sz w:val="24"/>
                <w:szCs w:val="24"/>
              </w:rPr>
            </w:pPr>
            <w:r>
              <w:rPr>
                <w:rFonts w:ascii="黑体" w:hAnsi="黑体" w:cs="黑体" w:eastAsia="黑体" w:hint="default"/>
                <w:sz w:val="24"/>
                <w:szCs w:val="24"/>
              </w:rPr>
              <w:t>四</w:t>
            </w:r>
          </w:p>
        </w:tc>
        <w:tc>
          <w:tcPr>
            <w:tcW w:w="3394"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746"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67" w:right="0"/>
              <w:jc w:val="center"/>
              <w:rPr>
                <w:rFonts w:ascii="Arial" w:hAnsi="Arial" w:cs="Arial" w:eastAsia="Arial" w:hint="default"/>
                <w:sz w:val="24"/>
                <w:szCs w:val="24"/>
              </w:rPr>
            </w:pPr>
            <w:r>
              <w:rPr>
                <w:rFonts w:ascii="Arial"/>
                <w:sz w:val="24"/>
              </w:rPr>
              <w:t>(42)</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32" w:right="0"/>
              <w:jc w:val="left"/>
              <w:rPr>
                <w:rFonts w:ascii="黑体" w:hAnsi="黑体" w:cs="黑体" w:eastAsia="黑体" w:hint="default"/>
                <w:sz w:val="24"/>
                <w:szCs w:val="24"/>
              </w:rPr>
            </w:pPr>
            <w:r>
              <w:rPr>
                <w:rFonts w:ascii="黑体" w:hAnsi="黑体" w:cs="黑体" w:eastAsia="黑体" w:hint="default"/>
                <w:sz w:val="24"/>
                <w:szCs w:val="24"/>
              </w:rPr>
              <w:t>盈余公积</w:t>
            </w:r>
          </w:p>
        </w:tc>
        <w:tc>
          <w:tcPr>
            <w:tcW w:w="1512"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1104" w:hRule="exact"/>
        </w:trPr>
        <w:tc>
          <w:tcPr>
            <w:tcW w:w="7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60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24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544"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8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578" w:hRule="exact"/>
        </w:trPr>
        <w:tc>
          <w:tcPr>
            <w:tcW w:w="7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28"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51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24"/>
                <w:szCs w:val="24"/>
              </w:rPr>
            </w:pPr>
            <w:r>
              <w:rPr>
                <w:rFonts w:ascii="Arial"/>
                <w:w w:val="95"/>
                <w:sz w:val="24"/>
              </w:rPr>
              <w:t>1,160,735</w:t>
            </w:r>
            <w:r>
              <w:rPr>
                <w:rFonts w:ascii="Arial"/>
                <w:sz w:val="24"/>
              </w:rPr>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24"/>
                <w:szCs w:val="24"/>
              </w:rPr>
            </w:pPr>
            <w:r>
              <w:rPr>
                <w:rFonts w:ascii="Arial"/>
                <w:w w:val="99"/>
                <w:sz w:val="24"/>
              </w:rPr>
              <w:t>-</w:t>
            </w:r>
            <w:r>
              <w:rPr>
                <w:rFonts w:ascii="Arial"/>
                <w:sz w:val="24"/>
              </w:rPr>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24"/>
                <w:szCs w:val="24"/>
              </w:rPr>
            </w:pPr>
            <w:r>
              <w:rPr>
                <w:rFonts w:ascii="Arial"/>
                <w:w w:val="99"/>
                <w:sz w:val="24"/>
              </w:rPr>
              <w:t>-</w:t>
            </w:r>
            <w:r>
              <w:rPr>
                <w:rFonts w:ascii="Arial"/>
                <w:sz w:val="24"/>
              </w:rPr>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24"/>
                <w:szCs w:val="24"/>
              </w:rPr>
            </w:pPr>
            <w:r>
              <w:rPr>
                <w:rFonts w:ascii="Arial"/>
                <w:w w:val="95"/>
                <w:sz w:val="24"/>
              </w:rPr>
              <w:t>1,160,735</w:t>
            </w:r>
            <w:r>
              <w:rPr>
                <w:rFonts w:ascii="Arial"/>
                <w:sz w:val="24"/>
              </w:rPr>
            </w:r>
          </w:p>
        </w:tc>
      </w:tr>
      <w:tr>
        <w:trPr>
          <w:trHeight w:val="1297" w:hRule="exact"/>
        </w:trPr>
        <w:tc>
          <w:tcPr>
            <w:tcW w:w="7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c>
          <w:tcPr>
            <w:tcW w:w="1512"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607"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247"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7"/>
              <w:ind w:right="71"/>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7"/>
              <w:ind w:right="71"/>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54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8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578" w:hRule="exact"/>
        </w:trPr>
        <w:tc>
          <w:tcPr>
            <w:tcW w:w="7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28"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51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69"/>
              <w:jc w:val="right"/>
              <w:rPr>
                <w:rFonts w:ascii="Arial" w:hAnsi="Arial" w:cs="Arial" w:eastAsia="Arial" w:hint="default"/>
                <w:sz w:val="24"/>
                <w:szCs w:val="24"/>
              </w:rPr>
            </w:pPr>
            <w:r>
              <w:rPr>
                <w:rFonts w:ascii="Arial"/>
                <w:w w:val="95"/>
                <w:sz w:val="24"/>
              </w:rPr>
              <w:t>1,160,735</w:t>
            </w:r>
            <w:r>
              <w:rPr>
                <w:rFonts w:ascii="Arial"/>
                <w:sz w:val="24"/>
              </w:rPr>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24"/>
                <w:szCs w:val="24"/>
              </w:rPr>
            </w:pPr>
            <w:r>
              <w:rPr>
                <w:rFonts w:ascii="Arial"/>
                <w:w w:val="99"/>
                <w:sz w:val="24"/>
              </w:rPr>
              <w:t>-</w:t>
            </w:r>
            <w:r>
              <w:rPr>
                <w:rFonts w:ascii="Arial"/>
                <w:sz w:val="24"/>
              </w:rPr>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24"/>
                <w:szCs w:val="24"/>
              </w:rPr>
            </w:pPr>
            <w:r>
              <w:rPr>
                <w:rFonts w:ascii="Arial"/>
                <w:w w:val="99"/>
                <w:sz w:val="24"/>
              </w:rPr>
              <w:t>-</w:t>
            </w:r>
            <w:r>
              <w:rPr>
                <w:rFonts w:ascii="Arial"/>
                <w:sz w:val="24"/>
              </w:rPr>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24"/>
                <w:szCs w:val="24"/>
              </w:rPr>
            </w:pPr>
            <w:r>
              <w:rPr>
                <w:rFonts w:ascii="Arial"/>
                <w:w w:val="95"/>
                <w:sz w:val="24"/>
              </w:rPr>
              <w:t>1,160,735</w:t>
            </w:r>
            <w:r>
              <w:rPr>
                <w:rFonts w:ascii="Arial"/>
                <w:sz w:val="24"/>
              </w:rPr>
            </w:r>
          </w:p>
        </w:tc>
      </w:tr>
      <w:tr>
        <w:trPr>
          <w:trHeight w:val="2255" w:hRule="exact"/>
        </w:trPr>
        <w:tc>
          <w:tcPr>
            <w:tcW w:w="759" w:type="dxa"/>
            <w:tcBorders>
              <w:top w:val="nil" w:sz="6" w:space="0" w:color="auto"/>
              <w:left w:val="nil" w:sz="6" w:space="0" w:color="auto"/>
              <w:bottom w:val="nil" w:sz="6" w:space="0" w:color="auto"/>
              <w:right w:val="nil" w:sz="6" w:space="0" w:color="auto"/>
            </w:tcBorders>
          </w:tcPr>
          <w:p>
            <w:pPr/>
          </w:p>
        </w:tc>
        <w:tc>
          <w:tcPr>
            <w:tcW w:w="827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3"/>
                <w:szCs w:val="33"/>
              </w:rPr>
            </w:pPr>
          </w:p>
          <w:p>
            <w:pPr>
              <w:pStyle w:val="TableParagraph"/>
              <w:spacing w:line="230" w:lineRule="auto"/>
              <w:ind w:left="118" w:right="0"/>
              <w:jc w:val="left"/>
              <w:rPr>
                <w:rFonts w:ascii="宋体" w:hAnsi="宋体" w:cs="宋体" w:eastAsia="宋体" w:hint="default"/>
                <w:sz w:val="24"/>
                <w:szCs w:val="24"/>
              </w:rPr>
            </w:pPr>
            <w:r>
              <w:rPr>
                <w:rFonts w:ascii="宋体" w:hAnsi="宋体" w:cs="宋体" w:eastAsia="宋体" w:hint="default"/>
                <w:sz w:val="24"/>
                <w:szCs w:val="24"/>
              </w:rPr>
              <w:t>根据《中华人民共和国公司法》及本公司章程，本公司按年度净利润的</w:t>
            </w:r>
            <w:r>
              <w:rPr>
                <w:rFonts w:ascii="宋体" w:hAnsi="宋体" w:cs="宋体" w:eastAsia="宋体" w:hint="default"/>
                <w:spacing w:val="-6"/>
                <w:sz w:val="24"/>
                <w:szCs w:val="24"/>
              </w:rPr>
              <w:t> </w:t>
            </w:r>
            <w:r>
              <w:rPr>
                <w:rFonts w:ascii="Arial" w:hAnsi="Arial" w:cs="Arial" w:eastAsia="Arial" w:hint="default"/>
                <w:sz w:val="24"/>
                <w:szCs w:val="24"/>
              </w:rPr>
              <w:t>10%</w:t>
            </w:r>
            <w:r>
              <w:rPr>
                <w:rFonts w:ascii="Arial" w:hAnsi="Arial" w:cs="Arial" w:eastAsia="Arial" w:hint="default"/>
                <w:spacing w:val="-1"/>
                <w:w w:val="99"/>
                <w:sz w:val="24"/>
                <w:szCs w:val="24"/>
              </w:rPr>
              <w:t> </w:t>
            </w:r>
            <w:r>
              <w:rPr>
                <w:rFonts w:ascii="宋体" w:hAnsi="宋体" w:cs="宋体" w:eastAsia="宋体" w:hint="default"/>
                <w:spacing w:val="-3"/>
                <w:sz w:val="24"/>
                <w:szCs w:val="24"/>
              </w:rPr>
              <w:t>提取法定盈余公积金，当法定盈余公积金累计额达到注册资本的</w:t>
            </w:r>
            <w:r>
              <w:rPr>
                <w:rFonts w:ascii="宋体" w:hAnsi="宋体" w:cs="宋体" w:eastAsia="宋体" w:hint="default"/>
                <w:spacing w:val="-43"/>
                <w:sz w:val="24"/>
                <w:szCs w:val="24"/>
              </w:rPr>
              <w:t> </w:t>
            </w:r>
            <w:r>
              <w:rPr>
                <w:rFonts w:ascii="Arial" w:hAnsi="Arial" w:cs="Arial" w:eastAsia="Arial" w:hint="default"/>
                <w:sz w:val="24"/>
                <w:szCs w:val="24"/>
              </w:rPr>
              <w:t>50%</w:t>
            </w:r>
            <w:r>
              <w:rPr>
                <w:rFonts w:ascii="宋体" w:hAnsi="宋体" w:cs="宋体" w:eastAsia="宋体" w:hint="default"/>
                <w:sz w:val="24"/>
                <w:szCs w:val="24"/>
              </w:rPr>
              <w:t>以上时， </w:t>
            </w:r>
            <w:r>
              <w:rPr>
                <w:rFonts w:ascii="宋体" w:hAnsi="宋体" w:cs="宋体" w:eastAsia="宋体" w:hint="default"/>
                <w:spacing w:val="3"/>
                <w:sz w:val="24"/>
                <w:szCs w:val="24"/>
              </w:rPr>
              <w:t>可不再提取。当法定盈余公积金不足以弥补以前年度亏损时，应当先用当年</w:t>
            </w:r>
            <w:r>
              <w:rPr>
                <w:rFonts w:ascii="宋体" w:hAnsi="宋体" w:cs="宋体" w:eastAsia="宋体" w:hint="default"/>
                <w:spacing w:val="3"/>
                <w:sz w:val="24"/>
                <w:szCs w:val="24"/>
              </w:rPr>
              <w:t> 利润弥补亏损。法定盈余公积金经批准后可用于弥补亏损，或者增加股本。 </w:t>
            </w:r>
            <w:r>
              <w:rPr>
                <w:rFonts w:ascii="宋体" w:hAnsi="宋体" w:cs="宋体" w:eastAsia="宋体" w:hint="default"/>
                <w:sz w:val="24"/>
                <w:szCs w:val="24"/>
              </w:rPr>
              <w:t>由于本公司</w:t>
            </w:r>
            <w:r>
              <w:rPr>
                <w:rFonts w:ascii="宋体" w:hAnsi="宋体" w:cs="宋体" w:eastAsia="宋体" w:hint="default"/>
                <w:spacing w:val="-56"/>
                <w:sz w:val="24"/>
                <w:szCs w:val="24"/>
              </w:rPr>
              <w:t> </w:t>
            </w:r>
            <w:r>
              <w:rPr>
                <w:rFonts w:ascii="Arial" w:hAnsi="Arial" w:cs="Arial" w:eastAsia="Arial" w:hint="default"/>
                <w:sz w:val="24"/>
                <w:szCs w:val="24"/>
              </w:rPr>
              <w:t>2015</w:t>
            </w:r>
            <w:r>
              <w:rPr>
                <w:rFonts w:ascii="Arial" w:hAnsi="Arial" w:cs="Arial" w:eastAsia="Arial" w:hint="default"/>
                <w:spacing w:val="-3"/>
                <w:sz w:val="24"/>
                <w:szCs w:val="24"/>
              </w:rPr>
              <w:t> </w:t>
            </w:r>
            <w:r>
              <w:rPr>
                <w:rFonts w:ascii="宋体" w:hAnsi="宋体" w:cs="宋体" w:eastAsia="宋体" w:hint="default"/>
                <w:spacing w:val="-3"/>
                <w:sz w:val="24"/>
                <w:szCs w:val="24"/>
              </w:rPr>
              <w:t>年度净利润弥补以前年度亏损后无盈余，因此未计提法定盈</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余公积金</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230" w:lineRule="auto"/>
        <w:jc w:val="left"/>
        <w:rPr>
          <w:rFonts w:ascii="宋体" w:hAnsi="宋体" w:cs="宋体" w:eastAsia="宋体" w:hint="default"/>
          <w:sz w:val="24"/>
          <w:szCs w:val="24"/>
        </w:rPr>
        <w:sectPr>
          <w:footerReference w:type="default" r:id="rId64"/>
          <w:pgSz w:w="11910" w:h="16840"/>
          <w:pgMar w:footer="698" w:header="0" w:top="1860" w:bottom="880" w:left="1480" w:right="0"/>
          <w:pgNumType w:start="19"/>
        </w:sectPr>
      </w:pPr>
    </w:p>
    <w:p>
      <w:pPr>
        <w:spacing w:line="240" w:lineRule="auto" w:before="8"/>
        <w:rPr>
          <w:rFonts w:ascii="Times New Roman" w:hAnsi="Times New Roman" w:cs="Times New Roman" w:eastAsia="Times New Roman"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738"/>
        <w:gridCol w:w="3112"/>
      </w:tblGrid>
      <w:tr>
        <w:trPr>
          <w:trHeight w:val="49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12" w:right="0"/>
              <w:jc w:val="center"/>
              <w:rPr>
                <w:rFonts w:ascii="黑体" w:hAnsi="黑体" w:cs="黑体" w:eastAsia="黑体" w:hint="default"/>
                <w:sz w:val="24"/>
                <w:szCs w:val="24"/>
              </w:rPr>
            </w:pPr>
            <w:r>
              <w:rPr>
                <w:rFonts w:ascii="黑体" w:hAnsi="黑体" w:cs="黑体" w:eastAsia="黑体" w:hint="default"/>
                <w:sz w:val="24"/>
                <w:szCs w:val="24"/>
              </w:rPr>
              <w:t>四</w:t>
            </w:r>
          </w:p>
        </w:tc>
        <w:tc>
          <w:tcPr>
            <w:tcW w:w="3112" w:type="dxa"/>
            <w:tcBorders>
              <w:top w:val="nil" w:sz="6" w:space="0" w:color="auto"/>
              <w:left w:val="nil" w:sz="6" w:space="0" w:color="auto"/>
              <w:bottom w:val="nil" w:sz="6" w:space="0" w:color="auto"/>
              <w:right w:val="nil" w:sz="6" w:space="0" w:color="auto"/>
            </w:tcBorders>
          </w:tcPr>
          <w:p>
            <w:pPr>
              <w:pStyle w:val="TableParagraph"/>
              <w:spacing w:line="257" w:lineRule="exact"/>
              <w:ind w:left="11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92"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88" w:right="0"/>
              <w:jc w:val="center"/>
              <w:rPr>
                <w:rFonts w:ascii="Arial" w:hAnsi="Arial" w:cs="Arial" w:eastAsia="Arial" w:hint="default"/>
                <w:sz w:val="24"/>
                <w:szCs w:val="24"/>
              </w:rPr>
            </w:pPr>
            <w:r>
              <w:rPr>
                <w:rFonts w:ascii="Arial"/>
                <w:sz w:val="24"/>
              </w:rPr>
              <w:t>(43)</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25" w:right="0"/>
              <w:jc w:val="left"/>
              <w:rPr>
                <w:rFonts w:ascii="黑体" w:hAnsi="黑体" w:cs="黑体" w:eastAsia="黑体" w:hint="default"/>
                <w:sz w:val="24"/>
                <w:szCs w:val="24"/>
              </w:rPr>
            </w:pPr>
            <w:r>
              <w:rPr>
                <w:rFonts w:ascii="黑体" w:hAnsi="黑体" w:cs="黑体" w:eastAsia="黑体" w:hint="default"/>
                <w:sz w:val="24"/>
                <w:szCs w:val="24"/>
              </w:rPr>
              <w:t>未分配利润</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761" w:type="dxa"/>
        <w:tblLayout w:type="fixed"/>
        <w:tblCellMar>
          <w:top w:w="0" w:type="dxa"/>
          <w:left w:w="0" w:type="dxa"/>
          <w:bottom w:w="0" w:type="dxa"/>
          <w:right w:w="0" w:type="dxa"/>
        </w:tblCellMar>
        <w:tblLook w:val="01E0"/>
      </w:tblPr>
      <w:tblGrid>
        <w:gridCol w:w="4517"/>
        <w:gridCol w:w="2358"/>
        <w:gridCol w:w="2114"/>
      </w:tblGrid>
      <w:tr>
        <w:trPr>
          <w:trHeight w:val="420" w:hRule="exact"/>
        </w:trPr>
        <w:tc>
          <w:tcPr>
            <w:tcW w:w="4517"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nil" w:sz="6" w:space="0" w:color="auto"/>
              <w:right w:val="nil" w:sz="6" w:space="0" w:color="auto"/>
            </w:tcBorders>
          </w:tcPr>
          <w:p>
            <w:pPr>
              <w:pStyle w:val="TableParagraph"/>
              <w:spacing w:line="257" w:lineRule="exact"/>
              <w:ind w:left="592"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114" w:type="dxa"/>
            <w:tcBorders>
              <w:top w:val="nil" w:sz="6" w:space="0" w:color="auto"/>
              <w:left w:val="nil" w:sz="6" w:space="0" w:color="auto"/>
              <w:bottom w:val="nil" w:sz="6" w:space="0" w:color="auto"/>
              <w:right w:val="nil" w:sz="6" w:space="0" w:color="auto"/>
            </w:tcBorders>
          </w:tcPr>
          <w:p>
            <w:pPr>
              <w:pStyle w:val="TableParagraph"/>
              <w:spacing w:line="257" w:lineRule="exact"/>
              <w:ind w:left="78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45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9" w:right="0"/>
              <w:jc w:val="left"/>
              <w:rPr>
                <w:rFonts w:ascii="宋体" w:hAnsi="宋体" w:cs="宋体" w:eastAsia="宋体" w:hint="default"/>
                <w:sz w:val="24"/>
                <w:szCs w:val="24"/>
              </w:rPr>
            </w:pPr>
            <w:r>
              <w:rPr>
                <w:rFonts w:ascii="宋体" w:hAnsi="宋体" w:cs="宋体" w:eastAsia="宋体" w:hint="default"/>
                <w:sz w:val="24"/>
                <w:szCs w:val="24"/>
              </w:rPr>
              <w:t>年初未分配利润</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47" w:right="0"/>
              <w:jc w:val="left"/>
              <w:rPr>
                <w:rFonts w:ascii="Arial" w:hAnsi="Arial" w:cs="Arial" w:eastAsia="Arial" w:hint="default"/>
                <w:sz w:val="24"/>
                <w:szCs w:val="24"/>
              </w:rPr>
            </w:pPr>
            <w:r>
              <w:rPr>
                <w:rFonts w:ascii="Arial"/>
                <w:sz w:val="24"/>
              </w:rPr>
              <w:t>16,125,532</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625" w:right="0"/>
              <w:jc w:val="left"/>
              <w:rPr>
                <w:rFonts w:ascii="Arial" w:hAnsi="Arial" w:cs="Arial" w:eastAsia="Arial" w:hint="default"/>
                <w:sz w:val="24"/>
                <w:szCs w:val="24"/>
              </w:rPr>
            </w:pPr>
            <w:r>
              <w:rPr>
                <w:rFonts w:ascii="Arial"/>
                <w:sz w:val="24"/>
              </w:rPr>
              <w:t>15,264,824</w:t>
            </w:r>
          </w:p>
        </w:tc>
      </w:tr>
      <w:tr>
        <w:trPr>
          <w:trHeight w:val="311" w:hRule="exact"/>
        </w:trPr>
        <w:tc>
          <w:tcPr>
            <w:tcW w:w="4517" w:type="dxa"/>
            <w:tcBorders>
              <w:top w:val="nil" w:sz="6" w:space="0" w:color="auto"/>
              <w:left w:val="nil" w:sz="6" w:space="0" w:color="auto"/>
              <w:bottom w:val="nil" w:sz="6" w:space="0" w:color="auto"/>
              <w:right w:val="nil" w:sz="6" w:space="0" w:color="auto"/>
            </w:tcBorders>
          </w:tcPr>
          <w:p>
            <w:pPr>
              <w:pStyle w:val="TableParagraph"/>
              <w:spacing w:line="262" w:lineRule="exact"/>
              <w:ind w:left="229" w:right="0"/>
              <w:jc w:val="left"/>
              <w:rPr>
                <w:rFonts w:ascii="宋体" w:hAnsi="宋体" w:cs="宋体" w:eastAsia="宋体" w:hint="default"/>
                <w:sz w:val="24"/>
                <w:szCs w:val="24"/>
              </w:rPr>
            </w:pPr>
            <w:r>
              <w:rPr>
                <w:rFonts w:ascii="宋体" w:hAnsi="宋体" w:cs="宋体" w:eastAsia="宋体" w:hint="default"/>
                <w:sz w:val="24"/>
                <w:szCs w:val="24"/>
              </w:rPr>
              <w:t>加：本年归属于本公司股东的净利润</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89" w:right="0"/>
              <w:jc w:val="left"/>
              <w:rPr>
                <w:rFonts w:ascii="Arial" w:hAnsi="Arial" w:cs="Arial" w:eastAsia="Arial" w:hint="default"/>
                <w:sz w:val="24"/>
                <w:szCs w:val="24"/>
              </w:rPr>
            </w:pPr>
            <w:r>
              <w:rPr>
                <w:rFonts w:ascii="Arial"/>
                <w:sz w:val="24"/>
              </w:rPr>
              <w:t>872,504</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59" w:right="0"/>
              <w:jc w:val="left"/>
              <w:rPr>
                <w:rFonts w:ascii="Arial" w:hAnsi="Arial" w:cs="Arial" w:eastAsia="Arial" w:hint="default"/>
                <w:sz w:val="24"/>
                <w:szCs w:val="24"/>
              </w:rPr>
            </w:pPr>
            <w:r>
              <w:rPr>
                <w:rFonts w:ascii="Arial"/>
                <w:sz w:val="24"/>
              </w:rPr>
              <w:t>866,915</w:t>
            </w:r>
          </w:p>
        </w:tc>
      </w:tr>
      <w:tr>
        <w:trPr>
          <w:trHeight w:val="312" w:hRule="exact"/>
        </w:trPr>
        <w:tc>
          <w:tcPr>
            <w:tcW w:w="4517"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减：提取一般风险准备</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23" w:right="0"/>
              <w:jc w:val="left"/>
              <w:rPr>
                <w:rFonts w:ascii="Arial" w:hAnsi="Arial" w:cs="Arial" w:eastAsia="Arial" w:hint="default"/>
                <w:sz w:val="24"/>
                <w:szCs w:val="24"/>
              </w:rPr>
            </w:pPr>
            <w:r>
              <w:rPr>
                <w:rFonts w:ascii="Arial"/>
                <w:sz w:val="24"/>
              </w:rPr>
              <w:t>(17,543)</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53" w:right="0"/>
              <w:jc w:val="left"/>
              <w:rPr>
                <w:rFonts w:ascii="Arial" w:hAnsi="Arial" w:cs="Arial" w:eastAsia="Arial" w:hint="default"/>
                <w:sz w:val="24"/>
                <w:szCs w:val="24"/>
              </w:rPr>
            </w:pPr>
            <w:r>
              <w:rPr>
                <w:rFonts w:ascii="Arial"/>
                <w:sz w:val="24"/>
              </w:rPr>
              <w:t>(6,207)</w:t>
            </w:r>
          </w:p>
        </w:tc>
      </w:tr>
      <w:tr>
        <w:trPr>
          <w:trHeight w:val="316" w:hRule="exact"/>
        </w:trPr>
        <w:tc>
          <w:tcPr>
            <w:tcW w:w="4517" w:type="dxa"/>
            <w:tcBorders>
              <w:top w:val="nil" w:sz="6" w:space="0" w:color="auto"/>
              <w:left w:val="nil" w:sz="6" w:space="0" w:color="auto"/>
              <w:bottom w:val="nil" w:sz="6" w:space="0" w:color="auto"/>
              <w:right w:val="nil" w:sz="6" w:space="0" w:color="auto"/>
            </w:tcBorders>
          </w:tcPr>
          <w:p>
            <w:pPr>
              <w:pStyle w:val="TableParagraph"/>
              <w:tabs>
                <w:tab w:pos="4165" w:val="left" w:leader="none"/>
                <w:tab w:pos="5221" w:val="left" w:leader="none"/>
              </w:tabs>
              <w:spacing w:line="257" w:lineRule="exact"/>
              <w:ind w:left="654" w:right="-705"/>
              <w:jc w:val="left"/>
              <w:rPr>
                <w:rFonts w:ascii="Arial" w:hAnsi="Arial" w:cs="Arial" w:eastAsia="Arial" w:hint="default"/>
                <w:sz w:val="24"/>
                <w:szCs w:val="24"/>
              </w:rPr>
            </w:pPr>
            <w:r>
              <w:rPr>
                <w:rFonts w:ascii="宋体" w:hAnsi="宋体" w:cs="宋体" w:eastAsia="宋体" w:hint="default"/>
                <w:position w:val="2"/>
                <w:sz w:val="24"/>
                <w:szCs w:val="24"/>
              </w:rPr>
              <w:t>应付普通股股利</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58" w:type="dxa"/>
            <w:tcBorders>
              <w:top w:val="nil" w:sz="6" w:space="0" w:color="auto"/>
              <w:left w:val="nil" w:sz="6" w:space="0" w:color="auto"/>
              <w:bottom w:val="nil" w:sz="6" w:space="0" w:color="auto"/>
              <w:right w:val="nil" w:sz="6" w:space="0" w:color="auto"/>
            </w:tcBorders>
          </w:tcPr>
          <w:p>
            <w:pPr>
              <w:pStyle w:val="TableParagraph"/>
              <w:tabs>
                <w:tab w:pos="2059" w:val="left" w:leader="none"/>
                <w:tab w:pos="4115" w:val="left" w:leader="none"/>
              </w:tabs>
              <w:spacing w:line="240" w:lineRule="auto" w:before="18"/>
              <w:ind w:left="704" w:right="-1758"/>
              <w:jc w:val="left"/>
              <w:rPr>
                <w:rFonts w:ascii="Arial" w:hAnsi="Arial" w:cs="Arial" w:eastAsia="Arial" w:hint="default"/>
                <w:sz w:val="24"/>
                <w:szCs w:val="24"/>
              </w:rPr>
            </w:pPr>
            <w:r>
              <w:rPr>
                <w:rFonts w:ascii="Arial"/>
                <w:w w:val="99"/>
                <w:sz w:val="24"/>
              </w:rPr>
            </w:r>
            <w:r>
              <w:rPr>
                <w:rFonts w:ascii="Arial"/>
                <w:sz w:val="24"/>
                <w:u w:val="single" w:color="000000"/>
              </w:rPr>
              <w:t>(369,152)</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14" w:type="dxa"/>
            <w:tcBorders>
              <w:top w:val="nil" w:sz="6" w:space="0" w:color="auto"/>
              <w:left w:val="nil" w:sz="6" w:space="0" w:color="auto"/>
              <w:bottom w:val="nil" w:sz="6" w:space="0" w:color="auto"/>
              <w:right w:val="nil" w:sz="6" w:space="0" w:color="auto"/>
            </w:tcBorders>
          </w:tcPr>
          <w:p>
            <w:pPr>
              <w:pStyle w:val="TableParagraph"/>
              <w:tabs>
                <w:tab w:pos="212" w:val="left" w:leader="none"/>
              </w:tabs>
              <w:spacing w:line="240" w:lineRule="auto" w:before="18"/>
              <w:ind w:right="142"/>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r>
      <w:tr>
        <w:trPr>
          <w:trHeight w:val="294" w:hRule="exact"/>
        </w:trPr>
        <w:tc>
          <w:tcPr>
            <w:tcW w:w="4517" w:type="dxa"/>
            <w:tcBorders>
              <w:top w:val="nil" w:sz="6" w:space="0" w:color="auto"/>
              <w:left w:val="nil" w:sz="6" w:space="0" w:color="auto"/>
              <w:bottom w:val="nil" w:sz="6" w:space="0" w:color="auto"/>
              <w:right w:val="nil" w:sz="6" w:space="0" w:color="auto"/>
            </w:tcBorders>
          </w:tcPr>
          <w:p>
            <w:pPr>
              <w:pStyle w:val="TableParagraph"/>
              <w:tabs>
                <w:tab w:pos="4150" w:val="left" w:leader="none"/>
                <w:tab w:pos="4981" w:val="left" w:leader="none"/>
              </w:tabs>
              <w:spacing w:line="263" w:lineRule="exact"/>
              <w:ind w:left="229" w:right="-465"/>
              <w:jc w:val="left"/>
              <w:rPr>
                <w:rFonts w:ascii="Arial" w:hAnsi="Arial" w:cs="Arial" w:eastAsia="Arial" w:hint="default"/>
                <w:sz w:val="24"/>
                <w:szCs w:val="24"/>
              </w:rPr>
            </w:pPr>
            <w:r>
              <w:rPr>
                <w:rFonts w:ascii="宋体" w:hAnsi="宋体" w:cs="宋体" w:eastAsia="宋体" w:hint="default"/>
                <w:position w:val="2"/>
                <w:sz w:val="24"/>
                <w:szCs w:val="24"/>
              </w:rPr>
              <w:t>年末未分配利润</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358" w:type="dxa"/>
            <w:tcBorders>
              <w:top w:val="nil" w:sz="6" w:space="0" w:color="auto"/>
              <w:left w:val="nil" w:sz="6" w:space="0" w:color="auto"/>
              <w:bottom w:val="nil" w:sz="6" w:space="0" w:color="auto"/>
              <w:right w:val="nil" w:sz="6" w:space="0" w:color="auto"/>
            </w:tcBorders>
          </w:tcPr>
          <w:p>
            <w:pPr>
              <w:pStyle w:val="TableParagraph"/>
              <w:tabs>
                <w:tab w:pos="2045" w:val="left" w:leader="none"/>
                <w:tab w:pos="2983" w:val="left" w:leader="none"/>
              </w:tabs>
              <w:spacing w:line="240" w:lineRule="auto" w:before="24"/>
              <w:ind w:left="464" w:right="-626"/>
              <w:jc w:val="left"/>
              <w:rPr>
                <w:rFonts w:ascii="Arial" w:hAnsi="Arial" w:cs="Arial" w:eastAsia="Arial" w:hint="default"/>
                <w:sz w:val="24"/>
                <w:szCs w:val="24"/>
              </w:rPr>
            </w:pPr>
            <w:r>
              <w:rPr>
                <w:rFonts w:ascii="Arial"/>
                <w:w w:val="99"/>
                <w:sz w:val="24"/>
              </w:rPr>
            </w:r>
            <w:r>
              <w:rPr>
                <w:rFonts w:ascii="Arial"/>
                <w:sz w:val="24"/>
                <w:u w:val="thick" w:color="000000"/>
              </w:rPr>
              <w:t>16,611,341 </w:t>
            </w:r>
            <w:r>
              <w:rPr>
                <w:rFonts w:ascii="Arial"/>
                <w:spacing w:val="-6"/>
                <w:sz w:val="24"/>
                <w:u w:val="thick" w:color="000000"/>
              </w:rPr>
              <w:t> </w:t>
            </w:r>
            <w:r>
              <w:rPr>
                <w:rFonts w:ascii="Arial"/>
                <w:spacing w:val="-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14" w:type="dxa"/>
            <w:tcBorders>
              <w:top w:val="nil" w:sz="6" w:space="0" w:color="auto"/>
              <w:left w:val="nil" w:sz="6" w:space="0" w:color="auto"/>
              <w:bottom w:val="nil" w:sz="6" w:space="0" w:color="auto"/>
              <w:right w:val="nil" w:sz="6" w:space="0" w:color="auto"/>
            </w:tcBorders>
          </w:tcPr>
          <w:p>
            <w:pPr>
              <w:pStyle w:val="TableParagraph"/>
              <w:tabs>
                <w:tab w:pos="1343" w:val="left" w:leader="none"/>
              </w:tabs>
              <w:spacing w:line="240" w:lineRule="auto" w:before="24"/>
              <w:ind w:right="142"/>
              <w:jc w:val="right"/>
              <w:rPr>
                <w:rFonts w:ascii="Arial" w:hAnsi="Arial" w:cs="Arial" w:eastAsia="Arial" w:hint="default"/>
                <w:sz w:val="24"/>
                <w:szCs w:val="24"/>
              </w:rPr>
            </w:pPr>
            <w:r>
              <w:rPr>
                <w:rFonts w:ascii="Arial"/>
                <w:w w:val="99"/>
                <w:sz w:val="24"/>
              </w:rPr>
            </w:r>
            <w:r>
              <w:rPr>
                <w:rFonts w:ascii="Arial"/>
                <w:w w:val="95"/>
                <w:sz w:val="24"/>
                <w:u w:val="thick" w:color="000000"/>
              </w:rPr>
              <w:t>16,125,532</w:t>
            </w:r>
            <w:r>
              <w:rPr>
                <w:rFonts w:ascii="Arial"/>
                <w:sz w:val="24"/>
                <w:u w:val="thick" w:color="000000"/>
              </w:rPr>
              <w:tab/>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812" w:type="dxa"/>
        <w:tblLayout w:type="fixed"/>
        <w:tblCellMar>
          <w:top w:w="0" w:type="dxa"/>
          <w:left w:w="0" w:type="dxa"/>
          <w:bottom w:w="0" w:type="dxa"/>
          <w:right w:w="0" w:type="dxa"/>
        </w:tblCellMar>
        <w:tblLook w:val="01E0"/>
      </w:tblPr>
      <w:tblGrid>
        <w:gridCol w:w="9037"/>
      </w:tblGrid>
      <w:tr>
        <w:trPr>
          <w:trHeight w:val="1659" w:hRule="exact"/>
        </w:trPr>
        <w:tc>
          <w:tcPr>
            <w:tcW w:w="9037" w:type="dxa"/>
            <w:tcBorders>
              <w:top w:val="nil" w:sz="6" w:space="0" w:color="auto"/>
              <w:left w:val="nil" w:sz="6" w:space="0" w:color="auto"/>
              <w:bottom w:val="nil" w:sz="6" w:space="0" w:color="auto"/>
              <w:right w:val="nil" w:sz="6" w:space="0" w:color="auto"/>
            </w:tcBorders>
          </w:tcPr>
          <w:p>
            <w:pPr>
              <w:pStyle w:val="TableParagraph"/>
              <w:spacing w:line="247" w:lineRule="exact"/>
              <w:ind w:left="214" w:right="0"/>
              <w:jc w:val="left"/>
              <w:rPr>
                <w:rFonts w:ascii="宋体" w:hAnsi="宋体" w:cs="宋体" w:eastAsia="宋体" w:hint="default"/>
                <w:sz w:val="24"/>
                <w:szCs w:val="24"/>
              </w:rPr>
            </w:pPr>
            <w:r>
              <w:rPr>
                <w:rFonts w:ascii="宋体" w:hAnsi="宋体" w:cs="宋体" w:eastAsia="宋体" w:hint="default"/>
                <w:sz w:val="24"/>
                <w:szCs w:val="24"/>
              </w:rPr>
              <w:t>根据财政部于</w:t>
            </w:r>
            <w:r>
              <w:rPr>
                <w:rFonts w:ascii="宋体" w:hAnsi="宋体" w:cs="宋体" w:eastAsia="宋体" w:hint="default"/>
                <w:spacing w:val="-34"/>
                <w:sz w:val="24"/>
                <w:szCs w:val="24"/>
              </w:rPr>
              <w:t> </w:t>
            </w:r>
            <w:r>
              <w:rPr>
                <w:rFonts w:ascii="Arial" w:hAnsi="Arial" w:cs="Arial" w:eastAsia="Arial" w:hint="default"/>
                <w:sz w:val="24"/>
                <w:szCs w:val="24"/>
              </w:rPr>
              <w:t>2012</w:t>
            </w:r>
            <w:r>
              <w:rPr>
                <w:rFonts w:ascii="Arial" w:hAnsi="Arial" w:cs="Arial" w:eastAsia="Arial" w:hint="default"/>
                <w:spacing w:val="20"/>
                <w:sz w:val="24"/>
                <w:szCs w:val="24"/>
              </w:rPr>
              <w:t> </w:t>
            </w:r>
            <w:r>
              <w:rPr>
                <w:rFonts w:ascii="宋体" w:hAnsi="宋体" w:cs="宋体" w:eastAsia="宋体" w:hint="default"/>
                <w:sz w:val="24"/>
                <w:szCs w:val="24"/>
              </w:rPr>
              <w:t>年</w:t>
            </w:r>
            <w:r>
              <w:rPr>
                <w:rFonts w:ascii="宋体" w:hAnsi="宋体" w:cs="宋体" w:eastAsia="宋体" w:hint="default"/>
                <w:spacing w:val="-34"/>
                <w:sz w:val="24"/>
                <w:szCs w:val="24"/>
              </w:rPr>
              <w:t> </w:t>
            </w:r>
            <w:r>
              <w:rPr>
                <w:rFonts w:ascii="Arial" w:hAnsi="Arial" w:cs="Arial" w:eastAsia="Arial" w:hint="default"/>
                <w:sz w:val="24"/>
                <w:szCs w:val="24"/>
              </w:rPr>
              <w:t>3</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34"/>
                <w:sz w:val="24"/>
                <w:szCs w:val="24"/>
              </w:rPr>
              <w:t> </w:t>
            </w:r>
            <w:r>
              <w:rPr>
                <w:rFonts w:ascii="Arial" w:hAnsi="Arial" w:cs="Arial" w:eastAsia="Arial" w:hint="default"/>
                <w:sz w:val="24"/>
                <w:szCs w:val="24"/>
              </w:rPr>
              <w:t>30</w:t>
            </w:r>
            <w:r>
              <w:rPr>
                <w:rFonts w:ascii="Arial" w:hAnsi="Arial" w:cs="Arial" w:eastAsia="Arial" w:hint="default"/>
                <w:spacing w:val="19"/>
                <w:sz w:val="24"/>
                <w:szCs w:val="24"/>
              </w:rPr>
              <w:t> </w:t>
            </w:r>
            <w:r>
              <w:rPr>
                <w:rFonts w:ascii="宋体" w:hAnsi="宋体" w:cs="宋体" w:eastAsia="宋体" w:hint="default"/>
                <w:sz w:val="24"/>
                <w:szCs w:val="24"/>
              </w:rPr>
              <w:t>日颁布的《金融企业准备金计提管理办法》</w:t>
            </w:r>
            <w:r>
              <w:rPr>
                <w:rFonts w:ascii="Arial" w:hAnsi="Arial" w:cs="Arial" w:eastAsia="Arial" w:hint="default"/>
                <w:sz w:val="24"/>
                <w:szCs w:val="24"/>
              </w:rPr>
              <w:t>(</w:t>
            </w:r>
            <w:r>
              <w:rPr>
                <w:rFonts w:ascii="宋体" w:hAnsi="宋体" w:cs="宋体" w:eastAsia="宋体" w:hint="default"/>
                <w:sz w:val="24"/>
                <w:szCs w:val="24"/>
              </w:rPr>
              <w:t>财金</w:t>
            </w:r>
          </w:p>
          <w:p>
            <w:pPr>
              <w:pStyle w:val="TableParagraph"/>
              <w:spacing w:line="311" w:lineRule="exact"/>
              <w:ind w:left="214" w:right="0"/>
              <w:jc w:val="left"/>
              <w:rPr>
                <w:rFonts w:ascii="宋体" w:hAnsi="宋体" w:cs="宋体" w:eastAsia="宋体" w:hint="default"/>
                <w:sz w:val="24"/>
                <w:szCs w:val="24"/>
              </w:rPr>
            </w:pPr>
            <w:r>
              <w:rPr>
                <w:rFonts w:ascii="Arial" w:hAnsi="Arial" w:cs="Arial" w:eastAsia="Arial" w:hint="default"/>
                <w:sz w:val="24"/>
                <w:szCs w:val="24"/>
              </w:rPr>
              <w:t>[2012]20</w:t>
            </w:r>
            <w:r>
              <w:rPr>
                <w:rFonts w:ascii="Arial" w:hAnsi="Arial" w:cs="Arial" w:eastAsia="Arial" w:hint="default"/>
                <w:spacing w:val="-23"/>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，要求金融企业计提的一般风险准备余额原则上不得低于风险资产期</w:t>
            </w:r>
          </w:p>
          <w:p>
            <w:pPr>
              <w:pStyle w:val="TableParagraph"/>
              <w:spacing w:line="311" w:lineRule="exact"/>
              <w:ind w:left="214" w:right="0"/>
              <w:jc w:val="left"/>
              <w:rPr>
                <w:rFonts w:ascii="宋体" w:hAnsi="宋体" w:cs="宋体" w:eastAsia="宋体" w:hint="default"/>
                <w:sz w:val="24"/>
                <w:szCs w:val="24"/>
              </w:rPr>
            </w:pPr>
            <w:r>
              <w:rPr>
                <w:rFonts w:ascii="宋体" w:hAnsi="宋体" w:cs="宋体" w:eastAsia="宋体" w:hint="default"/>
                <w:sz w:val="24"/>
                <w:szCs w:val="24"/>
              </w:rPr>
              <w:t>末余额的</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，难以一次性达到</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的，于自</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7</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日起分</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年到位，</w:t>
            </w:r>
          </w:p>
          <w:p>
            <w:pPr>
              <w:pStyle w:val="TableParagraph"/>
              <w:spacing w:line="312" w:lineRule="exact" w:before="20"/>
              <w:ind w:left="214" w:right="319"/>
              <w:jc w:val="left"/>
              <w:rPr>
                <w:rFonts w:ascii="宋体" w:hAnsi="宋体" w:cs="宋体" w:eastAsia="宋体" w:hint="default"/>
                <w:sz w:val="24"/>
                <w:szCs w:val="24"/>
              </w:rPr>
            </w:pPr>
            <w:r>
              <w:rPr>
                <w:rFonts w:ascii="宋体" w:hAnsi="宋体" w:cs="宋体" w:eastAsia="宋体" w:hint="default"/>
                <w:sz w:val="24"/>
                <w:szCs w:val="24"/>
              </w:rPr>
              <w:t>原则上不得超过 </w:t>
            </w:r>
            <w:r>
              <w:rPr>
                <w:rFonts w:ascii="Arial" w:hAnsi="Arial" w:cs="Arial" w:eastAsia="Arial" w:hint="default"/>
                <w:sz w:val="24"/>
                <w:szCs w:val="24"/>
              </w:rPr>
              <w:t>5</w:t>
            </w:r>
            <w:r>
              <w:rPr>
                <w:rFonts w:ascii="Arial" w:hAnsi="Arial" w:cs="Arial" w:eastAsia="Arial" w:hint="default"/>
                <w:spacing w:val="18"/>
                <w:sz w:val="24"/>
                <w:szCs w:val="24"/>
              </w:rPr>
              <w:t> </w:t>
            </w:r>
            <w:r>
              <w:rPr>
                <w:rFonts w:ascii="宋体" w:hAnsi="宋体" w:cs="宋体" w:eastAsia="宋体" w:hint="default"/>
                <w:sz w:val="24"/>
                <w:szCs w:val="24"/>
              </w:rPr>
              <w:t>年。据此，本集团下属金融企业从净利润中提取一定金额作为 一般风险准备，用于部分弥补尚未识别的可能性损失。</w:t>
            </w:r>
          </w:p>
        </w:tc>
      </w:tr>
      <w:tr>
        <w:trPr>
          <w:trHeight w:val="1216" w:hRule="exact"/>
        </w:trPr>
        <w:tc>
          <w:tcPr>
            <w:tcW w:w="9037" w:type="dxa"/>
            <w:tcBorders>
              <w:top w:val="nil" w:sz="6" w:space="0" w:color="auto"/>
              <w:left w:val="nil" w:sz="6" w:space="0" w:color="auto"/>
              <w:bottom w:val="nil" w:sz="6" w:space="0" w:color="auto"/>
              <w:right w:val="nil" w:sz="6" w:space="0" w:color="auto"/>
            </w:tcBorders>
          </w:tcPr>
          <w:p>
            <w:pPr>
              <w:pStyle w:val="TableParagraph"/>
              <w:spacing w:line="321" w:lineRule="exact" w:before="99"/>
              <w:ind w:left="200" w:right="0"/>
              <w:jc w:val="left"/>
              <w:rPr>
                <w:rFonts w:ascii="Arial" w:hAnsi="Arial" w:cs="Arial" w:eastAsia="Arial" w:hint="default"/>
                <w:sz w:val="24"/>
                <w:szCs w:val="24"/>
              </w:rPr>
            </w:pPr>
            <w:r>
              <w:rPr>
                <w:rFonts w:ascii="宋体" w:hAnsi="宋体" w:cs="宋体" w:eastAsia="宋体" w:hint="default"/>
                <w:sz w:val="24"/>
                <w:szCs w:val="24"/>
              </w:rPr>
              <w:t>根据</w:t>
            </w:r>
            <w:r>
              <w:rPr>
                <w:rFonts w:ascii="宋体" w:hAnsi="宋体" w:cs="宋体" w:eastAsia="宋体" w:hint="default"/>
                <w:spacing w:val="-36"/>
                <w:sz w:val="24"/>
                <w:szCs w:val="24"/>
              </w:rPr>
              <w:t> </w:t>
            </w:r>
            <w:r>
              <w:rPr>
                <w:rFonts w:ascii="Arial" w:hAnsi="Arial" w:cs="Arial" w:eastAsia="Arial" w:hint="default"/>
                <w:sz w:val="24"/>
                <w:szCs w:val="24"/>
              </w:rPr>
              <w:t>2015</w:t>
            </w:r>
            <w:r>
              <w:rPr>
                <w:rFonts w:ascii="Arial" w:hAnsi="Arial" w:cs="Arial" w:eastAsia="Arial"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36"/>
                <w:sz w:val="24"/>
                <w:szCs w:val="24"/>
              </w:rPr>
              <w:t> </w:t>
            </w:r>
            <w:r>
              <w:rPr>
                <w:rFonts w:ascii="Arial" w:hAnsi="Arial" w:cs="Arial" w:eastAsia="Arial" w:hint="default"/>
                <w:sz w:val="24"/>
                <w:szCs w:val="24"/>
              </w:rPr>
              <w:t>4</w:t>
            </w:r>
            <w:r>
              <w:rPr>
                <w:rFonts w:ascii="Arial" w:hAnsi="Arial" w:cs="Arial" w:eastAsia="Arial" w:hint="default"/>
                <w:spacing w:val="17"/>
                <w:sz w:val="24"/>
                <w:szCs w:val="24"/>
              </w:rPr>
              <w:t> </w:t>
            </w:r>
            <w:r>
              <w:rPr>
                <w:rFonts w:ascii="宋体" w:hAnsi="宋体" w:cs="宋体" w:eastAsia="宋体" w:hint="default"/>
                <w:sz w:val="24"/>
                <w:szCs w:val="24"/>
              </w:rPr>
              <w:t>月</w:t>
            </w:r>
            <w:r>
              <w:rPr>
                <w:rFonts w:ascii="宋体" w:hAnsi="宋体" w:cs="宋体" w:eastAsia="宋体" w:hint="default"/>
                <w:spacing w:val="-36"/>
                <w:sz w:val="24"/>
                <w:szCs w:val="24"/>
              </w:rPr>
              <w:t> </w:t>
            </w:r>
            <w:r>
              <w:rPr>
                <w:rFonts w:ascii="Arial" w:hAnsi="Arial" w:cs="Arial" w:eastAsia="Arial" w:hint="default"/>
                <w:sz w:val="24"/>
                <w:szCs w:val="24"/>
              </w:rPr>
              <w:t>21</w:t>
            </w:r>
            <w:r>
              <w:rPr>
                <w:rFonts w:ascii="Arial" w:hAnsi="Arial" w:cs="Arial" w:eastAsia="Arial" w:hint="default"/>
                <w:spacing w:val="16"/>
                <w:sz w:val="24"/>
                <w:szCs w:val="24"/>
              </w:rPr>
              <w:t> </w:t>
            </w:r>
            <w:r>
              <w:rPr>
                <w:rFonts w:ascii="宋体" w:hAnsi="宋体" w:cs="宋体" w:eastAsia="宋体" w:hint="default"/>
                <w:sz w:val="24"/>
                <w:szCs w:val="24"/>
              </w:rPr>
              <w:t>日股东大会决议，本公司向全体股东派发现金股利，每</w:t>
            </w:r>
            <w:r>
              <w:rPr>
                <w:rFonts w:ascii="宋体" w:hAnsi="宋体" w:cs="宋体" w:eastAsia="宋体" w:hint="default"/>
                <w:spacing w:val="-36"/>
                <w:sz w:val="24"/>
                <w:szCs w:val="24"/>
              </w:rPr>
              <w:t> </w:t>
            </w:r>
            <w:r>
              <w:rPr>
                <w:rFonts w:ascii="Arial" w:hAnsi="Arial" w:cs="Arial" w:eastAsia="Arial" w:hint="default"/>
                <w:sz w:val="24"/>
                <w:szCs w:val="24"/>
              </w:rPr>
              <w:t>10</w:t>
            </w:r>
          </w:p>
          <w:p>
            <w:pPr>
              <w:pStyle w:val="TableParagraph"/>
              <w:spacing w:line="311" w:lineRule="exact"/>
              <w:ind w:left="214" w:right="0"/>
              <w:jc w:val="left"/>
              <w:rPr>
                <w:rFonts w:ascii="宋体" w:hAnsi="宋体" w:cs="宋体" w:eastAsia="宋体" w:hint="default"/>
                <w:sz w:val="24"/>
                <w:szCs w:val="24"/>
              </w:rPr>
            </w:pPr>
            <w:r>
              <w:rPr>
                <w:rFonts w:ascii="宋体" w:hAnsi="宋体" w:cs="宋体" w:eastAsia="宋体" w:hint="default"/>
                <w:sz w:val="24"/>
                <w:szCs w:val="24"/>
              </w:rPr>
              <w:t>股派发现金股利人民币</w:t>
            </w:r>
            <w:r>
              <w:rPr>
                <w:rFonts w:ascii="宋体" w:hAnsi="宋体" w:cs="宋体" w:eastAsia="宋体" w:hint="default"/>
                <w:spacing w:val="-63"/>
                <w:sz w:val="24"/>
                <w:szCs w:val="24"/>
              </w:rPr>
              <w:t> </w:t>
            </w:r>
            <w:r>
              <w:rPr>
                <w:rFonts w:ascii="Arial" w:hAnsi="Arial" w:cs="Arial" w:eastAsia="Arial" w:hint="default"/>
                <w:sz w:val="24"/>
                <w:szCs w:val="24"/>
              </w:rPr>
              <w:t>0.5</w:t>
            </w:r>
            <w:r>
              <w:rPr>
                <w:rFonts w:ascii="Arial" w:hAnsi="Arial" w:cs="Arial" w:eastAsia="Arial" w:hint="default"/>
                <w:spacing w:val="-10"/>
                <w:sz w:val="24"/>
                <w:szCs w:val="24"/>
              </w:rPr>
              <w:t> </w:t>
            </w: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，按已发行股份</w:t>
            </w:r>
            <w:r>
              <w:rPr>
                <w:rFonts w:ascii="宋体" w:hAnsi="宋体" w:cs="宋体" w:eastAsia="宋体" w:hint="default"/>
                <w:spacing w:val="-63"/>
                <w:sz w:val="24"/>
                <w:szCs w:val="24"/>
              </w:rPr>
              <w:t> </w:t>
            </w:r>
            <w:r>
              <w:rPr>
                <w:rFonts w:ascii="Arial" w:hAnsi="Arial" w:cs="Arial" w:eastAsia="Arial" w:hint="default"/>
                <w:sz w:val="24"/>
                <w:szCs w:val="24"/>
              </w:rPr>
              <w:t>7,383,043,150</w:t>
            </w:r>
            <w:r>
              <w:rPr>
                <w:rFonts w:ascii="Arial" w:hAnsi="Arial" w:cs="Arial" w:eastAsia="Arial" w:hint="default"/>
                <w:spacing w:val="-10"/>
                <w:sz w:val="24"/>
                <w:szCs w:val="24"/>
              </w:rPr>
              <w:t> </w:t>
            </w:r>
            <w:r>
              <w:rPr>
                <w:rFonts w:ascii="宋体" w:hAnsi="宋体" w:cs="宋体" w:eastAsia="宋体" w:hint="default"/>
                <w:sz w:val="24"/>
                <w:szCs w:val="24"/>
              </w:rPr>
              <w:t>股为基数，共</w:t>
            </w:r>
          </w:p>
          <w:p>
            <w:pPr>
              <w:pStyle w:val="TableParagraph"/>
              <w:spacing w:line="322" w:lineRule="exact"/>
              <w:ind w:left="214" w:right="0"/>
              <w:jc w:val="left"/>
              <w:rPr>
                <w:rFonts w:ascii="宋体" w:hAnsi="宋体" w:cs="宋体" w:eastAsia="宋体" w:hint="default"/>
                <w:sz w:val="24"/>
                <w:szCs w:val="24"/>
              </w:rPr>
            </w:pPr>
            <w:r>
              <w:rPr>
                <w:rFonts w:ascii="宋体" w:hAnsi="宋体" w:cs="宋体" w:eastAsia="宋体" w:hint="default"/>
                <w:sz w:val="24"/>
                <w:szCs w:val="24"/>
              </w:rPr>
              <w:t>计约人民币</w:t>
            </w:r>
            <w:r>
              <w:rPr>
                <w:rFonts w:ascii="宋体" w:hAnsi="宋体" w:cs="宋体" w:eastAsia="宋体" w:hint="default"/>
                <w:spacing w:val="-61"/>
                <w:sz w:val="24"/>
                <w:szCs w:val="24"/>
              </w:rPr>
              <w:t> </w:t>
            </w:r>
            <w:r>
              <w:rPr>
                <w:rFonts w:ascii="Arial" w:hAnsi="Arial" w:cs="Arial" w:eastAsia="Arial" w:hint="default"/>
                <w:sz w:val="24"/>
                <w:szCs w:val="24"/>
              </w:rPr>
              <w:t>3.69</w:t>
            </w:r>
            <w:r>
              <w:rPr>
                <w:rFonts w:ascii="Arial" w:hAnsi="Arial" w:cs="Arial" w:eastAsia="Arial" w:hint="default"/>
                <w:spacing w:val="-8"/>
                <w:sz w:val="24"/>
                <w:szCs w:val="24"/>
              </w:rPr>
              <w:t> </w:t>
            </w:r>
            <w:r>
              <w:rPr>
                <w:rFonts w:ascii="宋体" w:hAnsi="宋体" w:cs="宋体" w:eastAsia="宋体" w:hint="default"/>
                <w:sz w:val="24"/>
                <w:szCs w:val="24"/>
              </w:rPr>
              <w:t>亿元。</w:t>
            </w:r>
          </w:p>
        </w:tc>
      </w:tr>
      <w:tr>
        <w:trPr>
          <w:trHeight w:val="1353" w:hRule="exact"/>
        </w:trPr>
        <w:tc>
          <w:tcPr>
            <w:tcW w:w="9037" w:type="dxa"/>
            <w:tcBorders>
              <w:top w:val="nil" w:sz="6" w:space="0" w:color="auto"/>
              <w:left w:val="nil" w:sz="6" w:space="0" w:color="auto"/>
              <w:bottom w:val="nil" w:sz="6" w:space="0" w:color="auto"/>
              <w:right w:val="nil" w:sz="6" w:space="0" w:color="auto"/>
            </w:tcBorders>
          </w:tcPr>
          <w:p>
            <w:pPr>
              <w:pStyle w:val="TableParagraph"/>
              <w:spacing w:line="321" w:lineRule="exact" w:before="93"/>
              <w:ind w:left="200" w:right="0"/>
              <w:jc w:val="left"/>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6</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2</w:t>
            </w:r>
            <w:r>
              <w:rPr>
                <w:rFonts w:ascii="Arial" w:hAnsi="Arial" w:cs="Arial" w:eastAsia="Arial" w:hint="default"/>
                <w:w w:val="99"/>
                <w:sz w:val="24"/>
                <w:szCs w:val="24"/>
              </w:rPr>
              <w:t>9</w:t>
            </w:r>
            <w:r>
              <w:rPr>
                <w:rFonts w:ascii="Arial" w:hAnsi="Arial" w:cs="Arial" w:eastAsia="Arial" w:hint="default"/>
                <w:spacing w:val="-6"/>
                <w:sz w:val="24"/>
                <w:szCs w:val="24"/>
              </w:rPr>
              <w:t> </w:t>
            </w:r>
            <w:r>
              <w:rPr>
                <w:rFonts w:ascii="宋体" w:hAnsi="宋体" w:cs="宋体" w:eastAsia="宋体" w:hint="default"/>
                <w:sz w:val="24"/>
                <w:szCs w:val="24"/>
              </w:rPr>
              <w:t>日董事会决议</w:t>
            </w:r>
            <w:r>
              <w:rPr>
                <w:rFonts w:ascii="宋体" w:hAnsi="宋体" w:cs="宋体" w:eastAsia="宋体" w:hint="default"/>
                <w:spacing w:val="-100"/>
                <w:sz w:val="24"/>
                <w:szCs w:val="24"/>
              </w:rPr>
              <w:t>，</w:t>
            </w:r>
            <w:r>
              <w:rPr>
                <w:rFonts w:ascii="宋体" w:hAnsi="宋体" w:cs="宋体" w:eastAsia="宋体" w:hint="default"/>
                <w:sz w:val="24"/>
                <w:szCs w:val="24"/>
              </w:rPr>
              <w:t>董事会提议本公司向全体股东派发现金股利，</w:t>
            </w:r>
          </w:p>
          <w:p>
            <w:pPr>
              <w:pStyle w:val="TableParagraph"/>
              <w:spacing w:line="311" w:lineRule="exact"/>
              <w:ind w:left="214"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47"/>
                <w:sz w:val="24"/>
                <w:szCs w:val="24"/>
              </w:rPr>
              <w:t> </w:t>
            </w:r>
            <w:r>
              <w:rPr>
                <w:rFonts w:ascii="Arial" w:hAnsi="Arial" w:cs="Arial" w:eastAsia="Arial" w:hint="default"/>
                <w:sz w:val="24"/>
                <w:szCs w:val="24"/>
              </w:rPr>
              <w:t>10</w:t>
            </w:r>
            <w:r>
              <w:rPr>
                <w:rFonts w:ascii="Arial" w:hAnsi="Arial" w:cs="Arial" w:eastAsia="Arial" w:hint="default"/>
                <w:spacing w:val="6"/>
                <w:sz w:val="24"/>
                <w:szCs w:val="24"/>
              </w:rPr>
              <w:t> </w:t>
            </w:r>
            <w:r>
              <w:rPr>
                <w:rFonts w:ascii="宋体" w:hAnsi="宋体" w:cs="宋体" w:eastAsia="宋体" w:hint="default"/>
                <w:sz w:val="24"/>
                <w:szCs w:val="24"/>
              </w:rPr>
              <w:t>股派发现金股利人民币</w:t>
            </w:r>
            <w:r>
              <w:rPr>
                <w:rFonts w:ascii="宋体" w:hAnsi="宋体" w:cs="宋体" w:eastAsia="宋体" w:hint="default"/>
                <w:spacing w:val="-47"/>
                <w:sz w:val="24"/>
                <w:szCs w:val="24"/>
              </w:rPr>
              <w:t> </w:t>
            </w:r>
            <w:r>
              <w:rPr>
                <w:rFonts w:ascii="Arial" w:hAnsi="Arial" w:cs="Arial" w:eastAsia="Arial" w:hint="default"/>
                <w:sz w:val="24"/>
                <w:szCs w:val="24"/>
              </w:rPr>
              <w:t>0.6</w:t>
            </w:r>
            <w:r>
              <w:rPr>
                <w:rFonts w:ascii="Arial" w:hAnsi="Arial" w:cs="Arial" w:eastAsia="Arial" w:hint="default"/>
                <w:spacing w:val="6"/>
                <w:sz w:val="24"/>
                <w:szCs w:val="24"/>
              </w:rPr>
              <w:t> </w:t>
            </w: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，按已发行股份</w:t>
            </w:r>
            <w:r>
              <w:rPr>
                <w:rFonts w:ascii="宋体" w:hAnsi="宋体" w:cs="宋体" w:eastAsia="宋体" w:hint="default"/>
                <w:spacing w:val="-47"/>
                <w:sz w:val="24"/>
                <w:szCs w:val="24"/>
              </w:rPr>
              <w:t> </w:t>
            </w:r>
            <w:r>
              <w:rPr>
                <w:rFonts w:ascii="Arial" w:hAnsi="Arial" w:cs="Arial" w:eastAsia="Arial" w:hint="default"/>
                <w:sz w:val="24"/>
                <w:szCs w:val="24"/>
              </w:rPr>
              <w:t>7,383,043,150</w:t>
            </w:r>
            <w:r>
              <w:rPr>
                <w:rFonts w:ascii="Arial" w:hAnsi="Arial" w:cs="Arial" w:eastAsia="Arial" w:hint="default"/>
                <w:spacing w:val="5"/>
                <w:sz w:val="24"/>
                <w:szCs w:val="24"/>
              </w:rPr>
              <w:t> </w:t>
            </w:r>
            <w:r>
              <w:rPr>
                <w:rFonts w:ascii="宋体" w:hAnsi="宋体" w:cs="宋体" w:eastAsia="宋体" w:hint="default"/>
                <w:sz w:val="24"/>
                <w:szCs w:val="24"/>
              </w:rPr>
              <w:t>股为基</w:t>
            </w:r>
          </w:p>
          <w:p>
            <w:pPr>
              <w:pStyle w:val="TableParagraph"/>
              <w:spacing w:line="310" w:lineRule="exact" w:before="22"/>
              <w:ind w:left="214" w:right="319"/>
              <w:jc w:val="left"/>
              <w:rPr>
                <w:rFonts w:ascii="宋体" w:hAnsi="宋体" w:cs="宋体" w:eastAsia="宋体" w:hint="default"/>
                <w:sz w:val="24"/>
                <w:szCs w:val="24"/>
              </w:rPr>
            </w:pPr>
            <w:r>
              <w:rPr>
                <w:rFonts w:ascii="宋体" w:hAnsi="宋体" w:cs="宋体" w:eastAsia="宋体" w:hint="default"/>
                <w:spacing w:val="-3"/>
                <w:sz w:val="24"/>
                <w:szCs w:val="24"/>
              </w:rPr>
              <w:t>数，拟派发现金股利共计约人民币</w:t>
            </w:r>
            <w:r>
              <w:rPr>
                <w:rFonts w:ascii="宋体" w:hAnsi="宋体" w:cs="宋体" w:eastAsia="宋体" w:hint="default"/>
                <w:spacing w:val="-54"/>
                <w:sz w:val="24"/>
                <w:szCs w:val="24"/>
              </w:rPr>
              <w:t> </w:t>
            </w:r>
            <w:r>
              <w:rPr>
                <w:rFonts w:ascii="Arial" w:hAnsi="Arial" w:cs="Arial" w:eastAsia="Arial" w:hint="default"/>
                <w:sz w:val="24"/>
                <w:szCs w:val="24"/>
              </w:rPr>
              <w:t>4.43</w:t>
            </w:r>
            <w:r>
              <w:rPr>
                <w:rFonts w:ascii="Arial" w:hAnsi="Arial" w:cs="Arial" w:eastAsia="Arial" w:hint="default"/>
                <w:spacing w:val="-1"/>
                <w:sz w:val="24"/>
                <w:szCs w:val="24"/>
              </w:rPr>
              <w:t> </w:t>
            </w:r>
            <w:r>
              <w:rPr>
                <w:rFonts w:ascii="宋体" w:hAnsi="宋体" w:cs="宋体" w:eastAsia="宋体" w:hint="default"/>
                <w:spacing w:val="-3"/>
                <w:sz w:val="24"/>
                <w:szCs w:val="24"/>
              </w:rPr>
              <w:t>亿元，上述提议尚待股东大会批准</w:t>
            </w:r>
            <w:r>
              <w:rPr>
                <w:rFonts w:ascii="Arial" w:hAnsi="Arial" w:cs="Arial" w:eastAsia="Arial" w:hint="default"/>
                <w:spacing w:val="-3"/>
                <w:sz w:val="24"/>
                <w:szCs w:val="24"/>
              </w:rPr>
              <w:t>(</w:t>
            </w:r>
            <w:r>
              <w:rPr>
                <w:rFonts w:ascii="宋体" w:hAnsi="宋体" w:cs="宋体" w:eastAsia="宋体" w:hint="default"/>
                <w:spacing w:val="-3"/>
                <w:sz w:val="24"/>
                <w:szCs w:val="24"/>
              </w:rPr>
              <w:t>附注十</w:t>
            </w:r>
            <w:r>
              <w:rPr>
                <w:rFonts w:ascii="宋体" w:hAnsi="宋体" w:cs="宋体" w:eastAsia="宋体" w:hint="default"/>
                <w:sz w:val="24"/>
                <w:szCs w:val="24"/>
              </w:rPr>
              <w:t> 二</w:t>
            </w:r>
            <w:r>
              <w:rPr>
                <w:rFonts w:ascii="Arial" w:hAnsi="Arial" w:cs="Arial" w:eastAsia="Arial" w:hint="default"/>
                <w:sz w:val="24"/>
                <w:szCs w:val="24"/>
              </w:rPr>
              <w:t>(2))</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56" w:type="dxa"/>
        <w:tblLayout w:type="fixed"/>
        <w:tblCellMar>
          <w:top w:w="0" w:type="dxa"/>
          <w:left w:w="0" w:type="dxa"/>
          <w:bottom w:w="0" w:type="dxa"/>
          <w:right w:w="0" w:type="dxa"/>
        </w:tblCellMar>
        <w:tblLook w:val="01E0"/>
      </w:tblPr>
      <w:tblGrid>
        <w:gridCol w:w="721"/>
        <w:gridCol w:w="3160"/>
        <w:gridCol w:w="3560"/>
        <w:gridCol w:w="2134"/>
      </w:tblGrid>
      <w:tr>
        <w:trPr>
          <w:trHeight w:val="421"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(44)</w:t>
            </w:r>
          </w:p>
        </w:tc>
        <w:tc>
          <w:tcPr>
            <w:tcW w:w="3160" w:type="dxa"/>
            <w:tcBorders>
              <w:top w:val="nil" w:sz="6" w:space="0" w:color="auto"/>
              <w:left w:val="nil" w:sz="6" w:space="0" w:color="auto"/>
              <w:bottom w:val="nil" w:sz="6" w:space="0" w:color="auto"/>
              <w:right w:val="nil" w:sz="6" w:space="0" w:color="auto"/>
            </w:tcBorders>
          </w:tcPr>
          <w:p>
            <w:pPr>
              <w:pStyle w:val="TableParagraph"/>
              <w:spacing w:line="247" w:lineRule="exact"/>
              <w:ind w:left="94" w:right="0"/>
              <w:jc w:val="left"/>
              <w:rPr>
                <w:rFonts w:ascii="黑体" w:hAnsi="黑体" w:cs="黑体" w:eastAsia="黑体" w:hint="default"/>
                <w:sz w:val="24"/>
                <w:szCs w:val="24"/>
              </w:rPr>
            </w:pPr>
            <w:r>
              <w:rPr>
                <w:rFonts w:ascii="黑体" w:hAnsi="黑体" w:cs="黑体" w:eastAsia="黑体" w:hint="default"/>
                <w:sz w:val="24"/>
                <w:szCs w:val="24"/>
              </w:rPr>
              <w:t>营业收入和营业成本</w:t>
            </w:r>
          </w:p>
        </w:tc>
        <w:tc>
          <w:tcPr>
            <w:tcW w:w="356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612"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86"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77"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4"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625" w:right="0"/>
              <w:jc w:val="left"/>
              <w:rPr>
                <w:rFonts w:ascii="Arial" w:hAnsi="Arial" w:cs="Arial" w:eastAsia="Arial" w:hint="default"/>
                <w:sz w:val="24"/>
                <w:szCs w:val="24"/>
              </w:rPr>
            </w:pPr>
            <w:r>
              <w:rPr>
                <w:rFonts w:ascii="Arial"/>
                <w:sz w:val="24"/>
              </w:rPr>
              <w:t>133,894,034</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198"/>
              <w:jc w:val="right"/>
              <w:rPr>
                <w:rFonts w:ascii="Arial" w:hAnsi="Arial" w:cs="Arial" w:eastAsia="Arial" w:hint="default"/>
                <w:sz w:val="24"/>
                <w:szCs w:val="24"/>
              </w:rPr>
            </w:pPr>
            <w:r>
              <w:rPr>
                <w:rFonts w:ascii="Arial"/>
                <w:spacing w:val="-1"/>
                <w:sz w:val="24"/>
              </w:rPr>
              <w:t>107,259,688</w:t>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560" w:type="dxa"/>
            <w:tcBorders>
              <w:top w:val="nil" w:sz="6" w:space="0" w:color="auto"/>
              <w:left w:val="nil" w:sz="6" w:space="0" w:color="auto"/>
              <w:bottom w:val="nil" w:sz="6" w:space="0" w:color="auto"/>
              <w:right w:val="nil" w:sz="6" w:space="0" w:color="auto"/>
            </w:tcBorders>
          </w:tcPr>
          <w:p>
            <w:pPr>
              <w:pStyle w:val="TableParagraph"/>
              <w:tabs>
                <w:tab w:pos="1892" w:val="left" w:leader="none"/>
                <w:tab w:pos="3323" w:val="left" w:leader="none"/>
                <w:tab w:pos="4425" w:val="left" w:leader="none"/>
              </w:tabs>
              <w:spacing w:line="240" w:lineRule="auto" w:before="18"/>
              <w:ind w:left="889" w:right="-866"/>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1,653,599</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34" w:type="dxa"/>
            <w:tcBorders>
              <w:top w:val="nil" w:sz="6" w:space="0" w:color="auto"/>
              <w:left w:val="nil" w:sz="6" w:space="0" w:color="auto"/>
              <w:bottom w:val="nil" w:sz="6" w:space="0" w:color="auto"/>
              <w:right w:val="nil" w:sz="6" w:space="0" w:color="auto"/>
            </w:tcBorders>
          </w:tcPr>
          <w:p>
            <w:pPr>
              <w:pStyle w:val="TableParagraph"/>
              <w:tabs>
                <w:tab w:pos="1143" w:val="left" w:leader="none"/>
              </w:tabs>
              <w:spacing w:line="240" w:lineRule="auto" w:before="18"/>
              <w:ind w:right="122"/>
              <w:jc w:val="right"/>
              <w:rPr>
                <w:rFonts w:ascii="Arial" w:hAnsi="Arial" w:cs="Arial" w:eastAsia="Arial" w:hint="default"/>
                <w:sz w:val="24"/>
                <w:szCs w:val="24"/>
              </w:rPr>
            </w:pPr>
            <w:r>
              <w:rPr>
                <w:rFonts w:ascii="Arial"/>
                <w:w w:val="99"/>
                <w:sz w:val="24"/>
              </w:rPr>
            </w:r>
            <w:r>
              <w:rPr>
                <w:rFonts w:ascii="Arial"/>
                <w:spacing w:val="-1"/>
                <w:sz w:val="24"/>
                <w:u w:val="single" w:color="000000"/>
              </w:rPr>
              <w:t>1,665,608</w:t>
              <w:tab/>
            </w:r>
            <w:r>
              <w:rPr>
                <w:rFonts w:ascii="Arial"/>
                <w:spacing w:val="-1"/>
                <w:sz w:val="24"/>
              </w:rPr>
            </w:r>
          </w:p>
        </w:tc>
      </w:tr>
      <w:tr>
        <w:trPr>
          <w:trHeight w:val="438"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nil" w:sz="6" w:space="0" w:color="auto"/>
              <w:right w:val="nil" w:sz="6" w:space="0" w:color="auto"/>
            </w:tcBorders>
          </w:tcPr>
          <w:p>
            <w:pPr>
              <w:pStyle w:val="TableParagraph"/>
              <w:tabs>
                <w:tab w:pos="1625" w:val="left" w:leader="none"/>
                <w:tab w:pos="3323" w:val="left" w:leader="none"/>
                <w:tab w:pos="4159" w:val="left" w:leader="none"/>
              </w:tabs>
              <w:spacing w:line="268" w:lineRule="exact"/>
              <w:ind w:left="889" w:right="-60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135,547,633</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34" w:type="dxa"/>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68" w:lineRule="exact"/>
              <w:ind w:right="122"/>
              <w:jc w:val="right"/>
              <w:rPr>
                <w:rFonts w:ascii="Arial" w:hAnsi="Arial" w:cs="Arial" w:eastAsia="Arial" w:hint="default"/>
                <w:sz w:val="24"/>
                <w:szCs w:val="24"/>
              </w:rPr>
            </w:pPr>
            <w:r>
              <w:rPr>
                <w:rFonts w:ascii="Arial"/>
                <w:w w:val="99"/>
                <w:sz w:val="24"/>
              </w:rPr>
            </w:r>
            <w:r>
              <w:rPr>
                <w:rFonts w:ascii="Arial"/>
                <w:spacing w:val="-1"/>
                <w:sz w:val="24"/>
                <w:u w:val="thick" w:color="000000"/>
              </w:rPr>
              <w:t>108,925,296</w:t>
              <w:tab/>
            </w:r>
            <w:r>
              <w:rPr>
                <w:rFonts w:ascii="Arial"/>
                <w:spacing w:val="-1"/>
                <w:sz w:val="24"/>
              </w:rPr>
            </w:r>
          </w:p>
        </w:tc>
      </w:tr>
      <w:tr>
        <w:trPr>
          <w:trHeight w:val="595"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886"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4"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643" w:right="0"/>
              <w:jc w:val="left"/>
              <w:rPr>
                <w:rFonts w:ascii="Arial" w:hAnsi="Arial" w:cs="Arial" w:eastAsia="Arial" w:hint="default"/>
                <w:sz w:val="24"/>
                <w:szCs w:val="24"/>
              </w:rPr>
            </w:pPr>
            <w:r>
              <w:rPr>
                <w:rFonts w:ascii="Arial"/>
                <w:sz w:val="24"/>
              </w:rPr>
              <w:t>115,548,378</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5"/>
                <w:sz w:val="24"/>
              </w:rPr>
              <w:t>91,907,828</w:t>
            </w:r>
            <w:r>
              <w:rPr>
                <w:rFonts w:ascii="Arial"/>
                <w:sz w:val="24"/>
              </w:rPr>
            </w:r>
          </w:p>
        </w:tc>
      </w:tr>
      <w:tr>
        <w:trPr>
          <w:trHeight w:val="313"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3560" w:type="dxa"/>
            <w:tcBorders>
              <w:top w:val="nil" w:sz="6" w:space="0" w:color="auto"/>
              <w:left w:val="nil" w:sz="6" w:space="0" w:color="auto"/>
              <w:bottom w:val="nil" w:sz="6" w:space="0" w:color="auto"/>
              <w:right w:val="nil" w:sz="6" w:space="0" w:color="auto"/>
            </w:tcBorders>
          </w:tcPr>
          <w:p>
            <w:pPr>
              <w:pStyle w:val="TableParagraph"/>
              <w:tabs>
                <w:tab w:pos="2092" w:val="left" w:leader="none"/>
                <w:tab w:pos="3323" w:val="left" w:leader="none"/>
                <w:tab w:pos="4625" w:val="left" w:leader="none"/>
              </w:tabs>
              <w:spacing w:line="240" w:lineRule="auto" w:before="19"/>
              <w:ind w:left="889" w:right="-1067"/>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432,804</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34" w:type="dxa"/>
            <w:tcBorders>
              <w:top w:val="nil" w:sz="6" w:space="0" w:color="auto"/>
              <w:left w:val="nil" w:sz="6" w:space="0" w:color="auto"/>
              <w:bottom w:val="nil" w:sz="6" w:space="0" w:color="auto"/>
              <w:right w:val="nil" w:sz="6" w:space="0" w:color="auto"/>
            </w:tcBorders>
          </w:tcPr>
          <w:p>
            <w:pPr>
              <w:pStyle w:val="TableParagraph"/>
              <w:tabs>
                <w:tab w:pos="943" w:val="left" w:leader="none"/>
              </w:tabs>
              <w:spacing w:line="240" w:lineRule="auto" w:before="19"/>
              <w:ind w:right="122"/>
              <w:jc w:val="right"/>
              <w:rPr>
                <w:rFonts w:ascii="Arial" w:hAnsi="Arial" w:cs="Arial" w:eastAsia="Arial" w:hint="default"/>
                <w:sz w:val="24"/>
                <w:szCs w:val="24"/>
              </w:rPr>
            </w:pPr>
            <w:r>
              <w:rPr>
                <w:rFonts w:ascii="Arial"/>
                <w:w w:val="99"/>
                <w:sz w:val="24"/>
              </w:rPr>
            </w:r>
            <w:r>
              <w:rPr>
                <w:rFonts w:ascii="Arial"/>
                <w:spacing w:val="-1"/>
                <w:sz w:val="24"/>
                <w:u w:val="single" w:color="000000"/>
              </w:rPr>
              <w:t>376,744</w:t>
              <w:tab/>
            </w:r>
            <w:r>
              <w:rPr>
                <w:rFonts w:ascii="Arial"/>
                <w:spacing w:val="-1"/>
                <w:sz w:val="24"/>
              </w:rPr>
            </w:r>
          </w:p>
        </w:tc>
      </w:tr>
      <w:tr>
        <w:trPr>
          <w:trHeight w:val="263"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nil" w:sz="6" w:space="0" w:color="auto"/>
              <w:right w:val="nil" w:sz="6" w:space="0" w:color="auto"/>
            </w:tcBorders>
          </w:tcPr>
          <w:p>
            <w:pPr>
              <w:pStyle w:val="TableParagraph"/>
              <w:tabs>
                <w:tab w:pos="1643" w:val="left" w:leader="none"/>
                <w:tab w:pos="3323" w:val="left" w:leader="none"/>
                <w:tab w:pos="4292" w:val="left" w:leader="none"/>
              </w:tabs>
              <w:spacing w:line="268" w:lineRule="exact"/>
              <w:ind w:left="889" w:right="-733"/>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115,981,182</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34" w:type="dxa"/>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68" w:lineRule="exact"/>
              <w:ind w:right="122"/>
              <w:jc w:val="right"/>
              <w:rPr>
                <w:rFonts w:ascii="Arial" w:hAnsi="Arial" w:cs="Arial" w:eastAsia="Arial" w:hint="default"/>
                <w:sz w:val="24"/>
                <w:szCs w:val="24"/>
              </w:rPr>
            </w:pPr>
            <w:r>
              <w:rPr>
                <w:rFonts w:ascii="Arial"/>
                <w:w w:val="99"/>
                <w:sz w:val="24"/>
              </w:rPr>
            </w:r>
            <w:r>
              <w:rPr>
                <w:rFonts w:ascii="Arial"/>
                <w:w w:val="95"/>
                <w:sz w:val="24"/>
                <w:u w:val="thick" w:color="000000"/>
              </w:rPr>
              <w:t>92,284,572</w:t>
            </w:r>
            <w:r>
              <w:rPr>
                <w:rFonts w:ascii="Arial"/>
                <w:sz w:val="24"/>
                <w:u w:val="thick" w:color="000000"/>
              </w:rPr>
              <w:tab/>
            </w:r>
            <w:r>
              <w:rPr>
                <w:rFonts w:ascii="Arial"/>
                <w:sz w:val="24"/>
              </w:rPr>
            </w:r>
          </w:p>
        </w:tc>
      </w:tr>
    </w:tbl>
    <w:p>
      <w:pPr>
        <w:spacing w:after="0" w:line="268" w:lineRule="exact"/>
        <w:jc w:val="right"/>
        <w:rPr>
          <w:rFonts w:ascii="Arial" w:hAnsi="Arial" w:cs="Arial" w:eastAsia="Arial" w:hint="default"/>
          <w:sz w:val="24"/>
          <w:szCs w:val="24"/>
        </w:rPr>
        <w:sectPr>
          <w:pgSz w:w="11910" w:h="16840"/>
          <w:pgMar w:header="0" w:footer="698" w:top="1860" w:bottom="880" w:left="14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721"/>
        <w:gridCol w:w="1925"/>
        <w:gridCol w:w="1664"/>
        <w:gridCol w:w="1662"/>
        <w:gridCol w:w="146"/>
        <w:gridCol w:w="1776"/>
        <w:gridCol w:w="1699"/>
      </w:tblGrid>
      <w:tr>
        <w:trPr>
          <w:trHeight w:val="416"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9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588"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(44)</w:t>
            </w: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94"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585"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94"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587" w:hRule="exact"/>
        </w:trPr>
        <w:tc>
          <w:tcPr>
            <w:tcW w:w="721" w:type="dxa"/>
            <w:tcBorders>
              <w:top w:val="nil" w:sz="6" w:space="0" w:color="auto"/>
              <w:left w:val="nil" w:sz="6" w:space="0" w:color="auto"/>
              <w:bottom w:val="nil" w:sz="6" w:space="0" w:color="auto"/>
              <w:right w:val="nil" w:sz="6" w:space="0" w:color="auto"/>
            </w:tcBorders>
          </w:tcPr>
          <w:p>
            <w:pP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94"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454"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33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right="3"/>
              <w:jc w:val="center"/>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62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9"/>
              <w:ind w:left="130" w:right="0"/>
              <w:jc w:val="center"/>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2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76" w:lineRule="exact"/>
              <w:ind w:left="61"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76" w:lineRule="exact"/>
              <w:ind w:left="16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76" w:lineRule="exact"/>
              <w:ind w:left="133"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76" w:lineRule="exact"/>
              <w:ind w:left="20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629"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4"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156" w:right="0"/>
              <w:jc w:val="left"/>
              <w:rPr>
                <w:rFonts w:ascii="Arial" w:hAnsi="Arial" w:cs="Arial" w:eastAsia="Arial" w:hint="default"/>
                <w:sz w:val="24"/>
                <w:szCs w:val="24"/>
              </w:rPr>
            </w:pPr>
            <w:r>
              <w:rPr>
                <w:rFonts w:ascii="Arial"/>
                <w:sz w:val="24"/>
              </w:rPr>
              <w:t>129,965,009</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275" w:right="0"/>
              <w:jc w:val="left"/>
              <w:rPr>
                <w:rFonts w:ascii="Arial" w:hAnsi="Arial" w:cs="Arial" w:eastAsia="Arial" w:hint="default"/>
                <w:sz w:val="24"/>
                <w:szCs w:val="24"/>
              </w:rPr>
            </w:pPr>
            <w:r>
              <w:rPr>
                <w:rFonts w:ascii="Arial"/>
                <w:sz w:val="24"/>
              </w:rPr>
              <w:t>112,463,684</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228" w:right="0"/>
              <w:jc w:val="left"/>
              <w:rPr>
                <w:rFonts w:ascii="Arial" w:hAnsi="Arial" w:cs="Arial" w:eastAsia="Arial" w:hint="default"/>
                <w:sz w:val="24"/>
                <w:szCs w:val="24"/>
              </w:rPr>
            </w:pPr>
            <w:r>
              <w:rPr>
                <w:rFonts w:ascii="Arial"/>
                <w:sz w:val="24"/>
              </w:rPr>
              <w:t>106,145,943</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right="73"/>
              <w:jc w:val="right"/>
              <w:rPr>
                <w:rFonts w:ascii="Arial" w:hAnsi="Arial" w:cs="Arial" w:eastAsia="Arial" w:hint="default"/>
                <w:sz w:val="24"/>
                <w:szCs w:val="24"/>
              </w:rPr>
            </w:pPr>
            <w:r>
              <w:rPr>
                <w:rFonts w:ascii="Arial"/>
                <w:spacing w:val="-2"/>
                <w:sz w:val="24"/>
              </w:rPr>
              <w:t>91,011,727</w:t>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23" w:right="0"/>
              <w:jc w:val="left"/>
              <w:rPr>
                <w:rFonts w:ascii="Arial" w:hAnsi="Arial" w:cs="Arial" w:eastAsia="Arial" w:hint="default"/>
                <w:sz w:val="24"/>
                <w:szCs w:val="24"/>
              </w:rPr>
            </w:pPr>
            <w:r>
              <w:rPr>
                <w:rFonts w:ascii="Arial"/>
                <w:sz w:val="24"/>
              </w:rPr>
              <w:t>1,127,063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8"/>
              <w:jc w:val="right"/>
              <w:rPr>
                <w:rFonts w:ascii="Arial" w:hAnsi="Arial" w:cs="Arial" w:eastAsia="Arial" w:hint="default"/>
                <w:sz w:val="24"/>
                <w:szCs w:val="24"/>
              </w:rPr>
            </w:pPr>
            <w:r>
              <w:rPr>
                <w:rFonts w:ascii="Arial"/>
                <w:spacing w:val="-1"/>
                <w:sz w:val="24"/>
              </w:rPr>
              <w:t>900,056</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2"/>
              <w:jc w:val="right"/>
              <w:rPr>
                <w:rFonts w:ascii="Arial" w:hAnsi="Arial" w:cs="Arial" w:eastAsia="Arial" w:hint="default"/>
                <w:sz w:val="24"/>
                <w:szCs w:val="24"/>
              </w:rPr>
            </w:pPr>
            <w:r>
              <w:rPr>
                <w:rFonts w:ascii="Arial"/>
                <w:spacing w:val="-1"/>
                <w:sz w:val="24"/>
              </w:rPr>
              <w:t>894,748</w:t>
            </w:r>
            <w:r>
              <w:rPr>
                <w:rFonts w:ascii="Arial"/>
                <w:sz w:val="24"/>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3"/>
              <w:jc w:val="right"/>
              <w:rPr>
                <w:rFonts w:ascii="Arial" w:hAnsi="Arial" w:cs="Arial" w:eastAsia="Arial" w:hint="default"/>
                <w:sz w:val="24"/>
                <w:szCs w:val="24"/>
              </w:rPr>
            </w:pPr>
            <w:r>
              <w:rPr>
                <w:rFonts w:ascii="Arial"/>
                <w:spacing w:val="-1"/>
                <w:sz w:val="24"/>
              </w:rPr>
              <w:t>701,415</w:t>
            </w:r>
            <w:r>
              <w:rPr>
                <w:rFonts w:ascii="Arial"/>
                <w:sz w:val="24"/>
              </w:rPr>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Arial" w:hAnsi="Arial" w:cs="Arial" w:eastAsia="Arial" w:hint="default"/>
                <w:sz w:val="24"/>
                <w:szCs w:val="24"/>
              </w:rPr>
            </w:pPr>
            <w:r>
              <w:rPr>
                <w:rFonts w:ascii="宋体" w:hAnsi="宋体" w:cs="宋体" w:eastAsia="宋体" w:hint="default"/>
                <w:sz w:val="24"/>
                <w:szCs w:val="24"/>
              </w:rPr>
              <w:t>其他行业</w:t>
            </w:r>
            <w:r>
              <w:rPr>
                <w:rFonts w:ascii="Arial" w:hAnsi="Arial" w:cs="Arial" w:eastAsia="Arial" w:hint="default"/>
                <w:sz w:val="24"/>
                <w:szCs w:val="24"/>
              </w:rPr>
              <w:t>(i)</w:t>
            </w:r>
          </w:p>
        </w:tc>
        <w:tc>
          <w:tcPr>
            <w:tcW w:w="1664" w:type="dxa"/>
            <w:tcBorders>
              <w:top w:val="nil" w:sz="6" w:space="0" w:color="auto"/>
              <w:left w:val="nil" w:sz="6" w:space="0" w:color="auto"/>
              <w:bottom w:val="nil" w:sz="6" w:space="0" w:color="auto"/>
              <w:right w:val="nil" w:sz="6" w:space="0" w:color="auto"/>
            </w:tcBorders>
          </w:tcPr>
          <w:p>
            <w:pPr>
              <w:pStyle w:val="TableParagraph"/>
              <w:tabs>
                <w:tab w:pos="423" w:val="left" w:leader="none"/>
                <w:tab w:pos="1558" w:val="left" w:leader="none"/>
              </w:tabs>
              <w:spacing w:line="240" w:lineRule="auto" w:before="18"/>
              <w:ind w:right="10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2,801,962</w:t>
            </w:r>
            <w:r>
              <w:rPr>
                <w:rFonts w:ascii="Arial"/>
                <w:sz w:val="24"/>
                <w:u w:val="single" w:color="000000"/>
              </w:rPr>
              <w:tab/>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488" w:val="left" w:leader="none"/>
                <w:tab w:pos="1625" w:val="left" w:leader="none"/>
              </w:tabs>
              <w:spacing w:line="240" w:lineRule="auto" w:before="18"/>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2,184,638</w:t>
            </w:r>
            <w:r>
              <w:rPr>
                <w:rFonts w:ascii="Arial"/>
                <w:sz w:val="24"/>
                <w:u w:val="single" w:color="000000"/>
              </w:rPr>
              <w:tab/>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tabs>
                <w:tab w:pos="696" w:val="left" w:leader="none"/>
                <w:tab w:pos="1631" w:val="left" w:leader="none"/>
              </w:tabs>
              <w:spacing w:line="240" w:lineRule="auto" w:before="18"/>
              <w:ind w:left="-12" w:right="14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218,997</w:t>
              <w:tab/>
            </w:r>
            <w:r>
              <w:rPr>
                <w:rFonts w:ascii="Arial"/>
                <w:spacing w:val="-1"/>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757" w:val="left" w:leader="none"/>
                <w:tab w:pos="1698" w:val="left" w:leader="none"/>
              </w:tabs>
              <w:spacing w:line="240" w:lineRule="auto" w:before="18"/>
              <w:ind w:left="-2"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194,686</w:t>
              <w:tab/>
            </w:r>
            <w:r>
              <w:rPr>
                <w:rFonts w:ascii="Arial"/>
                <w:spacing w:val="-1"/>
                <w:sz w:val="24"/>
              </w:rPr>
            </w:r>
          </w:p>
        </w:tc>
      </w:tr>
      <w:tr>
        <w:trPr>
          <w:trHeight w:val="438"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69" w:lineRule="exact"/>
              <w:ind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34"/>
                <w:sz w:val="24"/>
                <w:u w:val="thick" w:color="000000"/>
              </w:rPr>
              <w:t> </w:t>
            </w:r>
            <w:r>
              <w:rPr>
                <w:rFonts w:ascii="Arial"/>
                <w:sz w:val="24"/>
                <w:u w:val="thick" w:color="000000"/>
              </w:rPr>
              <w:t>133,894,034</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69" w:lineRule="exact"/>
              <w:ind w:left="3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8"/>
                <w:sz w:val="24"/>
                <w:u w:val="thick" w:color="000000"/>
              </w:rPr>
              <w:t> </w:t>
            </w:r>
            <w:r>
              <w:rPr>
                <w:rFonts w:ascii="Arial"/>
                <w:sz w:val="24"/>
                <w:u w:val="thick" w:color="000000"/>
              </w:rPr>
              <w:t>115,548,378</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tabs>
                <w:tab w:pos="1631" w:val="left" w:leader="none"/>
              </w:tabs>
              <w:spacing w:line="269" w:lineRule="exact"/>
              <w:ind w:left="-12" w:right="14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27"/>
                <w:sz w:val="24"/>
                <w:u w:val="thick" w:color="000000"/>
              </w:rPr>
              <w:t> </w:t>
            </w:r>
            <w:r>
              <w:rPr>
                <w:rFonts w:ascii="Arial"/>
                <w:spacing w:val="-1"/>
                <w:sz w:val="24"/>
                <w:u w:val="thick" w:color="000000"/>
              </w:rPr>
              <w:t>107,259,688</w:t>
              <w:tab/>
            </w:r>
            <w:r>
              <w:rPr>
                <w:rFonts w:ascii="Arial"/>
                <w:spacing w:val="-1"/>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422" w:val="left" w:leader="none"/>
                <w:tab w:pos="1698" w:val="left" w:leader="none"/>
              </w:tabs>
              <w:spacing w:line="269" w:lineRule="exact"/>
              <w:ind w:left="-2"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91,907,828</w:t>
            </w:r>
            <w:r>
              <w:rPr>
                <w:rFonts w:ascii="Arial"/>
                <w:sz w:val="24"/>
                <w:u w:val="thick" w:color="000000"/>
              </w:rPr>
              <w:tab/>
            </w:r>
            <w:r>
              <w:rPr>
                <w:rFonts w:ascii="Arial"/>
                <w:sz w:val="24"/>
              </w:rPr>
            </w:r>
          </w:p>
        </w:tc>
      </w:tr>
      <w:tr>
        <w:trPr>
          <w:trHeight w:val="588" w:hRule="exact"/>
        </w:trPr>
        <w:tc>
          <w:tcPr>
            <w:tcW w:w="721" w:type="dxa"/>
            <w:tcBorders>
              <w:top w:val="nil" w:sz="6" w:space="0" w:color="auto"/>
              <w:left w:val="nil" w:sz="6" w:space="0" w:color="auto"/>
              <w:bottom w:val="nil" w:sz="6" w:space="0" w:color="auto"/>
              <w:right w:val="nil" w:sz="6" w:space="0" w:color="auto"/>
            </w:tcBorders>
          </w:tcPr>
          <w:p>
            <w:pP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94"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455"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33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0"/>
              <w:ind w:left="1107"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62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0"/>
              <w:ind w:left="135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88"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76" w:lineRule="exact"/>
              <w:ind w:left="61"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76" w:lineRule="exact"/>
              <w:ind w:left="16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76" w:lineRule="exact"/>
              <w:ind w:left="122"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76" w:lineRule="exact"/>
              <w:ind w:left="20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596"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94"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79" w:right="0"/>
              <w:jc w:val="left"/>
              <w:rPr>
                <w:rFonts w:ascii="Arial" w:hAnsi="Arial" w:cs="Arial" w:eastAsia="Arial" w:hint="default"/>
                <w:sz w:val="24"/>
                <w:szCs w:val="24"/>
              </w:rPr>
            </w:pPr>
            <w:r>
              <w:rPr>
                <w:rFonts w:ascii="Arial"/>
                <w:sz w:val="24"/>
              </w:rPr>
              <w:t>23,195,013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76"/>
              <w:jc w:val="right"/>
              <w:rPr>
                <w:rFonts w:ascii="Arial" w:hAnsi="Arial" w:cs="Arial" w:eastAsia="Arial" w:hint="default"/>
                <w:sz w:val="24"/>
                <w:szCs w:val="24"/>
              </w:rPr>
            </w:pPr>
            <w:r>
              <w:rPr>
                <w:rFonts w:ascii="Arial"/>
                <w:w w:val="95"/>
                <w:sz w:val="24"/>
              </w:rPr>
              <w:t>19,080,138</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41" w:right="0"/>
              <w:jc w:val="left"/>
              <w:rPr>
                <w:rFonts w:ascii="Arial" w:hAnsi="Arial" w:cs="Arial" w:eastAsia="Arial" w:hint="default"/>
                <w:sz w:val="24"/>
                <w:szCs w:val="24"/>
              </w:rPr>
            </w:pPr>
            <w:r>
              <w:rPr>
                <w:rFonts w:ascii="Arial"/>
                <w:sz w:val="24"/>
              </w:rPr>
              <w:t>21,296,097</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71"/>
              <w:jc w:val="right"/>
              <w:rPr>
                <w:rFonts w:ascii="Arial" w:hAnsi="Arial" w:cs="Arial" w:eastAsia="Arial" w:hint="default"/>
                <w:sz w:val="24"/>
                <w:szCs w:val="24"/>
              </w:rPr>
            </w:pPr>
            <w:r>
              <w:rPr>
                <w:rFonts w:ascii="Arial"/>
                <w:spacing w:val="-1"/>
                <w:sz w:val="24"/>
              </w:rPr>
              <w:t>17,510,910</w:t>
            </w:r>
            <w:r>
              <w:rPr>
                <w:rFonts w:ascii="Arial"/>
                <w:sz w:val="24"/>
              </w:rPr>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9" w:right="0"/>
              <w:jc w:val="left"/>
              <w:rPr>
                <w:rFonts w:ascii="Arial" w:hAnsi="Arial" w:cs="Arial" w:eastAsia="Arial" w:hint="default"/>
                <w:sz w:val="24"/>
                <w:szCs w:val="24"/>
              </w:rPr>
            </w:pPr>
            <w:r>
              <w:rPr>
                <w:rFonts w:ascii="Arial"/>
                <w:sz w:val="24"/>
              </w:rPr>
              <w:t>22,083,433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6"/>
              <w:jc w:val="right"/>
              <w:rPr>
                <w:rFonts w:ascii="Arial" w:hAnsi="Arial" w:cs="Arial" w:eastAsia="Arial" w:hint="default"/>
                <w:sz w:val="24"/>
                <w:szCs w:val="24"/>
              </w:rPr>
            </w:pPr>
            <w:r>
              <w:rPr>
                <w:rFonts w:ascii="Arial"/>
                <w:w w:val="95"/>
                <w:sz w:val="24"/>
              </w:rPr>
              <w:t>21,041,058</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41" w:right="0"/>
              <w:jc w:val="left"/>
              <w:rPr>
                <w:rFonts w:ascii="Arial" w:hAnsi="Arial" w:cs="Arial" w:eastAsia="Arial" w:hint="default"/>
                <w:sz w:val="24"/>
                <w:szCs w:val="24"/>
              </w:rPr>
            </w:pPr>
            <w:r>
              <w:rPr>
                <w:rFonts w:ascii="Arial"/>
                <w:sz w:val="24"/>
              </w:rPr>
              <w:t>17,592,916</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1"/>
              <w:jc w:val="right"/>
              <w:rPr>
                <w:rFonts w:ascii="Arial" w:hAnsi="Arial" w:cs="Arial" w:eastAsia="Arial" w:hint="default"/>
                <w:sz w:val="24"/>
                <w:szCs w:val="24"/>
              </w:rPr>
            </w:pPr>
            <w:r>
              <w:rPr>
                <w:rFonts w:ascii="Arial"/>
                <w:spacing w:val="-1"/>
                <w:sz w:val="24"/>
              </w:rPr>
              <w:t>16,657,833</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9" w:right="0"/>
              <w:jc w:val="left"/>
              <w:rPr>
                <w:rFonts w:ascii="Arial" w:hAnsi="Arial" w:cs="Arial" w:eastAsia="Arial" w:hint="default"/>
                <w:sz w:val="24"/>
                <w:szCs w:val="24"/>
              </w:rPr>
            </w:pPr>
            <w:r>
              <w:rPr>
                <w:rFonts w:ascii="Arial"/>
                <w:sz w:val="24"/>
              </w:rPr>
              <w:t>21,651,400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6"/>
              <w:jc w:val="right"/>
              <w:rPr>
                <w:rFonts w:ascii="Arial" w:hAnsi="Arial" w:cs="Arial" w:eastAsia="Arial" w:hint="default"/>
                <w:sz w:val="24"/>
                <w:szCs w:val="24"/>
              </w:rPr>
            </w:pPr>
            <w:r>
              <w:rPr>
                <w:rFonts w:ascii="Arial"/>
                <w:w w:val="95"/>
                <w:sz w:val="24"/>
              </w:rPr>
              <w:t>17,768,898</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1" w:right="0"/>
              <w:jc w:val="left"/>
              <w:rPr>
                <w:rFonts w:ascii="Arial" w:hAnsi="Arial" w:cs="Arial" w:eastAsia="Arial" w:hint="default"/>
                <w:sz w:val="24"/>
                <w:szCs w:val="24"/>
              </w:rPr>
            </w:pPr>
            <w:r>
              <w:rPr>
                <w:rFonts w:ascii="Arial"/>
                <w:sz w:val="24"/>
              </w:rPr>
              <w:t>19,244,403</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1"/>
              <w:jc w:val="right"/>
              <w:rPr>
                <w:rFonts w:ascii="Arial" w:hAnsi="Arial" w:cs="Arial" w:eastAsia="Arial" w:hint="default"/>
                <w:sz w:val="24"/>
                <w:szCs w:val="24"/>
              </w:rPr>
            </w:pPr>
            <w:r>
              <w:rPr>
                <w:rFonts w:ascii="Arial"/>
                <w:spacing w:val="-1"/>
                <w:sz w:val="24"/>
              </w:rPr>
              <w:t>15,783,903</w:t>
            </w:r>
            <w:r>
              <w:rPr>
                <w:rFonts w:ascii="Arial"/>
                <w:sz w:val="24"/>
              </w:rPr>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9" w:right="0"/>
              <w:jc w:val="left"/>
              <w:rPr>
                <w:rFonts w:ascii="Arial" w:hAnsi="Arial" w:cs="Arial" w:eastAsia="Arial" w:hint="default"/>
                <w:sz w:val="24"/>
                <w:szCs w:val="24"/>
              </w:rPr>
            </w:pPr>
            <w:r>
              <w:rPr>
                <w:rFonts w:ascii="Arial"/>
                <w:sz w:val="24"/>
              </w:rPr>
              <w:t>27,042,125</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6"/>
              <w:jc w:val="right"/>
              <w:rPr>
                <w:rFonts w:ascii="Arial" w:hAnsi="Arial" w:cs="Arial" w:eastAsia="Arial" w:hint="default"/>
                <w:sz w:val="24"/>
                <w:szCs w:val="24"/>
              </w:rPr>
            </w:pPr>
            <w:r>
              <w:rPr>
                <w:rFonts w:ascii="Arial"/>
                <w:w w:val="95"/>
                <w:sz w:val="24"/>
              </w:rPr>
              <w:t>24,907,969</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41" w:right="0"/>
              <w:jc w:val="left"/>
              <w:rPr>
                <w:rFonts w:ascii="Arial" w:hAnsi="Arial" w:cs="Arial" w:eastAsia="Arial" w:hint="default"/>
                <w:sz w:val="24"/>
                <w:szCs w:val="24"/>
              </w:rPr>
            </w:pPr>
            <w:r>
              <w:rPr>
                <w:rFonts w:ascii="Arial"/>
                <w:sz w:val="24"/>
              </w:rPr>
              <w:t>17,876,998</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1"/>
              <w:jc w:val="right"/>
              <w:rPr>
                <w:rFonts w:ascii="Arial" w:hAnsi="Arial" w:cs="Arial" w:eastAsia="Arial" w:hint="default"/>
                <w:sz w:val="24"/>
                <w:szCs w:val="24"/>
              </w:rPr>
            </w:pPr>
            <w:r>
              <w:rPr>
                <w:rFonts w:ascii="Arial"/>
                <w:spacing w:val="-1"/>
                <w:sz w:val="24"/>
              </w:rPr>
              <w:t>16,230,289</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Arial" w:hAnsi="Arial" w:cs="Arial" w:eastAsia="Arial" w:hint="default"/>
                <w:sz w:val="24"/>
                <w:szCs w:val="24"/>
              </w:rPr>
            </w:pPr>
            <w:r>
              <w:rPr>
                <w:rFonts w:ascii="宋体" w:hAnsi="宋体" w:cs="宋体" w:eastAsia="宋体" w:hint="default"/>
                <w:sz w:val="24"/>
                <w:szCs w:val="24"/>
              </w:rPr>
              <w:t>小家电等产品</w:t>
            </w:r>
            <w:r>
              <w:rPr>
                <w:rFonts w:ascii="Arial" w:hAnsi="Arial" w:cs="Arial" w:eastAsia="Arial" w:hint="default"/>
                <w:sz w:val="24"/>
                <w:szCs w:val="24"/>
              </w:rPr>
              <w:t>(ii)</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9" w:right="0"/>
              <w:jc w:val="left"/>
              <w:rPr>
                <w:rFonts w:ascii="Arial" w:hAnsi="Arial" w:cs="Arial" w:eastAsia="Arial" w:hint="default"/>
                <w:sz w:val="24"/>
                <w:szCs w:val="24"/>
              </w:rPr>
            </w:pPr>
            <w:r>
              <w:rPr>
                <w:rFonts w:ascii="Arial"/>
                <w:sz w:val="24"/>
              </w:rPr>
              <w:t>22,929,723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24"/>
                <w:szCs w:val="24"/>
              </w:rPr>
            </w:pPr>
            <w:r>
              <w:rPr>
                <w:rFonts w:ascii="Arial"/>
                <w:w w:val="95"/>
                <w:sz w:val="24"/>
              </w:rPr>
              <w:t>18,691,468</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1" w:right="0"/>
              <w:jc w:val="left"/>
              <w:rPr>
                <w:rFonts w:ascii="Arial" w:hAnsi="Arial" w:cs="Arial" w:eastAsia="Arial" w:hint="default"/>
                <w:sz w:val="24"/>
                <w:szCs w:val="24"/>
              </w:rPr>
            </w:pPr>
            <w:r>
              <w:rPr>
                <w:rFonts w:ascii="Arial"/>
                <w:sz w:val="24"/>
              </w:rPr>
              <w:t>17,284,854</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1"/>
              <w:jc w:val="right"/>
              <w:rPr>
                <w:rFonts w:ascii="Arial" w:hAnsi="Arial" w:cs="Arial" w:eastAsia="Arial" w:hint="default"/>
                <w:sz w:val="24"/>
                <w:szCs w:val="24"/>
              </w:rPr>
            </w:pPr>
            <w:r>
              <w:rPr>
                <w:rFonts w:ascii="Arial"/>
                <w:spacing w:val="-1"/>
                <w:sz w:val="24"/>
              </w:rPr>
              <w:t>14,088,997</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空调产品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9" w:right="0"/>
              <w:jc w:val="left"/>
              <w:rPr>
                <w:rFonts w:ascii="Arial" w:hAnsi="Arial" w:cs="Arial" w:eastAsia="Arial" w:hint="default"/>
                <w:sz w:val="24"/>
                <w:szCs w:val="24"/>
              </w:rPr>
            </w:pPr>
            <w:r>
              <w:rPr>
                <w:rFonts w:ascii="Arial"/>
                <w:sz w:val="24"/>
              </w:rPr>
              <w:t>13,033,272</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6"/>
              <w:jc w:val="right"/>
              <w:rPr>
                <w:rFonts w:ascii="Arial" w:hAnsi="Arial" w:cs="Arial" w:eastAsia="Arial" w:hint="default"/>
                <w:sz w:val="24"/>
                <w:szCs w:val="24"/>
              </w:rPr>
            </w:pPr>
            <w:r>
              <w:rPr>
                <w:rFonts w:ascii="Arial"/>
                <w:w w:val="95"/>
                <w:sz w:val="24"/>
              </w:rPr>
              <w:t>10,897,560</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1" w:right="0"/>
              <w:jc w:val="left"/>
              <w:rPr>
                <w:rFonts w:ascii="Arial" w:hAnsi="Arial" w:cs="Arial" w:eastAsia="Arial" w:hint="default"/>
                <w:sz w:val="24"/>
                <w:szCs w:val="24"/>
              </w:rPr>
            </w:pPr>
            <w:r>
              <w:rPr>
                <w:rFonts w:ascii="Arial"/>
                <w:sz w:val="24"/>
              </w:rPr>
              <w:t>12,806,425</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1"/>
              <w:jc w:val="right"/>
              <w:rPr>
                <w:rFonts w:ascii="Arial" w:hAnsi="Arial" w:cs="Arial" w:eastAsia="Arial" w:hint="default"/>
                <w:sz w:val="24"/>
                <w:szCs w:val="24"/>
              </w:rPr>
            </w:pPr>
            <w:r>
              <w:rPr>
                <w:rFonts w:ascii="Arial"/>
                <w:spacing w:val="-1"/>
                <w:sz w:val="24"/>
              </w:rPr>
              <w:t>10,698,997</w:t>
            </w:r>
            <w:r>
              <w:rPr>
                <w:rFonts w:ascii="Arial"/>
                <w:sz w:val="24"/>
              </w:rPr>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14" w:right="0"/>
              <w:jc w:val="left"/>
              <w:rPr>
                <w:rFonts w:ascii="Arial" w:hAnsi="Arial" w:cs="Arial" w:eastAsia="Arial" w:hint="default"/>
                <w:sz w:val="24"/>
                <w:szCs w:val="24"/>
              </w:rPr>
            </w:pPr>
            <w:r>
              <w:rPr>
                <w:rFonts w:ascii="Arial"/>
                <w:sz w:val="24"/>
              </w:rPr>
              <w:t>1,127,063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7"/>
              <w:jc w:val="right"/>
              <w:rPr>
                <w:rFonts w:ascii="Arial" w:hAnsi="Arial" w:cs="Arial" w:eastAsia="Arial" w:hint="default"/>
                <w:sz w:val="24"/>
                <w:szCs w:val="24"/>
              </w:rPr>
            </w:pPr>
            <w:r>
              <w:rPr>
                <w:rFonts w:ascii="Arial"/>
                <w:spacing w:val="-1"/>
                <w:sz w:val="24"/>
              </w:rPr>
              <w:t>900,056</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2"/>
              <w:jc w:val="right"/>
              <w:rPr>
                <w:rFonts w:ascii="Arial" w:hAnsi="Arial" w:cs="Arial" w:eastAsia="Arial" w:hint="default"/>
                <w:sz w:val="24"/>
                <w:szCs w:val="24"/>
              </w:rPr>
            </w:pPr>
            <w:r>
              <w:rPr>
                <w:rFonts w:ascii="Arial"/>
                <w:spacing w:val="-1"/>
                <w:sz w:val="24"/>
              </w:rPr>
              <w:t>894,748</w:t>
            </w:r>
            <w:r>
              <w:rPr>
                <w:rFonts w:ascii="Arial"/>
                <w:sz w:val="24"/>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1"/>
              <w:jc w:val="right"/>
              <w:rPr>
                <w:rFonts w:ascii="Arial" w:hAnsi="Arial" w:cs="Arial" w:eastAsia="Arial" w:hint="default"/>
                <w:sz w:val="24"/>
                <w:szCs w:val="24"/>
              </w:rPr>
            </w:pPr>
            <w:r>
              <w:rPr>
                <w:rFonts w:ascii="Arial"/>
                <w:spacing w:val="-1"/>
                <w:sz w:val="24"/>
              </w:rPr>
              <w:t>701,415</w:t>
            </w:r>
            <w:r>
              <w:rPr>
                <w:rFonts w:ascii="Arial"/>
                <w:sz w:val="24"/>
              </w:rPr>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64" w:type="dxa"/>
            <w:tcBorders>
              <w:top w:val="nil" w:sz="6" w:space="0" w:color="auto"/>
              <w:left w:val="nil" w:sz="6" w:space="0" w:color="auto"/>
              <w:bottom w:val="nil" w:sz="6" w:space="0" w:color="auto"/>
              <w:right w:val="nil" w:sz="6" w:space="0" w:color="auto"/>
            </w:tcBorders>
          </w:tcPr>
          <w:p>
            <w:pPr>
              <w:pStyle w:val="TableParagraph"/>
              <w:tabs>
                <w:tab w:pos="412" w:val="left" w:leader="none"/>
                <w:tab w:pos="1558" w:val="left" w:leader="none"/>
              </w:tabs>
              <w:spacing w:line="240" w:lineRule="auto" w:before="18"/>
              <w:ind w:left="-33" w:right="10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2,832,005</w:t>
            </w:r>
            <w:r>
              <w:rPr>
                <w:rFonts w:ascii="Arial"/>
                <w:sz w:val="24"/>
                <w:u w:val="single" w:color="000000"/>
              </w:rPr>
              <w:tab/>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478" w:val="left" w:leader="none"/>
                <w:tab w:pos="1625" w:val="left" w:leader="none"/>
              </w:tabs>
              <w:spacing w:line="240" w:lineRule="auto" w:before="18"/>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2,261,231</w:t>
              <w:tab/>
            </w:r>
            <w:r>
              <w:rPr>
                <w:rFonts w:ascii="Arial"/>
                <w:spacing w:val="-1"/>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tabs>
                <w:tab w:pos="664" w:val="left" w:leader="none"/>
                <w:tab w:pos="1607" w:val="left" w:leader="none"/>
              </w:tabs>
              <w:spacing w:line="240" w:lineRule="auto" w:before="18"/>
              <w:ind w:right="1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263,247</w:t>
              <w:tab/>
            </w:r>
            <w:r>
              <w:rPr>
                <w:rFonts w:ascii="Arial"/>
                <w:spacing w:val="-1"/>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760" w:val="left" w:leader="none"/>
                <w:tab w:pos="1698" w:val="left" w:leader="none"/>
              </w:tabs>
              <w:spacing w:line="240" w:lineRule="auto" w:before="18"/>
              <w:ind w:left="-2"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235,484</w:t>
              <w:tab/>
            </w:r>
            <w:r>
              <w:rPr>
                <w:rFonts w:ascii="Arial"/>
                <w:spacing w:val="-1"/>
                <w:sz w:val="24"/>
              </w:rPr>
            </w:r>
          </w:p>
        </w:tc>
      </w:tr>
      <w:tr>
        <w:trPr>
          <w:trHeight w:val="438" w:hRule="exact"/>
        </w:trPr>
        <w:tc>
          <w:tcPr>
            <w:tcW w:w="721" w:type="dxa"/>
            <w:tcBorders>
              <w:top w:val="nil" w:sz="6" w:space="0" w:color="auto"/>
              <w:left w:val="nil" w:sz="6" w:space="0" w:color="auto"/>
              <w:bottom w:val="nil" w:sz="6" w:space="0" w:color="auto"/>
              <w:right w:val="nil" w:sz="6" w:space="0" w:color="auto"/>
            </w:tcBorders>
          </w:tcPr>
          <w:p>
            <w:pP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189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
                <w:sz w:val="24"/>
                <w:u w:val="thick" w:color="000000"/>
              </w:rPr>
              <w:t> </w:t>
            </w:r>
            <w:r>
              <w:rPr>
                <w:rFonts w:ascii="Arial"/>
                <w:sz w:val="24"/>
                <w:u w:val="thick" w:color="000000"/>
              </w:rPr>
              <w:t>133,894,034</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68" w:lineRule="exact"/>
              <w:ind w:left="3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8"/>
                <w:sz w:val="24"/>
                <w:u w:val="thick" w:color="000000"/>
              </w:rPr>
              <w:t> </w:t>
            </w:r>
            <w:r>
              <w:rPr>
                <w:rFonts w:ascii="Arial"/>
                <w:sz w:val="24"/>
                <w:u w:val="thick" w:color="000000"/>
              </w:rPr>
              <w:t>115,548,378</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tabs>
                <w:tab w:pos="1607" w:val="left" w:leader="none"/>
              </w:tabs>
              <w:spacing w:line="268" w:lineRule="exact"/>
              <w:ind w:right="1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4"/>
                <w:sz w:val="24"/>
                <w:u w:val="thick" w:color="000000"/>
              </w:rPr>
              <w:t> </w:t>
            </w:r>
            <w:r>
              <w:rPr>
                <w:rFonts w:ascii="Arial"/>
                <w:spacing w:val="-1"/>
                <w:sz w:val="24"/>
                <w:u w:val="thick" w:color="000000"/>
              </w:rPr>
              <w:t>107,259,688</w:t>
              <w:tab/>
            </w:r>
            <w:r>
              <w:rPr>
                <w:rFonts w:ascii="Arial"/>
                <w:spacing w:val="-1"/>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425" w:val="left" w:leader="none"/>
                <w:tab w:pos="1698" w:val="left" w:leader="none"/>
              </w:tabs>
              <w:spacing w:line="268" w:lineRule="exact"/>
              <w:ind w:left="-2"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91,907,828</w:t>
            </w:r>
            <w:r>
              <w:rPr>
                <w:rFonts w:ascii="Arial"/>
                <w:sz w:val="24"/>
                <w:u w:val="thick" w:color="000000"/>
              </w:rPr>
              <w:tab/>
            </w:r>
            <w:r>
              <w:rPr>
                <w:rFonts w:ascii="Arial"/>
                <w:sz w:val="24"/>
              </w:rPr>
            </w:r>
          </w:p>
        </w:tc>
      </w:tr>
      <w:tr>
        <w:trPr>
          <w:trHeight w:val="1211" w:hRule="exact"/>
        </w:trPr>
        <w:tc>
          <w:tcPr>
            <w:tcW w:w="721" w:type="dxa"/>
            <w:tcBorders>
              <w:top w:val="nil" w:sz="6" w:space="0" w:color="auto"/>
              <w:left w:val="nil" w:sz="6" w:space="0" w:color="auto"/>
              <w:bottom w:val="nil" w:sz="6" w:space="0" w:color="auto"/>
              <w:right w:val="nil" w:sz="6" w:space="0" w:color="auto"/>
            </w:tcBorders>
          </w:tcPr>
          <w:p>
            <w:pPr/>
          </w:p>
        </w:tc>
        <w:tc>
          <w:tcPr>
            <w:tcW w:w="8871" w:type="dxa"/>
            <w:gridSpan w:val="6"/>
            <w:tcBorders>
              <w:top w:val="nil" w:sz="6" w:space="0" w:color="auto"/>
              <w:left w:val="nil" w:sz="6" w:space="0" w:color="auto"/>
              <w:bottom w:val="nil" w:sz="6" w:space="0" w:color="auto"/>
              <w:right w:val="nil" w:sz="6" w:space="0" w:color="auto"/>
            </w:tcBorders>
          </w:tcPr>
          <w:p>
            <w:pPr>
              <w:pStyle w:val="TableParagraph"/>
              <w:spacing w:line="232" w:lineRule="auto" w:before="109"/>
              <w:ind w:left="94" w:right="56"/>
              <w:jc w:val="both"/>
              <w:rPr>
                <w:rFonts w:ascii="宋体" w:hAnsi="宋体" w:cs="宋体" w:eastAsia="宋体" w:hint="default"/>
                <w:sz w:val="24"/>
                <w:szCs w:val="24"/>
              </w:rPr>
            </w:pPr>
            <w:r>
              <w:rPr>
                <w:rFonts w:ascii="Arial" w:hAnsi="Arial" w:cs="Arial" w:eastAsia="Arial" w:hint="default"/>
                <w:spacing w:val="2"/>
                <w:sz w:val="24"/>
                <w:szCs w:val="24"/>
              </w:rPr>
              <w:t>(i)</w:t>
            </w:r>
            <w:r>
              <w:rPr>
                <w:rFonts w:ascii="宋体" w:hAnsi="宋体" w:cs="宋体" w:eastAsia="宋体" w:hint="default"/>
                <w:spacing w:val="2"/>
                <w:sz w:val="24"/>
                <w:szCs w:val="24"/>
              </w:rPr>
              <w:t>其他行业收入主要包括易购网站开放平台的佣金收入、信息技术服务费收入、小</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额贷款和商业保理公司的利息收入、房地产销售收入、移动转售业务收入及互联网</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视频业务收入等。</w:t>
            </w:r>
          </w:p>
        </w:tc>
      </w:tr>
      <w:tr>
        <w:trPr>
          <w:trHeight w:val="726" w:hRule="exact"/>
        </w:trPr>
        <w:tc>
          <w:tcPr>
            <w:tcW w:w="721" w:type="dxa"/>
            <w:tcBorders>
              <w:top w:val="nil" w:sz="6" w:space="0" w:color="auto"/>
              <w:left w:val="nil" w:sz="6" w:space="0" w:color="auto"/>
              <w:bottom w:val="nil" w:sz="6" w:space="0" w:color="auto"/>
              <w:right w:val="nil" w:sz="6" w:space="0" w:color="auto"/>
            </w:tcBorders>
          </w:tcPr>
          <w:p>
            <w:pPr/>
          </w:p>
        </w:tc>
        <w:tc>
          <w:tcPr>
            <w:tcW w:w="8871" w:type="dxa"/>
            <w:gridSpan w:val="6"/>
            <w:tcBorders>
              <w:top w:val="nil" w:sz="6" w:space="0" w:color="auto"/>
              <w:left w:val="nil" w:sz="6" w:space="0" w:color="auto"/>
              <w:bottom w:val="nil" w:sz="6" w:space="0" w:color="auto"/>
              <w:right w:val="nil" w:sz="6" w:space="0" w:color="auto"/>
            </w:tcBorders>
          </w:tcPr>
          <w:p>
            <w:pPr>
              <w:pStyle w:val="TableParagraph"/>
              <w:spacing w:line="312" w:lineRule="exact" w:before="130"/>
              <w:ind w:left="94" w:right="57"/>
              <w:jc w:val="left"/>
              <w:rPr>
                <w:rFonts w:ascii="宋体" w:hAnsi="宋体" w:cs="宋体" w:eastAsia="宋体" w:hint="default"/>
                <w:sz w:val="24"/>
                <w:szCs w:val="24"/>
              </w:rPr>
            </w:pPr>
            <w:r>
              <w:rPr>
                <w:rFonts w:ascii="Arial" w:hAnsi="Arial" w:cs="Arial" w:eastAsia="Arial" w:hint="default"/>
                <w:sz w:val="24"/>
                <w:szCs w:val="24"/>
              </w:rPr>
              <w:t>(ii)</w:t>
            </w:r>
            <w:r>
              <w:rPr>
                <w:rFonts w:ascii="宋体" w:hAnsi="宋体" w:cs="宋体" w:eastAsia="宋体" w:hint="default"/>
                <w:sz w:val="24"/>
                <w:szCs w:val="24"/>
              </w:rPr>
              <w:t>小家电等产品包括小家电、红孩子母婴及美妆、家居食品和其他日用百货类产品</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等。</w:t>
            </w:r>
          </w:p>
        </w:tc>
      </w:tr>
    </w:tbl>
    <w:p>
      <w:pPr>
        <w:spacing w:after="0" w:line="312" w:lineRule="exact"/>
        <w:jc w:val="left"/>
        <w:rPr>
          <w:rFonts w:ascii="宋体" w:hAnsi="宋体" w:cs="宋体" w:eastAsia="宋体" w:hint="default"/>
          <w:sz w:val="24"/>
          <w:szCs w:val="24"/>
        </w:rPr>
        <w:sectPr>
          <w:footerReference w:type="default" r:id="rId65"/>
          <w:pgSz w:w="11910" w:h="16840"/>
          <w:pgMar w:footer="698" w:header="0" w:top="1860" w:bottom="880" w:left="1520" w:right="0"/>
          <w:pgNumType w:start="201"/>
        </w:sectPr>
      </w:pPr>
    </w:p>
    <w:p>
      <w:pPr>
        <w:spacing w:line="240" w:lineRule="auto" w:before="2"/>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77"/>
        <w:gridCol w:w="2241"/>
        <w:gridCol w:w="1873"/>
        <w:gridCol w:w="1116"/>
        <w:gridCol w:w="134"/>
        <w:gridCol w:w="1396"/>
        <w:gridCol w:w="134"/>
        <w:gridCol w:w="1403"/>
      </w:tblGrid>
      <w:tr>
        <w:trPr>
          <w:trHeight w:val="382"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519"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7" w:right="0"/>
              <w:jc w:val="left"/>
              <w:rPr>
                <w:rFonts w:ascii="Arial" w:hAnsi="Arial" w:cs="Arial" w:eastAsia="Arial" w:hint="default"/>
                <w:sz w:val="24"/>
                <w:szCs w:val="24"/>
              </w:rPr>
            </w:pPr>
            <w:r>
              <w:rPr>
                <w:rFonts w:ascii="Arial"/>
                <w:sz w:val="24"/>
              </w:rPr>
              <w:t>(44)</w:t>
            </w: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152"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54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Arial" w:hAnsi="Arial" w:cs="Arial" w:eastAsia="Arial" w:hint="default"/>
                <w:sz w:val="24"/>
                <w:szCs w:val="24"/>
              </w:rPr>
            </w:pPr>
            <w:r>
              <w:rPr>
                <w:rFonts w:ascii="Arial"/>
                <w:sz w:val="24"/>
              </w:rPr>
              <w:t>(b)</w:t>
            </w: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143"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11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425"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left="1090" w:right="-23"/>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116" w:type="dxa"/>
            <w:tcBorders>
              <w:top w:val="nil" w:sz="6" w:space="0" w:color="auto"/>
              <w:left w:val="nil" w:sz="6" w:space="0" w:color="auto"/>
              <w:bottom w:val="single" w:sz="4" w:space="0" w:color="000000"/>
              <w:right w:val="nil" w:sz="6" w:space="0" w:color="auto"/>
            </w:tcBorders>
          </w:tcPr>
          <w:p>
            <w:pPr/>
          </w:p>
        </w:tc>
        <w:tc>
          <w:tcPr>
            <w:tcW w:w="306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3"/>
              <w:ind w:left="132"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427"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873" w:type="dxa"/>
            <w:tcBorders>
              <w:top w:val="single" w:sz="4" w:space="0" w:color="000000"/>
              <w:left w:val="nil" w:sz="6" w:space="0" w:color="auto"/>
              <w:bottom w:val="nil" w:sz="6" w:space="0" w:color="auto"/>
              <w:right w:val="nil" w:sz="6" w:space="0" w:color="auto"/>
            </w:tcBorders>
          </w:tcPr>
          <w:p>
            <w:pPr>
              <w:pStyle w:val="TableParagraph"/>
              <w:spacing w:line="205" w:lineRule="exact"/>
              <w:ind w:left="32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116" w:type="dxa"/>
            <w:tcBorders>
              <w:top w:val="single" w:sz="4" w:space="0" w:color="000000"/>
              <w:left w:val="nil" w:sz="6" w:space="0" w:color="auto"/>
              <w:bottom w:val="nil" w:sz="6" w:space="0" w:color="auto"/>
              <w:right w:val="nil" w:sz="6" w:space="0" w:color="auto"/>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Style w:val="TableParagraph"/>
              <w:spacing w:line="205" w:lineRule="exact"/>
              <w:ind w:left="25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4" w:type="dxa"/>
            <w:tcBorders>
              <w:top w:val="single" w:sz="4" w:space="0" w:color="000000"/>
              <w:left w:val="nil" w:sz="6" w:space="0" w:color="auto"/>
              <w:bottom w:val="nil" w:sz="6" w:space="0" w:color="auto"/>
              <w:right w:val="nil" w:sz="6" w:space="0" w:color="auto"/>
            </w:tcBorders>
          </w:tcPr>
          <w:p>
            <w:pPr/>
          </w:p>
        </w:tc>
        <w:tc>
          <w:tcPr>
            <w:tcW w:w="1403" w:type="dxa"/>
            <w:tcBorders>
              <w:top w:val="single" w:sz="4" w:space="0" w:color="000000"/>
              <w:left w:val="nil" w:sz="6" w:space="0" w:color="auto"/>
              <w:bottom w:val="nil" w:sz="6" w:space="0" w:color="auto"/>
              <w:right w:val="nil" w:sz="6" w:space="0" w:color="auto"/>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r>
      <w:tr>
        <w:trPr>
          <w:trHeight w:val="45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61" w:right="0"/>
              <w:jc w:val="left"/>
              <w:rPr>
                <w:rFonts w:ascii="Arial" w:hAnsi="Arial" w:cs="Arial" w:eastAsia="Arial" w:hint="default"/>
                <w:sz w:val="18"/>
                <w:szCs w:val="18"/>
              </w:rPr>
            </w:pPr>
            <w:r>
              <w:rPr>
                <w:rFonts w:ascii="宋体" w:hAnsi="宋体" w:cs="宋体" w:eastAsia="宋体" w:hint="default"/>
                <w:sz w:val="18"/>
                <w:szCs w:val="18"/>
              </w:rPr>
              <w:t>连锁店服务收入</w:t>
            </w:r>
            <w:r>
              <w:rPr>
                <w:rFonts w:ascii="Arial" w:hAnsi="Arial" w:cs="Arial" w:eastAsia="Arial" w:hint="default"/>
                <w:sz w:val="18"/>
                <w:szCs w:val="18"/>
              </w:rPr>
              <w:t>(i)</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704" w:right="0"/>
              <w:jc w:val="left"/>
              <w:rPr>
                <w:rFonts w:ascii="Arial" w:hAnsi="Arial" w:cs="Arial" w:eastAsia="Arial" w:hint="default"/>
                <w:sz w:val="18"/>
                <w:szCs w:val="18"/>
              </w:rPr>
            </w:pPr>
            <w:r>
              <w:rPr>
                <w:rFonts w:ascii="Arial"/>
                <w:sz w:val="18"/>
              </w:rPr>
              <w:t>458,594</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536,853</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17" w:lineRule="exact"/>
              <w:ind w:left="161"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04" w:right="0"/>
              <w:jc w:val="left"/>
              <w:rPr>
                <w:rFonts w:ascii="Arial" w:hAnsi="Arial" w:cs="Arial" w:eastAsia="Arial" w:hint="default"/>
                <w:sz w:val="18"/>
                <w:szCs w:val="18"/>
              </w:rPr>
            </w:pPr>
            <w:r>
              <w:rPr>
                <w:rFonts w:ascii="Arial"/>
                <w:sz w:val="18"/>
              </w:rPr>
              <w:t>577,278</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2"/>
              <w:jc w:val="right"/>
              <w:rPr>
                <w:rFonts w:ascii="Arial" w:hAnsi="Arial" w:cs="Arial" w:eastAsia="Arial" w:hint="default"/>
                <w:sz w:val="18"/>
                <w:szCs w:val="18"/>
              </w:rPr>
            </w:pPr>
            <w:r>
              <w:rPr>
                <w:rFonts w:ascii="Arial"/>
                <w:spacing w:val="-1"/>
                <w:sz w:val="18"/>
              </w:rPr>
              <w:t>389,762</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Arial" w:hAnsi="Arial" w:cs="Arial" w:eastAsia="Arial" w:hint="default"/>
                <w:sz w:val="18"/>
                <w:szCs w:val="18"/>
              </w:rPr>
            </w:pPr>
            <w:r>
              <w:rPr>
                <w:rFonts w:ascii="Arial"/>
                <w:spacing w:val="-1"/>
                <w:sz w:val="18"/>
              </w:rPr>
              <w:t>500,283</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28" w:right="0"/>
              <w:jc w:val="left"/>
              <w:rPr>
                <w:rFonts w:ascii="Arial" w:hAnsi="Arial" w:cs="Arial" w:eastAsia="Arial" w:hint="default"/>
                <w:sz w:val="18"/>
                <w:szCs w:val="18"/>
              </w:rPr>
            </w:pPr>
            <w:r>
              <w:rPr>
                <w:rFonts w:ascii="Arial"/>
                <w:sz w:val="18"/>
              </w:rPr>
              <w:t>367,915</w:t>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17" w:lineRule="exact"/>
              <w:ind w:left="161" w:right="0"/>
              <w:jc w:val="left"/>
              <w:rPr>
                <w:rFonts w:ascii="宋体" w:hAnsi="宋体" w:cs="宋体" w:eastAsia="宋体" w:hint="default"/>
                <w:sz w:val="18"/>
                <w:szCs w:val="18"/>
              </w:rPr>
            </w:pPr>
            <w:r>
              <w:rPr>
                <w:rFonts w:ascii="宋体" w:hAnsi="宋体" w:cs="宋体" w:eastAsia="宋体" w:hint="default"/>
                <w:sz w:val="18"/>
                <w:szCs w:val="18"/>
              </w:rPr>
              <w:t>代理费收入</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05" w:right="0"/>
              <w:jc w:val="left"/>
              <w:rPr>
                <w:rFonts w:ascii="Arial" w:hAnsi="Arial" w:cs="Arial" w:eastAsia="Arial" w:hint="default"/>
                <w:sz w:val="18"/>
                <w:szCs w:val="18"/>
              </w:rPr>
            </w:pPr>
            <w:r>
              <w:rPr>
                <w:rFonts w:ascii="Arial"/>
                <w:sz w:val="18"/>
              </w:rPr>
              <w:t>310,571</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Arial" w:hAnsi="Arial" w:cs="Arial" w:eastAsia="Arial" w:hint="default"/>
                <w:sz w:val="18"/>
                <w:szCs w:val="18"/>
              </w:rPr>
            </w:pPr>
            <w:r>
              <w:rPr>
                <w:rFonts w:ascii="Arial"/>
                <w:spacing w:val="-1"/>
                <w:sz w:val="18"/>
              </w:rPr>
              <w:t>427,773</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17" w:lineRule="exact"/>
              <w:ind w:left="161" w:right="0"/>
              <w:jc w:val="left"/>
              <w:rPr>
                <w:rFonts w:ascii="宋体" w:hAnsi="宋体" w:cs="宋体" w:eastAsia="宋体" w:hint="default"/>
                <w:sz w:val="18"/>
                <w:szCs w:val="18"/>
              </w:rPr>
            </w:pPr>
            <w:r>
              <w:rPr>
                <w:rFonts w:ascii="宋体" w:hAnsi="宋体" w:cs="宋体" w:eastAsia="宋体" w:hint="default"/>
                <w:sz w:val="18"/>
                <w:szCs w:val="18"/>
              </w:rPr>
              <w:t>广告位使用费收入</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31" w:right="0"/>
              <w:jc w:val="left"/>
              <w:rPr>
                <w:rFonts w:ascii="Arial" w:hAnsi="Arial" w:cs="Arial" w:eastAsia="Arial" w:hint="default"/>
                <w:sz w:val="18"/>
                <w:szCs w:val="18"/>
              </w:rPr>
            </w:pPr>
            <w:r>
              <w:rPr>
                <w:rFonts w:ascii="Arial"/>
                <w:spacing w:val="-4"/>
                <w:sz w:val="18"/>
              </w:rPr>
              <w:t>111,106</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2"/>
              <w:jc w:val="right"/>
              <w:rPr>
                <w:rFonts w:ascii="Arial" w:hAnsi="Arial" w:cs="Arial" w:eastAsia="Arial" w:hint="default"/>
                <w:sz w:val="18"/>
                <w:szCs w:val="18"/>
              </w:rPr>
            </w:pPr>
            <w:r>
              <w:rPr>
                <w:rFonts w:ascii="Arial"/>
                <w:spacing w:val="-1"/>
                <w:sz w:val="18"/>
              </w:rPr>
              <w:t>121,573</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292"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30" w:lineRule="exact"/>
              <w:ind w:left="161"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(ii)</w:t>
            </w:r>
          </w:p>
        </w:tc>
        <w:tc>
          <w:tcPr>
            <w:tcW w:w="1873" w:type="dxa"/>
            <w:tcBorders>
              <w:top w:val="nil" w:sz="6" w:space="0" w:color="auto"/>
              <w:left w:val="nil" w:sz="6" w:space="0" w:color="auto"/>
              <w:bottom w:val="nil" w:sz="6" w:space="0" w:color="auto"/>
              <w:right w:val="nil" w:sz="6" w:space="0" w:color="auto"/>
            </w:tcBorders>
          </w:tcPr>
          <w:p>
            <w:pPr>
              <w:pStyle w:val="TableParagraph"/>
              <w:tabs>
                <w:tab w:pos="705" w:val="left" w:leader="none"/>
                <w:tab w:pos="2332" w:val="left" w:leader="none"/>
              </w:tabs>
              <w:spacing w:line="240" w:lineRule="auto" w:before="36"/>
              <w:ind w:right="-461"/>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196,050 </w:t>
            </w:r>
            <w:r>
              <w:rPr>
                <w:rFonts w:ascii="Arial"/>
                <w:spacing w:val="2"/>
                <w:sz w:val="18"/>
                <w:u w:val="single" w:color="000000"/>
              </w:rPr>
              <w:t> </w:t>
            </w:r>
            <w:r>
              <w:rPr>
                <w:rFonts w:ascii="Arial"/>
                <w:spacing w:val="2"/>
                <w:sz w:val="18"/>
              </w:rPr>
            </w:r>
            <w:r>
              <w:rPr>
                <w:rFonts w:ascii="Arial"/>
                <w:sz w:val="18"/>
              </w:rPr>
              <w:t>  </w:t>
            </w:r>
            <w:r>
              <w:rPr>
                <w:rFonts w:ascii="Arial"/>
                <w:spacing w:val="-16"/>
                <w:sz w:val="18"/>
              </w:rPr>
              <w:t> </w:t>
            </w:r>
            <w:r>
              <w:rPr>
                <w:rFonts w:ascii="Arial"/>
                <w:spacing w:val="-16"/>
                <w:w w:val="100"/>
                <w:sz w:val="18"/>
              </w:rPr>
            </w:r>
            <w:r>
              <w:rPr>
                <w:rFonts w:ascii="Arial"/>
                <w:w w:val="100"/>
                <w:sz w:val="18"/>
                <w:u w:val="single" w:color="000000"/>
              </w:rPr>
              <w:t> </w:t>
            </w:r>
            <w:r>
              <w:rPr>
                <w:rFonts w:ascii="Arial"/>
                <w:sz w:val="18"/>
                <w:u w:val="single" w:color="000000"/>
              </w:rPr>
              <w:tab/>
            </w:r>
            <w:r>
              <w:rPr>
                <w:rFonts w:ascii="Arial"/>
                <w:sz w:val="18"/>
              </w:rPr>
            </w:r>
          </w:p>
        </w:tc>
        <w:tc>
          <w:tcPr>
            <w:tcW w:w="1116"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36"/>
              <w:ind w:right="-1"/>
              <w:jc w:val="right"/>
              <w:rPr>
                <w:rFonts w:ascii="Arial" w:hAnsi="Arial" w:cs="Arial" w:eastAsia="Arial" w:hint="default"/>
                <w:sz w:val="18"/>
                <w:szCs w:val="18"/>
              </w:rPr>
            </w:pPr>
            <w:r>
              <w:rPr>
                <w:rFonts w:ascii="Arial"/>
                <w:w w:val="99"/>
                <w:sz w:val="18"/>
              </w:rPr>
            </w:r>
            <w:r>
              <w:rPr>
                <w:rFonts w:ascii="Arial"/>
                <w:spacing w:val="-1"/>
                <w:sz w:val="18"/>
                <w:u w:val="single" w:color="000000"/>
              </w:rPr>
              <w:t>43,042</w:t>
              <w:tab/>
            </w:r>
            <w:r>
              <w:rPr>
                <w:rFonts w:ascii="Arial"/>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tabs>
                <w:tab w:pos="740" w:val="left" w:leader="none"/>
                <w:tab w:pos="1395"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79,126</w:t>
              <w:tab/>
            </w:r>
            <w:r>
              <w:rPr>
                <w:rFonts w:ascii="Arial"/>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tabs>
                <w:tab w:pos="829" w:val="left" w:leader="none"/>
                <w:tab w:pos="1402" w:val="left" w:leader="none"/>
              </w:tabs>
              <w:spacing w:line="240" w:lineRule="auto" w:before="36"/>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8,829</w:t>
              <w:tab/>
            </w:r>
            <w:r>
              <w:rPr>
                <w:rFonts w:ascii="Arial"/>
                <w:sz w:val="18"/>
              </w:rPr>
            </w:r>
          </w:p>
        </w:tc>
      </w:tr>
      <w:tr>
        <w:trPr>
          <w:trHeight w:val="254" w:hRule="exact"/>
        </w:trPr>
        <w:tc>
          <w:tcPr>
            <w:tcW w:w="777" w:type="dxa"/>
            <w:tcBorders>
              <w:top w:val="nil" w:sz="6" w:space="0" w:color="auto"/>
              <w:left w:val="nil" w:sz="6" w:space="0" w:color="auto"/>
              <w:bottom w:val="nil" w:sz="6" w:space="0" w:color="auto"/>
              <w:right w:val="nil" w:sz="6" w:space="0" w:color="auto"/>
            </w:tcBorders>
          </w:tcPr>
          <w:p>
            <w:pP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516"/>
              <w:jc w:val="right"/>
              <w:rPr>
                <w:rFonts w:ascii="Arial" w:hAnsi="Arial" w:cs="Arial" w:eastAsia="Arial" w:hint="default"/>
                <w:sz w:val="18"/>
                <w:szCs w:val="18"/>
              </w:rPr>
            </w:pPr>
            <w:r>
              <w:rPr>
                <w:rFonts w:ascii="Arial"/>
                <w:spacing w:val="-1"/>
                <w:sz w:val="18"/>
              </w:rPr>
              <w:t>1,653,599</w:t>
            </w:r>
          </w:p>
        </w:tc>
        <w:tc>
          <w:tcPr>
            <w:tcW w:w="111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3"/>
              <w:jc w:val="right"/>
              <w:rPr>
                <w:rFonts w:ascii="Arial" w:hAnsi="Arial" w:cs="Arial" w:eastAsia="Arial" w:hint="default"/>
                <w:sz w:val="18"/>
                <w:szCs w:val="18"/>
              </w:rPr>
            </w:pPr>
            <w:r>
              <w:rPr>
                <w:rFonts w:ascii="Arial"/>
                <w:spacing w:val="-1"/>
                <w:sz w:val="18"/>
              </w:rPr>
              <w:t>432,804</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1"/>
              <w:jc w:val="right"/>
              <w:rPr>
                <w:rFonts w:ascii="Arial" w:hAnsi="Arial" w:cs="Arial" w:eastAsia="Arial" w:hint="default"/>
                <w:sz w:val="18"/>
                <w:szCs w:val="18"/>
              </w:rPr>
            </w:pPr>
            <w:r>
              <w:rPr>
                <w:rFonts w:ascii="Arial"/>
                <w:spacing w:val="-1"/>
                <w:sz w:val="18"/>
              </w:rPr>
              <w:t>1,665,608</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628" w:right="0"/>
              <w:jc w:val="left"/>
              <w:rPr>
                <w:rFonts w:ascii="Arial" w:hAnsi="Arial" w:cs="Arial" w:eastAsia="Arial" w:hint="default"/>
                <w:sz w:val="18"/>
                <w:szCs w:val="18"/>
              </w:rPr>
            </w:pPr>
            <w:r>
              <w:rPr>
                <w:rFonts w:ascii="Arial"/>
                <w:sz w:val="18"/>
              </w:rPr>
              <w:t>376,744</w:t>
            </w:r>
          </w:p>
        </w:tc>
      </w:tr>
      <w:tr>
        <w:trPr>
          <w:trHeight w:val="1464" w:hRule="exact"/>
        </w:trPr>
        <w:tc>
          <w:tcPr>
            <w:tcW w:w="777" w:type="dxa"/>
            <w:tcBorders>
              <w:top w:val="nil" w:sz="6" w:space="0" w:color="auto"/>
              <w:left w:val="nil" w:sz="6" w:space="0" w:color="auto"/>
              <w:bottom w:val="nil" w:sz="6" w:space="0" w:color="auto"/>
              <w:right w:val="nil" w:sz="6" w:space="0" w:color="auto"/>
            </w:tcBorders>
          </w:tcPr>
          <w:p>
            <w:pPr/>
          </w:p>
        </w:tc>
        <w:tc>
          <w:tcPr>
            <w:tcW w:w="8297" w:type="dxa"/>
            <w:gridSpan w:val="7"/>
            <w:tcBorders>
              <w:top w:val="nil" w:sz="6" w:space="0" w:color="auto"/>
              <w:left w:val="nil" w:sz="6" w:space="0" w:color="auto"/>
              <w:bottom w:val="nil" w:sz="6" w:space="0" w:color="auto"/>
              <w:right w:val="nil" w:sz="6" w:space="0" w:color="auto"/>
            </w:tcBorders>
          </w:tcPr>
          <w:p>
            <w:pPr>
              <w:pStyle w:val="TableParagraph"/>
              <w:spacing w:line="30" w:lineRule="exact"/>
              <w:ind w:left="2226" w:right="0"/>
              <w:jc w:val="left"/>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74.4pt;height:1.5pt;mso-position-horizontal-relative:char;mso-position-vertical-relative:line" coordorigin="0,0" coordsize="1488,30">
                  <v:group style="position:absolute;left:15;top:15;width:1458;height:2" coordorigin="15,15" coordsize="1458,2">
                    <v:shape style="position:absolute;left:15;top:15;width:1458;height:2" coordorigin="15,15" coordsize="1458,0" path="m15,15l1473,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61" w:right="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连锁店服务收入主要包括供应商支付的促销服务收入及广告服务收入等。</w:t>
            </w: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310" w:lineRule="exact"/>
              <w:ind w:left="161" w:right="62"/>
              <w:jc w:val="left"/>
              <w:rPr>
                <w:rFonts w:ascii="宋体" w:hAnsi="宋体" w:cs="宋体" w:eastAsia="宋体" w:hint="default"/>
                <w:sz w:val="24"/>
                <w:szCs w:val="24"/>
              </w:rPr>
            </w:pPr>
            <w:r>
              <w:rPr>
                <w:rFonts w:ascii="Arial" w:hAnsi="Arial" w:cs="Arial" w:eastAsia="Arial" w:hint="default"/>
                <w:spacing w:val="3"/>
                <w:sz w:val="24"/>
                <w:szCs w:val="24"/>
              </w:rPr>
              <w:t>(ii)</w:t>
            </w:r>
            <w:r>
              <w:rPr>
                <w:rFonts w:ascii="宋体" w:hAnsi="宋体" w:cs="宋体" w:eastAsia="宋体" w:hint="default"/>
                <w:spacing w:val="3"/>
                <w:sz w:val="24"/>
                <w:szCs w:val="24"/>
              </w:rPr>
              <w:t>其他主要包括向供应商以及第三方提供信息技术服务和物流增值服务收入</w:t>
            </w:r>
            <w:r>
              <w:rPr>
                <w:rFonts w:ascii="宋体" w:hAnsi="宋体" w:cs="宋体" w:eastAsia="宋体" w:hint="default"/>
                <w:sz w:val="24"/>
                <w:szCs w:val="24"/>
              </w:rPr>
              <w:t> 等。</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46" w:type="dxa"/>
        <w:tblLayout w:type="fixed"/>
        <w:tblCellMar>
          <w:top w:w="0" w:type="dxa"/>
          <w:left w:w="0" w:type="dxa"/>
          <w:bottom w:w="0" w:type="dxa"/>
          <w:right w:w="0" w:type="dxa"/>
        </w:tblCellMar>
        <w:tblLook w:val="01E0"/>
      </w:tblPr>
      <w:tblGrid>
        <w:gridCol w:w="752"/>
        <w:gridCol w:w="2402"/>
        <w:gridCol w:w="1749"/>
        <w:gridCol w:w="1616"/>
        <w:gridCol w:w="2607"/>
      </w:tblGrid>
      <w:tr>
        <w:trPr>
          <w:trHeight w:val="421"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(45)</w:t>
            </w:r>
          </w:p>
        </w:tc>
        <w:tc>
          <w:tcPr>
            <w:tcW w:w="2402" w:type="dxa"/>
            <w:tcBorders>
              <w:top w:val="nil" w:sz="6" w:space="0" w:color="auto"/>
              <w:left w:val="nil" w:sz="6" w:space="0" w:color="auto"/>
              <w:bottom w:val="nil" w:sz="6" w:space="0" w:color="auto"/>
              <w:right w:val="nil" w:sz="6" w:space="0" w:color="auto"/>
            </w:tcBorders>
          </w:tcPr>
          <w:p>
            <w:pPr>
              <w:pStyle w:val="TableParagraph"/>
              <w:spacing w:line="247" w:lineRule="exact"/>
              <w:ind w:left="125" w:right="0"/>
              <w:jc w:val="left"/>
              <w:rPr>
                <w:rFonts w:ascii="黑体" w:hAnsi="黑体" w:cs="黑体" w:eastAsia="黑体" w:hint="default"/>
                <w:sz w:val="24"/>
                <w:szCs w:val="24"/>
              </w:rPr>
            </w:pPr>
            <w:r>
              <w:rPr>
                <w:rFonts w:ascii="黑体" w:hAnsi="黑体" w:cs="黑体" w:eastAsia="黑体" w:hint="default"/>
                <w:sz w:val="24"/>
                <w:szCs w:val="24"/>
              </w:rPr>
              <w:t>营业税金及附加</w:t>
            </w:r>
          </w:p>
        </w:tc>
        <w:tc>
          <w:tcPr>
            <w:tcW w:w="1749"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2607" w:type="dxa"/>
            <w:tcBorders>
              <w:top w:val="nil" w:sz="6" w:space="0" w:color="auto"/>
              <w:left w:val="nil" w:sz="6" w:space="0" w:color="auto"/>
              <w:bottom w:val="nil" w:sz="6" w:space="0" w:color="auto"/>
              <w:right w:val="nil" w:sz="6" w:space="0" w:color="auto"/>
            </w:tcBorders>
          </w:tcPr>
          <w:p>
            <w:pPr/>
          </w:p>
        </w:tc>
      </w:tr>
      <w:tr>
        <w:trPr>
          <w:trHeight w:val="593" w:hRule="exact"/>
        </w:trPr>
        <w:tc>
          <w:tcPr>
            <w:tcW w:w="752" w:type="dxa"/>
            <w:tcBorders>
              <w:top w:val="nil" w:sz="6" w:space="0" w:color="auto"/>
              <w:left w:val="nil" w:sz="6" w:space="0" w:color="auto"/>
              <w:bottom w:val="nil" w:sz="6" w:space="0" w:color="auto"/>
              <w:right w:val="nil" w:sz="6" w:space="0" w:color="auto"/>
            </w:tcBorders>
          </w:tcPr>
          <w:p>
            <w:pPr/>
          </w:p>
        </w:tc>
        <w:tc>
          <w:tcPr>
            <w:tcW w:w="2402"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12"/>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宋体" w:hAnsi="宋体" w:cs="宋体" w:eastAsia="宋体" w:hint="default"/>
                <w:sz w:val="24"/>
                <w:szCs w:val="24"/>
              </w:rPr>
              <w:t>计缴标准</w:t>
            </w:r>
          </w:p>
        </w:tc>
      </w:tr>
      <w:tr>
        <w:trPr>
          <w:trHeight w:val="458" w:hRule="exact"/>
        </w:trPr>
        <w:tc>
          <w:tcPr>
            <w:tcW w:w="752" w:type="dxa"/>
            <w:tcBorders>
              <w:top w:val="nil" w:sz="6" w:space="0" w:color="auto"/>
              <w:left w:val="nil" w:sz="6" w:space="0" w:color="auto"/>
              <w:bottom w:val="nil" w:sz="6" w:space="0" w:color="auto"/>
              <w:right w:val="nil" w:sz="6" w:space="0" w:color="auto"/>
            </w:tcBorders>
          </w:tcPr>
          <w:p>
            <w:pP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3"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11"/>
              <w:jc w:val="right"/>
              <w:rPr>
                <w:rFonts w:ascii="Arial" w:hAnsi="Arial" w:cs="Arial" w:eastAsia="Arial" w:hint="default"/>
                <w:sz w:val="24"/>
                <w:szCs w:val="24"/>
              </w:rPr>
            </w:pPr>
            <w:r>
              <w:rPr>
                <w:rFonts w:ascii="Arial"/>
                <w:spacing w:val="-1"/>
                <w:sz w:val="24"/>
              </w:rPr>
              <w:t>209,138</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26"/>
              <w:jc w:val="right"/>
              <w:rPr>
                <w:rFonts w:ascii="Arial" w:hAnsi="Arial" w:cs="Arial" w:eastAsia="Arial" w:hint="default"/>
                <w:sz w:val="24"/>
                <w:szCs w:val="24"/>
              </w:rPr>
            </w:pPr>
            <w:r>
              <w:rPr>
                <w:rFonts w:ascii="Arial"/>
                <w:spacing w:val="-4"/>
                <w:sz w:val="24"/>
              </w:rPr>
              <w:t>112,517</w:t>
            </w:r>
            <w:r>
              <w:rPr>
                <w:rFonts w:ascii="Arial"/>
                <w:sz w:val="24"/>
              </w:rPr>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17"/>
              <w:jc w:val="right"/>
              <w:rPr>
                <w:rFonts w:ascii="宋体" w:hAnsi="宋体" w:cs="宋体" w:eastAsia="宋体" w:hint="default"/>
                <w:sz w:val="24"/>
                <w:szCs w:val="24"/>
              </w:rPr>
            </w:pPr>
            <w:r>
              <w:rPr>
                <w:rFonts w:ascii="宋体" w:hAnsi="宋体" w:cs="宋体" w:eastAsia="宋体" w:hint="default"/>
                <w:sz w:val="24"/>
                <w:szCs w:val="24"/>
              </w:rPr>
              <w:t>应纳税营业额</w:t>
            </w:r>
          </w:p>
        </w:tc>
      </w:tr>
      <w:tr>
        <w:trPr>
          <w:trHeight w:val="622" w:hRule="exact"/>
        </w:trPr>
        <w:tc>
          <w:tcPr>
            <w:tcW w:w="752" w:type="dxa"/>
            <w:tcBorders>
              <w:top w:val="nil" w:sz="6" w:space="0" w:color="auto"/>
              <w:left w:val="nil" w:sz="6" w:space="0" w:color="auto"/>
              <w:bottom w:val="nil" w:sz="6" w:space="0" w:color="auto"/>
              <w:right w:val="nil" w:sz="6" w:space="0" w:color="auto"/>
            </w:tcBorders>
          </w:tcPr>
          <w:p>
            <w:pP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11"/>
              <w:jc w:val="right"/>
              <w:rPr>
                <w:rFonts w:ascii="Arial" w:hAnsi="Arial" w:cs="Arial" w:eastAsia="Arial" w:hint="default"/>
                <w:sz w:val="24"/>
                <w:szCs w:val="24"/>
              </w:rPr>
            </w:pPr>
            <w:r>
              <w:rPr>
                <w:rFonts w:ascii="Arial"/>
                <w:spacing w:val="-1"/>
                <w:sz w:val="24"/>
              </w:rPr>
              <w:t>192,606</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226"/>
              <w:jc w:val="right"/>
              <w:rPr>
                <w:rFonts w:ascii="Arial" w:hAnsi="Arial" w:cs="Arial" w:eastAsia="Arial" w:hint="default"/>
                <w:sz w:val="24"/>
                <w:szCs w:val="24"/>
              </w:rPr>
            </w:pPr>
            <w:r>
              <w:rPr>
                <w:rFonts w:ascii="Arial"/>
                <w:spacing w:val="-1"/>
                <w:sz w:val="24"/>
              </w:rPr>
              <w:t>140,370</w:t>
            </w:r>
          </w:p>
        </w:tc>
        <w:tc>
          <w:tcPr>
            <w:tcW w:w="2607" w:type="dxa"/>
            <w:tcBorders>
              <w:top w:val="nil" w:sz="6" w:space="0" w:color="auto"/>
              <w:left w:val="nil" w:sz="6" w:space="0" w:color="auto"/>
              <w:bottom w:val="nil" w:sz="6" w:space="0" w:color="auto"/>
              <w:right w:val="nil" w:sz="6" w:space="0" w:color="auto"/>
            </w:tcBorders>
          </w:tcPr>
          <w:p>
            <w:pPr>
              <w:pStyle w:val="TableParagraph"/>
              <w:spacing w:line="269" w:lineRule="exact"/>
              <w:ind w:left="468" w:right="0" w:firstLine="345"/>
              <w:jc w:val="left"/>
              <w:rPr>
                <w:rFonts w:ascii="Arial" w:hAnsi="Arial" w:cs="Arial" w:eastAsia="Arial"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p>
          <w:p>
            <w:pPr>
              <w:pStyle w:val="TableParagraph"/>
              <w:spacing w:line="304" w:lineRule="exact"/>
              <w:ind w:left="468" w:right="0"/>
              <w:jc w:val="left"/>
              <w:rPr>
                <w:rFonts w:ascii="宋体" w:hAnsi="宋体" w:cs="宋体" w:eastAsia="宋体" w:hint="default"/>
                <w:sz w:val="24"/>
                <w:szCs w:val="24"/>
              </w:rPr>
            </w:pPr>
            <w:r>
              <w:rPr>
                <w:rFonts w:ascii="宋体" w:hAnsi="宋体" w:cs="宋体" w:eastAsia="宋体" w:hint="default"/>
                <w:sz w:val="24"/>
                <w:szCs w:val="24"/>
              </w:rPr>
              <w:t>消费税的应纳税额</w:t>
            </w:r>
          </w:p>
        </w:tc>
      </w:tr>
      <w:tr>
        <w:trPr>
          <w:trHeight w:val="623" w:hRule="exact"/>
        </w:trPr>
        <w:tc>
          <w:tcPr>
            <w:tcW w:w="752" w:type="dxa"/>
            <w:tcBorders>
              <w:top w:val="nil" w:sz="6" w:space="0" w:color="auto"/>
              <w:left w:val="nil" w:sz="6" w:space="0" w:color="auto"/>
              <w:bottom w:val="nil" w:sz="6" w:space="0" w:color="auto"/>
              <w:right w:val="nil" w:sz="6" w:space="0" w:color="auto"/>
            </w:tcBorders>
          </w:tcPr>
          <w:p>
            <w:pP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311"/>
              <w:jc w:val="right"/>
              <w:rPr>
                <w:rFonts w:ascii="Arial" w:hAnsi="Arial" w:cs="Arial" w:eastAsia="Arial" w:hint="default"/>
                <w:sz w:val="24"/>
                <w:szCs w:val="24"/>
              </w:rPr>
            </w:pPr>
            <w:r>
              <w:rPr>
                <w:rFonts w:ascii="Arial"/>
                <w:spacing w:val="-1"/>
                <w:sz w:val="24"/>
              </w:rPr>
              <w:t>160,401</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226"/>
              <w:jc w:val="right"/>
              <w:rPr>
                <w:rFonts w:ascii="Arial" w:hAnsi="Arial" w:cs="Arial" w:eastAsia="Arial" w:hint="default"/>
                <w:sz w:val="24"/>
                <w:szCs w:val="24"/>
              </w:rPr>
            </w:pPr>
            <w:r>
              <w:rPr>
                <w:rFonts w:ascii="Arial"/>
                <w:spacing w:val="-1"/>
                <w:sz w:val="24"/>
              </w:rPr>
              <w:t>103,814</w:t>
            </w:r>
          </w:p>
        </w:tc>
        <w:tc>
          <w:tcPr>
            <w:tcW w:w="2607" w:type="dxa"/>
            <w:tcBorders>
              <w:top w:val="nil" w:sz="6" w:space="0" w:color="auto"/>
              <w:left w:val="nil" w:sz="6" w:space="0" w:color="auto"/>
              <w:bottom w:val="nil" w:sz="6" w:space="0" w:color="auto"/>
              <w:right w:val="nil" w:sz="6" w:space="0" w:color="auto"/>
            </w:tcBorders>
          </w:tcPr>
          <w:p>
            <w:pPr>
              <w:pStyle w:val="TableParagraph"/>
              <w:spacing w:line="269" w:lineRule="exact"/>
              <w:ind w:left="468" w:right="0" w:firstLine="345"/>
              <w:jc w:val="left"/>
              <w:rPr>
                <w:rFonts w:ascii="Arial" w:hAnsi="Arial" w:cs="Arial" w:eastAsia="Arial"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p>
          <w:p>
            <w:pPr>
              <w:pStyle w:val="TableParagraph"/>
              <w:spacing w:line="304" w:lineRule="exact"/>
              <w:ind w:left="468" w:right="0"/>
              <w:jc w:val="left"/>
              <w:rPr>
                <w:rFonts w:ascii="宋体" w:hAnsi="宋体" w:cs="宋体" w:eastAsia="宋体" w:hint="default"/>
                <w:sz w:val="24"/>
                <w:szCs w:val="24"/>
              </w:rPr>
            </w:pPr>
            <w:r>
              <w:rPr>
                <w:rFonts w:ascii="宋体" w:hAnsi="宋体" w:cs="宋体" w:eastAsia="宋体" w:hint="default"/>
                <w:sz w:val="24"/>
                <w:szCs w:val="24"/>
              </w:rPr>
              <w:t>消费税的应纳税额</w:t>
            </w:r>
          </w:p>
        </w:tc>
      </w:tr>
      <w:tr>
        <w:trPr>
          <w:trHeight w:val="312" w:hRule="exact"/>
        </w:trPr>
        <w:tc>
          <w:tcPr>
            <w:tcW w:w="752" w:type="dxa"/>
            <w:tcBorders>
              <w:top w:val="nil" w:sz="6" w:space="0" w:color="auto"/>
              <w:left w:val="nil" w:sz="6" w:space="0" w:color="auto"/>
              <w:bottom w:val="nil" w:sz="6" w:space="0" w:color="auto"/>
              <w:right w:val="nil" w:sz="6" w:space="0" w:color="auto"/>
            </w:tcBorders>
          </w:tcPr>
          <w:p>
            <w:pPr/>
          </w:p>
        </w:tc>
        <w:tc>
          <w:tcPr>
            <w:tcW w:w="2402"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1"/>
              <w:jc w:val="right"/>
              <w:rPr>
                <w:rFonts w:ascii="Arial" w:hAnsi="Arial" w:cs="Arial" w:eastAsia="Arial" w:hint="default"/>
                <w:sz w:val="24"/>
                <w:szCs w:val="24"/>
              </w:rPr>
            </w:pPr>
            <w:r>
              <w:rPr>
                <w:rFonts w:ascii="Arial"/>
                <w:w w:val="95"/>
                <w:sz w:val="24"/>
              </w:rPr>
              <w:t>22,676</w:t>
            </w:r>
            <w:r>
              <w:rPr>
                <w:rFonts w:ascii="Arial"/>
                <w:sz w:val="24"/>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Arial" w:hAnsi="Arial" w:cs="Arial" w:eastAsia="Arial" w:hint="default"/>
                <w:sz w:val="24"/>
                <w:szCs w:val="24"/>
              </w:rPr>
            </w:pPr>
            <w:r>
              <w:rPr>
                <w:rFonts w:ascii="Arial"/>
                <w:spacing w:val="-1"/>
                <w:w w:val="95"/>
                <w:sz w:val="24"/>
              </w:rPr>
              <w:t>76</w:t>
            </w:r>
            <w:r>
              <w:rPr>
                <w:rFonts w:ascii="Arial"/>
                <w:sz w:val="24"/>
              </w:rPr>
            </w:r>
          </w:p>
        </w:tc>
        <w:tc>
          <w:tcPr>
            <w:tcW w:w="2607" w:type="dxa"/>
            <w:tcBorders>
              <w:top w:val="nil" w:sz="6" w:space="0" w:color="auto"/>
              <w:left w:val="nil" w:sz="6" w:space="0" w:color="auto"/>
              <w:bottom w:val="nil" w:sz="6" w:space="0" w:color="auto"/>
              <w:right w:val="nil" w:sz="6" w:space="0" w:color="auto"/>
            </w:tcBorders>
          </w:tcPr>
          <w:p>
            <w:pPr>
              <w:pStyle w:val="TableParagraph"/>
              <w:spacing w:line="262" w:lineRule="exact"/>
              <w:ind w:right="216"/>
              <w:jc w:val="right"/>
              <w:rPr>
                <w:rFonts w:ascii="宋体" w:hAnsi="宋体" w:cs="宋体" w:eastAsia="宋体" w:hint="default"/>
                <w:sz w:val="24"/>
                <w:szCs w:val="24"/>
              </w:rPr>
            </w:pPr>
            <w:r>
              <w:rPr>
                <w:rFonts w:ascii="宋体" w:hAnsi="宋体" w:cs="宋体" w:eastAsia="宋体" w:hint="default"/>
                <w:sz w:val="24"/>
                <w:szCs w:val="24"/>
              </w:rPr>
              <w:t>应纳税房地产增值额</w:t>
            </w:r>
          </w:p>
        </w:tc>
      </w:tr>
      <w:tr>
        <w:trPr>
          <w:trHeight w:val="312" w:hRule="exact"/>
        </w:trPr>
        <w:tc>
          <w:tcPr>
            <w:tcW w:w="752" w:type="dxa"/>
            <w:tcBorders>
              <w:top w:val="nil" w:sz="6" w:space="0" w:color="auto"/>
              <w:left w:val="nil" w:sz="6" w:space="0" w:color="auto"/>
              <w:bottom w:val="nil" w:sz="6" w:space="0" w:color="auto"/>
              <w:right w:val="nil" w:sz="6" w:space="0" w:color="auto"/>
            </w:tcBorders>
          </w:tcPr>
          <w:p>
            <w:pPr/>
          </w:p>
        </w:tc>
        <w:tc>
          <w:tcPr>
            <w:tcW w:w="2402"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49" w:type="dxa"/>
            <w:tcBorders>
              <w:top w:val="nil" w:sz="6" w:space="0" w:color="auto"/>
              <w:left w:val="nil" w:sz="6" w:space="0" w:color="auto"/>
              <w:bottom w:val="nil" w:sz="6" w:space="0" w:color="auto"/>
              <w:right w:val="nil" w:sz="6" w:space="0" w:color="auto"/>
            </w:tcBorders>
          </w:tcPr>
          <w:p>
            <w:pPr>
              <w:pStyle w:val="TableParagraph"/>
              <w:tabs>
                <w:tab w:pos="973" w:val="left" w:leader="none"/>
              </w:tabs>
              <w:spacing w:line="240" w:lineRule="auto" w:before="18"/>
              <w:ind w:right="31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975</w:t>
            </w:r>
            <w:r>
              <w:rPr>
                <w:rFonts w:ascii="Arial"/>
                <w:spacing w:val="-1"/>
                <w:sz w:val="24"/>
              </w:rPr>
            </w:r>
          </w:p>
        </w:tc>
        <w:tc>
          <w:tcPr>
            <w:tcW w:w="1616" w:type="dxa"/>
            <w:tcBorders>
              <w:top w:val="nil" w:sz="6" w:space="0" w:color="auto"/>
              <w:left w:val="nil" w:sz="6" w:space="0" w:color="auto"/>
              <w:bottom w:val="nil" w:sz="6" w:space="0" w:color="auto"/>
              <w:right w:val="nil" w:sz="6" w:space="0" w:color="auto"/>
            </w:tcBorders>
          </w:tcPr>
          <w:p>
            <w:pPr>
              <w:pStyle w:val="TableParagraph"/>
              <w:tabs>
                <w:tab w:pos="972" w:val="left" w:leader="none"/>
              </w:tabs>
              <w:spacing w:line="240" w:lineRule="auto" w:before="18"/>
              <w:ind w:right="22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5"/>
                <w:sz w:val="24"/>
                <w:u w:val="single" w:color="000000"/>
              </w:rPr>
              <w:t>383</w:t>
            </w:r>
            <w:r>
              <w:rPr>
                <w:rFonts w:ascii="Arial"/>
                <w:spacing w:val="-1"/>
                <w:w w:val="95"/>
                <w:sz w:val="24"/>
              </w:rPr>
            </w:r>
            <w:r>
              <w:rPr>
                <w:rFonts w:ascii="Arial"/>
                <w:sz w:val="24"/>
              </w:rPr>
            </w:r>
          </w:p>
        </w:tc>
        <w:tc>
          <w:tcPr>
            <w:tcW w:w="2607" w:type="dxa"/>
            <w:tcBorders>
              <w:top w:val="nil" w:sz="6" w:space="0" w:color="auto"/>
              <w:left w:val="nil" w:sz="6" w:space="0" w:color="auto"/>
              <w:bottom w:val="nil" w:sz="6" w:space="0" w:color="auto"/>
              <w:right w:val="nil" w:sz="6" w:space="0" w:color="auto"/>
            </w:tcBorders>
          </w:tcPr>
          <w:p>
            <w:pPr/>
          </w:p>
        </w:tc>
      </w:tr>
      <w:tr>
        <w:trPr>
          <w:trHeight w:val="263" w:hRule="exact"/>
        </w:trPr>
        <w:tc>
          <w:tcPr>
            <w:tcW w:w="752" w:type="dxa"/>
            <w:tcBorders>
              <w:top w:val="nil" w:sz="6" w:space="0" w:color="auto"/>
              <w:left w:val="nil" w:sz="6" w:space="0" w:color="auto"/>
              <w:bottom w:val="nil" w:sz="6" w:space="0" w:color="auto"/>
              <w:right w:val="nil" w:sz="6" w:space="0" w:color="auto"/>
            </w:tcBorders>
          </w:tcPr>
          <w:p>
            <w:pPr/>
          </w:p>
        </w:tc>
        <w:tc>
          <w:tcPr>
            <w:tcW w:w="2402"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tabs>
                <w:tab w:pos="506" w:val="left" w:leader="none"/>
              </w:tabs>
              <w:spacing w:line="268" w:lineRule="exact"/>
              <w:ind w:right="31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585,796</w:t>
            </w:r>
            <w:r>
              <w:rPr>
                <w:rFonts w:ascii="Arial"/>
                <w:spacing w:val="-1"/>
                <w:sz w:val="24"/>
              </w:rPr>
            </w:r>
          </w:p>
        </w:tc>
        <w:tc>
          <w:tcPr>
            <w:tcW w:w="1616" w:type="dxa"/>
            <w:tcBorders>
              <w:top w:val="nil" w:sz="6" w:space="0" w:color="auto"/>
              <w:left w:val="nil" w:sz="6" w:space="0" w:color="auto"/>
              <w:bottom w:val="nil" w:sz="6" w:space="0" w:color="auto"/>
              <w:right w:val="nil" w:sz="6" w:space="0" w:color="auto"/>
            </w:tcBorders>
          </w:tcPr>
          <w:p>
            <w:pPr>
              <w:pStyle w:val="TableParagraph"/>
              <w:tabs>
                <w:tab w:pos="487" w:val="left" w:leader="none"/>
              </w:tabs>
              <w:spacing w:line="268" w:lineRule="exact"/>
              <w:ind w:right="24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357,160</w:t>
            </w:r>
            <w:r>
              <w:rPr>
                <w:rFonts w:ascii="Arial"/>
                <w:spacing w:val="-1"/>
                <w:sz w:val="24"/>
              </w:rPr>
            </w:r>
          </w:p>
        </w:tc>
        <w:tc>
          <w:tcPr>
            <w:tcW w:w="260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698" w:top="1860" w:bottom="8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741"/>
        <w:gridCol w:w="3983"/>
        <w:gridCol w:w="2609"/>
        <w:gridCol w:w="1781"/>
      </w:tblGrid>
      <w:tr>
        <w:trPr>
          <w:trHeight w:val="416"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40" w:lineRule="exact"/>
              <w:ind w:left="9" w:right="0"/>
              <w:jc w:val="center"/>
              <w:rPr>
                <w:rFonts w:ascii="黑体" w:hAnsi="黑体" w:cs="黑体" w:eastAsia="黑体" w:hint="default"/>
                <w:sz w:val="24"/>
                <w:szCs w:val="24"/>
              </w:rPr>
            </w:pPr>
            <w:r>
              <w:rPr>
                <w:rFonts w:ascii="黑体" w:hAnsi="黑体" w:cs="黑体" w:eastAsia="黑体" w:hint="default"/>
                <w:sz w:val="24"/>
                <w:szCs w:val="24"/>
              </w:rPr>
              <w:t>四</w:t>
            </w:r>
          </w:p>
        </w:tc>
        <w:tc>
          <w:tcPr>
            <w:tcW w:w="3983"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0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r>
      <w:tr>
        <w:trPr>
          <w:trHeight w:val="585"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85" w:right="0"/>
              <w:jc w:val="center"/>
              <w:rPr>
                <w:rFonts w:ascii="Arial" w:hAnsi="Arial" w:cs="Arial" w:eastAsia="Arial" w:hint="default"/>
                <w:sz w:val="24"/>
                <w:szCs w:val="24"/>
              </w:rPr>
            </w:pPr>
            <w:r>
              <w:rPr>
                <w:rFonts w:ascii="Arial"/>
                <w:sz w:val="24"/>
              </w:rPr>
              <w:t>(46)</w:t>
            </w:r>
          </w:p>
        </w:tc>
        <w:tc>
          <w:tcPr>
            <w:tcW w:w="398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9" w:right="0"/>
              <w:jc w:val="left"/>
              <w:rPr>
                <w:rFonts w:ascii="黑体" w:hAnsi="黑体" w:cs="黑体" w:eastAsia="黑体" w:hint="default"/>
                <w:sz w:val="24"/>
                <w:szCs w:val="24"/>
              </w:rPr>
            </w:pPr>
            <w:r>
              <w:rPr>
                <w:rFonts w:ascii="黑体" w:hAnsi="黑体" w:cs="黑体" w:eastAsia="黑体" w:hint="default"/>
                <w:sz w:val="24"/>
                <w:szCs w:val="24"/>
              </w:rPr>
              <w:t>销售费用</w:t>
            </w:r>
          </w:p>
        </w:tc>
        <w:tc>
          <w:tcPr>
            <w:tcW w:w="260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r>
      <w:tr>
        <w:trPr>
          <w:trHeight w:val="593"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92"/>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0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77"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74"/>
              <w:jc w:val="right"/>
              <w:rPr>
                <w:rFonts w:ascii="Arial" w:hAnsi="Arial" w:cs="Arial" w:eastAsia="Arial" w:hint="default"/>
                <w:sz w:val="24"/>
                <w:szCs w:val="24"/>
              </w:rPr>
            </w:pPr>
            <w:r>
              <w:rPr>
                <w:rFonts w:ascii="Arial"/>
                <w:spacing w:val="-1"/>
                <w:sz w:val="24"/>
              </w:rPr>
              <w:t>5,204,671</w:t>
            </w:r>
            <w:r>
              <w:rPr>
                <w:rFonts w:ascii="Arial"/>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09" w:right="0"/>
              <w:jc w:val="left"/>
              <w:rPr>
                <w:rFonts w:ascii="Arial" w:hAnsi="Arial" w:cs="Arial" w:eastAsia="Arial" w:hint="default"/>
                <w:sz w:val="24"/>
                <w:szCs w:val="24"/>
              </w:rPr>
            </w:pPr>
            <w:r>
              <w:rPr>
                <w:rFonts w:ascii="Arial"/>
                <w:sz w:val="24"/>
              </w:rPr>
              <w:t>4,642,669</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4"/>
              <w:jc w:val="right"/>
              <w:rPr>
                <w:rFonts w:ascii="Arial" w:hAnsi="Arial" w:cs="Arial" w:eastAsia="Arial" w:hint="default"/>
                <w:sz w:val="24"/>
                <w:szCs w:val="24"/>
              </w:rPr>
            </w:pPr>
            <w:r>
              <w:rPr>
                <w:rFonts w:ascii="Arial"/>
                <w:spacing w:val="-1"/>
                <w:sz w:val="24"/>
              </w:rPr>
              <w:t>3,521,498</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10" w:right="0"/>
              <w:jc w:val="left"/>
              <w:rPr>
                <w:rFonts w:ascii="Arial" w:hAnsi="Arial" w:cs="Arial" w:eastAsia="Arial" w:hint="default"/>
                <w:sz w:val="24"/>
                <w:szCs w:val="24"/>
              </w:rPr>
            </w:pPr>
            <w:r>
              <w:rPr>
                <w:rFonts w:ascii="Arial"/>
                <w:sz w:val="24"/>
              </w:rPr>
              <w:t>3,460,809</w:t>
            </w:r>
          </w:p>
        </w:tc>
      </w:tr>
      <w:tr>
        <w:trPr>
          <w:trHeight w:val="312"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3"/>
              <w:jc w:val="right"/>
              <w:rPr>
                <w:rFonts w:ascii="Arial" w:hAnsi="Arial" w:cs="Arial" w:eastAsia="Arial" w:hint="default"/>
                <w:sz w:val="24"/>
                <w:szCs w:val="24"/>
              </w:rPr>
            </w:pPr>
            <w:r>
              <w:rPr>
                <w:rFonts w:ascii="Arial"/>
                <w:w w:val="95"/>
                <w:sz w:val="24"/>
              </w:rPr>
              <w:t>2,963,255</w:t>
            </w:r>
            <w:r>
              <w:rPr>
                <w:rFonts w:ascii="Arial"/>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10" w:right="0"/>
              <w:jc w:val="left"/>
              <w:rPr>
                <w:rFonts w:ascii="Arial" w:hAnsi="Arial" w:cs="Arial" w:eastAsia="Arial" w:hint="default"/>
                <w:sz w:val="24"/>
                <w:szCs w:val="24"/>
              </w:rPr>
            </w:pPr>
            <w:r>
              <w:rPr>
                <w:rFonts w:ascii="Arial"/>
                <w:sz w:val="24"/>
              </w:rPr>
              <w:t>2,065,100</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运输费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3"/>
              <w:jc w:val="right"/>
              <w:rPr>
                <w:rFonts w:ascii="Arial" w:hAnsi="Arial" w:cs="Arial" w:eastAsia="Arial" w:hint="default"/>
                <w:sz w:val="24"/>
                <w:szCs w:val="24"/>
              </w:rPr>
            </w:pPr>
            <w:r>
              <w:rPr>
                <w:rFonts w:ascii="Arial"/>
                <w:w w:val="95"/>
                <w:sz w:val="24"/>
              </w:rPr>
              <w:t>1,443,951</w:t>
            </w:r>
            <w:r>
              <w:rPr>
                <w:rFonts w:ascii="Arial"/>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09" w:right="0"/>
              <w:jc w:val="left"/>
              <w:rPr>
                <w:rFonts w:ascii="Arial" w:hAnsi="Arial" w:cs="Arial" w:eastAsia="Arial" w:hint="default"/>
                <w:sz w:val="24"/>
                <w:szCs w:val="24"/>
              </w:rPr>
            </w:pPr>
            <w:r>
              <w:rPr>
                <w:rFonts w:ascii="Arial"/>
                <w:sz w:val="24"/>
              </w:rPr>
              <w:t>993,748</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4"/>
              <w:jc w:val="right"/>
              <w:rPr>
                <w:rFonts w:ascii="Arial" w:hAnsi="Arial" w:cs="Arial" w:eastAsia="Arial" w:hint="default"/>
                <w:sz w:val="24"/>
                <w:szCs w:val="24"/>
              </w:rPr>
            </w:pPr>
            <w:r>
              <w:rPr>
                <w:rFonts w:ascii="Arial"/>
                <w:spacing w:val="-1"/>
                <w:sz w:val="24"/>
              </w:rPr>
              <w:t>695,755</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09" w:right="0"/>
              <w:jc w:val="left"/>
              <w:rPr>
                <w:rFonts w:ascii="Arial" w:hAnsi="Arial" w:cs="Arial" w:eastAsia="Arial" w:hint="default"/>
                <w:sz w:val="24"/>
                <w:szCs w:val="24"/>
              </w:rPr>
            </w:pPr>
            <w:r>
              <w:rPr>
                <w:rFonts w:ascii="Arial"/>
                <w:sz w:val="24"/>
              </w:rPr>
              <w:t>683,632</w:t>
            </w:r>
          </w:p>
        </w:tc>
      </w:tr>
      <w:tr>
        <w:trPr>
          <w:trHeight w:val="312"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门店装修费摊销</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4"/>
              <w:jc w:val="right"/>
              <w:rPr>
                <w:rFonts w:ascii="Arial" w:hAnsi="Arial" w:cs="Arial" w:eastAsia="Arial" w:hint="default"/>
                <w:sz w:val="24"/>
                <w:szCs w:val="24"/>
              </w:rPr>
            </w:pPr>
            <w:r>
              <w:rPr>
                <w:rFonts w:ascii="Arial"/>
                <w:spacing w:val="-1"/>
                <w:sz w:val="24"/>
              </w:rPr>
              <w:t>476,343</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10" w:right="0"/>
              <w:jc w:val="left"/>
              <w:rPr>
                <w:rFonts w:ascii="Arial" w:hAnsi="Arial" w:cs="Arial" w:eastAsia="Arial" w:hint="default"/>
                <w:sz w:val="24"/>
                <w:szCs w:val="24"/>
              </w:rPr>
            </w:pPr>
            <w:r>
              <w:rPr>
                <w:rFonts w:ascii="Arial"/>
                <w:sz w:val="24"/>
              </w:rPr>
              <w:t>358,489</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4"/>
              <w:jc w:val="right"/>
              <w:rPr>
                <w:rFonts w:ascii="Arial" w:hAnsi="Arial" w:cs="Arial" w:eastAsia="Arial" w:hint="default"/>
                <w:sz w:val="24"/>
                <w:szCs w:val="24"/>
              </w:rPr>
            </w:pPr>
            <w:r>
              <w:rPr>
                <w:rFonts w:ascii="Arial"/>
                <w:spacing w:val="-1"/>
                <w:sz w:val="24"/>
              </w:rPr>
              <w:t>464,173</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0" w:right="0"/>
              <w:jc w:val="left"/>
              <w:rPr>
                <w:rFonts w:ascii="Arial" w:hAnsi="Arial" w:cs="Arial" w:eastAsia="Arial" w:hint="default"/>
                <w:sz w:val="24"/>
                <w:szCs w:val="24"/>
              </w:rPr>
            </w:pPr>
            <w:r>
              <w:rPr>
                <w:rFonts w:ascii="Arial"/>
                <w:sz w:val="24"/>
              </w:rPr>
              <w:t>428,794</w:t>
            </w:r>
          </w:p>
        </w:tc>
      </w:tr>
      <w:tr>
        <w:trPr>
          <w:trHeight w:val="312"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4"/>
              <w:jc w:val="right"/>
              <w:rPr>
                <w:rFonts w:ascii="Arial" w:hAnsi="Arial" w:cs="Arial" w:eastAsia="Arial" w:hint="default"/>
                <w:sz w:val="24"/>
                <w:szCs w:val="24"/>
              </w:rPr>
            </w:pPr>
            <w:r>
              <w:rPr>
                <w:rFonts w:ascii="Arial"/>
                <w:spacing w:val="-1"/>
                <w:sz w:val="24"/>
              </w:rPr>
              <w:t>440,581</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09" w:right="0"/>
              <w:jc w:val="left"/>
              <w:rPr>
                <w:rFonts w:ascii="Arial" w:hAnsi="Arial" w:cs="Arial" w:eastAsia="Arial" w:hint="default"/>
                <w:sz w:val="24"/>
                <w:szCs w:val="24"/>
              </w:rPr>
            </w:pPr>
            <w:r>
              <w:rPr>
                <w:rFonts w:ascii="Arial"/>
                <w:sz w:val="24"/>
              </w:rPr>
              <w:t>494,775</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印刷费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4"/>
              <w:jc w:val="right"/>
              <w:rPr>
                <w:rFonts w:ascii="Arial" w:hAnsi="Arial" w:cs="Arial" w:eastAsia="Arial" w:hint="default"/>
                <w:sz w:val="24"/>
                <w:szCs w:val="24"/>
              </w:rPr>
            </w:pPr>
            <w:r>
              <w:rPr>
                <w:rFonts w:ascii="Arial"/>
                <w:spacing w:val="-1"/>
                <w:sz w:val="24"/>
              </w:rPr>
              <w:t>173,478</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0" w:right="0"/>
              <w:jc w:val="left"/>
              <w:rPr>
                <w:rFonts w:ascii="Arial" w:hAnsi="Arial" w:cs="Arial" w:eastAsia="Arial" w:hint="default"/>
                <w:sz w:val="24"/>
                <w:szCs w:val="24"/>
              </w:rPr>
            </w:pPr>
            <w:r>
              <w:rPr>
                <w:rFonts w:ascii="Arial"/>
                <w:sz w:val="24"/>
              </w:rPr>
              <w:t>170,725</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店面物料费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4"/>
              <w:jc w:val="right"/>
              <w:rPr>
                <w:rFonts w:ascii="Arial" w:hAnsi="Arial" w:cs="Arial" w:eastAsia="Arial" w:hint="default"/>
                <w:sz w:val="24"/>
                <w:szCs w:val="24"/>
              </w:rPr>
            </w:pPr>
            <w:r>
              <w:rPr>
                <w:rFonts w:ascii="Arial"/>
                <w:spacing w:val="-1"/>
                <w:sz w:val="24"/>
              </w:rPr>
              <w:t>126,819</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43" w:right="0"/>
              <w:jc w:val="left"/>
              <w:rPr>
                <w:rFonts w:ascii="Arial" w:hAnsi="Arial" w:cs="Arial" w:eastAsia="Arial" w:hint="default"/>
                <w:sz w:val="24"/>
                <w:szCs w:val="24"/>
              </w:rPr>
            </w:pPr>
            <w:r>
              <w:rPr>
                <w:rFonts w:ascii="Arial"/>
                <w:sz w:val="24"/>
              </w:rPr>
              <w:t>87,240</w:t>
            </w:r>
          </w:p>
        </w:tc>
      </w:tr>
      <w:tr>
        <w:trPr>
          <w:trHeight w:val="312"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4"/>
              <w:jc w:val="right"/>
              <w:rPr>
                <w:rFonts w:ascii="Arial" w:hAnsi="Arial" w:cs="Arial" w:eastAsia="Arial" w:hint="default"/>
                <w:sz w:val="24"/>
                <w:szCs w:val="24"/>
              </w:rPr>
            </w:pPr>
            <w:r>
              <w:rPr>
                <w:rFonts w:ascii="Arial"/>
                <w:spacing w:val="-1"/>
                <w:sz w:val="24"/>
              </w:rPr>
              <w:t>109,197</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43" w:right="0"/>
              <w:jc w:val="left"/>
              <w:rPr>
                <w:rFonts w:ascii="Arial" w:hAnsi="Arial" w:cs="Arial" w:eastAsia="Arial" w:hint="default"/>
                <w:sz w:val="24"/>
                <w:szCs w:val="24"/>
              </w:rPr>
            </w:pPr>
            <w:r>
              <w:rPr>
                <w:rFonts w:ascii="Arial"/>
                <w:sz w:val="24"/>
              </w:rPr>
              <w:t>85,477</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3"/>
              <w:jc w:val="right"/>
              <w:rPr>
                <w:rFonts w:ascii="Arial" w:hAnsi="Arial" w:cs="Arial" w:eastAsia="Arial" w:hint="default"/>
                <w:sz w:val="24"/>
                <w:szCs w:val="24"/>
              </w:rPr>
            </w:pPr>
            <w:r>
              <w:rPr>
                <w:rFonts w:ascii="Arial"/>
                <w:w w:val="95"/>
                <w:sz w:val="24"/>
              </w:rPr>
              <w:t>88,092</w:t>
            </w:r>
            <w:r>
              <w:rPr>
                <w:rFonts w:ascii="Arial"/>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43" w:right="0"/>
              <w:jc w:val="left"/>
              <w:rPr>
                <w:rFonts w:ascii="Arial" w:hAnsi="Arial" w:cs="Arial" w:eastAsia="Arial" w:hint="default"/>
                <w:sz w:val="24"/>
                <w:szCs w:val="24"/>
              </w:rPr>
            </w:pPr>
            <w:r>
              <w:rPr>
                <w:rFonts w:ascii="Arial"/>
                <w:sz w:val="24"/>
              </w:rPr>
              <w:t>72,913</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3"/>
              <w:jc w:val="right"/>
              <w:rPr>
                <w:rFonts w:ascii="Arial" w:hAnsi="Arial" w:cs="Arial" w:eastAsia="Arial" w:hint="default"/>
                <w:sz w:val="24"/>
                <w:szCs w:val="24"/>
              </w:rPr>
            </w:pPr>
            <w:r>
              <w:rPr>
                <w:rFonts w:ascii="Arial"/>
                <w:w w:val="95"/>
                <w:sz w:val="24"/>
              </w:rPr>
              <w:t>73,869</w:t>
            </w:r>
            <w:r>
              <w:rPr>
                <w:rFonts w:ascii="Arial"/>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43" w:right="0"/>
              <w:jc w:val="left"/>
              <w:rPr>
                <w:rFonts w:ascii="Arial" w:hAnsi="Arial" w:cs="Arial" w:eastAsia="Arial" w:hint="default"/>
                <w:sz w:val="24"/>
                <w:szCs w:val="24"/>
              </w:rPr>
            </w:pPr>
            <w:r>
              <w:rPr>
                <w:rFonts w:ascii="Arial"/>
                <w:sz w:val="24"/>
              </w:rPr>
              <w:t>53,306</w:t>
            </w:r>
          </w:p>
        </w:tc>
      </w:tr>
      <w:tr>
        <w:trPr>
          <w:trHeight w:val="312"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3"/>
              <w:jc w:val="right"/>
              <w:rPr>
                <w:rFonts w:ascii="Arial" w:hAnsi="Arial" w:cs="Arial" w:eastAsia="Arial" w:hint="default"/>
                <w:sz w:val="24"/>
                <w:szCs w:val="24"/>
              </w:rPr>
            </w:pPr>
            <w:r>
              <w:rPr>
                <w:rFonts w:ascii="Arial"/>
                <w:w w:val="95"/>
                <w:sz w:val="24"/>
              </w:rPr>
              <w:t>48,738</w:t>
            </w:r>
            <w:r>
              <w:rPr>
                <w:rFonts w:ascii="Arial"/>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42" w:right="0"/>
              <w:jc w:val="left"/>
              <w:rPr>
                <w:rFonts w:ascii="Arial" w:hAnsi="Arial" w:cs="Arial" w:eastAsia="Arial" w:hint="default"/>
                <w:sz w:val="24"/>
                <w:szCs w:val="24"/>
              </w:rPr>
            </w:pPr>
            <w:r>
              <w:rPr>
                <w:rFonts w:ascii="Arial"/>
                <w:sz w:val="24"/>
              </w:rPr>
              <w:t>49,448</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3"/>
              <w:jc w:val="right"/>
              <w:rPr>
                <w:rFonts w:ascii="Arial" w:hAnsi="Arial" w:cs="Arial" w:eastAsia="Arial" w:hint="default"/>
                <w:sz w:val="24"/>
                <w:szCs w:val="24"/>
              </w:rPr>
            </w:pPr>
            <w:r>
              <w:rPr>
                <w:rFonts w:ascii="Arial"/>
                <w:w w:val="95"/>
                <w:sz w:val="24"/>
              </w:rPr>
              <w:t>37,859</w:t>
            </w:r>
            <w:r>
              <w:rPr>
                <w:rFonts w:ascii="Arial"/>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43" w:right="0"/>
              <w:jc w:val="left"/>
              <w:rPr>
                <w:rFonts w:ascii="Arial" w:hAnsi="Arial" w:cs="Arial" w:eastAsia="Arial" w:hint="default"/>
                <w:sz w:val="24"/>
                <w:szCs w:val="24"/>
              </w:rPr>
            </w:pPr>
            <w:r>
              <w:rPr>
                <w:rFonts w:ascii="Arial"/>
                <w:sz w:val="24"/>
              </w:rPr>
              <w:t>23,989</w:t>
            </w:r>
          </w:p>
        </w:tc>
      </w:tr>
      <w:tr>
        <w:trPr>
          <w:trHeight w:val="312"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3"/>
              <w:jc w:val="right"/>
              <w:rPr>
                <w:rFonts w:ascii="Arial" w:hAnsi="Arial" w:cs="Arial" w:eastAsia="Arial" w:hint="default"/>
                <w:sz w:val="24"/>
                <w:szCs w:val="24"/>
              </w:rPr>
            </w:pPr>
            <w:r>
              <w:rPr>
                <w:rFonts w:ascii="Arial"/>
                <w:w w:val="95"/>
                <w:sz w:val="24"/>
              </w:rPr>
              <w:t>22,478</w:t>
            </w:r>
            <w:r>
              <w:rPr>
                <w:rFonts w:ascii="Arial"/>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77" w:right="0"/>
              <w:jc w:val="left"/>
              <w:rPr>
                <w:rFonts w:ascii="Arial" w:hAnsi="Arial" w:cs="Arial" w:eastAsia="Arial" w:hint="default"/>
                <w:sz w:val="24"/>
                <w:szCs w:val="24"/>
              </w:rPr>
            </w:pPr>
            <w:r>
              <w:rPr>
                <w:rFonts w:ascii="Arial"/>
                <w:sz w:val="24"/>
              </w:rPr>
              <w:t>9,010</w:t>
            </w:r>
          </w:p>
        </w:tc>
      </w:tr>
      <w:tr>
        <w:trPr>
          <w:trHeight w:val="311"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3"/>
              <w:jc w:val="right"/>
              <w:rPr>
                <w:rFonts w:ascii="Arial" w:hAnsi="Arial" w:cs="Arial" w:eastAsia="Arial" w:hint="default"/>
                <w:sz w:val="24"/>
                <w:szCs w:val="24"/>
              </w:rPr>
            </w:pPr>
            <w:r>
              <w:rPr>
                <w:rFonts w:ascii="Arial"/>
                <w:w w:val="95"/>
                <w:sz w:val="24"/>
              </w:rPr>
              <w:t>18,343</w:t>
            </w:r>
            <w:r>
              <w:rPr>
                <w:rFonts w:ascii="Arial"/>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43" w:right="0"/>
              <w:jc w:val="left"/>
              <w:rPr>
                <w:rFonts w:ascii="Arial" w:hAnsi="Arial" w:cs="Arial" w:eastAsia="Arial" w:hint="default"/>
                <w:sz w:val="24"/>
                <w:szCs w:val="24"/>
              </w:rPr>
            </w:pPr>
            <w:r>
              <w:rPr>
                <w:rFonts w:ascii="Arial"/>
                <w:sz w:val="24"/>
              </w:rPr>
              <w:t>14,484</w:t>
            </w:r>
          </w:p>
        </w:tc>
      </w:tr>
      <w:tr>
        <w:trPr>
          <w:trHeight w:val="312"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62" w:lineRule="exact"/>
              <w:ind w:left="16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09" w:type="dxa"/>
            <w:tcBorders>
              <w:top w:val="nil" w:sz="6" w:space="0" w:color="auto"/>
              <w:left w:val="nil" w:sz="6" w:space="0" w:color="auto"/>
              <w:bottom w:val="nil" w:sz="6" w:space="0" w:color="auto"/>
              <w:right w:val="nil" w:sz="6" w:space="0" w:color="auto"/>
            </w:tcBorders>
          </w:tcPr>
          <w:p>
            <w:pPr>
              <w:pStyle w:val="TableParagraph"/>
              <w:tabs>
                <w:tab w:pos="737" w:val="left" w:leader="none"/>
                <w:tab w:pos="1694" w:val="left" w:leader="none"/>
              </w:tabs>
              <w:spacing w:line="240" w:lineRule="auto" w:before="18"/>
              <w:ind w:right="28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735,576</w:t>
              <w:tab/>
            </w:r>
            <w:r>
              <w:rPr>
                <w:rFonts w:ascii="Arial"/>
                <w:spacing w:val="-1"/>
                <w:sz w:val="24"/>
              </w:rPr>
            </w:r>
          </w:p>
        </w:tc>
        <w:tc>
          <w:tcPr>
            <w:tcW w:w="1781" w:type="dxa"/>
            <w:tcBorders>
              <w:top w:val="nil" w:sz="6" w:space="0" w:color="auto"/>
              <w:left w:val="nil" w:sz="6" w:space="0" w:color="auto"/>
              <w:bottom w:val="nil" w:sz="6" w:space="0" w:color="auto"/>
              <w:right w:val="nil" w:sz="6" w:space="0" w:color="auto"/>
            </w:tcBorders>
          </w:tcPr>
          <w:p>
            <w:pPr>
              <w:pStyle w:val="TableParagraph"/>
              <w:tabs>
                <w:tab w:pos="709" w:val="left" w:leader="none"/>
                <w:tab w:pos="1689" w:val="left" w:leader="none"/>
              </w:tabs>
              <w:spacing w:line="240" w:lineRule="auto" w:before="18"/>
              <w:ind w:left="-1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410,417</w:t>
              <w:tab/>
            </w:r>
            <w:r>
              <w:rPr>
                <w:rFonts w:ascii="Arial"/>
                <w:sz w:val="24"/>
              </w:rPr>
            </w:r>
          </w:p>
        </w:tc>
      </w:tr>
      <w:tr>
        <w:trPr>
          <w:trHeight w:val="263" w:hRule="exact"/>
        </w:trPr>
        <w:tc>
          <w:tcPr>
            <w:tcW w:w="741"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Style w:val="TableParagraph"/>
              <w:tabs>
                <w:tab w:pos="403" w:val="left" w:leader="none"/>
                <w:tab w:pos="1694" w:val="left" w:leader="none"/>
              </w:tabs>
              <w:spacing w:line="269" w:lineRule="exact"/>
              <w:ind w:right="28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16,644,676</w:t>
              <w:tab/>
            </w:r>
            <w:r>
              <w:rPr>
                <w:rFonts w:ascii="Arial"/>
                <w:spacing w:val="-1"/>
                <w:sz w:val="24"/>
              </w:rPr>
            </w:r>
          </w:p>
        </w:tc>
        <w:tc>
          <w:tcPr>
            <w:tcW w:w="1781" w:type="dxa"/>
            <w:tcBorders>
              <w:top w:val="nil" w:sz="6" w:space="0" w:color="auto"/>
              <w:left w:val="nil" w:sz="6" w:space="0" w:color="auto"/>
              <w:bottom w:val="nil" w:sz="6" w:space="0" w:color="auto"/>
              <w:right w:val="nil" w:sz="6" w:space="0" w:color="auto"/>
            </w:tcBorders>
          </w:tcPr>
          <w:p>
            <w:pPr>
              <w:pStyle w:val="TableParagraph"/>
              <w:tabs>
                <w:tab w:pos="375" w:val="left" w:leader="none"/>
                <w:tab w:pos="1689" w:val="left" w:leader="none"/>
              </w:tabs>
              <w:spacing w:line="269" w:lineRule="exact"/>
              <w:ind w:left="-1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14,105,025</w:t>
              <w:tab/>
            </w:r>
            <w:r>
              <w:rPr>
                <w:rFonts w:ascii="Arial"/>
                <w:sz w:val="24"/>
              </w:rPr>
            </w:r>
          </w:p>
        </w:tc>
      </w:tr>
    </w:tbl>
    <w:p>
      <w:pPr>
        <w:spacing w:after="0" w:line="269" w:lineRule="exact"/>
        <w:jc w:val="left"/>
        <w:rPr>
          <w:rFonts w:ascii="Arial" w:hAnsi="Arial" w:cs="Arial" w:eastAsia="Arial" w:hint="default"/>
          <w:sz w:val="24"/>
          <w:szCs w:val="24"/>
        </w:rPr>
        <w:sectPr>
          <w:pgSz w:w="11910" w:h="16840"/>
          <w:pgMar w:header="0" w:footer="698" w:top="1860" w:bottom="880" w:left="14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773"/>
        <w:gridCol w:w="3958"/>
        <w:gridCol w:w="2708"/>
        <w:gridCol w:w="1743"/>
      </w:tblGrid>
      <w:tr>
        <w:trPr>
          <w:trHeight w:val="41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958" w:type="dxa"/>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0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585"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(47)</w:t>
            </w: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6" w:right="0"/>
              <w:jc w:val="left"/>
              <w:rPr>
                <w:rFonts w:ascii="黑体" w:hAnsi="黑体" w:cs="黑体" w:eastAsia="黑体" w:hint="default"/>
                <w:sz w:val="24"/>
                <w:szCs w:val="24"/>
              </w:rPr>
            </w:pPr>
            <w:r>
              <w:rPr>
                <w:rFonts w:ascii="黑体" w:hAnsi="黑体" w:cs="黑体" w:eastAsia="黑体" w:hint="default"/>
                <w:sz w:val="24"/>
                <w:szCs w:val="24"/>
              </w:rPr>
              <w:t>管理费用</w:t>
            </w:r>
          </w:p>
        </w:tc>
        <w:tc>
          <w:tcPr>
            <w:tcW w:w="270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593"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6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01"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71" w:right="0"/>
              <w:jc w:val="left"/>
              <w:rPr>
                <w:rFonts w:ascii="Arial" w:hAnsi="Arial" w:cs="Arial" w:eastAsia="Arial" w:hint="default"/>
                <w:sz w:val="24"/>
                <w:szCs w:val="24"/>
              </w:rPr>
            </w:pPr>
            <w:r>
              <w:rPr>
                <w:rFonts w:ascii="Arial"/>
                <w:sz w:val="24"/>
              </w:rPr>
              <w:t>1,907,425</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07" w:right="0"/>
              <w:jc w:val="left"/>
              <w:rPr>
                <w:rFonts w:ascii="Arial" w:hAnsi="Arial" w:cs="Arial" w:eastAsia="Arial" w:hint="default"/>
                <w:sz w:val="24"/>
                <w:szCs w:val="24"/>
              </w:rPr>
            </w:pPr>
            <w:r>
              <w:rPr>
                <w:rFonts w:ascii="Arial"/>
                <w:sz w:val="24"/>
              </w:rPr>
              <w:t>1,282,607</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72" w:right="0"/>
              <w:jc w:val="left"/>
              <w:rPr>
                <w:rFonts w:ascii="Arial" w:hAnsi="Arial" w:cs="Arial" w:eastAsia="Arial" w:hint="default"/>
                <w:sz w:val="24"/>
                <w:szCs w:val="24"/>
              </w:rPr>
            </w:pPr>
            <w:r>
              <w:rPr>
                <w:rFonts w:ascii="Arial"/>
                <w:sz w:val="24"/>
              </w:rPr>
              <w:t>334,689</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6"/>
              <w:jc w:val="right"/>
              <w:rPr>
                <w:rFonts w:ascii="Arial" w:hAnsi="Arial" w:cs="Arial" w:eastAsia="Arial" w:hint="default"/>
                <w:sz w:val="24"/>
                <w:szCs w:val="24"/>
              </w:rPr>
            </w:pPr>
            <w:r>
              <w:rPr>
                <w:rFonts w:ascii="Arial"/>
                <w:spacing w:val="-1"/>
                <w:sz w:val="24"/>
              </w:rPr>
              <w:t>252,661</w:t>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72" w:right="0"/>
              <w:jc w:val="left"/>
              <w:rPr>
                <w:rFonts w:ascii="Arial" w:hAnsi="Arial" w:cs="Arial" w:eastAsia="Arial" w:hint="default"/>
                <w:sz w:val="24"/>
                <w:szCs w:val="24"/>
              </w:rPr>
            </w:pPr>
            <w:r>
              <w:rPr>
                <w:rFonts w:ascii="Arial"/>
                <w:sz w:val="24"/>
              </w:rPr>
              <w:t>319,383</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4"/>
              <w:jc w:val="right"/>
              <w:rPr>
                <w:rFonts w:ascii="Arial" w:hAnsi="Arial" w:cs="Arial" w:eastAsia="Arial" w:hint="default"/>
                <w:sz w:val="24"/>
                <w:szCs w:val="24"/>
              </w:rPr>
            </w:pPr>
            <w:r>
              <w:rPr>
                <w:rFonts w:ascii="Arial"/>
                <w:spacing w:val="-1"/>
                <w:sz w:val="24"/>
              </w:rPr>
              <w:t>247,551</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0" w:right="0"/>
              <w:jc w:val="left"/>
              <w:rPr>
                <w:rFonts w:ascii="Arial" w:hAnsi="Arial" w:cs="Arial" w:eastAsia="Arial" w:hint="default"/>
                <w:sz w:val="24"/>
                <w:szCs w:val="24"/>
              </w:rPr>
            </w:pPr>
            <w:r>
              <w:rPr>
                <w:rFonts w:ascii="Arial"/>
                <w:spacing w:val="-3"/>
                <w:sz w:val="24"/>
              </w:rPr>
              <w:t>305,117</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24"/>
                <w:szCs w:val="24"/>
              </w:rPr>
            </w:pPr>
            <w:r>
              <w:rPr>
                <w:rFonts w:ascii="Arial"/>
                <w:spacing w:val="-1"/>
                <w:sz w:val="24"/>
              </w:rPr>
              <w:t>418,457</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72" w:right="0"/>
              <w:jc w:val="left"/>
              <w:rPr>
                <w:rFonts w:ascii="Arial" w:hAnsi="Arial" w:cs="Arial" w:eastAsia="Arial" w:hint="default"/>
                <w:sz w:val="24"/>
                <w:szCs w:val="24"/>
              </w:rPr>
            </w:pPr>
            <w:r>
              <w:rPr>
                <w:rFonts w:ascii="Arial"/>
                <w:sz w:val="24"/>
              </w:rPr>
              <w:t>236,093</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24"/>
                <w:szCs w:val="24"/>
              </w:rPr>
            </w:pPr>
            <w:r>
              <w:rPr>
                <w:rFonts w:ascii="Arial"/>
                <w:spacing w:val="-1"/>
                <w:sz w:val="24"/>
              </w:rPr>
              <w:t>198,504</w:t>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90" w:right="0"/>
              <w:jc w:val="left"/>
              <w:rPr>
                <w:rFonts w:ascii="Arial" w:hAnsi="Arial" w:cs="Arial" w:eastAsia="Arial" w:hint="default"/>
                <w:sz w:val="24"/>
                <w:szCs w:val="24"/>
              </w:rPr>
            </w:pPr>
            <w:r>
              <w:rPr>
                <w:rFonts w:ascii="Arial"/>
                <w:spacing w:val="-4"/>
                <w:sz w:val="24"/>
              </w:rPr>
              <w:t>115,071</w:t>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4"/>
              <w:jc w:val="right"/>
              <w:rPr>
                <w:rFonts w:ascii="Arial" w:hAnsi="Arial" w:cs="Arial" w:eastAsia="Arial" w:hint="default"/>
                <w:sz w:val="24"/>
                <w:szCs w:val="24"/>
              </w:rPr>
            </w:pPr>
            <w:r>
              <w:rPr>
                <w:rFonts w:ascii="Arial"/>
                <w:spacing w:val="-1"/>
                <w:sz w:val="24"/>
              </w:rPr>
              <w:t>105,789</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咨询费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72" w:right="0"/>
              <w:jc w:val="left"/>
              <w:rPr>
                <w:rFonts w:ascii="Arial" w:hAnsi="Arial" w:cs="Arial" w:eastAsia="Arial" w:hint="default"/>
                <w:sz w:val="24"/>
                <w:szCs w:val="24"/>
              </w:rPr>
            </w:pPr>
            <w:r>
              <w:rPr>
                <w:rFonts w:ascii="Arial"/>
                <w:sz w:val="24"/>
              </w:rPr>
              <w:t>101,348</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6"/>
              <w:jc w:val="right"/>
              <w:rPr>
                <w:rFonts w:ascii="Arial" w:hAnsi="Arial" w:cs="Arial" w:eastAsia="Arial" w:hint="default"/>
                <w:sz w:val="24"/>
                <w:szCs w:val="24"/>
              </w:rPr>
            </w:pPr>
            <w:r>
              <w:rPr>
                <w:rFonts w:ascii="Arial"/>
                <w:spacing w:val="-1"/>
                <w:sz w:val="24"/>
              </w:rPr>
              <w:t>137,919</w:t>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05" w:right="0"/>
              <w:jc w:val="left"/>
              <w:rPr>
                <w:rFonts w:ascii="Arial" w:hAnsi="Arial" w:cs="Arial" w:eastAsia="Arial" w:hint="default"/>
                <w:sz w:val="24"/>
                <w:szCs w:val="24"/>
              </w:rPr>
            </w:pPr>
            <w:r>
              <w:rPr>
                <w:rFonts w:ascii="Arial"/>
                <w:sz w:val="24"/>
              </w:rPr>
              <w:t>72,121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4"/>
              <w:jc w:val="right"/>
              <w:rPr>
                <w:rFonts w:ascii="Arial" w:hAnsi="Arial" w:cs="Arial" w:eastAsia="Arial" w:hint="default"/>
                <w:sz w:val="24"/>
                <w:szCs w:val="24"/>
              </w:rPr>
            </w:pPr>
            <w:r>
              <w:rPr>
                <w:rFonts w:ascii="Arial"/>
                <w:w w:val="95"/>
                <w:sz w:val="24"/>
              </w:rPr>
              <w:t>37,915</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69,645</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24"/>
                <w:szCs w:val="24"/>
              </w:rPr>
            </w:pPr>
            <w:r>
              <w:rPr>
                <w:rFonts w:ascii="Arial"/>
                <w:w w:val="95"/>
                <w:sz w:val="24"/>
              </w:rPr>
              <w:t>49,679</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64,151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24"/>
                <w:szCs w:val="24"/>
              </w:rPr>
            </w:pPr>
            <w:r>
              <w:rPr>
                <w:rFonts w:ascii="Arial"/>
                <w:w w:val="95"/>
                <w:sz w:val="24"/>
              </w:rPr>
              <w:t>55,101</w:t>
            </w:r>
            <w:r>
              <w:rPr>
                <w:rFonts w:ascii="Arial"/>
                <w:sz w:val="24"/>
              </w:rPr>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05" w:right="0"/>
              <w:jc w:val="left"/>
              <w:rPr>
                <w:rFonts w:ascii="Arial" w:hAnsi="Arial" w:cs="Arial" w:eastAsia="Arial" w:hint="default"/>
                <w:sz w:val="24"/>
                <w:szCs w:val="24"/>
              </w:rPr>
            </w:pPr>
            <w:r>
              <w:rPr>
                <w:rFonts w:ascii="Arial"/>
                <w:sz w:val="24"/>
              </w:rPr>
              <w:t>49,979</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5"/>
              <w:jc w:val="right"/>
              <w:rPr>
                <w:rFonts w:ascii="Arial" w:hAnsi="Arial" w:cs="Arial" w:eastAsia="Arial" w:hint="default"/>
                <w:sz w:val="24"/>
                <w:szCs w:val="24"/>
              </w:rPr>
            </w:pPr>
            <w:r>
              <w:rPr>
                <w:rFonts w:ascii="Arial"/>
                <w:w w:val="95"/>
                <w:sz w:val="24"/>
              </w:rPr>
              <w:t>42,262</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网络月租费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40,156</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24"/>
                <w:szCs w:val="24"/>
              </w:rPr>
            </w:pPr>
            <w:r>
              <w:rPr>
                <w:rFonts w:ascii="Arial"/>
                <w:w w:val="95"/>
                <w:sz w:val="24"/>
              </w:rPr>
              <w:t>53,628</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27,272</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24"/>
                <w:szCs w:val="24"/>
              </w:rPr>
            </w:pPr>
            <w:r>
              <w:rPr>
                <w:rFonts w:ascii="Arial"/>
                <w:w w:val="95"/>
                <w:sz w:val="24"/>
              </w:rPr>
              <w:t>18,668</w:t>
            </w:r>
            <w:r>
              <w:rPr>
                <w:rFonts w:ascii="Arial"/>
                <w:sz w:val="24"/>
              </w:rPr>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23" w:right="0"/>
              <w:jc w:val="left"/>
              <w:rPr>
                <w:rFonts w:ascii="Arial" w:hAnsi="Arial" w:cs="Arial" w:eastAsia="Arial" w:hint="default"/>
                <w:sz w:val="24"/>
                <w:szCs w:val="24"/>
              </w:rPr>
            </w:pPr>
            <w:r>
              <w:rPr>
                <w:rFonts w:ascii="Arial"/>
                <w:spacing w:val="-4"/>
                <w:sz w:val="24"/>
              </w:rPr>
              <w:t>22,117</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4"/>
              <w:jc w:val="right"/>
              <w:rPr>
                <w:rFonts w:ascii="Arial" w:hAnsi="Arial" w:cs="Arial" w:eastAsia="Arial" w:hint="default"/>
                <w:sz w:val="24"/>
                <w:szCs w:val="24"/>
              </w:rPr>
            </w:pPr>
            <w:r>
              <w:rPr>
                <w:rFonts w:ascii="Arial"/>
                <w:w w:val="95"/>
                <w:sz w:val="24"/>
              </w:rPr>
              <w:t>25,693</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办公区装修费摊销</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12,670</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w w:val="95"/>
                <w:sz w:val="24"/>
              </w:rPr>
              <w:t>10,612</w:t>
            </w:r>
            <w:r>
              <w:rPr>
                <w:rFonts w:ascii="Arial"/>
                <w:sz w:val="24"/>
              </w:rPr>
            </w:r>
          </w:p>
        </w:tc>
      </w:tr>
      <w:tr>
        <w:trPr>
          <w:trHeight w:val="313"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708" w:type="dxa"/>
            <w:tcBorders>
              <w:top w:val="nil" w:sz="6" w:space="0" w:color="auto"/>
              <w:left w:val="nil" w:sz="6" w:space="0" w:color="auto"/>
              <w:bottom w:val="nil" w:sz="6" w:space="0" w:color="auto"/>
              <w:right w:val="nil" w:sz="6" w:space="0" w:color="auto"/>
            </w:tcBorders>
          </w:tcPr>
          <w:p>
            <w:pPr>
              <w:pStyle w:val="TableParagraph"/>
              <w:tabs>
                <w:tab w:pos="1372" w:val="left" w:leader="none"/>
                <w:tab w:pos="2584" w:val="left" w:leader="none"/>
                <w:tab w:pos="3316" w:val="left" w:leader="none"/>
              </w:tabs>
              <w:spacing w:line="240" w:lineRule="auto" w:before="19"/>
              <w:ind w:left="620" w:right="-609"/>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614,238 </w:t>
            </w:r>
            <w:r>
              <w:rPr>
                <w:rFonts w:ascii="Arial"/>
                <w:spacing w:val="-24"/>
                <w:sz w:val="24"/>
                <w:u w:val="single" w:color="000000"/>
              </w:rPr>
              <w:t> </w:t>
            </w:r>
            <w:r>
              <w:rPr>
                <w:rFonts w:ascii="Arial"/>
                <w:spacing w:val="-24"/>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19"/>
              <w:ind w:right="157"/>
              <w:jc w:val="right"/>
              <w:rPr>
                <w:rFonts w:ascii="Arial" w:hAnsi="Arial" w:cs="Arial" w:eastAsia="Arial" w:hint="default"/>
                <w:sz w:val="24"/>
                <w:szCs w:val="24"/>
              </w:rPr>
            </w:pPr>
            <w:r>
              <w:rPr>
                <w:rFonts w:ascii="Arial"/>
                <w:w w:val="99"/>
                <w:sz w:val="24"/>
              </w:rPr>
            </w:r>
            <w:r>
              <w:rPr>
                <w:rFonts w:ascii="Arial"/>
                <w:spacing w:val="-1"/>
                <w:sz w:val="24"/>
                <w:u w:val="single" w:color="000000"/>
              </w:rPr>
              <w:t>419,524</w:t>
              <w:tab/>
            </w:r>
            <w:r>
              <w:rPr>
                <w:rFonts w:ascii="Arial"/>
                <w:spacing w:val="-1"/>
                <w:sz w:val="24"/>
              </w:rPr>
            </w:r>
          </w:p>
        </w:tc>
      </w:tr>
      <w:tr>
        <w:trPr>
          <w:trHeight w:val="434"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tabs>
                <w:tab w:pos="1171" w:val="left" w:leader="none"/>
                <w:tab w:pos="2584" w:val="left" w:leader="none"/>
                <w:tab w:pos="3115" w:val="left" w:leader="none"/>
              </w:tabs>
              <w:spacing w:line="268" w:lineRule="exact"/>
              <w:ind w:left="620" w:right="-40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4,291,475 </w:t>
            </w:r>
            <w:r>
              <w:rPr>
                <w:rFonts w:ascii="Arial"/>
                <w:spacing w:val="-24"/>
                <w:sz w:val="24"/>
                <w:u w:val="thick" w:color="000000"/>
              </w:rPr>
              <w:t> </w:t>
            </w:r>
            <w:r>
              <w:rPr>
                <w:rFonts w:ascii="Arial"/>
                <w:spacing w:val="-24"/>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tabs>
                <w:tab w:pos="1175" w:val="left" w:leader="none"/>
              </w:tabs>
              <w:spacing w:line="268" w:lineRule="exact"/>
              <w:ind w:right="157"/>
              <w:jc w:val="right"/>
              <w:rPr>
                <w:rFonts w:ascii="Arial" w:hAnsi="Arial" w:cs="Arial" w:eastAsia="Arial" w:hint="default"/>
                <w:sz w:val="24"/>
                <w:szCs w:val="24"/>
              </w:rPr>
            </w:pPr>
            <w:r>
              <w:rPr>
                <w:rFonts w:ascii="Arial"/>
                <w:w w:val="99"/>
                <w:sz w:val="24"/>
              </w:rPr>
            </w:r>
            <w:r>
              <w:rPr>
                <w:rFonts w:ascii="Arial"/>
                <w:spacing w:val="-1"/>
                <w:sz w:val="24"/>
                <w:u w:val="thick" w:color="000000"/>
              </w:rPr>
              <w:t>3,356,570</w:t>
              <w:tab/>
            </w:r>
            <w:r>
              <w:rPr>
                <w:rFonts w:ascii="Arial"/>
                <w:spacing w:val="-1"/>
                <w:sz w:val="24"/>
              </w:rPr>
            </w:r>
          </w:p>
        </w:tc>
      </w:tr>
      <w:tr>
        <w:trPr>
          <w:trHeight w:val="598"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(48)</w:t>
            </w: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5" w:right="0"/>
              <w:jc w:val="left"/>
              <w:rPr>
                <w:rFonts w:ascii="黑体" w:hAnsi="黑体" w:cs="黑体" w:eastAsia="黑体" w:hint="default"/>
                <w:sz w:val="24"/>
                <w:szCs w:val="24"/>
              </w:rPr>
            </w:pPr>
            <w:r>
              <w:rPr>
                <w:rFonts w:ascii="黑体" w:hAnsi="黑体" w:cs="黑体" w:eastAsia="黑体" w:hint="default"/>
                <w:sz w:val="24"/>
                <w:szCs w:val="24"/>
              </w:rPr>
              <w:t>财务费用</w:t>
            </w:r>
            <w:r>
              <w:rPr>
                <w:rFonts w:ascii="Arial" w:hAnsi="Arial" w:cs="Arial" w:eastAsia="Arial" w:hint="default"/>
                <w:sz w:val="24"/>
                <w:szCs w:val="24"/>
              </w:rPr>
              <w:t>-</w:t>
            </w:r>
            <w:r>
              <w:rPr>
                <w:rFonts w:ascii="黑体" w:hAnsi="黑体" w:cs="黑体" w:eastAsia="黑体" w:hint="default"/>
                <w:sz w:val="24"/>
                <w:szCs w:val="24"/>
              </w:rPr>
              <w:t>净额</w:t>
            </w:r>
          </w:p>
        </w:tc>
        <w:tc>
          <w:tcPr>
            <w:tcW w:w="270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587"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6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01"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0"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357" w:right="0"/>
              <w:jc w:val="left"/>
              <w:rPr>
                <w:rFonts w:ascii="Arial" w:hAnsi="Arial" w:cs="Arial" w:eastAsia="Arial" w:hint="default"/>
                <w:sz w:val="24"/>
                <w:szCs w:val="24"/>
              </w:rPr>
            </w:pPr>
            <w:r>
              <w:rPr>
                <w:rFonts w:ascii="Arial"/>
                <w:sz w:val="24"/>
              </w:rPr>
              <w:t>730,861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96" w:right="0"/>
              <w:jc w:val="left"/>
              <w:rPr>
                <w:rFonts w:ascii="Arial" w:hAnsi="Arial" w:cs="Arial" w:eastAsia="Arial" w:hint="default"/>
                <w:sz w:val="24"/>
                <w:szCs w:val="24"/>
              </w:rPr>
            </w:pPr>
            <w:r>
              <w:rPr>
                <w:rFonts w:ascii="Arial"/>
                <w:sz w:val="24"/>
              </w:rPr>
              <w:t>705,453</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90" w:right="0"/>
              <w:jc w:val="left"/>
              <w:rPr>
                <w:rFonts w:ascii="宋体" w:hAnsi="宋体" w:cs="宋体" w:eastAsia="宋体" w:hint="default"/>
                <w:sz w:val="24"/>
                <w:szCs w:val="24"/>
              </w:rPr>
            </w:pPr>
            <w:r>
              <w:rPr>
                <w:rFonts w:ascii="宋体" w:hAnsi="宋体" w:cs="宋体" w:eastAsia="宋体" w:hint="default"/>
                <w:sz w:val="24"/>
                <w:szCs w:val="24"/>
              </w:rPr>
              <w:t>减：利息支出</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78" w:right="0"/>
              <w:jc w:val="left"/>
              <w:rPr>
                <w:rFonts w:ascii="Arial" w:hAnsi="Arial" w:cs="Arial" w:eastAsia="Arial" w:hint="default"/>
                <w:sz w:val="24"/>
                <w:szCs w:val="24"/>
              </w:rPr>
            </w:pPr>
            <w:r>
              <w:rPr>
                <w:rFonts w:ascii="Arial"/>
                <w:sz w:val="24"/>
              </w:rPr>
              <w:t>(422,531)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(382,040)</w:t>
            </w:r>
            <w:r>
              <w:rPr>
                <w:rFonts w:ascii="Arial"/>
                <w:sz w:val="24"/>
              </w:rPr>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79" w:lineRule="exact"/>
              <w:ind w:left="90" w:right="0"/>
              <w:jc w:val="left"/>
              <w:rPr>
                <w:rFonts w:ascii="Arial" w:hAnsi="Arial" w:cs="Arial" w:eastAsia="Arial" w:hint="default"/>
                <w:sz w:val="24"/>
                <w:szCs w:val="24"/>
              </w:rPr>
            </w:pPr>
            <w:r>
              <w:rPr>
                <w:rFonts w:ascii="宋体" w:hAnsi="宋体" w:cs="宋体" w:eastAsia="宋体" w:hint="default"/>
                <w:sz w:val="24"/>
                <w:szCs w:val="24"/>
              </w:rPr>
              <w:t>汇兑净收益</w:t>
            </w:r>
            <w:r>
              <w:rPr>
                <w:rFonts w:ascii="Arial" w:hAnsi="Arial" w:cs="Arial" w:eastAsia="Arial" w:hint="default"/>
                <w:sz w:val="24"/>
                <w:szCs w:val="24"/>
              </w:rPr>
              <w:t>/(</w:t>
            </w:r>
            <w:r>
              <w:rPr>
                <w:rFonts w:ascii="宋体" w:hAnsi="宋体" w:cs="宋体" w:eastAsia="宋体" w:hint="default"/>
                <w:sz w:val="24"/>
                <w:szCs w:val="24"/>
              </w:rPr>
              <w:t>损失</w:t>
            </w:r>
            <w:r>
              <w:rPr>
                <w:rFonts w:ascii="Arial" w:hAnsi="Arial" w:cs="Arial" w:eastAsia="Arial" w:hint="default"/>
                <w:sz w:val="24"/>
                <w:szCs w:val="24"/>
              </w:rPr>
              <w:t>)</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29" w:right="0"/>
              <w:jc w:val="left"/>
              <w:rPr>
                <w:rFonts w:ascii="Arial" w:hAnsi="Arial" w:cs="Arial" w:eastAsia="Arial" w:hint="default"/>
                <w:sz w:val="24"/>
                <w:szCs w:val="24"/>
              </w:rPr>
            </w:pPr>
            <w:r>
              <w:rPr>
                <w:rFonts w:ascii="Arial"/>
                <w:spacing w:val="-3"/>
                <w:sz w:val="24"/>
              </w:rPr>
              <w:t>(11,224)</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(16,516)</w:t>
            </w:r>
            <w:r>
              <w:rPr>
                <w:rFonts w:ascii="Arial"/>
                <w:sz w:val="24"/>
              </w:rPr>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90" w:right="0"/>
              <w:jc w:val="left"/>
              <w:rPr>
                <w:rFonts w:ascii="宋体" w:hAnsi="宋体" w:cs="宋体" w:eastAsia="宋体" w:hint="default"/>
                <w:sz w:val="24"/>
                <w:szCs w:val="24"/>
              </w:rPr>
            </w:pPr>
            <w:r>
              <w:rPr>
                <w:rFonts w:ascii="宋体" w:hAnsi="宋体" w:cs="宋体" w:eastAsia="宋体" w:hint="default"/>
                <w:sz w:val="24"/>
                <w:szCs w:val="24"/>
              </w:rPr>
              <w:t>银行手续费</w:t>
            </w:r>
          </w:p>
        </w:tc>
        <w:tc>
          <w:tcPr>
            <w:tcW w:w="2708" w:type="dxa"/>
            <w:tcBorders>
              <w:top w:val="nil" w:sz="6" w:space="0" w:color="auto"/>
              <w:left w:val="nil" w:sz="6" w:space="0" w:color="auto"/>
              <w:bottom w:val="nil" w:sz="6" w:space="0" w:color="auto"/>
              <w:right w:val="nil" w:sz="6" w:space="0" w:color="auto"/>
            </w:tcBorders>
          </w:tcPr>
          <w:p>
            <w:pPr>
              <w:pStyle w:val="TableParagraph"/>
              <w:tabs>
                <w:tab w:pos="1278" w:val="left" w:leader="none"/>
                <w:tab w:pos="2584" w:val="left" w:leader="none"/>
                <w:tab w:pos="3223" w:val="left" w:leader="none"/>
              </w:tabs>
              <w:spacing w:line="240" w:lineRule="auto" w:before="18"/>
              <w:ind w:left="603" w:right="-516"/>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(401,388)</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r>
            <w:r>
              <w:rPr>
                <w:rFonts w:ascii="Arial"/>
                <w:w w:val="95"/>
                <w:sz w:val="24"/>
                <w:u w:val="single" w:color="000000"/>
              </w:rPr>
              <w:t>(373,667)</w:t>
            </w:r>
            <w:r>
              <w:rPr>
                <w:rFonts w:ascii="Arial"/>
                <w:w w:val="95"/>
                <w:sz w:val="24"/>
              </w:rPr>
            </w:r>
            <w:r>
              <w:rPr>
                <w:rFonts w:ascii="Arial"/>
                <w:sz w:val="24"/>
              </w:rPr>
            </w:r>
          </w:p>
        </w:tc>
      </w:tr>
      <w:tr>
        <w:trPr>
          <w:trHeight w:val="263"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tabs>
                <w:tab w:pos="1278" w:val="left" w:leader="none"/>
                <w:tab w:pos="2584" w:val="left" w:leader="none"/>
                <w:tab w:pos="3357" w:val="left" w:leader="none"/>
              </w:tabs>
              <w:spacing w:line="268" w:lineRule="exact"/>
              <w:ind w:left="603" w:right="-65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(104,282)</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68" w:lineRule="exact"/>
              <w:ind w:right="198"/>
              <w:jc w:val="right"/>
              <w:rPr>
                <w:rFonts w:ascii="Arial" w:hAnsi="Arial" w:cs="Arial" w:eastAsia="Arial" w:hint="default"/>
                <w:sz w:val="24"/>
                <w:szCs w:val="24"/>
              </w:rPr>
            </w:pPr>
            <w:r>
              <w:rPr>
                <w:rFonts w:ascii="Arial"/>
                <w:w w:val="99"/>
                <w:sz w:val="24"/>
              </w:rPr>
            </w:r>
            <w:r>
              <w:rPr>
                <w:rFonts w:ascii="Arial"/>
                <w:spacing w:val="-1"/>
                <w:sz w:val="24"/>
                <w:u w:val="thick" w:color="000000"/>
              </w:rPr>
              <w:t>(66,770)</w:t>
            </w:r>
            <w:r>
              <w:rPr>
                <w:rFonts w:ascii="Arial"/>
                <w:spacing w:val="-1"/>
                <w:sz w:val="24"/>
              </w:rPr>
            </w:r>
          </w:p>
        </w:tc>
      </w:tr>
    </w:tbl>
    <w:p>
      <w:pPr>
        <w:spacing w:after="0" w:line="268" w:lineRule="exact"/>
        <w:jc w:val="right"/>
        <w:rPr>
          <w:rFonts w:ascii="Arial" w:hAnsi="Arial" w:cs="Arial" w:eastAsia="Arial" w:hint="default"/>
          <w:sz w:val="24"/>
          <w:szCs w:val="24"/>
        </w:rPr>
        <w:sectPr>
          <w:pgSz w:w="11910" w:h="16840"/>
          <w:pgMar w:header="0" w:footer="698" w:top="1860" w:bottom="8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751"/>
        <w:gridCol w:w="4314"/>
        <w:gridCol w:w="2218"/>
        <w:gridCol w:w="1845"/>
      </w:tblGrid>
      <w:tr>
        <w:trPr>
          <w:trHeight w:val="420"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314" w:type="dxa"/>
            <w:tcBorders>
              <w:top w:val="nil" w:sz="6" w:space="0" w:color="auto"/>
              <w:left w:val="nil" w:sz="6" w:space="0" w:color="auto"/>
              <w:bottom w:val="nil" w:sz="6" w:space="0" w:color="auto"/>
              <w:right w:val="nil" w:sz="6" w:space="0" w:color="auto"/>
            </w:tcBorders>
          </w:tcPr>
          <w:p>
            <w:pPr>
              <w:pStyle w:val="TableParagraph"/>
              <w:spacing w:line="257" w:lineRule="exact"/>
              <w:ind w:left="12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18"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595"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(49)</w:t>
            </w:r>
          </w:p>
        </w:tc>
        <w:tc>
          <w:tcPr>
            <w:tcW w:w="431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3" w:right="0"/>
              <w:jc w:val="left"/>
              <w:rPr>
                <w:rFonts w:ascii="黑体" w:hAnsi="黑体" w:cs="黑体" w:eastAsia="黑体" w:hint="default"/>
                <w:sz w:val="24"/>
                <w:szCs w:val="24"/>
              </w:rPr>
            </w:pPr>
            <w:r>
              <w:rPr>
                <w:rFonts w:ascii="黑体" w:hAnsi="黑体" w:cs="黑体" w:eastAsia="黑体" w:hint="default"/>
                <w:sz w:val="24"/>
                <w:szCs w:val="24"/>
              </w:rPr>
              <w:t>费用按性质分类</w:t>
            </w:r>
          </w:p>
        </w:tc>
        <w:tc>
          <w:tcPr>
            <w:tcW w:w="2218"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574" w:hRule="exact"/>
        </w:trPr>
        <w:tc>
          <w:tcPr>
            <w:tcW w:w="751" w:type="dxa"/>
            <w:tcBorders>
              <w:top w:val="nil" w:sz="6" w:space="0" w:color="auto"/>
              <w:left w:val="nil" w:sz="6" w:space="0" w:color="auto"/>
              <w:bottom w:val="nil" w:sz="6" w:space="0" w:color="auto"/>
              <w:right w:val="nil" w:sz="6" w:space="0" w:color="auto"/>
            </w:tcBorders>
          </w:tcPr>
          <w:p>
            <w:pPr/>
          </w:p>
        </w:tc>
        <w:tc>
          <w:tcPr>
            <w:tcW w:w="83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123" w:right="0"/>
              <w:jc w:val="left"/>
              <w:rPr>
                <w:rFonts w:ascii="宋体" w:hAnsi="宋体" w:cs="宋体" w:eastAsia="宋体" w:hint="default"/>
                <w:sz w:val="24"/>
                <w:szCs w:val="24"/>
              </w:rPr>
            </w:pPr>
            <w:r>
              <w:rPr>
                <w:rFonts w:ascii="宋体" w:hAnsi="宋体" w:cs="宋体" w:eastAsia="宋体" w:hint="default"/>
                <w:sz w:val="24"/>
                <w:szCs w:val="24"/>
              </w:rPr>
              <w:t>利润表中的营业成本、销售费用和管理费用按照性质分类，列示如下：</w:t>
            </w:r>
          </w:p>
        </w:tc>
      </w:tr>
      <w:tr>
        <w:trPr>
          <w:trHeight w:val="593"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1"/>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3" w:right="0"/>
              <w:jc w:val="left"/>
              <w:rPr>
                <w:rFonts w:ascii="宋体" w:hAnsi="宋体" w:cs="宋体" w:eastAsia="宋体" w:hint="default"/>
                <w:sz w:val="24"/>
                <w:szCs w:val="24"/>
              </w:rPr>
            </w:pPr>
            <w:r>
              <w:rPr>
                <w:rFonts w:ascii="宋体" w:hAnsi="宋体" w:cs="宋体" w:eastAsia="宋体" w:hint="default"/>
                <w:sz w:val="24"/>
                <w:szCs w:val="24"/>
              </w:rPr>
              <w:t>存货变动</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309"/>
              <w:jc w:val="right"/>
              <w:rPr>
                <w:rFonts w:ascii="Arial" w:hAnsi="Arial" w:cs="Arial" w:eastAsia="Arial" w:hint="default"/>
                <w:sz w:val="24"/>
                <w:szCs w:val="24"/>
              </w:rPr>
            </w:pPr>
            <w:r>
              <w:rPr>
                <w:rFonts w:ascii="Arial"/>
                <w:w w:val="95"/>
                <w:sz w:val="24"/>
              </w:rPr>
              <w:t>2,099,553</w:t>
            </w:r>
            <w:r>
              <w:rPr>
                <w:rFonts w:ascii="Arial"/>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8"/>
              <w:jc w:val="right"/>
              <w:rPr>
                <w:rFonts w:ascii="Arial" w:hAnsi="Arial" w:cs="Arial" w:eastAsia="Arial" w:hint="default"/>
                <w:sz w:val="24"/>
                <w:szCs w:val="24"/>
              </w:rPr>
            </w:pPr>
            <w:r>
              <w:rPr>
                <w:rFonts w:ascii="Arial"/>
                <w:w w:val="95"/>
                <w:sz w:val="24"/>
              </w:rPr>
              <w:t>2,278,770</w:t>
            </w:r>
            <w:r>
              <w:rPr>
                <w:rFonts w:ascii="Arial"/>
                <w:sz w:val="24"/>
              </w:rPr>
            </w:r>
          </w:p>
        </w:tc>
      </w:tr>
      <w:tr>
        <w:trPr>
          <w:trHeight w:val="312"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增加的库存商品和安装维修用备件</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8"/>
              <w:jc w:val="right"/>
              <w:rPr>
                <w:rFonts w:ascii="Arial" w:hAnsi="Arial" w:cs="Arial" w:eastAsia="Arial" w:hint="default"/>
                <w:sz w:val="24"/>
                <w:szCs w:val="24"/>
              </w:rPr>
            </w:pPr>
            <w:r>
              <w:rPr>
                <w:rFonts w:ascii="Arial"/>
                <w:spacing w:val="-2"/>
                <w:w w:val="95"/>
                <w:sz w:val="24"/>
              </w:rPr>
              <w:t>110,379,388</w:t>
            </w:r>
            <w:r>
              <w:rPr>
                <w:rFonts w:ascii="Arial"/>
                <w:spacing w:val="-2"/>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87,887,137</w:t>
            </w:r>
            <w:r>
              <w:rPr>
                <w:rFonts w:ascii="Arial"/>
                <w:sz w:val="24"/>
              </w:rPr>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增加的房地产项目开发成本</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9"/>
              <w:jc w:val="right"/>
              <w:rPr>
                <w:rFonts w:ascii="Arial" w:hAnsi="Arial" w:cs="Arial" w:eastAsia="Arial" w:hint="default"/>
                <w:sz w:val="24"/>
                <w:szCs w:val="24"/>
              </w:rPr>
            </w:pPr>
            <w:r>
              <w:rPr>
                <w:rFonts w:ascii="Arial"/>
                <w:spacing w:val="-1"/>
                <w:sz w:val="24"/>
              </w:rPr>
              <w:t>606,666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spacing w:val="-1"/>
                <w:sz w:val="24"/>
              </w:rPr>
              <w:t>630,253</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职工薪酬费用</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9"/>
              <w:jc w:val="right"/>
              <w:rPr>
                <w:rFonts w:ascii="Arial" w:hAnsi="Arial" w:cs="Arial" w:eastAsia="Arial" w:hint="default"/>
                <w:sz w:val="24"/>
                <w:szCs w:val="24"/>
              </w:rPr>
            </w:pPr>
            <w:r>
              <w:rPr>
                <w:rFonts w:ascii="Arial"/>
                <w:w w:val="95"/>
                <w:sz w:val="24"/>
              </w:rPr>
              <w:t>6,703,356</w:t>
            </w:r>
            <w:r>
              <w:rPr>
                <w:rFonts w:ascii="Arial"/>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6,025,295</w:t>
            </w:r>
            <w:r>
              <w:rPr>
                <w:rFonts w:ascii="Arial"/>
                <w:sz w:val="24"/>
              </w:rPr>
            </w:r>
          </w:p>
        </w:tc>
      </w:tr>
      <w:tr>
        <w:trPr>
          <w:trHeight w:val="312"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9"/>
              <w:jc w:val="right"/>
              <w:rPr>
                <w:rFonts w:ascii="Arial" w:hAnsi="Arial" w:cs="Arial" w:eastAsia="Arial" w:hint="default"/>
                <w:sz w:val="24"/>
                <w:szCs w:val="24"/>
              </w:rPr>
            </w:pPr>
            <w:r>
              <w:rPr>
                <w:rFonts w:ascii="Arial"/>
                <w:w w:val="95"/>
                <w:sz w:val="24"/>
              </w:rPr>
              <w:t>5,525,269</w:t>
            </w:r>
            <w:r>
              <w:rPr>
                <w:rFonts w:ascii="Arial"/>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5,024,825</w:t>
            </w:r>
            <w:r>
              <w:rPr>
                <w:rFonts w:ascii="Arial"/>
                <w:sz w:val="24"/>
              </w:rPr>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9"/>
              <w:jc w:val="right"/>
              <w:rPr>
                <w:rFonts w:ascii="Arial" w:hAnsi="Arial" w:cs="Arial" w:eastAsia="Arial" w:hint="default"/>
                <w:sz w:val="24"/>
                <w:szCs w:val="24"/>
              </w:rPr>
            </w:pPr>
            <w:r>
              <w:rPr>
                <w:rFonts w:ascii="Arial"/>
                <w:w w:val="95"/>
                <w:sz w:val="24"/>
              </w:rPr>
              <w:t>2,963,255</w:t>
            </w:r>
            <w:r>
              <w:rPr>
                <w:rFonts w:ascii="Arial"/>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2,065,100</w:t>
            </w:r>
            <w:r>
              <w:rPr>
                <w:rFonts w:ascii="Arial"/>
                <w:sz w:val="24"/>
              </w:rPr>
            </w:r>
          </w:p>
        </w:tc>
      </w:tr>
      <w:tr>
        <w:trPr>
          <w:trHeight w:val="312"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摊销费用</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9"/>
              <w:jc w:val="right"/>
              <w:rPr>
                <w:rFonts w:ascii="Arial" w:hAnsi="Arial" w:cs="Arial" w:eastAsia="Arial" w:hint="default"/>
                <w:sz w:val="24"/>
                <w:szCs w:val="24"/>
              </w:rPr>
            </w:pPr>
            <w:r>
              <w:rPr>
                <w:rFonts w:ascii="Arial"/>
                <w:w w:val="95"/>
                <w:sz w:val="24"/>
              </w:rPr>
              <w:t>1,551,023</w:t>
            </w:r>
            <w:r>
              <w:rPr>
                <w:rFonts w:ascii="Arial"/>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spacing w:val="-1"/>
                <w:sz w:val="24"/>
              </w:rPr>
              <w:t>671,210</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运输费用</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9"/>
              <w:jc w:val="right"/>
              <w:rPr>
                <w:rFonts w:ascii="Arial" w:hAnsi="Arial" w:cs="Arial" w:eastAsia="Arial" w:hint="default"/>
                <w:sz w:val="24"/>
                <w:szCs w:val="24"/>
              </w:rPr>
            </w:pPr>
            <w:r>
              <w:rPr>
                <w:rFonts w:ascii="Arial"/>
                <w:w w:val="95"/>
                <w:sz w:val="24"/>
              </w:rPr>
              <w:t>1,443,951</w:t>
            </w:r>
            <w:r>
              <w:rPr>
                <w:rFonts w:ascii="Arial"/>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1"/>
                <w:sz w:val="24"/>
              </w:rPr>
              <w:t>993,748</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安装维修劳务支出</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9"/>
              <w:jc w:val="right"/>
              <w:rPr>
                <w:rFonts w:ascii="Arial" w:hAnsi="Arial" w:cs="Arial" w:eastAsia="Arial" w:hint="default"/>
                <w:sz w:val="24"/>
                <w:szCs w:val="24"/>
              </w:rPr>
            </w:pPr>
            <w:r>
              <w:rPr>
                <w:rFonts w:ascii="Arial"/>
                <w:w w:val="95"/>
                <w:sz w:val="24"/>
              </w:rPr>
              <w:t>1,040,056</w:t>
            </w:r>
            <w:r>
              <w:rPr>
                <w:rFonts w:ascii="Arial"/>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1"/>
                <w:sz w:val="24"/>
              </w:rPr>
              <w:t>701,415</w:t>
            </w:r>
          </w:p>
        </w:tc>
      </w:tr>
      <w:tr>
        <w:trPr>
          <w:trHeight w:val="312"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折旧费用</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9"/>
              <w:jc w:val="right"/>
              <w:rPr>
                <w:rFonts w:ascii="Arial" w:hAnsi="Arial" w:cs="Arial" w:eastAsia="Arial" w:hint="default"/>
                <w:sz w:val="24"/>
                <w:szCs w:val="24"/>
              </w:rPr>
            </w:pPr>
            <w:r>
              <w:rPr>
                <w:rFonts w:ascii="Arial"/>
                <w:spacing w:val="-1"/>
                <w:sz w:val="24"/>
              </w:rPr>
              <w:t>886,983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spacing w:val="-1"/>
                <w:sz w:val="24"/>
              </w:rPr>
              <w:t>936,906</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9"/>
              <w:jc w:val="right"/>
              <w:rPr>
                <w:rFonts w:ascii="Arial" w:hAnsi="Arial" w:cs="Arial" w:eastAsia="Arial" w:hint="default"/>
                <w:sz w:val="24"/>
                <w:szCs w:val="24"/>
              </w:rPr>
            </w:pPr>
            <w:r>
              <w:rPr>
                <w:rFonts w:ascii="Arial"/>
                <w:spacing w:val="-1"/>
                <w:sz w:val="24"/>
              </w:rPr>
              <w:t>745,734</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1"/>
                <w:sz w:val="24"/>
              </w:rPr>
              <w:t>725,894</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办公费用</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9"/>
              <w:jc w:val="right"/>
              <w:rPr>
                <w:rFonts w:ascii="Arial" w:hAnsi="Arial" w:cs="Arial" w:eastAsia="Arial" w:hint="default"/>
                <w:sz w:val="24"/>
                <w:szCs w:val="24"/>
              </w:rPr>
            </w:pPr>
            <w:r>
              <w:rPr>
                <w:rFonts w:ascii="Arial"/>
                <w:spacing w:val="-1"/>
                <w:sz w:val="24"/>
              </w:rPr>
              <w:t>340,453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spacing w:val="-3"/>
                <w:sz w:val="24"/>
              </w:rPr>
              <w:t>311,593</w:t>
            </w:r>
          </w:p>
        </w:tc>
      </w:tr>
      <w:tr>
        <w:trPr>
          <w:trHeight w:val="312"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9"/>
              <w:jc w:val="right"/>
              <w:rPr>
                <w:rFonts w:ascii="Arial" w:hAnsi="Arial" w:cs="Arial" w:eastAsia="Arial" w:hint="default"/>
                <w:sz w:val="24"/>
                <w:szCs w:val="24"/>
              </w:rPr>
            </w:pPr>
            <w:r>
              <w:rPr>
                <w:rFonts w:ascii="Arial"/>
                <w:spacing w:val="-1"/>
                <w:sz w:val="24"/>
              </w:rPr>
              <w:t>254,436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spacing w:val="-1"/>
                <w:sz w:val="24"/>
              </w:rPr>
              <w:t>212,988</w:t>
            </w:r>
          </w:p>
        </w:tc>
      </w:tr>
      <w:tr>
        <w:trPr>
          <w:trHeight w:val="312"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Style w:val="TableParagraph"/>
              <w:spacing w:line="262" w:lineRule="exact"/>
              <w:ind w:left="1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18" w:type="dxa"/>
            <w:tcBorders>
              <w:top w:val="nil" w:sz="6" w:space="0" w:color="auto"/>
              <w:left w:val="nil" w:sz="6" w:space="0" w:color="auto"/>
              <w:bottom w:val="nil" w:sz="6" w:space="0" w:color="auto"/>
              <w:right w:val="nil" w:sz="6" w:space="0" w:color="auto"/>
            </w:tcBorders>
          </w:tcPr>
          <w:p>
            <w:pPr>
              <w:pStyle w:val="TableParagraph"/>
              <w:tabs>
                <w:tab w:pos="563" w:val="left" w:leader="none"/>
                <w:tab w:pos="1740" w:val="left" w:leader="none"/>
              </w:tabs>
              <w:spacing w:line="240" w:lineRule="auto" w:before="18"/>
              <w:ind w:right="19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2,377,210</w:t>
            </w:r>
            <w:r>
              <w:rPr>
                <w:rFonts w:ascii="Arial"/>
                <w:sz w:val="24"/>
                <w:u w:val="single" w:color="000000"/>
              </w:rPr>
              <w:tab/>
            </w:r>
            <w:r>
              <w:rPr>
                <w:rFonts w:ascii="Arial"/>
                <w:sz w:val="24"/>
              </w:rPr>
            </w:r>
          </w:p>
        </w:tc>
        <w:tc>
          <w:tcPr>
            <w:tcW w:w="1845" w:type="dxa"/>
            <w:tcBorders>
              <w:top w:val="nil" w:sz="6" w:space="0" w:color="auto"/>
              <w:left w:val="nil" w:sz="6" w:space="0" w:color="auto"/>
              <w:bottom w:val="nil" w:sz="6" w:space="0" w:color="auto"/>
              <w:right w:val="nil" w:sz="6" w:space="0" w:color="auto"/>
            </w:tcBorders>
          </w:tcPr>
          <w:p>
            <w:pPr>
              <w:pStyle w:val="TableParagraph"/>
              <w:tabs>
                <w:tab w:pos="541" w:val="left" w:leader="none"/>
                <w:tab w:pos="1717" w:val="left" w:leader="none"/>
              </w:tabs>
              <w:spacing w:line="240" w:lineRule="auto" w:before="18"/>
              <w:ind w:right="9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1,281,033</w:t>
            </w:r>
            <w:r>
              <w:rPr>
                <w:rFonts w:ascii="Arial"/>
                <w:sz w:val="24"/>
                <w:u w:val="single" w:color="000000"/>
              </w:rPr>
              <w:tab/>
            </w:r>
            <w:r>
              <w:rPr>
                <w:rFonts w:ascii="Arial"/>
                <w:sz w:val="24"/>
              </w:rPr>
            </w:r>
          </w:p>
        </w:tc>
      </w:tr>
      <w:tr>
        <w:trPr>
          <w:trHeight w:val="263" w:hRule="exact"/>
        </w:trPr>
        <w:tc>
          <w:tcPr>
            <w:tcW w:w="751" w:type="dxa"/>
            <w:tcBorders>
              <w:top w:val="nil" w:sz="6" w:space="0" w:color="auto"/>
              <w:left w:val="nil" w:sz="6" w:space="0" w:color="auto"/>
              <w:bottom w:val="nil" w:sz="6" w:space="0" w:color="auto"/>
              <w:right w:val="nil" w:sz="6" w:space="0" w:color="auto"/>
            </w:tcBorders>
          </w:tcPr>
          <w:p>
            <w:pPr/>
          </w:p>
        </w:tc>
        <w:tc>
          <w:tcPr>
            <w:tcW w:w="4314"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tabs>
                <w:tab w:pos="310" w:val="left" w:leader="none"/>
                <w:tab w:pos="1754" w:val="left" w:leader="none"/>
              </w:tabs>
              <w:spacing w:line="268" w:lineRule="exact"/>
              <w:ind w:right="19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136,917,333</w:t>
              <w:tab/>
            </w:r>
            <w:r>
              <w:rPr>
                <w:rFonts w:ascii="Arial"/>
                <w:spacing w:val="-1"/>
                <w:sz w:val="24"/>
              </w:rPr>
            </w:r>
          </w:p>
        </w:tc>
        <w:tc>
          <w:tcPr>
            <w:tcW w:w="1845" w:type="dxa"/>
            <w:tcBorders>
              <w:top w:val="nil" w:sz="6" w:space="0" w:color="auto"/>
              <w:left w:val="nil" w:sz="6" w:space="0" w:color="auto"/>
              <w:bottom w:val="nil" w:sz="6" w:space="0" w:color="auto"/>
              <w:right w:val="nil" w:sz="6" w:space="0" w:color="auto"/>
            </w:tcBorders>
          </w:tcPr>
          <w:p>
            <w:pPr>
              <w:pStyle w:val="TableParagraph"/>
              <w:tabs>
                <w:tab w:pos="289" w:val="left" w:leader="none"/>
                <w:tab w:pos="1731" w:val="left" w:leader="none"/>
              </w:tabs>
              <w:spacing w:line="268" w:lineRule="exact"/>
              <w:ind w:right="9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109,746,167</w:t>
              <w:tab/>
            </w:r>
            <w:r>
              <w:rPr>
                <w:rFonts w:ascii="Arial"/>
                <w:spacing w:val="-1"/>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751"/>
        <w:gridCol w:w="3923"/>
        <w:gridCol w:w="2777"/>
        <w:gridCol w:w="1684"/>
      </w:tblGrid>
      <w:tr>
        <w:trPr>
          <w:trHeight w:val="427"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73" w:lineRule="exact"/>
              <w:ind w:left="200" w:right="0"/>
              <w:jc w:val="left"/>
              <w:rPr>
                <w:rFonts w:ascii="Arial" w:hAnsi="Arial" w:cs="Arial" w:eastAsia="Arial" w:hint="default"/>
                <w:sz w:val="24"/>
                <w:szCs w:val="24"/>
              </w:rPr>
            </w:pPr>
            <w:r>
              <w:rPr>
                <w:rFonts w:ascii="Arial"/>
                <w:sz w:val="24"/>
              </w:rPr>
              <w:t>(50)</w:t>
            </w:r>
          </w:p>
        </w:tc>
        <w:tc>
          <w:tcPr>
            <w:tcW w:w="3923" w:type="dxa"/>
            <w:tcBorders>
              <w:top w:val="nil" w:sz="6" w:space="0" w:color="auto"/>
              <w:left w:val="nil" w:sz="6" w:space="0" w:color="auto"/>
              <w:bottom w:val="nil" w:sz="6" w:space="0" w:color="auto"/>
              <w:right w:val="nil" w:sz="6" w:space="0" w:color="auto"/>
            </w:tcBorders>
          </w:tcPr>
          <w:p>
            <w:pPr>
              <w:pStyle w:val="TableParagraph"/>
              <w:spacing w:line="257" w:lineRule="exact"/>
              <w:ind w:left="123" w:right="0"/>
              <w:jc w:val="left"/>
              <w:rPr>
                <w:rFonts w:ascii="黑体" w:hAnsi="黑体" w:cs="黑体" w:eastAsia="黑体" w:hint="default"/>
                <w:sz w:val="24"/>
                <w:szCs w:val="24"/>
              </w:rPr>
            </w:pPr>
            <w:r>
              <w:rPr>
                <w:rFonts w:ascii="黑体" w:hAnsi="黑体" w:cs="黑体" w:eastAsia="黑体" w:hint="default"/>
                <w:sz w:val="24"/>
                <w:szCs w:val="24"/>
              </w:rPr>
              <w:t>公允价值变动</w:t>
            </w:r>
            <w:r>
              <w:rPr>
                <w:rFonts w:ascii="Arial" w:hAnsi="Arial" w:cs="Arial" w:eastAsia="Arial" w:hint="default"/>
                <w:sz w:val="24"/>
                <w:szCs w:val="24"/>
              </w:rPr>
              <w:t>(</w:t>
            </w:r>
            <w:r>
              <w:rPr>
                <w:rFonts w:ascii="黑体" w:hAnsi="黑体" w:cs="黑体" w:eastAsia="黑体" w:hint="default"/>
                <w:sz w:val="24"/>
                <w:szCs w:val="24"/>
              </w:rPr>
              <w:t>损失</w:t>
            </w:r>
            <w:r>
              <w:rPr>
                <w:rFonts w:ascii="Arial" w:hAnsi="Arial" w:cs="Arial" w:eastAsia="Arial" w:hint="default"/>
                <w:sz w:val="24"/>
                <w:szCs w:val="24"/>
              </w:rPr>
              <w:t>)/</w:t>
            </w:r>
            <w:r>
              <w:rPr>
                <w:rFonts w:ascii="黑体" w:hAnsi="黑体" w:cs="黑体" w:eastAsia="黑体" w:hint="default"/>
                <w:sz w:val="24"/>
                <w:szCs w:val="24"/>
              </w:rPr>
              <w:t>收益</w:t>
            </w:r>
          </w:p>
        </w:tc>
        <w:tc>
          <w:tcPr>
            <w:tcW w:w="27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579" w:hRule="exact"/>
        </w:trPr>
        <w:tc>
          <w:tcPr>
            <w:tcW w:w="751" w:type="dxa"/>
            <w:tcBorders>
              <w:top w:val="nil" w:sz="6" w:space="0" w:color="auto"/>
              <w:left w:val="nil" w:sz="6" w:space="0" w:color="auto"/>
              <w:bottom w:val="nil" w:sz="6" w:space="0" w:color="auto"/>
              <w:right w:val="nil" w:sz="6" w:space="0" w:color="auto"/>
            </w:tcBorders>
          </w:tcPr>
          <w:p>
            <w:pPr/>
          </w:p>
        </w:tc>
        <w:tc>
          <w:tcPr>
            <w:tcW w:w="3923"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17"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91"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761" w:hRule="exact"/>
        </w:trPr>
        <w:tc>
          <w:tcPr>
            <w:tcW w:w="751" w:type="dxa"/>
            <w:tcBorders>
              <w:top w:val="nil" w:sz="6" w:space="0" w:color="auto"/>
              <w:left w:val="nil" w:sz="6" w:space="0" w:color="auto"/>
              <w:bottom w:val="nil" w:sz="6" w:space="0" w:color="auto"/>
              <w:right w:val="nil" w:sz="6" w:space="0" w:color="auto"/>
            </w:tcBorders>
          </w:tcPr>
          <w:p>
            <w:pPr/>
          </w:p>
        </w:tc>
        <w:tc>
          <w:tcPr>
            <w:tcW w:w="6700"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24"/>
              <w:ind w:left="539" w:right="2319" w:hanging="481"/>
              <w:jc w:val="left"/>
              <w:rPr>
                <w:rFonts w:ascii="Arial" w:hAnsi="Arial" w:cs="Arial" w:eastAsia="Arial" w:hint="default"/>
                <w:sz w:val="24"/>
                <w:szCs w:val="24"/>
              </w:rPr>
            </w:pPr>
            <w:r>
              <w:rPr>
                <w:rFonts w:ascii="宋体" w:hAnsi="宋体" w:cs="宋体" w:eastAsia="宋体" w:hint="default"/>
                <w:sz w:val="24"/>
                <w:szCs w:val="24"/>
              </w:rPr>
              <w:t>以公允价值计量且其变动计入当期损益的 金融资产 </w:t>
            </w:r>
            <w:r>
              <w:rPr>
                <w:rFonts w:ascii="Arial" w:hAnsi="Arial" w:cs="Arial" w:eastAsia="Arial" w:hint="default"/>
                <w:sz w:val="24"/>
                <w:szCs w:val="24"/>
              </w:rPr>
              <w:t>-</w:t>
            </w:r>
          </w:p>
        </w:tc>
        <w:tc>
          <w:tcPr>
            <w:tcW w:w="1684" w:type="dxa"/>
            <w:tcBorders>
              <w:top w:val="nil" w:sz="6" w:space="0" w:color="auto"/>
              <w:left w:val="nil" w:sz="6" w:space="0" w:color="auto"/>
              <w:bottom w:val="nil" w:sz="6" w:space="0" w:color="auto"/>
              <w:right w:val="nil" w:sz="6" w:space="0" w:color="auto"/>
            </w:tcBorders>
          </w:tcPr>
          <w:p>
            <w:pPr/>
          </w:p>
        </w:tc>
      </w:tr>
      <w:tr>
        <w:trPr>
          <w:trHeight w:val="319" w:hRule="exact"/>
        </w:trPr>
        <w:tc>
          <w:tcPr>
            <w:tcW w:w="751" w:type="dxa"/>
            <w:tcBorders>
              <w:top w:val="nil" w:sz="6" w:space="0" w:color="auto"/>
              <w:left w:val="nil" w:sz="6" w:space="0" w:color="auto"/>
              <w:bottom w:val="nil" w:sz="6" w:space="0" w:color="auto"/>
              <w:right w:val="nil" w:sz="6" w:space="0" w:color="auto"/>
            </w:tcBorders>
          </w:tcPr>
          <w:p>
            <w:pPr/>
          </w:p>
        </w:tc>
        <w:tc>
          <w:tcPr>
            <w:tcW w:w="3923" w:type="dxa"/>
            <w:tcBorders>
              <w:top w:val="nil" w:sz="6" w:space="0" w:color="auto"/>
              <w:left w:val="nil" w:sz="6" w:space="0" w:color="auto"/>
              <w:bottom w:val="nil" w:sz="6" w:space="0" w:color="auto"/>
              <w:right w:val="nil" w:sz="6" w:space="0" w:color="auto"/>
            </w:tcBorders>
          </w:tcPr>
          <w:p>
            <w:pPr>
              <w:pStyle w:val="TableParagraph"/>
              <w:spacing w:line="270" w:lineRule="exact"/>
              <w:ind w:left="299"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63" w:right="0"/>
              <w:jc w:val="left"/>
              <w:rPr>
                <w:rFonts w:ascii="Arial" w:hAnsi="Arial" w:cs="Arial" w:eastAsia="Arial" w:hint="default"/>
                <w:sz w:val="24"/>
                <w:szCs w:val="24"/>
              </w:rPr>
            </w:pPr>
            <w:r>
              <w:rPr>
                <w:rFonts w:ascii="Arial"/>
                <w:sz w:val="24"/>
              </w:rPr>
              <w:t>(67,217)</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24"/>
                <w:szCs w:val="24"/>
              </w:rPr>
            </w:pPr>
            <w:r>
              <w:rPr>
                <w:rFonts w:ascii="Arial"/>
                <w:spacing w:val="-1"/>
                <w:sz w:val="24"/>
              </w:rPr>
              <w:t>(7,372)</w:t>
            </w:r>
          </w:p>
        </w:tc>
      </w:tr>
      <w:tr>
        <w:trPr>
          <w:trHeight w:val="313" w:hRule="exact"/>
        </w:trPr>
        <w:tc>
          <w:tcPr>
            <w:tcW w:w="751" w:type="dxa"/>
            <w:tcBorders>
              <w:top w:val="nil" w:sz="6" w:space="0" w:color="auto"/>
              <w:left w:val="nil" w:sz="6" w:space="0" w:color="auto"/>
              <w:bottom w:val="nil" w:sz="6" w:space="0" w:color="auto"/>
              <w:right w:val="nil" w:sz="6" w:space="0" w:color="auto"/>
            </w:tcBorders>
          </w:tcPr>
          <w:p>
            <w:pPr/>
          </w:p>
        </w:tc>
        <w:tc>
          <w:tcPr>
            <w:tcW w:w="3923" w:type="dxa"/>
            <w:tcBorders>
              <w:top w:val="nil" w:sz="6" w:space="0" w:color="auto"/>
              <w:left w:val="nil" w:sz="6" w:space="0" w:color="auto"/>
              <w:bottom w:val="nil" w:sz="6" w:space="0" w:color="auto"/>
              <w:right w:val="nil" w:sz="6" w:space="0" w:color="auto"/>
            </w:tcBorders>
          </w:tcPr>
          <w:p>
            <w:pPr>
              <w:pStyle w:val="TableParagraph"/>
              <w:spacing w:line="262" w:lineRule="exact"/>
              <w:ind w:left="299" w:right="0"/>
              <w:jc w:val="left"/>
              <w:rPr>
                <w:rFonts w:ascii="宋体" w:hAnsi="宋体" w:cs="宋体" w:eastAsia="宋体" w:hint="default"/>
                <w:sz w:val="24"/>
                <w:szCs w:val="24"/>
              </w:rPr>
            </w:pPr>
            <w:r>
              <w:rPr>
                <w:rFonts w:ascii="宋体" w:hAnsi="宋体" w:cs="宋体" w:eastAsia="宋体" w:hint="default"/>
                <w:sz w:val="24"/>
                <w:szCs w:val="24"/>
              </w:rPr>
              <w:t>新股预约权</w:t>
            </w:r>
          </w:p>
        </w:tc>
        <w:tc>
          <w:tcPr>
            <w:tcW w:w="2777" w:type="dxa"/>
            <w:tcBorders>
              <w:top w:val="nil" w:sz="6" w:space="0" w:color="auto"/>
              <w:left w:val="nil" w:sz="6" w:space="0" w:color="auto"/>
              <w:bottom w:val="nil" w:sz="6" w:space="0" w:color="auto"/>
              <w:right w:val="nil" w:sz="6" w:space="0" w:color="auto"/>
            </w:tcBorders>
          </w:tcPr>
          <w:p>
            <w:pPr>
              <w:pStyle w:val="TableParagraph"/>
              <w:tabs>
                <w:tab w:pos="1553" w:val="left" w:leader="none"/>
                <w:tab w:pos="2652" w:val="left" w:leader="none"/>
                <w:tab w:pos="4181" w:val="left" w:leader="none"/>
              </w:tabs>
              <w:spacing w:line="240" w:lineRule="auto" w:before="19"/>
              <w:ind w:left="650" w:right="-1405"/>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17,599 </w:t>
            </w:r>
            <w:r>
              <w:rPr>
                <w:rFonts w:ascii="Arial"/>
                <w:spacing w:val="-21"/>
                <w:sz w:val="24"/>
                <w:u w:val="single" w:color="000000"/>
              </w:rPr>
              <w:t> </w:t>
            </w:r>
            <w:r>
              <w:rPr>
                <w:rFonts w:ascii="Arial"/>
                <w:spacing w:val="-21"/>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684" w:type="dxa"/>
            <w:tcBorders>
              <w:top w:val="nil" w:sz="6" w:space="0" w:color="auto"/>
              <w:left w:val="nil" w:sz="6" w:space="0" w:color="auto"/>
              <w:bottom w:val="nil" w:sz="6" w:space="0" w:color="auto"/>
              <w:right w:val="nil" w:sz="6" w:space="0" w:color="auto"/>
            </w:tcBorders>
          </w:tcPr>
          <w:p>
            <w:pPr>
              <w:pStyle w:val="TableParagraph"/>
              <w:tabs>
                <w:tab w:pos="169" w:val="left" w:leader="none"/>
              </w:tabs>
              <w:spacing w:line="240" w:lineRule="auto" w:before="19"/>
              <w:ind w:right="108"/>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r>
      <w:tr>
        <w:trPr>
          <w:trHeight w:val="423" w:hRule="exact"/>
        </w:trPr>
        <w:tc>
          <w:tcPr>
            <w:tcW w:w="751" w:type="dxa"/>
            <w:tcBorders>
              <w:top w:val="nil" w:sz="6" w:space="0" w:color="auto"/>
              <w:left w:val="nil" w:sz="6" w:space="0" w:color="auto"/>
              <w:bottom w:val="nil" w:sz="6" w:space="0" w:color="auto"/>
              <w:right w:val="nil" w:sz="6" w:space="0" w:color="auto"/>
            </w:tcBorders>
          </w:tcPr>
          <w:p>
            <w:pPr/>
          </w:p>
        </w:tc>
        <w:tc>
          <w:tcPr>
            <w:tcW w:w="3923"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268" w:lineRule="exact"/>
              <w:ind w:left="1463" w:right="0"/>
              <w:jc w:val="left"/>
              <w:rPr>
                <w:rFonts w:ascii="Arial" w:hAnsi="Arial" w:cs="Arial" w:eastAsia="Arial" w:hint="default"/>
                <w:sz w:val="24"/>
                <w:szCs w:val="24"/>
              </w:rPr>
            </w:pPr>
            <w:r>
              <w:rPr>
                <w:rFonts w:ascii="Arial"/>
                <w:sz w:val="24"/>
              </w:rPr>
              <w:t>(49,618)</w:t>
            </w:r>
          </w:p>
        </w:tc>
        <w:tc>
          <w:tcPr>
            <w:tcW w:w="1684" w:type="dxa"/>
            <w:tcBorders>
              <w:top w:val="nil" w:sz="6" w:space="0" w:color="auto"/>
              <w:left w:val="nil" w:sz="6" w:space="0" w:color="auto"/>
              <w:bottom w:val="nil" w:sz="6" w:space="0" w:color="auto"/>
              <w:right w:val="nil" w:sz="6" w:space="0" w:color="auto"/>
            </w:tcBorders>
          </w:tcPr>
          <w:p>
            <w:pPr>
              <w:pStyle w:val="TableParagraph"/>
              <w:spacing w:line="268" w:lineRule="exact"/>
              <w:ind w:right="198"/>
              <w:jc w:val="right"/>
              <w:rPr>
                <w:rFonts w:ascii="Arial" w:hAnsi="Arial" w:cs="Arial" w:eastAsia="Arial" w:hint="default"/>
                <w:sz w:val="24"/>
                <w:szCs w:val="24"/>
              </w:rPr>
            </w:pPr>
            <w:r>
              <w:rPr>
                <w:rFonts w:ascii="Arial"/>
                <w:spacing w:val="-1"/>
                <w:sz w:val="24"/>
              </w:rPr>
              <w:t>(7,372)</w:t>
            </w:r>
          </w:p>
        </w:tc>
      </w:tr>
      <w:tr>
        <w:trPr>
          <w:trHeight w:val="753" w:hRule="exact"/>
        </w:trPr>
        <w:tc>
          <w:tcPr>
            <w:tcW w:w="751" w:type="dxa"/>
            <w:tcBorders>
              <w:top w:val="nil" w:sz="6" w:space="0" w:color="auto"/>
              <w:left w:val="nil" w:sz="6" w:space="0" w:color="auto"/>
              <w:bottom w:val="nil" w:sz="6" w:space="0" w:color="auto"/>
              <w:right w:val="nil" w:sz="6" w:space="0" w:color="auto"/>
            </w:tcBorders>
          </w:tcPr>
          <w:p>
            <w:pPr/>
          </w:p>
        </w:tc>
        <w:tc>
          <w:tcPr>
            <w:tcW w:w="6700" w:type="dxa"/>
            <w:gridSpan w:val="2"/>
            <w:tcBorders>
              <w:top w:val="nil" w:sz="6" w:space="0" w:color="auto"/>
              <w:left w:val="nil" w:sz="6" w:space="0" w:color="auto"/>
              <w:bottom w:val="nil" w:sz="6" w:space="0" w:color="auto"/>
              <w:right w:val="nil" w:sz="6" w:space="0" w:color="auto"/>
            </w:tcBorders>
          </w:tcPr>
          <w:p>
            <w:pPr>
              <w:pStyle w:val="TableParagraph"/>
              <w:spacing w:line="310" w:lineRule="exact" w:before="118"/>
              <w:ind w:left="539" w:right="2319" w:hanging="481"/>
              <w:jc w:val="left"/>
              <w:rPr>
                <w:rFonts w:ascii="Arial" w:hAnsi="Arial" w:cs="Arial" w:eastAsia="Arial" w:hint="default"/>
                <w:sz w:val="24"/>
                <w:szCs w:val="24"/>
              </w:rPr>
            </w:pPr>
            <w:r>
              <w:rPr>
                <w:rFonts w:ascii="宋体" w:hAnsi="宋体" w:cs="宋体" w:eastAsia="宋体" w:hint="default"/>
                <w:sz w:val="24"/>
                <w:szCs w:val="24"/>
              </w:rPr>
              <w:t>以公允价值计量且其变动计入当期损益的 金融负债 </w:t>
            </w:r>
            <w:r>
              <w:rPr>
                <w:rFonts w:ascii="Arial" w:hAnsi="Arial" w:cs="Arial" w:eastAsia="Arial" w:hint="default"/>
                <w:sz w:val="24"/>
                <w:szCs w:val="24"/>
              </w:rPr>
              <w:t>-</w:t>
            </w:r>
          </w:p>
        </w:tc>
        <w:tc>
          <w:tcPr>
            <w:tcW w:w="1684" w:type="dxa"/>
            <w:tcBorders>
              <w:top w:val="nil" w:sz="6" w:space="0" w:color="auto"/>
              <w:left w:val="nil" w:sz="6" w:space="0" w:color="auto"/>
              <w:bottom w:val="nil" w:sz="6" w:space="0" w:color="auto"/>
              <w:right w:val="nil" w:sz="6" w:space="0" w:color="auto"/>
            </w:tcBorders>
          </w:tcPr>
          <w:p>
            <w:pPr/>
          </w:p>
        </w:tc>
      </w:tr>
      <w:tr>
        <w:trPr>
          <w:trHeight w:val="463" w:hRule="exact"/>
        </w:trPr>
        <w:tc>
          <w:tcPr>
            <w:tcW w:w="751" w:type="dxa"/>
            <w:tcBorders>
              <w:top w:val="nil" w:sz="6" w:space="0" w:color="auto"/>
              <w:left w:val="nil" w:sz="6" w:space="0" w:color="auto"/>
              <w:bottom w:val="nil" w:sz="6" w:space="0" w:color="auto"/>
              <w:right w:val="nil" w:sz="6" w:space="0" w:color="auto"/>
            </w:tcBorders>
          </w:tcPr>
          <w:p>
            <w:pPr/>
          </w:p>
        </w:tc>
        <w:tc>
          <w:tcPr>
            <w:tcW w:w="3923" w:type="dxa"/>
            <w:tcBorders>
              <w:top w:val="nil" w:sz="6" w:space="0" w:color="auto"/>
              <w:left w:val="nil" w:sz="6" w:space="0" w:color="auto"/>
              <w:bottom w:val="nil" w:sz="6" w:space="0" w:color="auto"/>
              <w:right w:val="nil" w:sz="6" w:space="0" w:color="auto"/>
            </w:tcBorders>
          </w:tcPr>
          <w:p>
            <w:pPr>
              <w:pStyle w:val="TableParagraph"/>
              <w:spacing w:line="270" w:lineRule="exact"/>
              <w:ind w:left="539" w:right="0"/>
              <w:jc w:val="left"/>
              <w:rPr>
                <w:rFonts w:ascii="宋体" w:hAnsi="宋体" w:cs="宋体" w:eastAsia="宋体" w:hint="default"/>
                <w:sz w:val="24"/>
                <w:szCs w:val="24"/>
              </w:rPr>
            </w:pPr>
            <w:r>
              <w:rPr>
                <w:rFonts w:ascii="宋体" w:hAnsi="宋体" w:cs="宋体" w:eastAsia="宋体" w:hint="default"/>
                <w:sz w:val="24"/>
                <w:szCs w:val="24"/>
              </w:rPr>
              <w:t>投资者回售选择权</w:t>
            </w:r>
          </w:p>
        </w:tc>
        <w:tc>
          <w:tcPr>
            <w:tcW w:w="2777" w:type="dxa"/>
            <w:tcBorders>
              <w:top w:val="nil" w:sz="6" w:space="0" w:color="auto"/>
              <w:left w:val="nil" w:sz="6" w:space="0" w:color="auto"/>
              <w:bottom w:val="nil" w:sz="6" w:space="0" w:color="auto"/>
              <w:right w:val="nil" w:sz="6" w:space="0" w:color="auto"/>
            </w:tcBorders>
          </w:tcPr>
          <w:p>
            <w:pPr>
              <w:pStyle w:val="TableParagraph"/>
              <w:tabs>
                <w:tab w:pos="1553" w:val="left" w:leader="none"/>
                <w:tab w:pos="2652" w:val="left" w:leader="none"/>
                <w:tab w:pos="4181" w:val="left" w:leader="none"/>
              </w:tabs>
              <w:spacing w:line="240" w:lineRule="auto" w:before="27"/>
              <w:ind w:left="650" w:right="-1405"/>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58,020 </w:t>
            </w:r>
            <w:r>
              <w:rPr>
                <w:rFonts w:ascii="Arial"/>
                <w:spacing w:val="-21"/>
                <w:sz w:val="24"/>
                <w:u w:val="single" w:color="000000"/>
              </w:rPr>
              <w:t> </w:t>
            </w:r>
            <w:r>
              <w:rPr>
                <w:rFonts w:ascii="Arial"/>
                <w:spacing w:val="-21"/>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684" w:type="dxa"/>
            <w:tcBorders>
              <w:top w:val="nil" w:sz="6" w:space="0" w:color="auto"/>
              <w:left w:val="nil" w:sz="6" w:space="0" w:color="auto"/>
              <w:bottom w:val="nil" w:sz="6" w:space="0" w:color="auto"/>
              <w:right w:val="nil" w:sz="6" w:space="0" w:color="auto"/>
            </w:tcBorders>
          </w:tcPr>
          <w:p>
            <w:pPr>
              <w:pStyle w:val="TableParagraph"/>
              <w:tabs>
                <w:tab w:pos="169" w:val="left" w:leader="none"/>
              </w:tabs>
              <w:spacing w:line="240" w:lineRule="auto" w:before="27"/>
              <w:ind w:right="108"/>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r>
      <w:tr>
        <w:trPr>
          <w:trHeight w:val="446" w:hRule="exact"/>
        </w:trPr>
        <w:tc>
          <w:tcPr>
            <w:tcW w:w="751" w:type="dxa"/>
            <w:tcBorders>
              <w:top w:val="nil" w:sz="6" w:space="0" w:color="auto"/>
              <w:left w:val="nil" w:sz="6" w:space="0" w:color="auto"/>
              <w:bottom w:val="nil" w:sz="6" w:space="0" w:color="auto"/>
              <w:right w:val="nil" w:sz="6" w:space="0" w:color="auto"/>
            </w:tcBorders>
          </w:tcPr>
          <w:p>
            <w:pPr/>
          </w:p>
        </w:tc>
        <w:tc>
          <w:tcPr>
            <w:tcW w:w="392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9" w:right="0"/>
              <w:jc w:val="left"/>
              <w:rPr>
                <w:rFonts w:ascii="Arial" w:hAnsi="Arial" w:cs="Arial" w:eastAsia="Arial" w:hint="default"/>
                <w:sz w:val="24"/>
                <w:szCs w:val="24"/>
              </w:rPr>
            </w:pPr>
            <w:r>
              <w:rPr>
                <w:rFonts w:ascii="宋体" w:hAnsi="宋体" w:cs="宋体" w:eastAsia="宋体" w:hint="default"/>
                <w:sz w:val="24"/>
                <w:szCs w:val="24"/>
              </w:rPr>
              <w:t>其他非流动负债</w:t>
            </w:r>
            <w:r>
              <w:rPr>
                <w:rFonts w:ascii="Arial" w:hAnsi="Arial" w:cs="Arial" w:eastAsia="Arial" w:hint="default"/>
                <w:sz w:val="24"/>
                <w:szCs w:val="24"/>
              </w:rPr>
              <w:t>-</w:t>
            </w:r>
          </w:p>
        </w:tc>
        <w:tc>
          <w:tcPr>
            <w:tcW w:w="27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320" w:hRule="exact"/>
        </w:trPr>
        <w:tc>
          <w:tcPr>
            <w:tcW w:w="751" w:type="dxa"/>
            <w:tcBorders>
              <w:top w:val="nil" w:sz="6" w:space="0" w:color="auto"/>
              <w:left w:val="nil" w:sz="6" w:space="0" w:color="auto"/>
              <w:bottom w:val="nil" w:sz="6" w:space="0" w:color="auto"/>
              <w:right w:val="nil" w:sz="6" w:space="0" w:color="auto"/>
            </w:tcBorders>
          </w:tcPr>
          <w:p>
            <w:pPr/>
          </w:p>
        </w:tc>
        <w:tc>
          <w:tcPr>
            <w:tcW w:w="3923" w:type="dxa"/>
            <w:tcBorders>
              <w:top w:val="nil" w:sz="6" w:space="0" w:color="auto"/>
              <w:left w:val="nil" w:sz="6" w:space="0" w:color="auto"/>
              <w:bottom w:val="nil" w:sz="6" w:space="0" w:color="auto"/>
              <w:right w:val="nil" w:sz="6" w:space="0" w:color="auto"/>
            </w:tcBorders>
          </w:tcPr>
          <w:p>
            <w:pPr>
              <w:pStyle w:val="TableParagraph"/>
              <w:spacing w:line="270" w:lineRule="exact"/>
              <w:ind w:left="329" w:right="0"/>
              <w:jc w:val="left"/>
              <w:rPr>
                <w:rFonts w:ascii="宋体" w:hAnsi="宋体" w:cs="宋体" w:eastAsia="宋体" w:hint="default"/>
                <w:sz w:val="24"/>
                <w:szCs w:val="24"/>
              </w:rPr>
            </w:pPr>
            <w:r>
              <w:rPr>
                <w:rFonts w:ascii="宋体" w:hAnsi="宋体" w:cs="宋体" w:eastAsia="宋体" w:hint="default"/>
                <w:sz w:val="24"/>
                <w:szCs w:val="24"/>
              </w:rPr>
              <w:t>远期外汇合同</w:t>
            </w:r>
          </w:p>
        </w:tc>
        <w:tc>
          <w:tcPr>
            <w:tcW w:w="2777" w:type="dxa"/>
            <w:tcBorders>
              <w:top w:val="nil" w:sz="6" w:space="0" w:color="auto"/>
              <w:left w:val="nil" w:sz="6" w:space="0" w:color="auto"/>
              <w:bottom w:val="nil" w:sz="6" w:space="0" w:color="auto"/>
              <w:right w:val="nil" w:sz="6" w:space="0" w:color="auto"/>
            </w:tcBorders>
          </w:tcPr>
          <w:p>
            <w:pPr>
              <w:pStyle w:val="TableParagraph"/>
              <w:tabs>
                <w:tab w:pos="1492" w:val="left" w:leader="none"/>
                <w:tab w:pos="2652" w:val="left" w:leader="none"/>
                <w:tab w:pos="3501" w:val="left" w:leader="none"/>
              </w:tabs>
              <w:spacing w:line="240" w:lineRule="auto" w:before="26"/>
              <w:ind w:left="650" w:right="-724"/>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(15,322)</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684" w:type="dxa"/>
            <w:tcBorders>
              <w:top w:val="nil" w:sz="6" w:space="0" w:color="auto"/>
              <w:left w:val="nil" w:sz="6" w:space="0" w:color="auto"/>
              <w:bottom w:val="nil" w:sz="6" w:space="0" w:color="auto"/>
              <w:right w:val="nil" w:sz="6" w:space="0" w:color="auto"/>
            </w:tcBorders>
          </w:tcPr>
          <w:p>
            <w:pPr>
              <w:pStyle w:val="TableParagraph"/>
              <w:tabs>
                <w:tab w:pos="849" w:val="left" w:leader="none"/>
              </w:tabs>
              <w:spacing w:line="240" w:lineRule="auto" w:before="26"/>
              <w:ind w:right="108"/>
              <w:jc w:val="right"/>
              <w:rPr>
                <w:rFonts w:ascii="Arial" w:hAnsi="Arial" w:cs="Arial" w:eastAsia="Arial" w:hint="default"/>
                <w:sz w:val="24"/>
                <w:szCs w:val="24"/>
              </w:rPr>
            </w:pPr>
            <w:r>
              <w:rPr>
                <w:rFonts w:ascii="Arial"/>
                <w:w w:val="99"/>
                <w:sz w:val="24"/>
              </w:rPr>
            </w:r>
            <w:r>
              <w:rPr>
                <w:rFonts w:ascii="Arial"/>
                <w:spacing w:val="-1"/>
                <w:sz w:val="24"/>
                <w:u w:val="single" w:color="000000"/>
              </w:rPr>
              <w:t>(1,958)</w:t>
              <w:tab/>
            </w:r>
            <w:r>
              <w:rPr>
                <w:rFonts w:ascii="Arial"/>
                <w:spacing w:val="-1"/>
                <w:sz w:val="24"/>
              </w:rPr>
            </w:r>
          </w:p>
        </w:tc>
      </w:tr>
      <w:tr>
        <w:trPr>
          <w:trHeight w:val="263" w:hRule="exact"/>
        </w:trPr>
        <w:tc>
          <w:tcPr>
            <w:tcW w:w="751" w:type="dxa"/>
            <w:tcBorders>
              <w:top w:val="nil" w:sz="6" w:space="0" w:color="auto"/>
              <w:left w:val="nil" w:sz="6" w:space="0" w:color="auto"/>
              <w:bottom w:val="nil" w:sz="6" w:space="0" w:color="auto"/>
              <w:right w:val="nil" w:sz="6" w:space="0" w:color="auto"/>
            </w:tcBorders>
          </w:tcPr>
          <w:p>
            <w:pPr/>
          </w:p>
        </w:tc>
        <w:tc>
          <w:tcPr>
            <w:tcW w:w="3923"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tabs>
                <w:tab w:pos="1625" w:val="left" w:leader="none"/>
                <w:tab w:pos="2652" w:val="left" w:leader="none"/>
                <w:tab w:pos="3501" w:val="left" w:leader="none"/>
              </w:tabs>
              <w:spacing w:line="269" w:lineRule="exact"/>
              <w:ind w:left="650" w:right="-72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(6,920)</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684" w:type="dxa"/>
            <w:tcBorders>
              <w:top w:val="nil" w:sz="6" w:space="0" w:color="auto"/>
              <w:left w:val="nil" w:sz="6" w:space="0" w:color="auto"/>
              <w:bottom w:val="nil" w:sz="6" w:space="0" w:color="auto"/>
              <w:right w:val="nil" w:sz="6" w:space="0" w:color="auto"/>
            </w:tcBorders>
          </w:tcPr>
          <w:p>
            <w:pPr>
              <w:pStyle w:val="TableParagraph"/>
              <w:tabs>
                <w:tab w:pos="849" w:val="left" w:leader="none"/>
              </w:tabs>
              <w:spacing w:line="269" w:lineRule="exact"/>
              <w:ind w:right="108"/>
              <w:jc w:val="right"/>
              <w:rPr>
                <w:rFonts w:ascii="Arial" w:hAnsi="Arial" w:cs="Arial" w:eastAsia="Arial" w:hint="default"/>
                <w:sz w:val="24"/>
                <w:szCs w:val="24"/>
              </w:rPr>
            </w:pPr>
            <w:r>
              <w:rPr>
                <w:rFonts w:ascii="Arial"/>
                <w:w w:val="99"/>
                <w:sz w:val="24"/>
              </w:rPr>
            </w:r>
            <w:r>
              <w:rPr>
                <w:rFonts w:ascii="Arial"/>
                <w:spacing w:val="-1"/>
                <w:sz w:val="24"/>
                <w:u w:val="thick" w:color="000000"/>
              </w:rPr>
              <w:t>(9,330)</w:t>
              <w:tab/>
            </w:r>
            <w:r>
              <w:rPr>
                <w:rFonts w:ascii="Arial"/>
                <w:spacing w:val="-1"/>
                <w:sz w:val="24"/>
              </w:rPr>
            </w:r>
          </w:p>
        </w:tc>
      </w:tr>
    </w:tbl>
    <w:p>
      <w:pPr>
        <w:spacing w:after="0" w:line="269" w:lineRule="exact"/>
        <w:jc w:val="right"/>
        <w:rPr>
          <w:rFonts w:ascii="Arial" w:hAnsi="Arial" w:cs="Arial" w:eastAsia="Arial" w:hint="default"/>
          <w:sz w:val="24"/>
          <w:szCs w:val="24"/>
        </w:rPr>
        <w:sectPr>
          <w:pgSz w:w="11910" w:h="16840"/>
          <w:pgMar w:header="0" w:footer="698" w:top="1860" w:bottom="88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809"/>
        <w:gridCol w:w="4998"/>
        <w:gridCol w:w="1723"/>
        <w:gridCol w:w="1686"/>
      </w:tblGrid>
      <w:tr>
        <w:trPr>
          <w:trHeight w:val="420"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exact"/>
              <w:ind w:left="264"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998" w:type="dxa"/>
            <w:tcBorders>
              <w:top w:val="nil" w:sz="6" w:space="0" w:color="auto"/>
              <w:left w:val="nil" w:sz="6" w:space="0" w:color="auto"/>
              <w:bottom w:val="nil" w:sz="6" w:space="0" w:color="auto"/>
              <w:right w:val="nil" w:sz="6" w:space="0" w:color="auto"/>
            </w:tcBorders>
          </w:tcPr>
          <w:p>
            <w:pPr>
              <w:pStyle w:val="TableParagraph"/>
              <w:spacing w:line="257" w:lineRule="exact"/>
              <w:ind w:left="18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23"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r>
      <w:tr>
        <w:trPr>
          <w:trHeight w:val="595"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15"/>
              <w:jc w:val="right"/>
              <w:rPr>
                <w:rFonts w:ascii="Arial" w:hAnsi="Arial" w:cs="Arial" w:eastAsia="Arial" w:hint="default"/>
                <w:sz w:val="24"/>
                <w:szCs w:val="24"/>
              </w:rPr>
            </w:pPr>
            <w:r>
              <w:rPr>
                <w:rFonts w:ascii="Arial"/>
                <w:spacing w:val="-1"/>
                <w:sz w:val="24"/>
              </w:rPr>
              <w:t>(51)</w:t>
            </w:r>
          </w:p>
        </w:tc>
        <w:tc>
          <w:tcPr>
            <w:tcW w:w="499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2" w:right="0"/>
              <w:jc w:val="left"/>
              <w:rPr>
                <w:rFonts w:ascii="Arial" w:hAnsi="Arial" w:cs="Arial" w:eastAsia="Arial" w:hint="default"/>
                <w:sz w:val="24"/>
                <w:szCs w:val="24"/>
              </w:rPr>
            </w:pPr>
            <w:r>
              <w:rPr>
                <w:rFonts w:ascii="黑体" w:hAnsi="黑体" w:cs="黑体" w:eastAsia="黑体" w:hint="default"/>
                <w:sz w:val="24"/>
                <w:szCs w:val="24"/>
              </w:rPr>
              <w:t>投资收益</w:t>
            </w:r>
            <w:r>
              <w:rPr>
                <w:rFonts w:ascii="Arial" w:hAnsi="Arial" w:cs="Arial" w:eastAsia="Arial" w:hint="default"/>
                <w:sz w:val="24"/>
                <w:szCs w:val="24"/>
              </w:rPr>
              <w:t>/(</w:t>
            </w:r>
            <w:r>
              <w:rPr>
                <w:rFonts w:ascii="黑体" w:hAnsi="黑体" w:cs="黑体" w:eastAsia="黑体" w:hint="default"/>
                <w:sz w:val="24"/>
                <w:szCs w:val="24"/>
              </w:rPr>
              <w:t>损失</w:t>
            </w:r>
            <w:r>
              <w:rPr>
                <w:rFonts w:ascii="Arial" w:hAnsi="Arial" w:cs="Arial" w:eastAsia="Arial" w:hint="default"/>
                <w:sz w:val="24"/>
                <w:szCs w:val="24"/>
              </w:rPr>
              <w:t>)</w:t>
            </w:r>
          </w:p>
        </w:tc>
        <w:tc>
          <w:tcPr>
            <w:tcW w:w="1723"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r>
      <w:tr>
        <w:trPr>
          <w:trHeight w:val="580"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27"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8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7" w:right="0"/>
              <w:jc w:val="left"/>
              <w:rPr>
                <w:rFonts w:ascii="Arial" w:hAnsi="Arial" w:cs="Arial" w:eastAsia="Arial" w:hint="default"/>
                <w:sz w:val="24"/>
                <w:szCs w:val="24"/>
              </w:rPr>
            </w:pPr>
            <w:r>
              <w:rPr>
                <w:rFonts w:ascii="宋体" w:hAnsi="宋体" w:cs="宋体" w:eastAsia="宋体" w:hint="default"/>
                <w:sz w:val="24"/>
                <w:szCs w:val="24"/>
              </w:rPr>
              <w:t>处置子公司产生的投资收益</w:t>
            </w:r>
            <w:r>
              <w:rPr>
                <w:rFonts w:ascii="Arial" w:hAnsi="Arial" w:cs="Arial" w:eastAsia="Arial" w:hint="default"/>
                <w:sz w:val="24"/>
                <w:szCs w:val="24"/>
              </w:rPr>
              <w:t>(a)</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98" w:right="0"/>
              <w:jc w:val="left"/>
              <w:rPr>
                <w:rFonts w:ascii="Arial" w:hAnsi="Arial" w:cs="Arial" w:eastAsia="Arial" w:hint="default"/>
                <w:sz w:val="24"/>
                <w:szCs w:val="24"/>
              </w:rPr>
            </w:pPr>
            <w:r>
              <w:rPr>
                <w:rFonts w:ascii="Arial"/>
                <w:sz w:val="24"/>
              </w:rPr>
              <w:t>1,447,503</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96"/>
              <w:jc w:val="right"/>
              <w:rPr>
                <w:rFonts w:ascii="Arial" w:hAnsi="Arial" w:cs="Arial" w:eastAsia="Arial" w:hint="default"/>
                <w:sz w:val="24"/>
                <w:szCs w:val="24"/>
              </w:rPr>
            </w:pPr>
            <w:r>
              <w:rPr>
                <w:rFonts w:ascii="Arial"/>
                <w:w w:val="99"/>
                <w:sz w:val="24"/>
              </w:rPr>
              <w:t>-</w:t>
            </w:r>
            <w:r>
              <w:rPr>
                <w:rFonts w:ascii="Arial"/>
                <w:sz w:val="24"/>
              </w:rPr>
            </w:r>
          </w:p>
        </w:tc>
      </w:tr>
      <w:tr>
        <w:trPr>
          <w:trHeight w:val="623"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spacing w:line="260" w:lineRule="exact"/>
              <w:ind w:left="117" w:right="0"/>
              <w:jc w:val="left"/>
              <w:rPr>
                <w:rFonts w:ascii="宋体" w:hAnsi="宋体" w:cs="宋体" w:eastAsia="宋体" w:hint="default"/>
                <w:sz w:val="24"/>
                <w:szCs w:val="24"/>
              </w:rPr>
            </w:pPr>
            <w:r>
              <w:rPr>
                <w:rFonts w:ascii="宋体" w:hAnsi="宋体" w:cs="宋体" w:eastAsia="宋体" w:hint="default"/>
                <w:spacing w:val="5"/>
                <w:sz w:val="24"/>
                <w:szCs w:val="24"/>
              </w:rPr>
              <w:t>处置以公允价值计量且其变动计入当期损益</w:t>
            </w:r>
          </w:p>
          <w:p>
            <w:pPr>
              <w:pStyle w:val="TableParagraph"/>
              <w:spacing w:line="312" w:lineRule="exact"/>
              <w:ind w:left="360" w:right="0"/>
              <w:jc w:val="left"/>
              <w:rPr>
                <w:rFonts w:ascii="宋体" w:hAnsi="宋体" w:cs="宋体" w:eastAsia="宋体" w:hint="default"/>
                <w:sz w:val="24"/>
                <w:szCs w:val="24"/>
              </w:rPr>
            </w:pPr>
            <w:r>
              <w:rPr>
                <w:rFonts w:ascii="宋体" w:hAnsi="宋体" w:cs="宋体" w:eastAsia="宋体" w:hint="default"/>
                <w:sz w:val="24"/>
                <w:szCs w:val="24"/>
              </w:rPr>
              <w:t>的金融资产取得的投资收益</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413" w:right="0"/>
              <w:jc w:val="left"/>
              <w:rPr>
                <w:rFonts w:ascii="Arial" w:hAnsi="Arial" w:cs="Arial" w:eastAsia="Arial" w:hint="default"/>
                <w:sz w:val="24"/>
                <w:szCs w:val="24"/>
              </w:rPr>
            </w:pPr>
            <w:r>
              <w:rPr>
                <w:rFonts w:ascii="Arial"/>
                <w:sz w:val="24"/>
              </w:rPr>
              <w:t>174,246</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521" w:right="0"/>
              <w:jc w:val="left"/>
              <w:rPr>
                <w:rFonts w:ascii="Arial" w:hAnsi="Arial" w:cs="Arial" w:eastAsia="Arial" w:hint="default"/>
                <w:sz w:val="24"/>
                <w:szCs w:val="24"/>
              </w:rPr>
            </w:pPr>
            <w:r>
              <w:rPr>
                <w:rFonts w:ascii="Arial"/>
                <w:sz w:val="24"/>
              </w:rPr>
              <w:t>156,476</w:t>
            </w:r>
          </w:p>
        </w:tc>
      </w:tr>
      <w:tr>
        <w:trPr>
          <w:trHeight w:val="311"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spacing w:line="262" w:lineRule="exact"/>
              <w:ind w:left="117"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46" w:right="0"/>
              <w:jc w:val="left"/>
              <w:rPr>
                <w:rFonts w:ascii="Arial" w:hAnsi="Arial" w:cs="Arial" w:eastAsia="Arial" w:hint="default"/>
                <w:sz w:val="24"/>
                <w:szCs w:val="24"/>
              </w:rPr>
            </w:pPr>
            <w:r>
              <w:rPr>
                <w:rFonts w:ascii="Arial"/>
                <w:sz w:val="24"/>
              </w:rPr>
              <w:t>62,398</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3" w:right="0"/>
              <w:jc w:val="left"/>
              <w:rPr>
                <w:rFonts w:ascii="Arial" w:hAnsi="Arial" w:cs="Arial" w:eastAsia="Arial" w:hint="default"/>
                <w:sz w:val="24"/>
                <w:szCs w:val="24"/>
              </w:rPr>
            </w:pPr>
            <w:r>
              <w:rPr>
                <w:rFonts w:ascii="Arial"/>
                <w:sz w:val="24"/>
              </w:rPr>
              <w:t>36,489</w:t>
            </w:r>
          </w:p>
        </w:tc>
      </w:tr>
      <w:tr>
        <w:trPr>
          <w:trHeight w:val="623"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spacing w:line="260" w:lineRule="exact"/>
              <w:ind w:left="117" w:right="0"/>
              <w:jc w:val="left"/>
              <w:rPr>
                <w:rFonts w:ascii="宋体" w:hAnsi="宋体" w:cs="宋体" w:eastAsia="宋体" w:hint="default"/>
                <w:sz w:val="24"/>
                <w:szCs w:val="24"/>
              </w:rPr>
            </w:pPr>
            <w:r>
              <w:rPr>
                <w:rFonts w:ascii="宋体" w:hAnsi="宋体" w:cs="宋体" w:eastAsia="宋体" w:hint="default"/>
                <w:spacing w:val="5"/>
                <w:sz w:val="24"/>
                <w:szCs w:val="24"/>
              </w:rPr>
              <w:t>可供出售金融资产在持有期间取得的投资收</w:t>
            </w:r>
          </w:p>
          <w:p>
            <w:pPr>
              <w:pStyle w:val="TableParagraph"/>
              <w:spacing w:line="312" w:lineRule="exact"/>
              <w:ind w:left="360" w:right="0"/>
              <w:jc w:val="left"/>
              <w:rPr>
                <w:rFonts w:ascii="宋体" w:hAnsi="宋体" w:cs="宋体" w:eastAsia="宋体" w:hint="default"/>
                <w:sz w:val="24"/>
                <w:szCs w:val="24"/>
              </w:rPr>
            </w:pPr>
            <w:r>
              <w:rPr>
                <w:rFonts w:ascii="宋体" w:hAnsi="宋体" w:cs="宋体" w:eastAsia="宋体" w:hint="default"/>
                <w:sz w:val="24"/>
                <w:szCs w:val="24"/>
              </w:rPr>
              <w:t>益</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559" w:right="0"/>
              <w:jc w:val="left"/>
              <w:rPr>
                <w:rFonts w:ascii="Arial" w:hAnsi="Arial" w:cs="Arial" w:eastAsia="Arial" w:hint="default"/>
                <w:sz w:val="24"/>
                <w:szCs w:val="24"/>
              </w:rPr>
            </w:pPr>
            <w:r>
              <w:rPr>
                <w:rFonts w:ascii="Arial"/>
                <w:sz w:val="24"/>
              </w:rPr>
              <w:t>12,000</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654" w:right="0"/>
              <w:jc w:val="left"/>
              <w:rPr>
                <w:rFonts w:ascii="Arial" w:hAnsi="Arial" w:cs="Arial" w:eastAsia="Arial" w:hint="default"/>
                <w:sz w:val="24"/>
                <w:szCs w:val="24"/>
              </w:rPr>
            </w:pPr>
            <w:r>
              <w:rPr>
                <w:rFonts w:ascii="Arial"/>
                <w:sz w:val="24"/>
              </w:rPr>
              <w:t>12,420</w:t>
            </w:r>
          </w:p>
        </w:tc>
      </w:tr>
      <w:tr>
        <w:trPr>
          <w:trHeight w:val="312"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tabs>
                <w:tab w:pos="4847" w:val="left" w:leader="none"/>
                <w:tab w:pos="5468" w:val="left" w:leader="none"/>
              </w:tabs>
              <w:spacing w:line="257" w:lineRule="exact"/>
              <w:ind w:left="117" w:right="-471"/>
              <w:jc w:val="left"/>
              <w:rPr>
                <w:rFonts w:ascii="Arial" w:hAnsi="Arial" w:cs="Arial" w:eastAsia="Arial" w:hint="default"/>
                <w:sz w:val="24"/>
                <w:szCs w:val="24"/>
              </w:rPr>
            </w:pPr>
            <w:r>
              <w:rPr>
                <w:rFonts w:ascii="宋体" w:hAnsi="宋体" w:cs="宋体" w:eastAsia="宋体" w:hint="default"/>
                <w:position w:val="2"/>
                <w:sz w:val="24"/>
                <w:szCs w:val="24"/>
              </w:rPr>
              <w:t>权益法核算的长期股权投资损失</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0" w:right="0"/>
              <w:jc w:val="left"/>
              <w:rPr>
                <w:rFonts w:ascii="Arial" w:hAnsi="Arial" w:cs="Arial" w:eastAsia="Arial" w:hint="default"/>
                <w:sz w:val="24"/>
                <w:szCs w:val="24"/>
              </w:rPr>
            </w:pPr>
            <w:r>
              <w:rPr>
                <w:rFonts w:ascii="Arial"/>
                <w:w w:val="99"/>
                <w:sz w:val="24"/>
              </w:rPr>
            </w:r>
            <w:r>
              <w:rPr>
                <w:rFonts w:ascii="Arial"/>
                <w:sz w:val="24"/>
                <w:u w:val="single" w:color="000000"/>
              </w:rPr>
              <w:t>(41,383)</w:t>
            </w:r>
            <w:r>
              <w:rPr>
                <w:rFonts w:ascii="Arial"/>
                <w:sz w:val="24"/>
              </w:rPr>
            </w:r>
          </w:p>
        </w:tc>
        <w:tc>
          <w:tcPr>
            <w:tcW w:w="1686" w:type="dxa"/>
            <w:tcBorders>
              <w:top w:val="nil" w:sz="6" w:space="0" w:color="auto"/>
              <w:left w:val="nil" w:sz="6" w:space="0" w:color="auto"/>
              <w:bottom w:val="nil" w:sz="6" w:space="0" w:color="auto"/>
              <w:right w:val="nil" w:sz="6" w:space="0" w:color="auto"/>
            </w:tcBorders>
          </w:tcPr>
          <w:p>
            <w:pPr>
              <w:pStyle w:val="TableParagraph"/>
              <w:tabs>
                <w:tab w:pos="441" w:val="left" w:leader="none"/>
                <w:tab w:pos="1564" w:val="left" w:leader="none"/>
              </w:tabs>
              <w:spacing w:line="240" w:lineRule="auto" w:before="18"/>
              <w:ind w:left="-3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(235,232)</w:t>
              <w:tab/>
            </w:r>
            <w:r>
              <w:rPr>
                <w:rFonts w:ascii="Arial"/>
                <w:sz w:val="24"/>
              </w:rPr>
            </w:r>
          </w:p>
        </w:tc>
      </w:tr>
      <w:tr>
        <w:trPr>
          <w:trHeight w:val="434" w:hRule="exact"/>
        </w:trPr>
        <w:tc>
          <w:tcPr>
            <w:tcW w:w="809" w:type="dxa"/>
            <w:tcBorders>
              <w:top w:val="nil" w:sz="6" w:space="0" w:color="auto"/>
              <w:left w:val="nil" w:sz="6" w:space="0" w:color="auto"/>
              <w:bottom w:val="nil" w:sz="6" w:space="0" w:color="auto"/>
              <w:right w:val="nil" w:sz="6" w:space="0" w:color="auto"/>
            </w:tcBorders>
          </w:tcPr>
          <w:p>
            <w:pPr/>
          </w:p>
        </w:tc>
        <w:tc>
          <w:tcPr>
            <w:tcW w:w="6720" w:type="dxa"/>
            <w:gridSpan w:val="2"/>
            <w:tcBorders>
              <w:top w:val="nil" w:sz="6" w:space="0" w:color="auto"/>
              <w:left w:val="nil" w:sz="6" w:space="0" w:color="auto"/>
              <w:bottom w:val="nil" w:sz="6" w:space="0" w:color="auto"/>
              <w:right w:val="nil" w:sz="6" w:space="0" w:color="auto"/>
            </w:tcBorders>
          </w:tcPr>
          <w:p>
            <w:pPr>
              <w:pStyle w:val="TableParagraph"/>
              <w:tabs>
                <w:tab w:pos="375" w:val="left" w:leader="none"/>
                <w:tab w:pos="1559" w:val="left" w:leader="none"/>
              </w:tabs>
              <w:spacing w:line="268" w:lineRule="exact"/>
              <w:ind w:right="31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1,654,764</w:t>
            </w:r>
            <w:r>
              <w:rPr>
                <w:rFonts w:ascii="Arial"/>
                <w:sz w:val="24"/>
                <w:u w:val="thick" w:color="000000"/>
              </w:rPr>
              <w:tab/>
            </w:r>
            <w:r>
              <w:rPr>
                <w:rFonts w:ascii="Arial"/>
                <w:sz w:val="24"/>
              </w:rPr>
            </w:r>
          </w:p>
        </w:tc>
        <w:tc>
          <w:tcPr>
            <w:tcW w:w="1686" w:type="dxa"/>
            <w:tcBorders>
              <w:top w:val="nil" w:sz="6" w:space="0" w:color="auto"/>
              <w:left w:val="nil" w:sz="6" w:space="0" w:color="auto"/>
              <w:bottom w:val="nil" w:sz="6" w:space="0" w:color="auto"/>
              <w:right w:val="nil" w:sz="6" w:space="0" w:color="auto"/>
            </w:tcBorders>
          </w:tcPr>
          <w:p>
            <w:pPr>
              <w:pStyle w:val="TableParagraph"/>
              <w:tabs>
                <w:tab w:pos="577" w:val="left" w:leader="none"/>
                <w:tab w:pos="1564" w:val="left" w:leader="none"/>
              </w:tabs>
              <w:spacing w:line="268" w:lineRule="exact"/>
              <w:ind w:left="-3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(29,847)</w:t>
              <w:tab/>
            </w:r>
            <w:r>
              <w:rPr>
                <w:rFonts w:ascii="Arial"/>
                <w:sz w:val="24"/>
              </w:rPr>
            </w:r>
          </w:p>
        </w:tc>
      </w:tr>
      <w:tr>
        <w:trPr>
          <w:trHeight w:val="1844"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4" w:right="0"/>
              <w:jc w:val="left"/>
              <w:rPr>
                <w:rFonts w:ascii="Arial" w:hAnsi="Arial" w:cs="Arial" w:eastAsia="Arial" w:hint="default"/>
                <w:sz w:val="24"/>
                <w:szCs w:val="24"/>
              </w:rPr>
            </w:pPr>
            <w:r>
              <w:rPr>
                <w:rFonts w:ascii="Arial"/>
                <w:sz w:val="24"/>
              </w:rPr>
              <w:t>(a)</w:t>
            </w:r>
          </w:p>
        </w:tc>
        <w:tc>
          <w:tcPr>
            <w:tcW w:w="8406" w:type="dxa"/>
            <w:gridSpan w:val="3"/>
            <w:tcBorders>
              <w:top w:val="nil" w:sz="6" w:space="0" w:color="auto"/>
              <w:left w:val="nil" w:sz="6" w:space="0" w:color="auto"/>
              <w:bottom w:val="nil" w:sz="6" w:space="0" w:color="auto"/>
              <w:right w:val="nil" w:sz="6" w:space="0" w:color="auto"/>
            </w:tcBorders>
          </w:tcPr>
          <w:p>
            <w:pPr>
              <w:pStyle w:val="TableParagraph"/>
              <w:spacing w:line="225" w:lineRule="auto" w:before="121"/>
              <w:ind w:left="145" w:right="229"/>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73"/>
                <w:sz w:val="24"/>
                <w:szCs w:val="24"/>
              </w:rPr>
              <w:t> </w:t>
            </w:r>
            <w:r>
              <w:rPr>
                <w:rFonts w:ascii="Arial" w:hAnsi="Arial" w:cs="Arial" w:eastAsia="Arial" w:hint="default"/>
                <w:spacing w:val="-1"/>
                <w:w w:val="99"/>
                <w:sz w:val="24"/>
                <w:szCs w:val="24"/>
              </w:rPr>
              <w:t>2015</w:t>
            </w:r>
            <w:r>
              <w:rPr>
                <w:rFonts w:ascii="Arial" w:hAnsi="Arial" w:cs="Arial" w:eastAsia="Arial" w:hint="default"/>
                <w:spacing w:val="-21"/>
                <w:w w:val="99"/>
                <w:sz w:val="24"/>
                <w:szCs w:val="24"/>
              </w:rPr>
              <w:t> </w:t>
            </w:r>
            <w:r>
              <w:rPr>
                <w:rFonts w:ascii="宋体" w:hAnsi="宋体" w:cs="宋体" w:eastAsia="宋体" w:hint="default"/>
                <w:spacing w:val="-5"/>
                <w:sz w:val="24"/>
                <w:szCs w:val="24"/>
              </w:rPr>
              <w:t>年度，本集团处置长期股权投资取得的投资收益主要为本集团于</w:t>
            </w:r>
            <w:r>
              <w:rPr>
                <w:rFonts w:ascii="宋体" w:hAnsi="宋体" w:cs="宋体" w:eastAsia="宋体" w:hint="default"/>
                <w:spacing w:val="-74"/>
                <w:sz w:val="24"/>
                <w:szCs w:val="24"/>
              </w:rPr>
              <w:t> </w:t>
            </w:r>
            <w:r>
              <w:rPr>
                <w:rFonts w:ascii="Arial" w:hAnsi="Arial" w:cs="Arial" w:eastAsia="Arial" w:hint="default"/>
                <w:spacing w:val="-1"/>
                <w:w w:val="99"/>
                <w:sz w:val="24"/>
                <w:szCs w:val="24"/>
              </w:rPr>
              <w:t>2015 </w:t>
            </w:r>
            <w:r>
              <w:rPr>
                <w:rFonts w:ascii="宋体" w:hAnsi="宋体" w:cs="宋体" w:eastAsia="宋体" w:hint="default"/>
                <w:sz w:val="24"/>
                <w:szCs w:val="24"/>
              </w:rPr>
              <w:t>年</w:t>
            </w:r>
            <w:r>
              <w:rPr>
                <w:rFonts w:ascii="宋体" w:hAnsi="宋体" w:cs="宋体" w:eastAsia="宋体" w:hint="default"/>
                <w:spacing w:val="-74"/>
                <w:sz w:val="24"/>
                <w:szCs w:val="24"/>
              </w:rPr>
              <w:t> </w:t>
            </w:r>
            <w:r>
              <w:rPr>
                <w:rFonts w:ascii="Arial" w:hAnsi="Arial" w:cs="Arial" w:eastAsia="Arial" w:hint="default"/>
                <w:sz w:val="24"/>
                <w:szCs w:val="24"/>
              </w:rPr>
              <w:t>1</w:t>
            </w:r>
            <w:r>
              <w:rPr>
                <w:rFonts w:ascii="Arial" w:hAnsi="Arial" w:cs="Arial" w:eastAsia="Arial" w:hint="default"/>
                <w:spacing w:val="-21"/>
                <w:sz w:val="24"/>
                <w:szCs w:val="24"/>
              </w:rPr>
              <w:t> </w:t>
            </w:r>
            <w:r>
              <w:rPr>
                <w:rFonts w:ascii="宋体" w:hAnsi="宋体" w:cs="宋体" w:eastAsia="宋体" w:hint="default"/>
                <w:sz w:val="24"/>
                <w:szCs w:val="24"/>
              </w:rPr>
              <w:t>月分步收购</w:t>
            </w:r>
            <w:r>
              <w:rPr>
                <w:rFonts w:ascii="宋体" w:hAnsi="宋体" w:cs="宋体" w:eastAsia="宋体" w:hint="default"/>
                <w:spacing w:val="-74"/>
                <w:sz w:val="24"/>
                <w:szCs w:val="24"/>
              </w:rPr>
              <w:t> </w:t>
            </w:r>
            <w:r>
              <w:rPr>
                <w:rFonts w:ascii="Arial" w:hAnsi="Arial" w:cs="Arial" w:eastAsia="Arial" w:hint="default"/>
                <w:sz w:val="24"/>
                <w:szCs w:val="24"/>
              </w:rPr>
              <w:t>PPTV</w:t>
            </w:r>
            <w:r>
              <w:rPr>
                <w:rFonts w:ascii="Arial" w:hAnsi="Arial" w:cs="Arial" w:eastAsia="Arial" w:hint="default"/>
                <w:spacing w:val="-21"/>
                <w:sz w:val="24"/>
                <w:szCs w:val="24"/>
              </w:rPr>
              <w:t> </w:t>
            </w:r>
            <w:r>
              <w:rPr>
                <w:rFonts w:ascii="Arial" w:hAnsi="Arial" w:cs="Arial" w:eastAsia="Arial" w:hint="default"/>
                <w:sz w:val="24"/>
                <w:szCs w:val="24"/>
              </w:rPr>
              <w:t>21.28%</w:t>
            </w:r>
            <w:r>
              <w:rPr>
                <w:rFonts w:ascii="宋体" w:hAnsi="宋体" w:cs="宋体" w:eastAsia="宋体" w:hint="default"/>
                <w:sz w:val="24"/>
                <w:szCs w:val="24"/>
              </w:rPr>
              <w:t>股权</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(1)(a))</w:t>
            </w:r>
            <w:r>
              <w:rPr>
                <w:rFonts w:ascii="宋体" w:hAnsi="宋体" w:cs="宋体" w:eastAsia="宋体" w:hint="default"/>
                <w:sz w:val="24"/>
                <w:szCs w:val="24"/>
              </w:rPr>
              <w:t>，在收购日对于本集团之前</w:t>
            </w:r>
            <w:r>
              <w:rPr>
                <w:rFonts w:ascii="宋体" w:hAnsi="宋体" w:cs="宋体" w:eastAsia="宋体" w:hint="default"/>
                <w:w w:val="99"/>
                <w:sz w:val="24"/>
                <w:szCs w:val="24"/>
              </w:rPr>
              <w:t> </w:t>
            </w:r>
            <w:r>
              <w:rPr>
                <w:rFonts w:ascii="宋体" w:hAnsi="宋体" w:cs="宋体" w:eastAsia="宋体" w:hint="default"/>
                <w:sz w:val="24"/>
                <w:szCs w:val="24"/>
              </w:rPr>
              <w:t>已持有的 </w:t>
            </w:r>
            <w:r>
              <w:rPr>
                <w:rFonts w:ascii="Arial" w:hAnsi="Arial" w:cs="Arial" w:eastAsia="Arial" w:hint="default"/>
                <w:sz w:val="24"/>
                <w:szCs w:val="24"/>
              </w:rPr>
              <w:t>PPTV</w:t>
            </w:r>
            <w:r>
              <w:rPr>
                <w:rFonts w:ascii="Arial" w:hAnsi="Arial" w:cs="Arial" w:eastAsia="Arial" w:hint="default"/>
                <w:spacing w:val="52"/>
                <w:sz w:val="24"/>
                <w:szCs w:val="24"/>
              </w:rPr>
              <w:t> </w:t>
            </w:r>
            <w:r>
              <w:rPr>
                <w:rFonts w:ascii="Arial" w:hAnsi="Arial" w:cs="Arial" w:eastAsia="Arial" w:hint="default"/>
                <w:sz w:val="24"/>
                <w:szCs w:val="24"/>
              </w:rPr>
              <w:t>46.8%</w:t>
            </w:r>
            <w:r>
              <w:rPr>
                <w:rFonts w:ascii="宋体" w:hAnsi="宋体" w:cs="宋体" w:eastAsia="宋体" w:hint="default"/>
                <w:sz w:val="24"/>
                <w:szCs w:val="24"/>
              </w:rPr>
              <w:t>的股权按照其在收购日的公允价值进行重新计量而确 认的投资收益约人民币</w:t>
            </w:r>
            <w:r>
              <w:rPr>
                <w:rFonts w:ascii="宋体" w:hAnsi="宋体" w:cs="宋体" w:eastAsia="宋体" w:hint="default"/>
                <w:spacing w:val="-88"/>
                <w:sz w:val="24"/>
                <w:szCs w:val="24"/>
              </w:rPr>
              <w:t> </w:t>
            </w:r>
            <w:r>
              <w:rPr>
                <w:rFonts w:ascii="Arial" w:hAnsi="Arial" w:cs="Arial" w:eastAsia="Arial" w:hint="default"/>
                <w:sz w:val="24"/>
                <w:szCs w:val="24"/>
              </w:rPr>
              <w:t>5,000</w:t>
            </w:r>
            <w:r>
              <w:rPr>
                <w:rFonts w:ascii="Arial" w:hAnsi="Arial" w:cs="Arial" w:eastAsia="Arial" w:hint="default"/>
                <w:spacing w:val="-35"/>
                <w:sz w:val="24"/>
                <w:szCs w:val="24"/>
              </w:rPr>
              <w:t> </w:t>
            </w:r>
            <w:r>
              <w:rPr>
                <w:rFonts w:ascii="宋体" w:hAnsi="宋体" w:cs="宋体" w:eastAsia="宋体" w:hint="default"/>
                <w:sz w:val="24"/>
                <w:szCs w:val="24"/>
              </w:rPr>
              <w:t>万元以及</w:t>
            </w:r>
            <w:r>
              <w:rPr>
                <w:rFonts w:ascii="宋体" w:hAnsi="宋体" w:cs="宋体" w:eastAsia="宋体" w:hint="default"/>
                <w:spacing w:val="-88"/>
                <w:sz w:val="24"/>
                <w:szCs w:val="24"/>
              </w:rPr>
              <w:t> </w:t>
            </w:r>
            <w:r>
              <w:rPr>
                <w:rFonts w:ascii="Arial" w:hAnsi="Arial" w:cs="Arial" w:eastAsia="Arial" w:hint="default"/>
                <w:sz w:val="24"/>
                <w:szCs w:val="24"/>
              </w:rPr>
              <w:t>2015</w:t>
            </w:r>
            <w:r>
              <w:rPr>
                <w:rFonts w:ascii="Arial" w:hAnsi="Arial" w:cs="Arial" w:eastAsia="Arial" w:hint="default"/>
                <w:spacing w:val="-35"/>
                <w:sz w:val="24"/>
                <w:szCs w:val="24"/>
              </w:rPr>
              <w:t>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Arial" w:hAnsi="Arial" w:cs="Arial" w:eastAsia="Arial" w:hint="default"/>
                <w:sz w:val="24"/>
                <w:szCs w:val="24"/>
              </w:rPr>
              <w:t>12</w:t>
            </w:r>
            <w:r>
              <w:rPr>
                <w:rFonts w:ascii="Arial" w:hAnsi="Arial" w:cs="Arial" w:eastAsia="Arial" w:hint="default"/>
                <w:spacing w:val="-34"/>
                <w:sz w:val="24"/>
                <w:szCs w:val="24"/>
              </w:rPr>
              <w:t> </w:t>
            </w:r>
            <w:r>
              <w:rPr>
                <w:rFonts w:ascii="宋体" w:hAnsi="宋体" w:cs="宋体" w:eastAsia="宋体" w:hint="default"/>
                <w:sz w:val="24"/>
                <w:szCs w:val="24"/>
              </w:rPr>
              <w:t>月处置本集团持有的</w:t>
            </w:r>
            <w:r>
              <w:rPr>
                <w:rFonts w:ascii="宋体" w:hAnsi="宋体" w:cs="宋体" w:eastAsia="宋体" w:hint="default"/>
                <w:spacing w:val="-88"/>
                <w:sz w:val="24"/>
                <w:szCs w:val="24"/>
              </w:rPr>
              <w:t> </w:t>
            </w:r>
            <w:r>
              <w:rPr>
                <w:rFonts w:ascii="Arial" w:hAnsi="Arial" w:cs="Arial" w:eastAsia="Arial" w:hint="default"/>
                <w:sz w:val="24"/>
                <w:szCs w:val="24"/>
              </w:rPr>
              <w:t>PPTV</w:t>
            </w:r>
            <w:r>
              <w:rPr>
                <w:rFonts w:ascii="Arial" w:hAnsi="Arial" w:cs="Arial" w:eastAsia="Arial" w:hint="default"/>
                <w:w w:val="100"/>
                <w:sz w:val="24"/>
                <w:szCs w:val="24"/>
              </w:rPr>
              <w:t> </w:t>
            </w:r>
            <w:r>
              <w:rPr>
                <w:rFonts w:ascii="Arial" w:hAnsi="Arial" w:cs="Arial" w:eastAsia="Arial" w:hint="default"/>
                <w:sz w:val="24"/>
                <w:szCs w:val="24"/>
              </w:rPr>
              <w:t>68.08%</w:t>
            </w:r>
            <w:r>
              <w:rPr>
                <w:rFonts w:ascii="宋体" w:hAnsi="宋体" w:cs="宋体" w:eastAsia="宋体" w:hint="default"/>
                <w:sz w:val="24"/>
                <w:szCs w:val="24"/>
              </w:rPr>
              <w:t>的股权产生的收益约人民币 </w:t>
            </w:r>
            <w:r>
              <w:rPr>
                <w:rFonts w:ascii="Arial" w:hAnsi="Arial" w:cs="Arial" w:eastAsia="Arial" w:hint="default"/>
                <w:sz w:val="24"/>
                <w:szCs w:val="24"/>
              </w:rPr>
              <w:t>13.97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(2)(b))</w:t>
            </w:r>
            <w:r>
              <w:rPr>
                <w:rFonts w:ascii="Arial" w:hAnsi="Arial" w:cs="Arial" w:eastAsia="Arial" w:hint="default"/>
                <w:spacing w:val="-18"/>
                <w:sz w:val="24"/>
                <w:szCs w:val="24"/>
              </w:rPr>
              <w:t> </w:t>
            </w:r>
            <w:r>
              <w:rPr>
                <w:rFonts w:ascii="宋体" w:hAnsi="宋体" w:cs="宋体" w:eastAsia="宋体" w:hint="default"/>
                <w:sz w:val="24"/>
                <w:szCs w:val="24"/>
              </w:rPr>
              <w:t>。</w:t>
            </w:r>
          </w:p>
        </w:tc>
      </w:tr>
      <w:tr>
        <w:trPr>
          <w:trHeight w:val="582"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5" w:right="0"/>
              <w:jc w:val="left"/>
              <w:rPr>
                <w:rFonts w:ascii="宋体" w:hAnsi="宋体" w:cs="宋体" w:eastAsia="宋体" w:hint="default"/>
                <w:sz w:val="24"/>
                <w:szCs w:val="24"/>
              </w:rPr>
            </w:pPr>
            <w:r>
              <w:rPr>
                <w:rFonts w:ascii="宋体" w:hAnsi="宋体" w:cs="宋体" w:eastAsia="宋体" w:hint="default"/>
                <w:sz w:val="24"/>
                <w:szCs w:val="24"/>
              </w:rPr>
              <w:t>本集团不存在投资收益汇回的重大限制。</w:t>
            </w:r>
          </w:p>
        </w:tc>
        <w:tc>
          <w:tcPr>
            <w:tcW w:w="1723"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r>
      <w:tr>
        <w:trPr>
          <w:trHeight w:val="601"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80"/>
              <w:jc w:val="right"/>
              <w:rPr>
                <w:rFonts w:ascii="Arial" w:hAnsi="Arial" w:cs="Arial" w:eastAsia="Arial" w:hint="default"/>
                <w:sz w:val="24"/>
                <w:szCs w:val="24"/>
              </w:rPr>
            </w:pPr>
            <w:r>
              <w:rPr>
                <w:rFonts w:ascii="Arial"/>
                <w:w w:val="95"/>
                <w:sz w:val="24"/>
              </w:rPr>
              <w:t>(52)</w:t>
            </w:r>
            <w:r>
              <w:rPr>
                <w:rFonts w:ascii="Arial"/>
                <w:sz w:val="24"/>
              </w:rPr>
            </w:r>
          </w:p>
        </w:tc>
        <w:tc>
          <w:tcPr>
            <w:tcW w:w="499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7" w:right="0"/>
              <w:jc w:val="left"/>
              <w:rPr>
                <w:rFonts w:ascii="黑体" w:hAnsi="黑体" w:cs="黑体" w:eastAsia="黑体" w:hint="default"/>
                <w:sz w:val="24"/>
                <w:szCs w:val="24"/>
              </w:rPr>
            </w:pPr>
            <w:r>
              <w:rPr>
                <w:rFonts w:ascii="黑体" w:hAnsi="黑体" w:cs="黑体" w:eastAsia="黑体" w:hint="default"/>
                <w:sz w:val="24"/>
                <w:szCs w:val="24"/>
              </w:rPr>
              <w:t>资产减值损失</w:t>
            </w:r>
          </w:p>
        </w:tc>
        <w:tc>
          <w:tcPr>
            <w:tcW w:w="1723"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r>
      <w:tr>
        <w:trPr>
          <w:trHeight w:val="579"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48"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7"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44" w:right="0"/>
              <w:jc w:val="left"/>
              <w:rPr>
                <w:rFonts w:ascii="Arial" w:hAnsi="Arial" w:cs="Arial" w:eastAsia="Arial" w:hint="default"/>
                <w:sz w:val="24"/>
                <w:szCs w:val="24"/>
              </w:rPr>
            </w:pPr>
            <w:r>
              <w:rPr>
                <w:rFonts w:ascii="Arial"/>
                <w:sz w:val="24"/>
              </w:rPr>
              <w:t>160,798</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38" w:right="0"/>
              <w:jc w:val="left"/>
              <w:rPr>
                <w:rFonts w:ascii="Arial" w:hAnsi="Arial" w:cs="Arial" w:eastAsia="Arial" w:hint="default"/>
                <w:sz w:val="24"/>
                <w:szCs w:val="24"/>
              </w:rPr>
            </w:pPr>
            <w:r>
              <w:rPr>
                <w:rFonts w:ascii="Arial"/>
                <w:sz w:val="24"/>
              </w:rPr>
              <w:t>171,163</w:t>
            </w:r>
          </w:p>
        </w:tc>
      </w:tr>
      <w:tr>
        <w:trPr>
          <w:trHeight w:val="311"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spacing w:line="262" w:lineRule="exact"/>
              <w:ind w:left="117" w:right="0"/>
              <w:jc w:val="left"/>
              <w:rPr>
                <w:rFonts w:ascii="宋体" w:hAnsi="宋体" w:cs="宋体" w:eastAsia="宋体" w:hint="default"/>
                <w:sz w:val="24"/>
                <w:szCs w:val="24"/>
              </w:rPr>
            </w:pPr>
            <w:r>
              <w:rPr>
                <w:rFonts w:ascii="宋体" w:hAnsi="宋体" w:cs="宋体" w:eastAsia="宋体" w:hint="default"/>
                <w:sz w:val="24"/>
                <w:szCs w:val="24"/>
              </w:rPr>
              <w:t>固定资产减值损失</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8"/>
              <w:jc w:val="right"/>
              <w:rPr>
                <w:rFonts w:ascii="Arial" w:hAnsi="Arial" w:cs="Arial" w:eastAsia="Arial" w:hint="default"/>
                <w:sz w:val="24"/>
                <w:szCs w:val="24"/>
              </w:rPr>
            </w:pPr>
            <w:r>
              <w:rPr>
                <w:rFonts w:ascii="Arial"/>
                <w:spacing w:val="-1"/>
                <w:sz w:val="24"/>
              </w:rPr>
              <w:t>6,882</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71" w:right="0"/>
              <w:jc w:val="left"/>
              <w:rPr>
                <w:rFonts w:ascii="Arial" w:hAnsi="Arial" w:cs="Arial" w:eastAsia="Arial" w:hint="default"/>
                <w:sz w:val="24"/>
                <w:szCs w:val="24"/>
              </w:rPr>
            </w:pPr>
            <w:r>
              <w:rPr>
                <w:rFonts w:ascii="Arial"/>
                <w:sz w:val="24"/>
              </w:rPr>
              <w:t>12,169</w:t>
            </w:r>
          </w:p>
        </w:tc>
      </w:tr>
      <w:tr>
        <w:trPr>
          <w:trHeight w:val="311"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spacing w:line="262" w:lineRule="exact"/>
              <w:ind w:left="117" w:right="0"/>
              <w:jc w:val="left"/>
              <w:rPr>
                <w:rFonts w:ascii="宋体" w:hAnsi="宋体" w:cs="宋体" w:eastAsia="宋体" w:hint="default"/>
                <w:sz w:val="24"/>
                <w:szCs w:val="24"/>
              </w:rPr>
            </w:pPr>
            <w:r>
              <w:rPr>
                <w:rFonts w:ascii="宋体" w:hAnsi="宋体" w:cs="宋体" w:eastAsia="宋体" w:hint="default"/>
                <w:sz w:val="24"/>
                <w:szCs w:val="24"/>
              </w:rPr>
              <w:t>发放贷款及垫款减值损失</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8"/>
              <w:jc w:val="right"/>
              <w:rPr>
                <w:rFonts w:ascii="Arial" w:hAnsi="Arial" w:cs="Arial" w:eastAsia="Arial" w:hint="default"/>
                <w:sz w:val="24"/>
                <w:szCs w:val="24"/>
              </w:rPr>
            </w:pPr>
            <w:r>
              <w:rPr>
                <w:rFonts w:ascii="Arial"/>
                <w:w w:val="95"/>
                <w:sz w:val="24"/>
              </w:rPr>
              <w:t>1,445</w:t>
            </w:r>
            <w:r>
              <w:rPr>
                <w:rFonts w:ascii="Arial"/>
                <w:sz w:val="24"/>
              </w:rPr>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7"/>
              <w:jc w:val="right"/>
              <w:rPr>
                <w:rFonts w:ascii="Arial" w:hAnsi="Arial" w:cs="Arial" w:eastAsia="Arial" w:hint="default"/>
                <w:sz w:val="24"/>
                <w:szCs w:val="24"/>
              </w:rPr>
            </w:pPr>
            <w:r>
              <w:rPr>
                <w:rFonts w:ascii="Arial"/>
                <w:spacing w:val="-1"/>
                <w:w w:val="95"/>
                <w:sz w:val="24"/>
              </w:rPr>
              <w:t>65</w:t>
            </w:r>
            <w:r>
              <w:rPr>
                <w:rFonts w:ascii="Arial"/>
                <w:sz w:val="24"/>
              </w:rPr>
            </w:r>
          </w:p>
        </w:tc>
      </w:tr>
      <w:tr>
        <w:trPr>
          <w:trHeight w:val="312"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Style w:val="TableParagraph"/>
              <w:tabs>
                <w:tab w:pos="4847" w:val="left" w:leader="none"/>
                <w:tab w:pos="5571" w:val="left" w:leader="none"/>
              </w:tabs>
              <w:spacing w:line="275" w:lineRule="exact"/>
              <w:ind w:left="117" w:right="-574"/>
              <w:jc w:val="left"/>
              <w:rPr>
                <w:rFonts w:ascii="Arial" w:hAnsi="Arial" w:cs="Arial" w:eastAsia="Arial" w:hint="default"/>
                <w:sz w:val="24"/>
                <w:szCs w:val="24"/>
              </w:rPr>
            </w:pPr>
            <w:r>
              <w:rPr>
                <w:rFonts w:ascii="宋体" w:hAnsi="宋体" w:cs="宋体" w:eastAsia="宋体" w:hint="default"/>
                <w:position w:val="2"/>
                <w:sz w:val="24"/>
                <w:szCs w:val="24"/>
              </w:rPr>
              <w:t>坏账损失</w:t>
            </w:r>
            <w:r>
              <w:rPr>
                <w:rFonts w:ascii="Arial" w:hAnsi="Arial" w:cs="Arial" w:eastAsia="Arial" w:hint="default"/>
                <w:position w:val="2"/>
                <w:sz w:val="24"/>
                <w:szCs w:val="24"/>
              </w:rPr>
              <w:t>/(</w:t>
            </w:r>
            <w:r>
              <w:rPr>
                <w:rFonts w:ascii="宋体" w:hAnsi="宋体" w:cs="宋体" w:eastAsia="宋体" w:hint="default"/>
                <w:position w:val="2"/>
                <w:sz w:val="24"/>
                <w:szCs w:val="24"/>
              </w:rPr>
              <w:t>损失转回</w:t>
            </w:r>
            <w:r>
              <w:rPr>
                <w:rFonts w:ascii="Arial" w:hAnsi="Arial" w:cs="Arial" w:eastAsia="Arial" w:hint="default"/>
                <w:position w:val="2"/>
                <w:sz w:val="24"/>
                <w:szCs w:val="24"/>
              </w:rPr>
              <w:t>)</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23"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19"/>
              <w:ind w:right="311"/>
              <w:jc w:val="right"/>
              <w:rPr>
                <w:rFonts w:ascii="Arial" w:hAnsi="Arial" w:cs="Arial" w:eastAsia="Arial" w:hint="default"/>
                <w:sz w:val="24"/>
                <w:szCs w:val="24"/>
              </w:rPr>
            </w:pPr>
            <w:r>
              <w:rPr>
                <w:rFonts w:ascii="Arial"/>
                <w:w w:val="99"/>
                <w:sz w:val="24"/>
              </w:rPr>
            </w:r>
            <w:r>
              <w:rPr>
                <w:rFonts w:ascii="Arial"/>
                <w:w w:val="95"/>
                <w:sz w:val="24"/>
                <w:u w:val="single" w:color="000000"/>
              </w:rPr>
              <w:t>28,962</w:t>
            </w:r>
            <w:r>
              <w:rPr>
                <w:rFonts w:ascii="Arial"/>
                <w:sz w:val="24"/>
                <w:u w:val="single" w:color="000000"/>
              </w:rPr>
              <w:tab/>
            </w:r>
            <w:r>
              <w:rPr>
                <w:rFonts w:ascii="Arial"/>
                <w:sz w:val="24"/>
              </w:rPr>
            </w:r>
          </w:p>
        </w:tc>
        <w:tc>
          <w:tcPr>
            <w:tcW w:w="1686" w:type="dxa"/>
            <w:tcBorders>
              <w:top w:val="nil" w:sz="6" w:space="0" w:color="auto"/>
              <w:left w:val="nil" w:sz="6" w:space="0" w:color="auto"/>
              <w:bottom w:val="nil" w:sz="6" w:space="0" w:color="auto"/>
              <w:right w:val="nil" w:sz="6" w:space="0" w:color="auto"/>
            </w:tcBorders>
          </w:tcPr>
          <w:p>
            <w:pPr>
              <w:pStyle w:val="TableParagraph"/>
              <w:tabs>
                <w:tab w:pos="725" w:val="left" w:leader="none"/>
                <w:tab w:pos="1573" w:val="left" w:leader="none"/>
              </w:tabs>
              <w:spacing w:line="240" w:lineRule="auto" w:before="19"/>
              <w:ind w:left="-3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(8,442)</w:t>
              <w:tab/>
            </w:r>
            <w:r>
              <w:rPr>
                <w:rFonts w:ascii="Arial"/>
                <w:sz w:val="24"/>
              </w:rPr>
            </w:r>
          </w:p>
        </w:tc>
      </w:tr>
      <w:tr>
        <w:trPr>
          <w:trHeight w:val="263" w:hRule="exact"/>
        </w:trPr>
        <w:tc>
          <w:tcPr>
            <w:tcW w:w="809"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tabs>
                <w:tab w:pos="440" w:val="left" w:leader="none"/>
                <w:tab w:pos="1409" w:val="left" w:leader="none"/>
              </w:tabs>
              <w:spacing w:line="268" w:lineRule="exact"/>
              <w:ind w:left="-151" w:right="31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198,087</w:t>
              <w:tab/>
            </w:r>
            <w:r>
              <w:rPr>
                <w:rFonts w:ascii="Arial"/>
                <w:spacing w:val="-1"/>
                <w:sz w:val="24"/>
              </w:rPr>
            </w:r>
          </w:p>
        </w:tc>
        <w:tc>
          <w:tcPr>
            <w:tcW w:w="1686" w:type="dxa"/>
            <w:tcBorders>
              <w:top w:val="nil" w:sz="6" w:space="0" w:color="auto"/>
              <w:left w:val="nil" w:sz="6" w:space="0" w:color="auto"/>
              <w:bottom w:val="nil" w:sz="6" w:space="0" w:color="auto"/>
              <w:right w:val="nil" w:sz="6" w:space="0" w:color="auto"/>
            </w:tcBorders>
          </w:tcPr>
          <w:p>
            <w:pPr>
              <w:pStyle w:val="TableParagraph"/>
              <w:tabs>
                <w:tab w:pos="538" w:val="left" w:leader="none"/>
                <w:tab w:pos="1573" w:val="left" w:leader="none"/>
              </w:tabs>
              <w:spacing w:line="268" w:lineRule="exact"/>
              <w:ind w:left="-3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174,955</w:t>
              <w:tab/>
            </w:r>
            <w:r>
              <w:rPr>
                <w:rFonts w:ascii="Arial"/>
                <w:sz w:val="24"/>
              </w:rPr>
            </w:r>
          </w:p>
        </w:tc>
      </w:tr>
    </w:tbl>
    <w:p>
      <w:pPr>
        <w:spacing w:after="0" w:line="268" w:lineRule="exact"/>
        <w:jc w:val="left"/>
        <w:rPr>
          <w:rFonts w:ascii="Arial" w:hAnsi="Arial" w:cs="Arial" w:eastAsia="Arial" w:hint="default"/>
          <w:sz w:val="24"/>
          <w:szCs w:val="24"/>
        </w:rPr>
        <w:sectPr>
          <w:pgSz w:w="11910" w:h="16840"/>
          <w:pgMar w:header="0" w:footer="698" w:top="1860" w:bottom="880" w:left="1340" w:right="0"/>
        </w:sectPr>
      </w:pPr>
    </w:p>
    <w:p>
      <w:pPr>
        <w:spacing w:line="240" w:lineRule="auto" w:before="0"/>
        <w:rPr>
          <w:rFonts w:ascii="Times New Roman" w:hAnsi="Times New Roman" w:cs="Times New Roman" w:eastAsia="Times New Roman" w:hint="default"/>
          <w:sz w:val="20"/>
          <w:szCs w:val="20"/>
        </w:rPr>
      </w:pPr>
      <w:r>
        <w:rPr/>
        <w:pict>
          <v:group style="position:absolute;margin-left:530.679993pt;margin-top:239.719986pt;width:.1pt;height:16.6pt;mso-position-horizontal-relative:page;mso-position-vertical-relative:page;z-index:-1830880" coordorigin="10614,4794" coordsize="2,332">
            <v:shape style="position:absolute;left:10614;top:4794;width:2;height:332" coordorigin="10614,4794" coordsize="0,332" path="m10614,4794l10614,5126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900"/>
        <w:gridCol w:w="2897"/>
        <w:gridCol w:w="1330"/>
        <w:gridCol w:w="1447"/>
        <w:gridCol w:w="2574"/>
      </w:tblGrid>
      <w:tr>
        <w:trPr>
          <w:trHeight w:val="416"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897" w:type="dxa"/>
            <w:tcBorders>
              <w:top w:val="nil" w:sz="6" w:space="0" w:color="auto"/>
              <w:left w:val="nil" w:sz="6" w:space="0" w:color="auto"/>
              <w:bottom w:val="nil" w:sz="6" w:space="0" w:color="auto"/>
              <w:right w:val="nil" w:sz="6" w:space="0" w:color="auto"/>
            </w:tcBorders>
          </w:tcPr>
          <w:p>
            <w:pPr>
              <w:pStyle w:val="TableParagraph"/>
              <w:spacing w:line="257" w:lineRule="exact"/>
              <w:ind w:left="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3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
        </w:tc>
      </w:tr>
      <w:tr>
        <w:trPr>
          <w:trHeight w:val="585"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14" w:right="0"/>
              <w:jc w:val="left"/>
              <w:rPr>
                <w:rFonts w:ascii="Arial" w:hAnsi="Arial" w:cs="Arial" w:eastAsia="Arial" w:hint="default"/>
                <w:sz w:val="24"/>
                <w:szCs w:val="24"/>
              </w:rPr>
            </w:pPr>
            <w:r>
              <w:rPr>
                <w:rFonts w:ascii="Arial"/>
                <w:sz w:val="24"/>
              </w:rPr>
              <w:t>(53)</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8" w:right="0"/>
              <w:jc w:val="left"/>
              <w:rPr>
                <w:rFonts w:ascii="黑体" w:hAnsi="黑体" w:cs="黑体" w:eastAsia="黑体" w:hint="default"/>
                <w:sz w:val="24"/>
                <w:szCs w:val="24"/>
              </w:rPr>
            </w:pPr>
            <w:r>
              <w:rPr>
                <w:rFonts w:ascii="黑体" w:hAnsi="黑体" w:cs="黑体" w:eastAsia="黑体" w:hint="default"/>
                <w:sz w:val="24"/>
                <w:szCs w:val="24"/>
              </w:rPr>
              <w:t>营业外收入</w:t>
            </w:r>
          </w:p>
        </w:tc>
        <w:tc>
          <w:tcPr>
            <w:tcW w:w="133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
        </w:tc>
      </w:tr>
      <w:tr>
        <w:trPr>
          <w:trHeight w:val="899" w:hRule="exact"/>
        </w:trPr>
        <w:tc>
          <w:tcPr>
            <w:tcW w:w="900"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right="97"/>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right="-14"/>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574"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773" w:right="119" w:hanging="410"/>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65"/>
                <w:sz w:val="24"/>
                <w:szCs w:val="24"/>
              </w:rPr>
              <w:t> </w:t>
            </w: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年度非经 常性损益的金额</w:t>
            </w:r>
          </w:p>
        </w:tc>
      </w:tr>
      <w:tr>
        <w:trPr>
          <w:trHeight w:val="454" w:hRule="exact"/>
        </w:trPr>
        <w:tc>
          <w:tcPr>
            <w:tcW w:w="900"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92" w:right="0"/>
              <w:jc w:val="left"/>
              <w:rPr>
                <w:rFonts w:ascii="Arial" w:hAnsi="Arial" w:cs="Arial" w:eastAsia="Arial" w:hint="default"/>
                <w:sz w:val="24"/>
                <w:szCs w:val="24"/>
              </w:rPr>
            </w:pPr>
            <w:r>
              <w:rPr>
                <w:rFonts w:ascii="宋体" w:hAnsi="宋体" w:cs="宋体" w:eastAsia="宋体" w:hint="default"/>
                <w:sz w:val="24"/>
                <w:szCs w:val="24"/>
              </w:rPr>
              <w:t>非流动资产处置利得</w:t>
            </w:r>
            <w:r>
              <w:rPr>
                <w:rFonts w:ascii="Arial" w:hAnsi="Arial" w:cs="Arial" w:eastAsia="Arial" w:hint="default"/>
                <w:sz w:val="24"/>
                <w:szCs w:val="24"/>
              </w:rPr>
              <w:t>(a)</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96"/>
              <w:jc w:val="right"/>
              <w:rPr>
                <w:rFonts w:ascii="Arial" w:hAnsi="Arial" w:cs="Arial" w:eastAsia="Arial" w:hint="default"/>
                <w:sz w:val="24"/>
                <w:szCs w:val="24"/>
              </w:rPr>
            </w:pPr>
            <w:r>
              <w:rPr>
                <w:rFonts w:ascii="Arial"/>
                <w:w w:val="95"/>
                <w:sz w:val="24"/>
              </w:rPr>
              <w:t>1,415,228</w:t>
            </w:r>
            <w:r>
              <w:rPr>
                <w:rFonts w:ascii="Arial"/>
                <w:sz w:val="24"/>
              </w:rPr>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21"/>
              <w:jc w:val="right"/>
              <w:rPr>
                <w:rFonts w:ascii="Arial" w:hAnsi="Arial" w:cs="Arial" w:eastAsia="Arial" w:hint="default"/>
                <w:sz w:val="24"/>
                <w:szCs w:val="24"/>
              </w:rPr>
            </w:pPr>
            <w:r>
              <w:rPr>
                <w:rFonts w:ascii="Arial"/>
                <w:w w:val="95"/>
                <w:sz w:val="24"/>
              </w:rPr>
              <w:t>2,449,352</w:t>
            </w:r>
            <w:r>
              <w:rPr>
                <w:rFonts w:ascii="Arial"/>
                <w:sz w:val="24"/>
              </w:rPr>
            </w:r>
          </w:p>
        </w:tc>
        <w:tc>
          <w:tcPr>
            <w:tcW w:w="2574"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118"/>
              <w:jc w:val="right"/>
              <w:rPr>
                <w:rFonts w:ascii="Arial" w:hAnsi="Arial" w:cs="Arial" w:eastAsia="Arial" w:hint="default"/>
                <w:sz w:val="24"/>
                <w:szCs w:val="24"/>
              </w:rPr>
            </w:pPr>
            <w:r>
              <w:rPr>
                <w:rFonts w:ascii="Arial"/>
                <w:w w:val="95"/>
                <w:sz w:val="24"/>
              </w:rPr>
              <w:t>1,415,228</w:t>
            </w:r>
            <w:r>
              <w:rPr>
                <w:rFonts w:ascii="Arial"/>
                <w:sz w:val="24"/>
              </w:rPr>
            </w:r>
          </w:p>
        </w:tc>
      </w:tr>
      <w:tr>
        <w:trPr>
          <w:trHeight w:val="322" w:hRule="exact"/>
        </w:trPr>
        <w:tc>
          <w:tcPr>
            <w:tcW w:w="900" w:type="dxa"/>
            <w:tcBorders>
              <w:top w:val="nil" w:sz="6" w:space="0" w:color="auto"/>
              <w:left w:val="nil" w:sz="6" w:space="0" w:color="auto"/>
              <w:bottom w:val="nil" w:sz="6" w:space="0" w:color="auto"/>
              <w:right w:val="single" w:sz="4" w:space="0" w:color="000000"/>
            </w:tcBorders>
          </w:tcPr>
          <w:p>
            <w:pPr/>
          </w:p>
        </w:tc>
        <w:tc>
          <w:tcPr>
            <w:tcW w:w="2897"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left="87" w:right="0"/>
              <w:jc w:val="left"/>
              <w:rPr>
                <w:rFonts w:ascii="宋体" w:hAnsi="宋体" w:cs="宋体" w:eastAsia="宋体" w:hint="default"/>
                <w:sz w:val="24"/>
                <w:szCs w:val="24"/>
              </w:rPr>
            </w:pPr>
            <w:r>
              <w:rPr>
                <w:rFonts w:ascii="宋体" w:hAnsi="宋体" w:cs="宋体" w:eastAsia="宋体" w:hint="default"/>
                <w:sz w:val="24"/>
                <w:szCs w:val="24"/>
              </w:rPr>
              <w:t>其中：长期资产处置利得</w:t>
            </w:r>
          </w:p>
        </w:tc>
        <w:tc>
          <w:tcPr>
            <w:tcW w:w="133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96"/>
              <w:jc w:val="right"/>
              <w:rPr>
                <w:rFonts w:ascii="Arial" w:hAnsi="Arial" w:cs="Arial" w:eastAsia="Arial" w:hint="default"/>
                <w:sz w:val="24"/>
                <w:szCs w:val="24"/>
              </w:rPr>
            </w:pPr>
            <w:r>
              <w:rPr>
                <w:rFonts w:ascii="Arial"/>
                <w:w w:val="95"/>
                <w:sz w:val="24"/>
              </w:rPr>
              <w:t>1,415,228</w:t>
            </w:r>
            <w:r>
              <w:rPr>
                <w:rFonts w:ascii="Arial"/>
                <w:sz w:val="24"/>
              </w:rPr>
            </w: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1"/>
              <w:jc w:val="right"/>
              <w:rPr>
                <w:rFonts w:ascii="Arial" w:hAnsi="Arial" w:cs="Arial" w:eastAsia="Arial" w:hint="default"/>
                <w:sz w:val="24"/>
                <w:szCs w:val="24"/>
              </w:rPr>
            </w:pPr>
            <w:r>
              <w:rPr>
                <w:rFonts w:ascii="Arial"/>
                <w:w w:val="95"/>
                <w:sz w:val="24"/>
              </w:rPr>
              <w:t>2,449,352</w:t>
            </w:r>
            <w:r>
              <w:rPr>
                <w:rFonts w:ascii="Arial"/>
                <w:sz w:val="24"/>
              </w:rPr>
            </w:r>
          </w:p>
        </w:tc>
        <w:tc>
          <w:tcPr>
            <w:tcW w:w="2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18"/>
              <w:jc w:val="right"/>
              <w:rPr>
                <w:rFonts w:ascii="Arial" w:hAnsi="Arial" w:cs="Arial" w:eastAsia="Arial" w:hint="default"/>
                <w:sz w:val="24"/>
                <w:szCs w:val="24"/>
              </w:rPr>
            </w:pPr>
            <w:r>
              <w:rPr>
                <w:rFonts w:ascii="Arial"/>
                <w:w w:val="95"/>
                <w:sz w:val="24"/>
              </w:rPr>
              <w:t>1,415,228</w:t>
            </w:r>
            <w:r>
              <w:rPr>
                <w:rFonts w:ascii="Arial"/>
                <w:sz w:val="24"/>
              </w:rPr>
            </w:r>
          </w:p>
        </w:tc>
      </w:tr>
      <w:tr>
        <w:trPr>
          <w:trHeight w:val="330" w:hRule="exact"/>
        </w:trPr>
        <w:tc>
          <w:tcPr>
            <w:tcW w:w="900" w:type="dxa"/>
            <w:tcBorders>
              <w:top w:val="nil" w:sz="6" w:space="0" w:color="auto"/>
              <w:left w:val="nil" w:sz="6" w:space="0" w:color="auto"/>
              <w:bottom w:val="nil" w:sz="6" w:space="0" w:color="auto"/>
              <w:right w:val="nil" w:sz="6" w:space="0" w:color="auto"/>
            </w:tcBorders>
          </w:tcPr>
          <w:p>
            <w:pPr/>
          </w:p>
        </w:tc>
        <w:tc>
          <w:tcPr>
            <w:tcW w:w="2897" w:type="dxa"/>
            <w:tcBorders>
              <w:top w:val="single" w:sz="4" w:space="0" w:color="000000"/>
              <w:left w:val="nil" w:sz="6" w:space="0" w:color="auto"/>
              <w:bottom w:val="nil" w:sz="6" w:space="0" w:color="auto"/>
              <w:right w:val="nil" w:sz="6" w:space="0" w:color="auto"/>
            </w:tcBorders>
          </w:tcPr>
          <w:p>
            <w:pPr>
              <w:pStyle w:val="TableParagraph"/>
              <w:spacing w:line="292" w:lineRule="exact"/>
              <w:ind w:left="92" w:right="0"/>
              <w:jc w:val="left"/>
              <w:rPr>
                <w:rFonts w:ascii="Arial" w:hAnsi="Arial" w:cs="Arial" w:eastAsia="Arial" w:hint="default"/>
                <w:sz w:val="24"/>
                <w:szCs w:val="24"/>
              </w:rPr>
            </w:pPr>
            <w:r>
              <w:rPr>
                <w:rFonts w:ascii="宋体" w:hAnsi="宋体" w:cs="宋体" w:eastAsia="宋体" w:hint="default"/>
                <w:sz w:val="24"/>
                <w:szCs w:val="24"/>
              </w:rPr>
              <w:t>政府补助</w:t>
            </w:r>
            <w:r>
              <w:rPr>
                <w:rFonts w:ascii="Arial" w:hAnsi="Arial" w:cs="Arial" w:eastAsia="Arial" w:hint="default"/>
                <w:sz w:val="24"/>
                <w:szCs w:val="24"/>
              </w:rPr>
              <w:t>(b)</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7"/>
              <w:jc w:val="right"/>
              <w:rPr>
                <w:rFonts w:ascii="Arial" w:hAnsi="Arial" w:cs="Arial" w:eastAsia="Arial" w:hint="default"/>
                <w:sz w:val="24"/>
                <w:szCs w:val="24"/>
              </w:rPr>
            </w:pPr>
            <w:r>
              <w:rPr>
                <w:rFonts w:ascii="Arial"/>
                <w:spacing w:val="-1"/>
                <w:sz w:val="24"/>
              </w:rPr>
              <w:t>158,850</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0"/>
              <w:jc w:val="right"/>
              <w:rPr>
                <w:rFonts w:ascii="Arial" w:hAnsi="Arial" w:cs="Arial" w:eastAsia="Arial" w:hint="default"/>
                <w:sz w:val="24"/>
                <w:szCs w:val="24"/>
              </w:rPr>
            </w:pPr>
            <w:r>
              <w:rPr>
                <w:rFonts w:ascii="Arial"/>
                <w:spacing w:val="-3"/>
                <w:sz w:val="24"/>
              </w:rPr>
              <w:t>117,172</w:t>
            </w:r>
          </w:p>
        </w:tc>
        <w:tc>
          <w:tcPr>
            <w:tcW w:w="257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18"/>
              <w:jc w:val="right"/>
              <w:rPr>
                <w:rFonts w:ascii="Arial" w:hAnsi="Arial" w:cs="Arial" w:eastAsia="Arial" w:hint="default"/>
                <w:sz w:val="24"/>
                <w:szCs w:val="24"/>
              </w:rPr>
            </w:pPr>
            <w:r>
              <w:rPr>
                <w:rFonts w:ascii="Arial"/>
                <w:spacing w:val="-1"/>
                <w:sz w:val="24"/>
              </w:rPr>
              <w:t>158,850</w:t>
            </w:r>
          </w:p>
        </w:tc>
      </w:tr>
      <w:tr>
        <w:trPr>
          <w:trHeight w:val="312" w:hRule="exact"/>
        </w:trPr>
        <w:tc>
          <w:tcPr>
            <w:tcW w:w="900"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62" w:lineRule="exact"/>
              <w:ind w:left="9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30" w:type="dxa"/>
            <w:tcBorders>
              <w:top w:val="nil" w:sz="6" w:space="0" w:color="auto"/>
              <w:left w:val="nil" w:sz="6" w:space="0" w:color="auto"/>
              <w:bottom w:val="nil" w:sz="6" w:space="0" w:color="auto"/>
              <w:right w:val="nil" w:sz="6" w:space="0" w:color="auto"/>
            </w:tcBorders>
          </w:tcPr>
          <w:p>
            <w:pPr>
              <w:pStyle w:val="TableParagraph"/>
              <w:tabs>
                <w:tab w:pos="497" w:val="left" w:leader="none"/>
              </w:tabs>
              <w:spacing w:line="240" w:lineRule="auto" w:before="18"/>
              <w:ind w:left="-5" w:right="9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91,146</w:t>
            </w:r>
            <w:r>
              <w:rPr>
                <w:rFonts w:ascii="Arial"/>
                <w:w w:val="95"/>
                <w:sz w:val="24"/>
              </w:rPr>
            </w:r>
            <w:r>
              <w:rPr>
                <w:rFonts w:ascii="Arial"/>
                <w:sz w:val="24"/>
              </w:rPr>
            </w:r>
          </w:p>
        </w:tc>
        <w:tc>
          <w:tcPr>
            <w:tcW w:w="1447" w:type="dxa"/>
            <w:tcBorders>
              <w:top w:val="nil" w:sz="6" w:space="0" w:color="auto"/>
              <w:left w:val="nil" w:sz="6" w:space="0" w:color="auto"/>
              <w:bottom w:val="nil" w:sz="6" w:space="0" w:color="auto"/>
              <w:right w:val="nil" w:sz="6" w:space="0" w:color="auto"/>
            </w:tcBorders>
          </w:tcPr>
          <w:p>
            <w:pPr>
              <w:pStyle w:val="TableParagraph"/>
              <w:tabs>
                <w:tab w:pos="451" w:val="left" w:leader="none"/>
                <w:tab w:pos="1279" w:val="left" w:leader="none"/>
              </w:tabs>
              <w:spacing w:line="240" w:lineRule="auto" w:before="18"/>
              <w:ind w:right="-7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85,626</w:t>
            </w:r>
            <w:r>
              <w:rPr>
                <w:rFonts w:ascii="Arial"/>
                <w:sz w:val="24"/>
                <w:u w:val="single" w:color="000000"/>
              </w:rPr>
              <w:tab/>
            </w:r>
            <w:r>
              <w:rPr>
                <w:rFonts w:ascii="Arial"/>
                <w:sz w:val="24"/>
              </w:rPr>
            </w:r>
          </w:p>
        </w:tc>
        <w:tc>
          <w:tcPr>
            <w:tcW w:w="2574" w:type="dxa"/>
            <w:tcBorders>
              <w:top w:val="nil" w:sz="6" w:space="0" w:color="auto"/>
              <w:left w:val="nil" w:sz="6" w:space="0" w:color="auto"/>
              <w:bottom w:val="nil" w:sz="6" w:space="0" w:color="auto"/>
              <w:right w:val="nil" w:sz="6" w:space="0" w:color="auto"/>
            </w:tcBorders>
          </w:tcPr>
          <w:p>
            <w:pPr>
              <w:pStyle w:val="TableParagraph"/>
              <w:tabs>
                <w:tab w:pos="1411" w:val="left" w:leader="none"/>
              </w:tabs>
              <w:spacing w:line="240" w:lineRule="auto" w:before="18"/>
              <w:ind w:right="11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91,146</w:t>
            </w:r>
            <w:r>
              <w:rPr>
                <w:rFonts w:ascii="Arial"/>
                <w:w w:val="95"/>
                <w:sz w:val="24"/>
              </w:rPr>
            </w:r>
            <w:r>
              <w:rPr>
                <w:rFonts w:ascii="Arial"/>
                <w:sz w:val="24"/>
              </w:rPr>
            </w:r>
          </w:p>
        </w:tc>
      </w:tr>
      <w:tr>
        <w:trPr>
          <w:trHeight w:val="434" w:hRule="exact"/>
        </w:trPr>
        <w:tc>
          <w:tcPr>
            <w:tcW w:w="900"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68" w:lineRule="exact"/>
              <w:ind w:left="-5" w:right="9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33"/>
                <w:sz w:val="24"/>
                <w:u w:val="thick" w:color="000000"/>
              </w:rPr>
              <w:t> </w:t>
            </w:r>
            <w:r>
              <w:rPr>
                <w:rFonts w:ascii="Arial"/>
                <w:w w:val="95"/>
                <w:sz w:val="24"/>
                <w:u w:val="thick" w:color="000000"/>
              </w:rPr>
              <w:t>1,665,224</w:t>
            </w:r>
            <w:r>
              <w:rPr>
                <w:rFonts w:ascii="Arial"/>
                <w:w w:val="95"/>
                <w:sz w:val="24"/>
              </w:rPr>
            </w:r>
            <w:r>
              <w:rPr>
                <w:rFonts w:ascii="Arial"/>
                <w:sz w:val="24"/>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279" w:val="left" w:leader="none"/>
              </w:tabs>
              <w:spacing w:line="268" w:lineRule="exact"/>
              <w:ind w:right="-7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16"/>
                <w:sz w:val="24"/>
                <w:u w:val="thick" w:color="000000"/>
              </w:rPr>
              <w:t> </w:t>
            </w:r>
            <w:r>
              <w:rPr>
                <w:rFonts w:ascii="Arial"/>
                <w:w w:val="95"/>
                <w:sz w:val="24"/>
                <w:u w:val="thick" w:color="000000"/>
              </w:rPr>
              <w:t>2,652,150</w:t>
            </w:r>
            <w:r>
              <w:rPr>
                <w:rFonts w:ascii="Arial"/>
                <w:sz w:val="24"/>
                <w:u w:val="thick" w:color="000000"/>
              </w:rPr>
              <w:tab/>
            </w:r>
            <w:r>
              <w:rPr>
                <w:rFonts w:ascii="Arial"/>
                <w:sz w:val="24"/>
              </w:rPr>
            </w:r>
          </w:p>
        </w:tc>
        <w:tc>
          <w:tcPr>
            <w:tcW w:w="2574"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68" w:lineRule="exact"/>
              <w:ind w:right="11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1,665,224</w:t>
            </w:r>
            <w:r>
              <w:rPr>
                <w:rFonts w:ascii="Arial"/>
                <w:w w:val="95"/>
                <w:sz w:val="24"/>
              </w:rPr>
            </w:r>
            <w:r>
              <w:rPr>
                <w:rFonts w:ascii="Arial"/>
                <w:sz w:val="24"/>
              </w:rPr>
            </w:r>
          </w:p>
        </w:tc>
      </w:tr>
      <w:tr>
        <w:trPr>
          <w:trHeight w:val="592"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14" w:right="0"/>
              <w:jc w:val="left"/>
              <w:rPr>
                <w:rFonts w:ascii="Arial" w:hAnsi="Arial" w:cs="Arial" w:eastAsia="Arial" w:hint="default"/>
                <w:sz w:val="24"/>
                <w:szCs w:val="24"/>
              </w:rPr>
            </w:pPr>
            <w:r>
              <w:rPr>
                <w:rFonts w:ascii="Arial"/>
                <w:sz w:val="24"/>
              </w:rPr>
              <w:t>(a)</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8" w:right="0"/>
              <w:jc w:val="left"/>
              <w:rPr>
                <w:rFonts w:ascii="宋体" w:hAnsi="宋体" w:cs="宋体" w:eastAsia="宋体" w:hint="default"/>
                <w:sz w:val="24"/>
                <w:szCs w:val="24"/>
              </w:rPr>
            </w:pPr>
            <w:r>
              <w:rPr>
                <w:rFonts w:ascii="宋体" w:hAnsi="宋体" w:cs="宋体" w:eastAsia="宋体" w:hint="default"/>
                <w:sz w:val="24"/>
                <w:szCs w:val="24"/>
              </w:rPr>
              <w:t>非流动资产处置利得</w:t>
            </w:r>
          </w:p>
        </w:tc>
        <w:tc>
          <w:tcPr>
            <w:tcW w:w="133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
        </w:tc>
      </w:tr>
      <w:tr>
        <w:trPr>
          <w:trHeight w:val="3702" w:hRule="exact"/>
        </w:trPr>
        <w:tc>
          <w:tcPr>
            <w:tcW w:w="9147"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132"/>
              <w:ind w:left="957" w:right="0"/>
              <w:jc w:val="left"/>
              <w:rPr>
                <w:rFonts w:ascii="宋体" w:hAnsi="宋体" w:cs="宋体" w:eastAsia="宋体" w:hint="default"/>
                <w:sz w:val="24"/>
                <w:szCs w:val="24"/>
              </w:rPr>
            </w:pPr>
            <w:r>
              <w:rPr>
                <w:rFonts w:ascii="宋体" w:hAnsi="宋体" w:cs="宋体" w:eastAsia="宋体" w:hint="default"/>
                <w:spacing w:val="-5"/>
                <w:sz w:val="24"/>
                <w:szCs w:val="24"/>
              </w:rPr>
              <w:t>非流动资产处置利得主要包括售后租回交易确认的营业外收入。于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2015</w:t>
            </w:r>
            <w:r>
              <w:rPr>
                <w:rFonts w:ascii="Arial" w:hAnsi="Arial" w:cs="Arial" w:eastAsia="Arial" w:hint="default"/>
                <w:spacing w:val="-7"/>
                <w:w w:val="99"/>
                <w:sz w:val="24"/>
                <w:szCs w:val="24"/>
              </w:rPr>
              <w:t> </w:t>
            </w:r>
            <w:r>
              <w:rPr>
                <w:rFonts w:ascii="宋体" w:hAnsi="宋体" w:cs="宋体" w:eastAsia="宋体" w:hint="default"/>
                <w:sz w:val="24"/>
                <w:szCs w:val="24"/>
              </w:rPr>
              <w:t>年度， 本集团开展售后租回交易</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w:t>
            </w:r>
            <w:r>
              <w:rPr>
                <w:rFonts w:ascii="宋体" w:hAnsi="宋体" w:cs="宋体" w:eastAsia="宋体" w:hint="default"/>
                <w:sz w:val="24"/>
                <w:szCs w:val="24"/>
              </w:rPr>
              <w:t>，</w:t>
            </w:r>
            <w:r>
              <w:rPr>
                <w:rFonts w:ascii="Arial" w:hAnsi="Arial" w:cs="Arial" w:eastAsia="Arial" w:hint="default"/>
                <w:sz w:val="24"/>
                <w:szCs w:val="24"/>
              </w:rPr>
              <w:t>14 </w:t>
            </w:r>
            <w:r>
              <w:rPr>
                <w:rFonts w:ascii="宋体" w:hAnsi="宋体" w:cs="宋体" w:eastAsia="宋体" w:hint="default"/>
                <w:sz w:val="24"/>
                <w:szCs w:val="24"/>
              </w:rPr>
              <w:t>家门店物业</w:t>
            </w:r>
            <w:r>
              <w:rPr>
                <w:rFonts w:ascii="Arial" w:hAnsi="Arial" w:cs="Arial" w:eastAsia="Arial" w:hint="default"/>
                <w:sz w:val="24"/>
                <w:szCs w:val="24"/>
              </w:rPr>
              <w:t>(2014 </w:t>
            </w:r>
            <w:r>
              <w:rPr>
                <w:rFonts w:ascii="宋体" w:hAnsi="宋体" w:cs="宋体" w:eastAsia="宋体" w:hint="default"/>
                <w:spacing w:val="-4"/>
                <w:sz w:val="24"/>
                <w:szCs w:val="24"/>
              </w:rPr>
              <w:t>年度：</w:t>
            </w:r>
            <w:r>
              <w:rPr>
                <w:rFonts w:ascii="Arial" w:hAnsi="Arial" w:cs="Arial" w:eastAsia="Arial" w:hint="default"/>
                <w:spacing w:val="-4"/>
                <w:sz w:val="24"/>
                <w:szCs w:val="24"/>
              </w:rPr>
              <w:t>11</w:t>
            </w:r>
            <w:r>
              <w:rPr>
                <w:rFonts w:ascii="Arial" w:hAnsi="Arial" w:cs="Arial" w:eastAsia="Arial" w:hint="default"/>
                <w:spacing w:val="15"/>
                <w:sz w:val="24"/>
                <w:szCs w:val="24"/>
              </w:rPr>
              <w:t> </w:t>
            </w:r>
            <w:r>
              <w:rPr>
                <w:rFonts w:ascii="宋体" w:hAnsi="宋体" w:cs="宋体" w:eastAsia="宋体" w:hint="default"/>
                <w:sz w:val="24"/>
                <w:szCs w:val="24"/>
              </w:rPr>
              <w:t>家</w:t>
            </w:r>
            <w:r>
              <w:rPr>
                <w:rFonts w:ascii="Arial" w:hAnsi="Arial" w:cs="Arial" w:eastAsia="Arial" w:hint="default"/>
                <w:sz w:val="24"/>
                <w:szCs w:val="24"/>
              </w:rPr>
              <w:t>)</w:t>
            </w:r>
            <w:r>
              <w:rPr>
                <w:rFonts w:ascii="宋体" w:hAnsi="宋体" w:cs="宋体" w:eastAsia="宋体" w:hint="default"/>
                <w:sz w:val="24"/>
                <w:szCs w:val="24"/>
              </w:rPr>
              <w:t>的转让 价格根据外部独立评估师的资产评估值协商确定，总计约为人民币 </w:t>
            </w:r>
            <w:r>
              <w:rPr>
                <w:rFonts w:ascii="Arial" w:hAnsi="Arial" w:cs="Arial" w:eastAsia="Arial" w:hint="default"/>
                <w:sz w:val="24"/>
                <w:szCs w:val="24"/>
              </w:rPr>
              <w:t>32.65</w:t>
            </w:r>
            <w:r>
              <w:rPr>
                <w:rFonts w:ascii="Arial" w:hAnsi="Arial" w:cs="Arial" w:eastAsia="Arial" w:hint="default"/>
                <w:spacing w:val="58"/>
                <w:sz w:val="24"/>
                <w:szCs w:val="24"/>
              </w:rPr>
              <w:t> </w:t>
            </w:r>
            <w:r>
              <w:rPr>
                <w:rFonts w:ascii="宋体" w:hAnsi="宋体" w:cs="宋体" w:eastAsia="宋体" w:hint="default"/>
                <w:sz w:val="24"/>
                <w:szCs w:val="24"/>
              </w:rPr>
              <w:t>亿</w:t>
            </w:r>
          </w:p>
          <w:p>
            <w:pPr>
              <w:pStyle w:val="TableParagraph"/>
              <w:spacing w:line="291" w:lineRule="exact"/>
              <w:ind w:left="957" w:right="0"/>
              <w:jc w:val="both"/>
              <w:rPr>
                <w:rFonts w:ascii="宋体" w:hAnsi="宋体" w:cs="宋体" w:eastAsia="宋体" w:hint="default"/>
                <w:sz w:val="24"/>
                <w:szCs w:val="24"/>
              </w:rPr>
            </w:pPr>
            <w:r>
              <w:rPr>
                <w:rFonts w:ascii="宋体" w:hAnsi="宋体" w:cs="宋体" w:eastAsia="宋体" w:hint="default"/>
                <w:spacing w:val="-3"/>
                <w:sz w:val="24"/>
                <w:szCs w:val="24"/>
              </w:rPr>
              <w:t>元，门店物业于转让日的账面价值总计约人民币</w:t>
            </w:r>
            <w:r>
              <w:rPr>
                <w:rFonts w:ascii="宋体" w:hAnsi="宋体" w:cs="宋体" w:eastAsia="宋体" w:hint="default"/>
                <w:spacing w:val="-50"/>
                <w:sz w:val="24"/>
                <w:szCs w:val="24"/>
              </w:rPr>
              <w:t> </w:t>
            </w:r>
            <w:r>
              <w:rPr>
                <w:rFonts w:ascii="Arial" w:hAnsi="Arial" w:cs="Arial" w:eastAsia="Arial" w:hint="default"/>
                <w:sz w:val="24"/>
                <w:szCs w:val="24"/>
              </w:rPr>
              <w:t>17.43</w:t>
            </w:r>
            <w:r>
              <w:rPr>
                <w:rFonts w:ascii="Arial" w:hAnsi="Arial" w:cs="Arial" w:eastAsia="Arial" w:hint="default"/>
                <w:spacing w:val="2"/>
                <w:sz w:val="24"/>
                <w:szCs w:val="24"/>
              </w:rPr>
              <w:t> </w:t>
            </w:r>
            <w:r>
              <w:rPr>
                <w:rFonts w:ascii="宋体" w:hAnsi="宋体" w:cs="宋体" w:eastAsia="宋体" w:hint="default"/>
                <w:spacing w:val="-5"/>
                <w:sz w:val="24"/>
                <w:szCs w:val="24"/>
              </w:rPr>
              <w:t>亿元，交易相关税费约</w:t>
            </w:r>
          </w:p>
          <w:p>
            <w:pPr>
              <w:pStyle w:val="TableParagraph"/>
              <w:spacing w:line="232" w:lineRule="auto"/>
              <w:ind w:left="957" w:right="118"/>
              <w:jc w:val="both"/>
              <w:rPr>
                <w:rFonts w:ascii="宋体" w:hAnsi="宋体" w:cs="宋体" w:eastAsia="宋体" w:hint="default"/>
                <w:sz w:val="24"/>
                <w:szCs w:val="24"/>
              </w:rPr>
            </w:pPr>
            <w:r>
              <w:rPr>
                <w:rFonts w:ascii="宋体" w:hAnsi="宋体" w:cs="宋体" w:eastAsia="宋体" w:hint="default"/>
                <w:sz w:val="24"/>
                <w:szCs w:val="24"/>
              </w:rPr>
              <w:t>人民币 </w:t>
            </w:r>
            <w:r>
              <w:rPr>
                <w:rFonts w:ascii="Arial" w:hAnsi="Arial" w:cs="Arial" w:eastAsia="Arial" w:hint="default"/>
                <w:sz w:val="24"/>
                <w:szCs w:val="24"/>
              </w:rPr>
              <w:t>1.34 </w:t>
            </w:r>
            <w:r>
              <w:rPr>
                <w:rFonts w:ascii="宋体" w:hAnsi="宋体" w:cs="宋体" w:eastAsia="宋体" w:hint="default"/>
                <w:sz w:val="24"/>
                <w:szCs w:val="24"/>
              </w:rPr>
              <w:t>亿元，本集团承担的投资者回售选择权公允价值约人民币</w:t>
            </w:r>
            <w:r>
              <w:rPr>
                <w:rFonts w:ascii="宋体" w:hAnsi="宋体" w:cs="宋体" w:eastAsia="宋体" w:hint="default"/>
                <w:spacing w:val="-30"/>
                <w:sz w:val="24"/>
                <w:szCs w:val="24"/>
              </w:rPr>
              <w:t> </w:t>
            </w:r>
            <w:r>
              <w:rPr>
                <w:rFonts w:ascii="Arial" w:hAnsi="Arial" w:cs="Arial" w:eastAsia="Arial" w:hint="default"/>
                <w:sz w:val="24"/>
                <w:szCs w:val="24"/>
              </w:rPr>
              <w:t>2,613</w:t>
            </w:r>
            <w:r>
              <w:rPr>
                <w:rFonts w:ascii="Arial" w:hAnsi="Arial" w:cs="Arial" w:eastAsia="Arial" w:hint="default"/>
                <w:w w:val="99"/>
                <w:sz w:val="24"/>
                <w:szCs w:val="24"/>
              </w:rPr>
              <w:t> </w:t>
            </w:r>
            <w:r>
              <w:rPr>
                <w:rFonts w:ascii="宋体" w:hAnsi="宋体" w:cs="宋体" w:eastAsia="宋体" w:hint="default"/>
                <w:spacing w:val="-3"/>
                <w:sz w:val="24"/>
                <w:szCs w:val="24"/>
              </w:rPr>
              <w:t>万元。因此，本集团将上述交易价格与账面价值的差额扣除相关税费并确认以</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4"/>
                <w:sz w:val="24"/>
                <w:szCs w:val="24"/>
              </w:rPr>
              <w:t>公允价值计量且其变动计入当期损益的金融负债后的盈余，约人民币 </w:t>
            </w:r>
            <w:r>
              <w:rPr>
                <w:rFonts w:ascii="Arial" w:hAnsi="Arial" w:cs="Arial" w:eastAsia="Arial" w:hint="default"/>
                <w:sz w:val="24"/>
                <w:szCs w:val="24"/>
              </w:rPr>
              <w:t>13.62</w:t>
            </w:r>
            <w:r>
              <w:rPr>
                <w:rFonts w:ascii="Arial" w:hAnsi="Arial" w:cs="Arial" w:eastAsia="Arial" w:hint="default"/>
                <w:spacing w:val="-37"/>
                <w:sz w:val="24"/>
                <w:szCs w:val="24"/>
              </w:rPr>
              <w:t> </w:t>
            </w:r>
            <w:r>
              <w:rPr>
                <w:rFonts w:ascii="宋体" w:hAnsi="宋体" w:cs="宋体" w:eastAsia="宋体" w:hint="default"/>
                <w:sz w:val="24"/>
                <w:szCs w:val="24"/>
              </w:rPr>
              <w:t>亿</w:t>
            </w:r>
          </w:p>
          <w:p>
            <w:pPr>
              <w:pStyle w:val="TableParagraph"/>
              <w:spacing w:line="225" w:lineRule="auto"/>
              <w:ind w:left="957" w:right="118"/>
              <w:jc w:val="both"/>
              <w:rPr>
                <w:rFonts w:ascii="宋体" w:hAnsi="宋体" w:cs="宋体" w:eastAsia="宋体" w:hint="default"/>
                <w:sz w:val="24"/>
                <w:szCs w:val="24"/>
              </w:rPr>
            </w:pPr>
            <w:r>
              <w:rPr>
                <w:rFonts w:ascii="宋体" w:hAnsi="宋体" w:cs="宋体" w:eastAsia="宋体" w:hint="default"/>
                <w:spacing w:val="-3"/>
                <w:sz w:val="24"/>
                <w:szCs w:val="24"/>
              </w:rPr>
              <w:t>元计入当期营业外收入，实现税后净利润约人民币 </w:t>
            </w:r>
            <w:r>
              <w:rPr>
                <w:rFonts w:ascii="Arial" w:hAnsi="Arial" w:cs="Arial" w:eastAsia="Arial" w:hint="default"/>
                <w:sz w:val="24"/>
                <w:szCs w:val="24"/>
              </w:rPr>
              <w:t>10.22</w:t>
            </w:r>
            <w:r>
              <w:rPr>
                <w:rFonts w:ascii="Arial" w:hAnsi="Arial" w:cs="Arial" w:eastAsia="Arial" w:hint="default"/>
                <w:spacing w:val="-39"/>
                <w:sz w:val="24"/>
                <w:szCs w:val="24"/>
              </w:rPr>
              <w:t> </w:t>
            </w:r>
            <w:r>
              <w:rPr>
                <w:rFonts w:ascii="宋体" w:hAnsi="宋体" w:cs="宋体" w:eastAsia="宋体" w:hint="default"/>
                <w:spacing w:val="-6"/>
                <w:sz w:val="24"/>
                <w:szCs w:val="24"/>
              </w:rPr>
              <w:t>亿元；考虑交易完成</w:t>
            </w:r>
            <w:r>
              <w:rPr>
                <w:rFonts w:ascii="宋体" w:hAnsi="宋体" w:cs="宋体" w:eastAsia="宋体" w:hint="default"/>
                <w:sz w:val="24"/>
                <w:szCs w:val="24"/>
              </w:rPr>
              <w:t> 后收到的契税返还，营业外收入约人民币 </w:t>
            </w:r>
            <w:r>
              <w:rPr>
                <w:rFonts w:ascii="Arial" w:hAnsi="Arial" w:cs="Arial" w:eastAsia="Arial" w:hint="default"/>
                <w:sz w:val="24"/>
                <w:szCs w:val="24"/>
              </w:rPr>
              <w:t>13.88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44"/>
                <w:sz w:val="24"/>
                <w:szCs w:val="24"/>
              </w:rPr>
              <w:t> </w:t>
            </w:r>
            <w:r>
              <w:rPr>
                <w:rFonts w:ascii="宋体" w:hAnsi="宋体" w:cs="宋体" w:eastAsia="宋体" w:hint="default"/>
                <w:sz w:val="24"/>
                <w:szCs w:val="24"/>
              </w:rPr>
              <w:t>年度：约人民币 </w:t>
            </w:r>
            <w:r>
              <w:rPr>
                <w:rFonts w:ascii="Arial" w:hAnsi="Arial" w:cs="Arial" w:eastAsia="Arial" w:hint="default"/>
                <w:sz w:val="24"/>
                <w:szCs w:val="24"/>
              </w:rPr>
              <w:t>23.81</w:t>
            </w:r>
            <w:r>
              <w:rPr>
                <w:rFonts w:ascii="Arial" w:hAnsi="Arial" w:cs="Arial" w:eastAsia="Arial" w:hint="default"/>
                <w:spacing w:val="-8"/>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w:t>
            </w:r>
            <w:r>
              <w:rPr>
                <w:rFonts w:ascii="宋体" w:hAnsi="宋体" w:cs="宋体" w:eastAsia="宋体" w:hint="default"/>
                <w:spacing w:val="-3"/>
                <w:sz w:val="24"/>
                <w:szCs w:val="24"/>
              </w:rPr>
              <w:t>，税后净利润约人民币</w:t>
            </w:r>
            <w:r>
              <w:rPr>
                <w:rFonts w:ascii="宋体" w:hAnsi="宋体" w:cs="宋体" w:eastAsia="宋体" w:hint="default"/>
                <w:spacing w:val="-60"/>
                <w:sz w:val="24"/>
                <w:szCs w:val="24"/>
              </w:rPr>
              <w:t> </w:t>
            </w:r>
            <w:r>
              <w:rPr>
                <w:rFonts w:ascii="Arial" w:hAnsi="Arial" w:cs="Arial" w:eastAsia="Arial" w:hint="default"/>
                <w:sz w:val="24"/>
                <w:szCs w:val="24"/>
              </w:rPr>
              <w:t>10.41</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7"/>
                <w:sz w:val="24"/>
                <w:szCs w:val="24"/>
              </w:rPr>
              <w:t> </w:t>
            </w:r>
            <w:r>
              <w:rPr>
                <w:rFonts w:ascii="宋体" w:hAnsi="宋体" w:cs="宋体" w:eastAsia="宋体" w:hint="default"/>
                <w:spacing w:val="-5"/>
                <w:sz w:val="24"/>
                <w:szCs w:val="24"/>
              </w:rPr>
              <w:t>年度：约人民币</w:t>
            </w:r>
            <w:r>
              <w:rPr>
                <w:rFonts w:ascii="宋体" w:hAnsi="宋体" w:cs="宋体" w:eastAsia="宋体" w:hint="default"/>
                <w:spacing w:val="-60"/>
                <w:sz w:val="24"/>
                <w:szCs w:val="24"/>
              </w:rPr>
              <w:t> </w:t>
            </w:r>
            <w:r>
              <w:rPr>
                <w:rFonts w:ascii="Arial" w:hAnsi="Arial" w:cs="Arial" w:eastAsia="Arial" w:hint="default"/>
                <w:sz w:val="24"/>
                <w:szCs w:val="24"/>
              </w:rPr>
              <w:t>19.77</w:t>
            </w:r>
            <w:r>
              <w:rPr>
                <w:rFonts w:ascii="Arial" w:hAnsi="Arial" w:cs="Arial" w:eastAsia="Arial" w:hint="default"/>
                <w:spacing w:val="-6"/>
                <w:sz w:val="24"/>
                <w:szCs w:val="24"/>
              </w:rPr>
              <w:t> </w:t>
            </w:r>
            <w:r>
              <w:rPr>
                <w:rFonts w:ascii="宋体" w:hAnsi="宋体" w:cs="宋体" w:eastAsia="宋体" w:hint="default"/>
                <w:sz w:val="24"/>
                <w:szCs w:val="24"/>
              </w:rPr>
              <w:t>亿 元</w:t>
            </w:r>
            <w:r>
              <w:rPr>
                <w:rFonts w:ascii="Arial" w:hAnsi="Arial" w:cs="Arial" w:eastAsia="Arial" w:hint="default"/>
                <w:sz w:val="24"/>
                <w:szCs w:val="24"/>
              </w:rPr>
              <w:t>)</w:t>
            </w:r>
            <w:r>
              <w:rPr>
                <w:rFonts w:ascii="宋体" w:hAnsi="宋体" w:cs="宋体" w:eastAsia="宋体" w:hint="default"/>
                <w:sz w:val="24"/>
                <w:szCs w:val="24"/>
              </w:rPr>
              <w:t>。</w:t>
            </w:r>
          </w:p>
        </w:tc>
      </w:tr>
      <w:tr>
        <w:trPr>
          <w:trHeight w:val="585"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14" w:right="0"/>
              <w:jc w:val="left"/>
              <w:rPr>
                <w:rFonts w:ascii="Arial" w:hAnsi="Arial" w:cs="Arial" w:eastAsia="Arial" w:hint="default"/>
                <w:sz w:val="24"/>
                <w:szCs w:val="24"/>
              </w:rPr>
            </w:pPr>
            <w:r>
              <w:rPr>
                <w:rFonts w:ascii="Arial"/>
                <w:sz w:val="24"/>
              </w:rPr>
              <w:t>(b)</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8" w:right="0"/>
              <w:jc w:val="left"/>
              <w:rPr>
                <w:rFonts w:ascii="宋体" w:hAnsi="宋体" w:cs="宋体" w:eastAsia="宋体" w:hint="default"/>
                <w:sz w:val="24"/>
                <w:szCs w:val="24"/>
              </w:rPr>
            </w:pPr>
            <w:r>
              <w:rPr>
                <w:rFonts w:ascii="宋体" w:hAnsi="宋体" w:cs="宋体" w:eastAsia="宋体" w:hint="default"/>
                <w:sz w:val="24"/>
                <w:szCs w:val="24"/>
              </w:rPr>
              <w:t>政府补助明细</w:t>
            </w:r>
          </w:p>
        </w:tc>
        <w:tc>
          <w:tcPr>
            <w:tcW w:w="133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
        </w:tc>
      </w:tr>
      <w:tr>
        <w:trPr>
          <w:trHeight w:val="593" w:hRule="exact"/>
        </w:trPr>
        <w:tc>
          <w:tcPr>
            <w:tcW w:w="900"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56"/>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 w:right="119"/>
              <w:jc w:val="right"/>
              <w:rPr>
                <w:rFonts w:ascii="宋体" w:hAnsi="宋体" w:cs="宋体" w:eastAsia="宋体" w:hint="default"/>
                <w:sz w:val="24"/>
                <w:szCs w:val="24"/>
              </w:rPr>
            </w:pPr>
            <w:r>
              <w:rPr>
                <w:rFonts w:ascii="宋体" w:hAnsi="宋体" w:cs="宋体" w:eastAsia="宋体" w:hint="default"/>
                <w:sz w:val="24"/>
                <w:szCs w:val="24"/>
              </w:rPr>
              <w:t>与资产相关</w:t>
            </w:r>
            <w:r>
              <w:rPr>
                <w:rFonts w:ascii="Arial" w:hAnsi="Arial" w:cs="Arial" w:eastAsia="Arial" w:hint="default"/>
                <w:sz w:val="24"/>
                <w:szCs w:val="24"/>
              </w:rPr>
              <w:t>/</w:t>
            </w:r>
            <w:r>
              <w:rPr>
                <w:rFonts w:ascii="宋体" w:hAnsi="宋体" w:cs="宋体" w:eastAsia="宋体" w:hint="default"/>
                <w:sz w:val="24"/>
                <w:szCs w:val="24"/>
              </w:rPr>
              <w:t>与收益相关</w:t>
            </w:r>
          </w:p>
        </w:tc>
      </w:tr>
      <w:tr>
        <w:trPr>
          <w:trHeight w:val="457" w:hRule="exact"/>
        </w:trPr>
        <w:tc>
          <w:tcPr>
            <w:tcW w:w="900"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8" w:right="0"/>
              <w:jc w:val="left"/>
              <w:rPr>
                <w:rFonts w:ascii="宋体" w:hAnsi="宋体" w:cs="宋体" w:eastAsia="宋体" w:hint="default"/>
                <w:sz w:val="24"/>
                <w:szCs w:val="24"/>
              </w:rPr>
            </w:pPr>
            <w:r>
              <w:rPr>
                <w:rFonts w:ascii="宋体" w:hAnsi="宋体" w:cs="宋体" w:eastAsia="宋体" w:hint="default"/>
                <w:sz w:val="24"/>
                <w:szCs w:val="24"/>
              </w:rPr>
              <w:t>财政补贴</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08" w:right="0"/>
              <w:jc w:val="left"/>
              <w:rPr>
                <w:rFonts w:ascii="Arial" w:hAnsi="Arial" w:cs="Arial" w:eastAsia="Arial" w:hint="default"/>
                <w:sz w:val="24"/>
                <w:szCs w:val="24"/>
              </w:rPr>
            </w:pPr>
            <w:r>
              <w:rPr>
                <w:rFonts w:ascii="Arial"/>
                <w:sz w:val="24"/>
              </w:rPr>
              <w:t>9,989</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61" w:right="0"/>
              <w:jc w:val="left"/>
              <w:rPr>
                <w:rFonts w:ascii="Arial" w:hAnsi="Arial" w:cs="Arial" w:eastAsia="Arial" w:hint="default"/>
                <w:sz w:val="24"/>
                <w:szCs w:val="24"/>
              </w:rPr>
            </w:pPr>
            <w:r>
              <w:rPr>
                <w:rFonts w:ascii="Arial"/>
                <w:sz w:val="24"/>
              </w:rPr>
              <w:t>10,035</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9"/>
              <w:jc w:val="righ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12" w:hRule="exact"/>
        </w:trPr>
        <w:tc>
          <w:tcPr>
            <w:tcW w:w="900"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62" w:lineRule="exact"/>
              <w:ind w:left="58" w:right="0"/>
              <w:jc w:val="left"/>
              <w:rPr>
                <w:rFonts w:ascii="宋体" w:hAnsi="宋体" w:cs="宋体" w:eastAsia="宋体" w:hint="default"/>
                <w:sz w:val="24"/>
                <w:szCs w:val="24"/>
              </w:rPr>
            </w:pPr>
            <w:r>
              <w:rPr>
                <w:rFonts w:ascii="宋体" w:hAnsi="宋体" w:cs="宋体" w:eastAsia="宋体" w:hint="default"/>
                <w:sz w:val="24"/>
                <w:szCs w:val="24"/>
              </w:rPr>
              <w:t>财政补贴</w:t>
            </w:r>
          </w:p>
        </w:tc>
        <w:tc>
          <w:tcPr>
            <w:tcW w:w="1330" w:type="dxa"/>
            <w:tcBorders>
              <w:top w:val="nil" w:sz="6" w:space="0" w:color="auto"/>
              <w:left w:val="nil" w:sz="6" w:space="0" w:color="auto"/>
              <w:bottom w:val="nil" w:sz="6" w:space="0" w:color="auto"/>
              <w:right w:val="nil" w:sz="6" w:space="0" w:color="auto"/>
            </w:tcBorders>
          </w:tcPr>
          <w:p>
            <w:pPr>
              <w:pStyle w:val="TableParagraph"/>
              <w:tabs>
                <w:tab w:pos="241" w:val="left" w:leader="none"/>
                <w:tab w:pos="1230" w:val="left" w:leader="none"/>
              </w:tabs>
              <w:spacing w:line="240" w:lineRule="auto" w:before="18"/>
              <w:ind w:left="-44" w:right="9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148,861</w:t>
              <w:tab/>
            </w:r>
            <w:r>
              <w:rPr>
                <w:rFonts w:ascii="Arial"/>
                <w:spacing w:val="-1"/>
                <w:sz w:val="24"/>
              </w:rPr>
            </w:r>
          </w:p>
        </w:tc>
        <w:tc>
          <w:tcPr>
            <w:tcW w:w="1447" w:type="dxa"/>
            <w:tcBorders>
              <w:top w:val="nil" w:sz="6" w:space="0" w:color="auto"/>
              <w:left w:val="nil" w:sz="6" w:space="0" w:color="auto"/>
              <w:bottom w:val="nil" w:sz="6" w:space="0" w:color="auto"/>
              <w:right w:val="nil" w:sz="6" w:space="0" w:color="auto"/>
            </w:tcBorders>
          </w:tcPr>
          <w:p>
            <w:pPr>
              <w:pStyle w:val="TableParagraph"/>
              <w:tabs>
                <w:tab w:pos="327" w:val="left" w:leader="none"/>
                <w:tab w:pos="1315" w:val="left" w:leader="none"/>
              </w:tabs>
              <w:spacing w:line="240" w:lineRule="auto" w:before="18"/>
              <w:ind w:left="4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107,137</w:t>
              <w:tab/>
            </w:r>
            <w:r>
              <w:rPr>
                <w:rFonts w:ascii="Arial"/>
                <w:sz w:val="24"/>
              </w:rPr>
            </w:r>
          </w:p>
        </w:tc>
        <w:tc>
          <w:tcPr>
            <w:tcW w:w="2574" w:type="dxa"/>
            <w:tcBorders>
              <w:top w:val="nil" w:sz="6" w:space="0" w:color="auto"/>
              <w:left w:val="nil" w:sz="6" w:space="0" w:color="auto"/>
              <w:bottom w:val="nil" w:sz="6" w:space="0" w:color="auto"/>
              <w:right w:val="nil" w:sz="6" w:space="0" w:color="auto"/>
            </w:tcBorders>
          </w:tcPr>
          <w:p>
            <w:pPr>
              <w:pStyle w:val="TableParagraph"/>
              <w:spacing w:line="262" w:lineRule="exact"/>
              <w:ind w:right="119"/>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263" w:hRule="exact"/>
        </w:trPr>
        <w:tc>
          <w:tcPr>
            <w:tcW w:w="900"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tabs>
                <w:tab w:pos="241" w:val="left" w:leader="none"/>
                <w:tab w:pos="1230" w:val="left" w:leader="none"/>
              </w:tabs>
              <w:spacing w:line="269" w:lineRule="exact"/>
              <w:ind w:left="-44" w:right="9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158,850</w:t>
              <w:tab/>
            </w:r>
            <w:r>
              <w:rPr>
                <w:rFonts w:ascii="Arial"/>
                <w:spacing w:val="-1"/>
                <w:sz w:val="24"/>
              </w:rPr>
            </w:r>
          </w:p>
        </w:tc>
        <w:tc>
          <w:tcPr>
            <w:tcW w:w="1447" w:type="dxa"/>
            <w:tcBorders>
              <w:top w:val="nil" w:sz="6" w:space="0" w:color="auto"/>
              <w:left w:val="nil" w:sz="6" w:space="0" w:color="auto"/>
              <w:bottom w:val="nil" w:sz="6" w:space="0" w:color="auto"/>
              <w:right w:val="nil" w:sz="6" w:space="0" w:color="auto"/>
            </w:tcBorders>
          </w:tcPr>
          <w:p>
            <w:pPr>
              <w:pStyle w:val="TableParagraph"/>
              <w:tabs>
                <w:tab w:pos="345" w:val="left" w:leader="none"/>
                <w:tab w:pos="1315" w:val="left" w:leader="none"/>
              </w:tabs>
              <w:spacing w:line="269" w:lineRule="exact"/>
              <w:ind w:left="4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117,172</w:t>
              <w:tab/>
            </w:r>
            <w:r>
              <w:rPr>
                <w:rFonts w:ascii="Arial"/>
                <w:spacing w:val="-3"/>
                <w:sz w:val="24"/>
              </w:rPr>
            </w:r>
          </w:p>
        </w:tc>
        <w:tc>
          <w:tcPr>
            <w:tcW w:w="257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698" w:top="1860" w:bottom="8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871"/>
        <w:gridCol w:w="3302"/>
        <w:gridCol w:w="1074"/>
        <w:gridCol w:w="1688"/>
        <w:gridCol w:w="2126"/>
      </w:tblGrid>
      <w:tr>
        <w:trPr>
          <w:trHeight w:val="416"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exact"/>
              <w:ind w:left="24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302" w:type="dxa"/>
            <w:tcBorders>
              <w:top w:val="nil" w:sz="6" w:space="0" w:color="auto"/>
              <w:left w:val="nil" w:sz="6" w:space="0" w:color="auto"/>
              <w:bottom w:val="nil" w:sz="6" w:space="0" w:color="auto"/>
              <w:right w:val="nil" w:sz="6" w:space="0" w:color="auto"/>
            </w:tcBorders>
          </w:tcPr>
          <w:p>
            <w:pPr>
              <w:pStyle w:val="TableParagraph"/>
              <w:spacing w:line="257" w:lineRule="exact"/>
              <w:ind w:left="8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7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r>
      <w:tr>
        <w:trPr>
          <w:trHeight w:val="585"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(54)</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6" w:right="0"/>
              <w:jc w:val="left"/>
              <w:rPr>
                <w:rFonts w:ascii="黑体" w:hAnsi="黑体" w:cs="黑体" w:eastAsia="黑体" w:hint="default"/>
                <w:sz w:val="24"/>
                <w:szCs w:val="24"/>
              </w:rPr>
            </w:pPr>
            <w:r>
              <w:rPr>
                <w:rFonts w:ascii="黑体" w:hAnsi="黑体" w:cs="黑体" w:eastAsia="黑体" w:hint="default"/>
                <w:sz w:val="24"/>
                <w:szCs w:val="24"/>
              </w:rPr>
              <w:t>营业外支出</w:t>
            </w:r>
          </w:p>
        </w:tc>
        <w:tc>
          <w:tcPr>
            <w:tcW w:w="107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r>
      <w:tr>
        <w:trPr>
          <w:trHeight w:val="899" w:hRule="exact"/>
        </w:trPr>
        <w:tc>
          <w:tcPr>
            <w:tcW w:w="871" w:type="dxa"/>
            <w:tcBorders>
              <w:top w:val="nil" w:sz="6" w:space="0" w:color="auto"/>
              <w:left w:val="nil" w:sz="6" w:space="0" w:color="auto"/>
              <w:bottom w:val="nil" w:sz="6" w:space="0" w:color="auto"/>
              <w:right w:val="nil" w:sz="6" w:space="0" w:color="auto"/>
            </w:tcBorders>
          </w:tcPr>
          <w:p>
            <w:pPr/>
          </w:p>
        </w:tc>
        <w:tc>
          <w:tcPr>
            <w:tcW w:w="43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right="241"/>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left="24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2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389" w:right="54" w:hanging="363"/>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88"/>
                <w:sz w:val="24"/>
                <w:szCs w:val="24"/>
              </w:rPr>
              <w:t> </w:t>
            </w:r>
            <w:r>
              <w:rPr>
                <w:rFonts w:ascii="Arial" w:hAnsi="Arial" w:cs="Arial" w:eastAsia="Arial" w:hint="default"/>
                <w:sz w:val="24"/>
                <w:szCs w:val="24"/>
              </w:rPr>
              <w:t>2015</w:t>
            </w:r>
            <w:r>
              <w:rPr>
                <w:rFonts w:ascii="Arial" w:hAnsi="Arial" w:cs="Arial" w:eastAsia="Arial" w:hint="default"/>
                <w:spacing w:val="-34"/>
                <w:sz w:val="24"/>
                <w:szCs w:val="24"/>
              </w:rPr>
              <w:t> </w:t>
            </w:r>
            <w:r>
              <w:rPr>
                <w:rFonts w:ascii="宋体" w:hAnsi="宋体" w:cs="宋体" w:eastAsia="宋体" w:hint="default"/>
                <w:sz w:val="24"/>
                <w:szCs w:val="24"/>
              </w:rPr>
              <w:t>年度非经 常性损益的金额</w:t>
            </w:r>
          </w:p>
        </w:tc>
      </w:tr>
      <w:tr>
        <w:trPr>
          <w:trHeight w:val="454"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91" w:right="0"/>
              <w:jc w:val="left"/>
              <w:rPr>
                <w:rFonts w:ascii="宋体" w:hAnsi="宋体" w:cs="宋体" w:eastAsia="宋体" w:hint="default"/>
                <w:sz w:val="24"/>
                <w:szCs w:val="24"/>
              </w:rPr>
            </w:pPr>
            <w:r>
              <w:rPr>
                <w:rFonts w:ascii="宋体" w:hAnsi="宋体" w:cs="宋体" w:eastAsia="宋体" w:hint="default"/>
                <w:sz w:val="24"/>
                <w:szCs w:val="24"/>
              </w:rPr>
              <w:t>非流动资产处置损失</w:t>
            </w:r>
          </w:p>
        </w:tc>
        <w:tc>
          <w:tcPr>
            <w:tcW w:w="1074"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241"/>
              <w:jc w:val="right"/>
              <w:rPr>
                <w:rFonts w:ascii="Arial" w:hAnsi="Arial" w:cs="Arial" w:eastAsia="Arial" w:hint="default"/>
                <w:sz w:val="24"/>
                <w:szCs w:val="24"/>
              </w:rPr>
            </w:pPr>
            <w:r>
              <w:rPr>
                <w:rFonts w:ascii="Arial"/>
                <w:w w:val="95"/>
                <w:sz w:val="24"/>
              </w:rPr>
              <w:t>17,882</w:t>
            </w:r>
            <w:r>
              <w:rPr>
                <w:rFonts w:ascii="Arial"/>
                <w:sz w:val="24"/>
              </w:rPr>
            </w:r>
          </w:p>
        </w:tc>
        <w:tc>
          <w:tcPr>
            <w:tcW w:w="1688"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left="581" w:right="0"/>
              <w:jc w:val="left"/>
              <w:rPr>
                <w:rFonts w:ascii="Arial" w:hAnsi="Arial" w:cs="Arial" w:eastAsia="Arial" w:hint="default"/>
                <w:sz w:val="24"/>
                <w:szCs w:val="24"/>
              </w:rPr>
            </w:pPr>
            <w:r>
              <w:rPr>
                <w:rFonts w:ascii="Arial"/>
                <w:sz w:val="24"/>
              </w:rPr>
              <w:t>28,824</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54"/>
              <w:jc w:val="right"/>
              <w:rPr>
                <w:rFonts w:ascii="Arial" w:hAnsi="Arial" w:cs="Arial" w:eastAsia="Arial" w:hint="default"/>
                <w:sz w:val="24"/>
                <w:szCs w:val="24"/>
              </w:rPr>
            </w:pPr>
            <w:r>
              <w:rPr>
                <w:rFonts w:ascii="Arial"/>
                <w:w w:val="95"/>
                <w:sz w:val="24"/>
              </w:rPr>
              <w:t>17,882</w:t>
            </w:r>
            <w:r>
              <w:rPr>
                <w:rFonts w:ascii="Arial"/>
                <w:sz w:val="24"/>
              </w:rPr>
            </w:r>
          </w:p>
        </w:tc>
      </w:tr>
      <w:tr>
        <w:trPr>
          <w:trHeight w:val="322" w:hRule="exact"/>
        </w:trPr>
        <w:tc>
          <w:tcPr>
            <w:tcW w:w="871" w:type="dxa"/>
            <w:tcBorders>
              <w:top w:val="nil" w:sz="6" w:space="0" w:color="auto"/>
              <w:left w:val="nil" w:sz="6" w:space="0" w:color="auto"/>
              <w:bottom w:val="nil" w:sz="6" w:space="0" w:color="auto"/>
              <w:right w:val="single" w:sz="4" w:space="0" w:color="000000"/>
            </w:tcBorders>
          </w:tcPr>
          <w:p>
            <w:pPr/>
          </w:p>
        </w:tc>
        <w:tc>
          <w:tcPr>
            <w:tcW w:w="330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left="86" w:right="0"/>
              <w:jc w:val="left"/>
              <w:rPr>
                <w:rFonts w:ascii="宋体" w:hAnsi="宋体" w:cs="宋体" w:eastAsia="宋体" w:hint="default"/>
                <w:sz w:val="24"/>
                <w:szCs w:val="24"/>
              </w:rPr>
            </w:pPr>
            <w:r>
              <w:rPr>
                <w:rFonts w:ascii="宋体" w:hAnsi="宋体" w:cs="宋体" w:eastAsia="宋体" w:hint="default"/>
                <w:sz w:val="24"/>
                <w:szCs w:val="24"/>
              </w:rPr>
              <w:t>其中：长期资产处置损失</w:t>
            </w:r>
          </w:p>
        </w:tc>
        <w:tc>
          <w:tcPr>
            <w:tcW w:w="107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41"/>
              <w:jc w:val="right"/>
              <w:rPr>
                <w:rFonts w:ascii="Arial" w:hAnsi="Arial" w:cs="Arial" w:eastAsia="Arial" w:hint="default"/>
                <w:sz w:val="24"/>
                <w:szCs w:val="24"/>
              </w:rPr>
            </w:pPr>
            <w:r>
              <w:rPr>
                <w:rFonts w:ascii="Arial"/>
                <w:w w:val="95"/>
                <w:sz w:val="24"/>
              </w:rPr>
              <w:t>17,882</w:t>
            </w:r>
            <w:r>
              <w:rPr>
                <w:rFonts w:ascii="Arial"/>
                <w:sz w:val="24"/>
              </w:rPr>
            </w:r>
          </w:p>
        </w:tc>
        <w:tc>
          <w:tcPr>
            <w:tcW w:w="168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581" w:right="0"/>
              <w:jc w:val="left"/>
              <w:rPr>
                <w:rFonts w:ascii="Arial" w:hAnsi="Arial" w:cs="Arial" w:eastAsia="Arial" w:hint="default"/>
                <w:sz w:val="24"/>
                <w:szCs w:val="24"/>
              </w:rPr>
            </w:pPr>
            <w:r>
              <w:rPr>
                <w:rFonts w:ascii="Arial"/>
                <w:sz w:val="24"/>
              </w:rPr>
              <w:t>28,824</w:t>
            </w:r>
          </w:p>
        </w:tc>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right="50"/>
              <w:jc w:val="right"/>
              <w:rPr>
                <w:rFonts w:ascii="Arial" w:hAnsi="Arial" w:cs="Arial" w:eastAsia="Arial" w:hint="default"/>
                <w:sz w:val="24"/>
                <w:szCs w:val="24"/>
              </w:rPr>
            </w:pPr>
            <w:r>
              <w:rPr>
                <w:rFonts w:ascii="Arial"/>
                <w:w w:val="95"/>
                <w:sz w:val="24"/>
              </w:rPr>
              <w:t>17,882</w:t>
            </w:r>
            <w:r>
              <w:rPr>
                <w:rFonts w:ascii="Arial"/>
                <w:sz w:val="24"/>
              </w:rPr>
            </w:r>
          </w:p>
        </w:tc>
      </w:tr>
      <w:tr>
        <w:trPr>
          <w:trHeight w:val="330"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single" w:sz="4" w:space="0" w:color="000000"/>
              <w:left w:val="nil" w:sz="6" w:space="0" w:color="auto"/>
              <w:bottom w:val="nil" w:sz="6" w:space="0" w:color="auto"/>
              <w:right w:val="nil" w:sz="6" w:space="0" w:color="auto"/>
            </w:tcBorders>
          </w:tcPr>
          <w:p>
            <w:pPr>
              <w:pStyle w:val="TableParagraph"/>
              <w:spacing w:line="275" w:lineRule="exact"/>
              <w:ind w:left="91" w:right="0"/>
              <w:jc w:val="left"/>
              <w:rPr>
                <w:rFonts w:ascii="宋体" w:hAnsi="宋体" w:cs="宋体" w:eastAsia="宋体" w:hint="default"/>
                <w:sz w:val="24"/>
                <w:szCs w:val="24"/>
              </w:rPr>
            </w:pPr>
            <w:r>
              <w:rPr>
                <w:rFonts w:ascii="宋体" w:hAnsi="宋体" w:cs="宋体" w:eastAsia="宋体" w:hint="default"/>
                <w:sz w:val="24"/>
                <w:szCs w:val="24"/>
              </w:rPr>
              <w:t>罚款及违约金</w:t>
            </w:r>
          </w:p>
        </w:tc>
        <w:tc>
          <w:tcPr>
            <w:tcW w:w="107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41"/>
              <w:jc w:val="right"/>
              <w:rPr>
                <w:rFonts w:ascii="Arial" w:hAnsi="Arial" w:cs="Arial" w:eastAsia="Arial" w:hint="default"/>
                <w:sz w:val="24"/>
                <w:szCs w:val="24"/>
              </w:rPr>
            </w:pPr>
            <w:r>
              <w:rPr>
                <w:rFonts w:ascii="Arial"/>
                <w:w w:val="95"/>
                <w:sz w:val="24"/>
              </w:rPr>
              <w:t>48,424</w:t>
            </w:r>
            <w:r>
              <w:rPr>
                <w:rFonts w:ascii="Arial"/>
                <w:sz w:val="24"/>
              </w:rPr>
            </w: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582" w:right="0"/>
              <w:jc w:val="left"/>
              <w:rPr>
                <w:rFonts w:ascii="Arial" w:hAnsi="Arial" w:cs="Arial" w:eastAsia="Arial" w:hint="default"/>
                <w:sz w:val="24"/>
                <w:szCs w:val="24"/>
              </w:rPr>
            </w:pPr>
            <w:r>
              <w:rPr>
                <w:rFonts w:ascii="Arial"/>
                <w:sz w:val="24"/>
              </w:rPr>
              <w:t>81,451</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54"/>
              <w:jc w:val="right"/>
              <w:rPr>
                <w:rFonts w:ascii="Arial" w:hAnsi="Arial" w:cs="Arial" w:eastAsia="Arial" w:hint="default"/>
                <w:sz w:val="24"/>
                <w:szCs w:val="24"/>
              </w:rPr>
            </w:pPr>
            <w:r>
              <w:rPr>
                <w:rFonts w:ascii="Arial"/>
                <w:w w:val="95"/>
                <w:sz w:val="24"/>
              </w:rPr>
              <w:t>48,424</w:t>
            </w:r>
            <w:r>
              <w:rPr>
                <w:rFonts w:ascii="Arial"/>
                <w:sz w:val="24"/>
              </w:rPr>
            </w:r>
          </w:p>
        </w:tc>
      </w:tr>
      <w:tr>
        <w:trPr>
          <w:trHeight w:val="311"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62" w:lineRule="exact"/>
              <w:ind w:left="91"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0"/>
              <w:jc w:val="right"/>
              <w:rPr>
                <w:rFonts w:ascii="Arial" w:hAnsi="Arial" w:cs="Arial" w:eastAsia="Arial" w:hint="default"/>
                <w:sz w:val="24"/>
                <w:szCs w:val="24"/>
              </w:rPr>
            </w:pPr>
            <w:r>
              <w:rPr>
                <w:rFonts w:ascii="Arial"/>
                <w:w w:val="95"/>
                <w:sz w:val="24"/>
              </w:rPr>
              <w:t>8,207</w:t>
            </w:r>
            <w:r>
              <w:rPr>
                <w:rFonts w:ascii="Arial"/>
                <w:sz w:val="24"/>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6" w:right="0"/>
              <w:jc w:val="left"/>
              <w:rPr>
                <w:rFonts w:ascii="Arial" w:hAnsi="Arial" w:cs="Arial" w:eastAsia="Arial" w:hint="default"/>
                <w:sz w:val="24"/>
                <w:szCs w:val="24"/>
              </w:rPr>
            </w:pPr>
            <w:r>
              <w:rPr>
                <w:rFonts w:ascii="Arial"/>
                <w:sz w:val="24"/>
              </w:rPr>
              <w:t>8,281</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3"/>
              <w:jc w:val="right"/>
              <w:rPr>
                <w:rFonts w:ascii="Arial" w:hAnsi="Arial" w:cs="Arial" w:eastAsia="Arial" w:hint="default"/>
                <w:sz w:val="24"/>
                <w:szCs w:val="24"/>
              </w:rPr>
            </w:pPr>
            <w:r>
              <w:rPr>
                <w:rFonts w:ascii="Arial"/>
                <w:w w:val="95"/>
                <w:sz w:val="24"/>
              </w:rPr>
              <w:t>8,207</w:t>
            </w:r>
            <w:r>
              <w:rPr>
                <w:rFonts w:ascii="Arial"/>
                <w:sz w:val="24"/>
              </w:rPr>
            </w:r>
          </w:p>
        </w:tc>
      </w:tr>
      <w:tr>
        <w:trPr>
          <w:trHeight w:val="312"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tabs>
                <w:tab w:pos="2913" w:val="left" w:leader="none"/>
                <w:tab w:pos="3398" w:val="left" w:leader="none"/>
              </w:tabs>
              <w:spacing w:line="257" w:lineRule="exact"/>
              <w:ind w:left="91" w:right="-97"/>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24"/>
                <w:szCs w:val="24"/>
              </w:rPr>
            </w:pPr>
            <w:r>
              <w:rPr>
                <w:rFonts w:ascii="Arial"/>
                <w:w w:val="99"/>
                <w:sz w:val="24"/>
              </w:rPr>
            </w:r>
            <w:r>
              <w:rPr>
                <w:rFonts w:ascii="Arial"/>
                <w:w w:val="95"/>
                <w:sz w:val="24"/>
                <w:u w:val="single" w:color="000000"/>
              </w:rPr>
              <w:t>91,733</w:t>
            </w:r>
            <w:r>
              <w:rPr>
                <w:rFonts w:ascii="Arial"/>
                <w:w w:val="95"/>
                <w:sz w:val="24"/>
              </w:rPr>
            </w:r>
            <w:r>
              <w:rPr>
                <w:rFonts w:ascii="Arial"/>
                <w:sz w:val="24"/>
              </w:rPr>
            </w:r>
          </w:p>
        </w:tc>
        <w:tc>
          <w:tcPr>
            <w:tcW w:w="1688"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8"/>
              <w:ind w:left="9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102,048</w:t>
            </w:r>
            <w:r>
              <w:rPr>
                <w:rFonts w:ascii="Arial"/>
                <w:sz w:val="24"/>
              </w:rPr>
            </w:r>
          </w:p>
        </w:tc>
        <w:tc>
          <w:tcPr>
            <w:tcW w:w="2126" w:type="dxa"/>
            <w:tcBorders>
              <w:top w:val="nil" w:sz="6" w:space="0" w:color="auto"/>
              <w:left w:val="nil" w:sz="6" w:space="0" w:color="auto"/>
              <w:bottom w:val="nil" w:sz="6" w:space="0" w:color="auto"/>
              <w:right w:val="nil" w:sz="6" w:space="0" w:color="auto"/>
            </w:tcBorders>
          </w:tcPr>
          <w:p>
            <w:pPr>
              <w:pStyle w:val="TableParagraph"/>
              <w:tabs>
                <w:tab w:pos="1334" w:val="left" w:leader="none"/>
              </w:tabs>
              <w:spacing w:line="240" w:lineRule="auto" w:before="18"/>
              <w:ind w:left="-3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91,733</w:t>
            </w:r>
            <w:r>
              <w:rPr>
                <w:rFonts w:ascii="Arial"/>
                <w:sz w:val="24"/>
              </w:rPr>
            </w:r>
          </w:p>
        </w:tc>
      </w:tr>
      <w:tr>
        <w:trPr>
          <w:trHeight w:val="434" w:hRule="exact"/>
        </w:trPr>
        <w:tc>
          <w:tcPr>
            <w:tcW w:w="871" w:type="dxa"/>
            <w:tcBorders>
              <w:top w:val="nil" w:sz="6" w:space="0" w:color="auto"/>
              <w:left w:val="nil" w:sz="6" w:space="0" w:color="auto"/>
              <w:bottom w:val="nil" w:sz="6" w:space="0" w:color="auto"/>
              <w:right w:val="nil" w:sz="6" w:space="0" w:color="auto"/>
            </w:tcBorders>
          </w:tcPr>
          <w:p>
            <w:pPr/>
          </w:p>
        </w:tc>
        <w:tc>
          <w:tcPr>
            <w:tcW w:w="4376" w:type="dxa"/>
            <w:gridSpan w:val="2"/>
            <w:tcBorders>
              <w:top w:val="nil" w:sz="6" w:space="0" w:color="auto"/>
              <w:left w:val="nil" w:sz="6" w:space="0" w:color="auto"/>
              <w:bottom w:val="nil" w:sz="6" w:space="0" w:color="auto"/>
              <w:right w:val="nil" w:sz="6" w:space="0" w:color="auto"/>
            </w:tcBorders>
          </w:tcPr>
          <w:p>
            <w:pPr>
              <w:pStyle w:val="TableParagraph"/>
              <w:tabs>
                <w:tab w:pos="3265" w:val="left" w:leader="none"/>
              </w:tabs>
              <w:spacing w:line="269" w:lineRule="exact"/>
              <w:ind w:left="291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166,246</w:t>
            </w:r>
            <w:r>
              <w:rPr>
                <w:rFonts w:ascii="Arial"/>
                <w:sz w:val="24"/>
              </w:rPr>
            </w:r>
          </w:p>
        </w:tc>
        <w:tc>
          <w:tcPr>
            <w:tcW w:w="1688"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69" w:lineRule="exact"/>
              <w:ind w:left="9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220,604</w:t>
            </w:r>
            <w:r>
              <w:rPr>
                <w:rFonts w:ascii="Arial"/>
                <w:sz w:val="24"/>
              </w:rPr>
            </w:r>
          </w:p>
        </w:tc>
        <w:tc>
          <w:tcPr>
            <w:tcW w:w="2126" w:type="dxa"/>
            <w:tcBorders>
              <w:top w:val="nil" w:sz="6" w:space="0" w:color="auto"/>
              <w:left w:val="nil" w:sz="6" w:space="0" w:color="auto"/>
              <w:bottom w:val="nil" w:sz="6" w:space="0" w:color="auto"/>
              <w:right w:val="nil" w:sz="6" w:space="0" w:color="auto"/>
            </w:tcBorders>
          </w:tcPr>
          <w:p>
            <w:pPr>
              <w:pStyle w:val="TableParagraph"/>
              <w:tabs>
                <w:tab w:pos="1201" w:val="left" w:leader="none"/>
                <w:tab w:pos="2140" w:val="left" w:leader="none"/>
              </w:tabs>
              <w:spacing w:line="269" w:lineRule="exact"/>
              <w:ind w:left="-30" w:right="-15"/>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166,246</w:t>
              <w:tab/>
            </w:r>
            <w:r>
              <w:rPr>
                <w:rFonts w:ascii="Arial"/>
                <w:sz w:val="24"/>
              </w:rPr>
            </w:r>
          </w:p>
        </w:tc>
      </w:tr>
      <w:tr>
        <w:trPr>
          <w:trHeight w:val="592"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40" w:right="0"/>
              <w:jc w:val="left"/>
              <w:rPr>
                <w:rFonts w:ascii="Arial" w:hAnsi="Arial" w:cs="Arial" w:eastAsia="Arial" w:hint="default"/>
                <w:sz w:val="24"/>
                <w:szCs w:val="24"/>
              </w:rPr>
            </w:pPr>
            <w:r>
              <w:rPr>
                <w:rFonts w:ascii="Arial"/>
                <w:sz w:val="24"/>
              </w:rPr>
              <w:t>(55)</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5" w:right="0"/>
              <w:jc w:val="left"/>
              <w:rPr>
                <w:rFonts w:ascii="黑体" w:hAnsi="黑体" w:cs="黑体" w:eastAsia="黑体" w:hint="default"/>
                <w:sz w:val="24"/>
                <w:szCs w:val="24"/>
              </w:rPr>
            </w:pPr>
            <w:r>
              <w:rPr>
                <w:rFonts w:ascii="黑体" w:hAnsi="黑体" w:cs="黑体" w:eastAsia="黑体" w:hint="default"/>
                <w:sz w:val="24"/>
                <w:szCs w:val="24"/>
              </w:rPr>
              <w:t>所得税费用</w:t>
            </w:r>
          </w:p>
        </w:tc>
        <w:tc>
          <w:tcPr>
            <w:tcW w:w="107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r>
      <w:tr>
        <w:trPr>
          <w:trHeight w:val="593"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16"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30"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871" w:type="dxa"/>
            <w:tcBorders>
              <w:top w:val="nil" w:sz="6" w:space="0" w:color="auto"/>
              <w:left w:val="nil" w:sz="6" w:space="0" w:color="auto"/>
              <w:bottom w:val="nil" w:sz="6" w:space="0" w:color="auto"/>
              <w:right w:val="nil" w:sz="6" w:space="0" w:color="auto"/>
            </w:tcBorders>
          </w:tcPr>
          <w:p>
            <w:pPr/>
          </w:p>
        </w:tc>
        <w:tc>
          <w:tcPr>
            <w:tcW w:w="43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20" w:right="0"/>
              <w:jc w:val="left"/>
              <w:rPr>
                <w:rFonts w:ascii="宋体" w:hAnsi="宋体" w:cs="宋体" w:eastAsia="宋体" w:hint="default"/>
                <w:sz w:val="24"/>
                <w:szCs w:val="24"/>
              </w:rPr>
            </w:pPr>
            <w:r>
              <w:rPr>
                <w:rFonts w:ascii="宋体" w:hAnsi="宋体" w:cs="宋体" w:eastAsia="宋体" w:hint="default"/>
                <w:sz w:val="24"/>
                <w:szCs w:val="24"/>
              </w:rPr>
              <w:t>按税法及相关规定计算的当期所得税</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724" w:right="0"/>
              <w:jc w:val="left"/>
              <w:rPr>
                <w:rFonts w:ascii="Arial" w:hAnsi="Arial" w:cs="Arial" w:eastAsia="Arial" w:hint="default"/>
                <w:sz w:val="24"/>
                <w:szCs w:val="24"/>
              </w:rPr>
            </w:pPr>
            <w:r>
              <w:rPr>
                <w:rFonts w:ascii="Arial"/>
                <w:sz w:val="24"/>
              </w:rPr>
              <w:t>694,372</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36" w:right="0"/>
              <w:jc w:val="left"/>
              <w:rPr>
                <w:rFonts w:ascii="Arial" w:hAnsi="Arial" w:cs="Arial" w:eastAsia="Arial" w:hint="default"/>
                <w:sz w:val="24"/>
                <w:szCs w:val="24"/>
              </w:rPr>
            </w:pPr>
            <w:r>
              <w:rPr>
                <w:rFonts w:ascii="Arial"/>
                <w:sz w:val="24"/>
              </w:rPr>
              <w:t>762,577</w:t>
            </w:r>
          </w:p>
        </w:tc>
      </w:tr>
      <w:tr>
        <w:trPr>
          <w:trHeight w:val="313"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62" w:lineRule="exact"/>
              <w:ind w:left="120"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2762" w:type="dxa"/>
            <w:gridSpan w:val="2"/>
            <w:tcBorders>
              <w:top w:val="nil" w:sz="6" w:space="0" w:color="auto"/>
              <w:left w:val="nil" w:sz="6" w:space="0" w:color="auto"/>
              <w:bottom w:val="nil" w:sz="6" w:space="0" w:color="auto"/>
              <w:right w:val="nil" w:sz="6" w:space="0" w:color="auto"/>
            </w:tcBorders>
          </w:tcPr>
          <w:p>
            <w:pPr>
              <w:pStyle w:val="TableParagraph"/>
              <w:tabs>
                <w:tab w:pos="1703" w:val="left" w:leader="none"/>
              </w:tabs>
              <w:spacing w:line="240" w:lineRule="auto" w:before="18"/>
              <w:ind w:left="91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(563,147)</w:t>
            </w:r>
            <w:r>
              <w:rPr>
                <w:rFonts w:ascii="Arial"/>
                <w:sz w:val="24"/>
              </w:rPr>
            </w:r>
          </w:p>
        </w:tc>
        <w:tc>
          <w:tcPr>
            <w:tcW w:w="2126" w:type="dxa"/>
            <w:tcBorders>
              <w:top w:val="nil" w:sz="6" w:space="0" w:color="auto"/>
              <w:left w:val="nil" w:sz="6" w:space="0" w:color="auto"/>
              <w:bottom w:val="nil" w:sz="6" w:space="0" w:color="auto"/>
              <w:right w:val="nil" w:sz="6" w:space="0" w:color="auto"/>
            </w:tcBorders>
          </w:tcPr>
          <w:p>
            <w:pPr>
              <w:pStyle w:val="TableParagraph"/>
              <w:tabs>
                <w:tab w:pos="1056" w:val="left" w:leader="none"/>
              </w:tabs>
              <w:spacing w:line="240" w:lineRule="auto" w:before="18"/>
              <w:ind w:left="25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(614,002)</w:t>
            </w:r>
            <w:r>
              <w:rPr>
                <w:rFonts w:ascii="Arial"/>
                <w:sz w:val="24"/>
              </w:rPr>
            </w:r>
          </w:p>
        </w:tc>
      </w:tr>
      <w:tr>
        <w:trPr>
          <w:trHeight w:val="438"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
        </w:tc>
        <w:tc>
          <w:tcPr>
            <w:tcW w:w="2762" w:type="dxa"/>
            <w:gridSpan w:val="2"/>
            <w:tcBorders>
              <w:top w:val="nil" w:sz="6" w:space="0" w:color="auto"/>
              <w:left w:val="nil" w:sz="6" w:space="0" w:color="auto"/>
              <w:bottom w:val="nil" w:sz="6" w:space="0" w:color="auto"/>
              <w:right w:val="nil" w:sz="6" w:space="0" w:color="auto"/>
            </w:tcBorders>
          </w:tcPr>
          <w:p>
            <w:pPr>
              <w:pStyle w:val="TableParagraph"/>
              <w:tabs>
                <w:tab w:pos="1797" w:val="left" w:leader="none"/>
                <w:tab w:pos="2774" w:val="left" w:leader="none"/>
              </w:tabs>
              <w:spacing w:line="269" w:lineRule="exact"/>
              <w:ind w:left="912" w:right="-13"/>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131,225</w:t>
              <w:tab/>
            </w:r>
            <w:r>
              <w:rPr>
                <w:rFonts w:ascii="Arial"/>
                <w:sz w:val="24"/>
              </w:rPr>
            </w:r>
          </w:p>
        </w:tc>
        <w:tc>
          <w:tcPr>
            <w:tcW w:w="2126" w:type="dxa"/>
            <w:tcBorders>
              <w:top w:val="nil" w:sz="6" w:space="0" w:color="auto"/>
              <w:left w:val="nil" w:sz="6" w:space="0" w:color="auto"/>
              <w:bottom w:val="nil" w:sz="6" w:space="0" w:color="auto"/>
              <w:right w:val="nil" w:sz="6" w:space="0" w:color="auto"/>
            </w:tcBorders>
          </w:tcPr>
          <w:p>
            <w:pPr>
              <w:pStyle w:val="TableParagraph"/>
              <w:tabs>
                <w:tab w:pos="1136" w:val="left" w:leader="none"/>
                <w:tab w:pos="2112" w:val="left" w:leader="none"/>
              </w:tabs>
              <w:spacing w:line="269" w:lineRule="exact"/>
              <w:ind w:left="25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148,575</w:t>
              <w:tab/>
            </w:r>
            <w:r>
              <w:rPr>
                <w:rFonts w:ascii="Arial"/>
                <w:sz w:val="24"/>
              </w:rPr>
            </w:r>
          </w:p>
        </w:tc>
      </w:tr>
      <w:tr>
        <w:trPr>
          <w:trHeight w:val="909" w:hRule="exact"/>
        </w:trPr>
        <w:tc>
          <w:tcPr>
            <w:tcW w:w="871" w:type="dxa"/>
            <w:tcBorders>
              <w:top w:val="nil" w:sz="6" w:space="0" w:color="auto"/>
              <w:left w:val="nil" w:sz="6" w:space="0" w:color="auto"/>
              <w:bottom w:val="nil" w:sz="6" w:space="0" w:color="auto"/>
              <w:right w:val="nil" w:sz="6" w:space="0" w:color="auto"/>
            </w:tcBorders>
          </w:tcPr>
          <w:p>
            <w:pPr/>
          </w:p>
        </w:tc>
        <w:tc>
          <w:tcPr>
            <w:tcW w:w="8190"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133"/>
              <w:ind w:left="85" w:right="122"/>
              <w:jc w:val="left"/>
              <w:rPr>
                <w:rFonts w:ascii="宋体" w:hAnsi="宋体" w:cs="宋体" w:eastAsia="宋体" w:hint="default"/>
                <w:sz w:val="24"/>
                <w:szCs w:val="24"/>
              </w:rPr>
            </w:pPr>
            <w:r>
              <w:rPr>
                <w:rFonts w:ascii="宋体" w:hAnsi="宋体" w:cs="宋体" w:eastAsia="宋体" w:hint="default"/>
                <w:spacing w:val="8"/>
                <w:sz w:val="24"/>
                <w:szCs w:val="24"/>
              </w:rPr>
              <w:t>将基于合并利润表的利润总额采用适用税率计算的所得税调节为所得税费</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用：</w:t>
            </w:r>
          </w:p>
        </w:tc>
      </w:tr>
      <w:tr>
        <w:trPr>
          <w:trHeight w:val="603"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2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929"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63"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5"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762" w:type="dxa"/>
            <w:gridSpan w:val="2"/>
            <w:tcBorders>
              <w:top w:val="nil" w:sz="6" w:space="0" w:color="auto"/>
              <w:left w:val="nil" w:sz="6" w:space="0" w:color="auto"/>
              <w:bottom w:val="nil" w:sz="6" w:space="0" w:color="auto"/>
              <w:right w:val="nil" w:sz="6" w:space="0" w:color="auto"/>
            </w:tcBorders>
          </w:tcPr>
          <w:p>
            <w:pPr>
              <w:pStyle w:val="TableParagraph"/>
              <w:tabs>
                <w:tab w:pos="1805" w:val="left" w:leader="none"/>
                <w:tab w:pos="2782" w:val="left" w:leader="none"/>
              </w:tabs>
              <w:spacing w:line="240" w:lineRule="auto" w:before="165"/>
              <w:ind w:left="912" w:right="-21"/>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888,957</w:t>
              <w:tab/>
            </w:r>
            <w:r>
              <w:rPr>
                <w:rFonts w:ascii="Arial"/>
                <w:sz w:val="24"/>
              </w:rPr>
            </w:r>
          </w:p>
        </w:tc>
        <w:tc>
          <w:tcPr>
            <w:tcW w:w="2126" w:type="dxa"/>
            <w:tcBorders>
              <w:top w:val="nil" w:sz="6" w:space="0" w:color="auto"/>
              <w:left w:val="nil" w:sz="6" w:space="0" w:color="auto"/>
              <w:bottom w:val="nil" w:sz="6" w:space="0" w:color="auto"/>
              <w:right w:val="nil" w:sz="6" w:space="0" w:color="auto"/>
            </w:tcBorders>
          </w:tcPr>
          <w:p>
            <w:pPr>
              <w:pStyle w:val="TableParagraph"/>
              <w:tabs>
                <w:tab w:pos="1135" w:val="left" w:leader="none"/>
                <w:tab w:pos="2112" w:val="left" w:leader="none"/>
              </w:tabs>
              <w:spacing w:line="240" w:lineRule="auto" w:before="165"/>
              <w:ind w:left="25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972,613</w:t>
              <w:tab/>
            </w:r>
            <w:r>
              <w:rPr>
                <w:rFonts w:ascii="Arial"/>
                <w:sz w:val="24"/>
              </w:rPr>
            </w:r>
          </w:p>
        </w:tc>
      </w:tr>
      <w:tr>
        <w:trPr>
          <w:trHeight w:val="316"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67" w:lineRule="exact"/>
              <w:ind w:left="85" w:right="0"/>
              <w:jc w:val="left"/>
              <w:rPr>
                <w:rFonts w:ascii="宋体" w:hAnsi="宋体" w:cs="宋体" w:eastAsia="宋体" w:hint="default"/>
                <w:sz w:val="24"/>
                <w:szCs w:val="24"/>
              </w:rPr>
            </w:pPr>
            <w:r>
              <w:rPr>
                <w:rFonts w:ascii="宋体" w:hAnsi="宋体" w:cs="宋体" w:eastAsia="宋体" w:hint="default"/>
                <w:sz w:val="24"/>
                <w:szCs w:val="24"/>
              </w:rPr>
              <w:t>按适用税率计算的所得税</w:t>
            </w:r>
          </w:p>
        </w:tc>
        <w:tc>
          <w:tcPr>
            <w:tcW w:w="27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805" w:right="0"/>
              <w:jc w:val="left"/>
              <w:rPr>
                <w:rFonts w:ascii="Arial" w:hAnsi="Arial" w:cs="Arial" w:eastAsia="Arial" w:hint="default"/>
                <w:sz w:val="24"/>
                <w:szCs w:val="24"/>
              </w:rPr>
            </w:pPr>
            <w:r>
              <w:rPr>
                <w:rFonts w:ascii="Arial"/>
                <w:sz w:val="24"/>
              </w:rPr>
              <w:t>243,448</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35" w:right="0"/>
              <w:jc w:val="left"/>
              <w:rPr>
                <w:rFonts w:ascii="Arial" w:hAnsi="Arial" w:cs="Arial" w:eastAsia="Arial" w:hint="default"/>
                <w:sz w:val="24"/>
                <w:szCs w:val="24"/>
              </w:rPr>
            </w:pPr>
            <w:r>
              <w:rPr>
                <w:rFonts w:ascii="Arial"/>
                <w:sz w:val="24"/>
              </w:rPr>
              <w:t>241,899</w:t>
            </w:r>
          </w:p>
        </w:tc>
      </w:tr>
      <w:tr>
        <w:trPr>
          <w:trHeight w:val="312"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left"/>
              <w:rPr>
                <w:rFonts w:ascii="宋体" w:hAnsi="宋体" w:cs="宋体" w:eastAsia="宋体" w:hint="default"/>
                <w:sz w:val="24"/>
                <w:szCs w:val="24"/>
              </w:rPr>
            </w:pPr>
            <w:r>
              <w:rPr>
                <w:rFonts w:ascii="宋体" w:hAnsi="宋体" w:cs="宋体" w:eastAsia="宋体" w:hint="default"/>
                <w:sz w:val="24"/>
                <w:szCs w:val="24"/>
              </w:rPr>
              <w:t>部分子公司之优惠税率影响</w:t>
            </w:r>
          </w:p>
        </w:tc>
        <w:tc>
          <w:tcPr>
            <w:tcW w:w="107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18" w:right="0"/>
              <w:jc w:val="left"/>
              <w:rPr>
                <w:rFonts w:ascii="Arial" w:hAnsi="Arial" w:cs="Arial" w:eastAsia="Arial" w:hint="default"/>
                <w:sz w:val="24"/>
                <w:szCs w:val="24"/>
              </w:rPr>
            </w:pPr>
            <w:r>
              <w:rPr>
                <w:rFonts w:ascii="Arial"/>
                <w:spacing w:val="-3"/>
                <w:sz w:val="24"/>
              </w:rPr>
              <w:t>(4,119)</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9"/>
              <w:jc w:val="right"/>
              <w:rPr>
                <w:rFonts w:ascii="Arial" w:hAnsi="Arial" w:cs="Arial" w:eastAsia="Arial" w:hint="default"/>
                <w:sz w:val="24"/>
                <w:szCs w:val="24"/>
              </w:rPr>
            </w:pPr>
            <w:r>
              <w:rPr>
                <w:rFonts w:ascii="Arial"/>
                <w:w w:val="95"/>
                <w:sz w:val="24"/>
              </w:rPr>
              <w:t>(186,206)</w:t>
            </w:r>
            <w:r>
              <w:rPr>
                <w:rFonts w:ascii="Arial"/>
                <w:sz w:val="24"/>
              </w:rPr>
            </w:r>
          </w:p>
        </w:tc>
      </w:tr>
      <w:tr>
        <w:trPr>
          <w:trHeight w:val="311"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left"/>
              <w:rPr>
                <w:rFonts w:ascii="宋体" w:hAnsi="宋体" w:cs="宋体" w:eastAsia="宋体" w:hint="default"/>
                <w:sz w:val="24"/>
                <w:szCs w:val="24"/>
              </w:rPr>
            </w:pPr>
            <w:r>
              <w:rPr>
                <w:rFonts w:ascii="宋体" w:hAnsi="宋体" w:cs="宋体" w:eastAsia="宋体" w:hint="default"/>
                <w:sz w:val="24"/>
                <w:szCs w:val="24"/>
              </w:rPr>
              <w:t>非应纳税收入</w:t>
            </w:r>
          </w:p>
        </w:tc>
        <w:tc>
          <w:tcPr>
            <w:tcW w:w="107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96" w:right="0"/>
              <w:jc w:val="left"/>
              <w:rPr>
                <w:rFonts w:ascii="Arial" w:hAnsi="Arial" w:cs="Arial" w:eastAsia="Arial" w:hint="default"/>
                <w:sz w:val="24"/>
                <w:szCs w:val="24"/>
              </w:rPr>
            </w:pPr>
            <w:r>
              <w:rPr>
                <w:rFonts w:ascii="Arial"/>
                <w:sz w:val="24"/>
              </w:rPr>
              <w:t>(7,295)</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9"/>
              <w:jc w:val="right"/>
              <w:rPr>
                <w:rFonts w:ascii="Arial" w:hAnsi="Arial" w:cs="Arial" w:eastAsia="Arial" w:hint="default"/>
                <w:sz w:val="24"/>
                <w:szCs w:val="24"/>
              </w:rPr>
            </w:pPr>
            <w:r>
              <w:rPr>
                <w:rFonts w:ascii="Arial"/>
                <w:w w:val="95"/>
                <w:sz w:val="24"/>
              </w:rPr>
              <w:t>(3,105)</w:t>
            </w:r>
            <w:r>
              <w:rPr>
                <w:rFonts w:ascii="Arial"/>
                <w:sz w:val="24"/>
              </w:rPr>
            </w:r>
          </w:p>
        </w:tc>
      </w:tr>
      <w:tr>
        <w:trPr>
          <w:trHeight w:val="311"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left"/>
              <w:rPr>
                <w:rFonts w:ascii="宋体" w:hAnsi="宋体" w:cs="宋体" w:eastAsia="宋体" w:hint="default"/>
                <w:sz w:val="24"/>
                <w:szCs w:val="24"/>
              </w:rPr>
            </w:pPr>
            <w:r>
              <w:rPr>
                <w:rFonts w:ascii="宋体" w:hAnsi="宋体" w:cs="宋体" w:eastAsia="宋体" w:hint="default"/>
                <w:sz w:val="24"/>
                <w:szCs w:val="24"/>
              </w:rPr>
              <w:t>不得扣除的成本、费用和损失</w:t>
            </w:r>
          </w:p>
        </w:tc>
        <w:tc>
          <w:tcPr>
            <w:tcW w:w="107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38" w:right="0"/>
              <w:jc w:val="left"/>
              <w:rPr>
                <w:rFonts w:ascii="Arial" w:hAnsi="Arial" w:cs="Arial" w:eastAsia="Arial" w:hint="default"/>
                <w:sz w:val="24"/>
                <w:szCs w:val="24"/>
              </w:rPr>
            </w:pPr>
            <w:r>
              <w:rPr>
                <w:rFonts w:ascii="Arial"/>
                <w:sz w:val="24"/>
              </w:rPr>
              <w:t>31,941</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68" w:right="0"/>
              <w:jc w:val="left"/>
              <w:rPr>
                <w:rFonts w:ascii="Arial" w:hAnsi="Arial" w:cs="Arial" w:eastAsia="Arial" w:hint="default"/>
                <w:sz w:val="24"/>
                <w:szCs w:val="24"/>
              </w:rPr>
            </w:pPr>
            <w:r>
              <w:rPr>
                <w:rFonts w:ascii="Arial"/>
                <w:sz w:val="24"/>
              </w:rPr>
              <w:t>67,631</w:t>
            </w:r>
          </w:p>
        </w:tc>
      </w:tr>
      <w:tr>
        <w:trPr>
          <w:trHeight w:val="312"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left"/>
              <w:rPr>
                <w:rFonts w:ascii="宋体" w:hAnsi="宋体" w:cs="宋体" w:eastAsia="宋体" w:hint="default"/>
                <w:sz w:val="24"/>
                <w:szCs w:val="24"/>
              </w:rPr>
            </w:pPr>
            <w:r>
              <w:rPr>
                <w:rFonts w:ascii="宋体" w:hAnsi="宋体" w:cs="宋体" w:eastAsia="宋体" w:hint="default"/>
                <w:sz w:val="24"/>
                <w:szCs w:val="24"/>
              </w:rPr>
              <w:t>所得税汇算清缴差异</w:t>
            </w:r>
          </w:p>
        </w:tc>
        <w:tc>
          <w:tcPr>
            <w:tcW w:w="107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63" w:right="0"/>
              <w:jc w:val="left"/>
              <w:rPr>
                <w:rFonts w:ascii="Arial" w:hAnsi="Arial" w:cs="Arial" w:eastAsia="Arial" w:hint="default"/>
                <w:sz w:val="24"/>
                <w:szCs w:val="24"/>
              </w:rPr>
            </w:pPr>
            <w:r>
              <w:rPr>
                <w:rFonts w:ascii="Arial"/>
                <w:sz w:val="24"/>
              </w:rPr>
              <w:t>(16,860)</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03" w:right="0"/>
              <w:jc w:val="left"/>
              <w:rPr>
                <w:rFonts w:ascii="Arial" w:hAnsi="Arial" w:cs="Arial" w:eastAsia="Arial" w:hint="default"/>
                <w:sz w:val="24"/>
                <w:szCs w:val="24"/>
              </w:rPr>
            </w:pPr>
            <w:r>
              <w:rPr>
                <w:rFonts w:ascii="Arial"/>
                <w:sz w:val="24"/>
              </w:rPr>
              <w:t>6,889</w:t>
            </w:r>
          </w:p>
        </w:tc>
      </w:tr>
      <w:tr>
        <w:trPr>
          <w:trHeight w:val="623" w:hRule="exact"/>
        </w:trPr>
        <w:tc>
          <w:tcPr>
            <w:tcW w:w="871" w:type="dxa"/>
            <w:tcBorders>
              <w:top w:val="nil" w:sz="6" w:space="0" w:color="auto"/>
              <w:left w:val="nil" w:sz="6" w:space="0" w:color="auto"/>
              <w:bottom w:val="nil" w:sz="6" w:space="0" w:color="auto"/>
              <w:right w:val="nil" w:sz="6" w:space="0" w:color="auto"/>
            </w:tcBorders>
          </w:tcPr>
          <w:p>
            <w:pPr/>
          </w:p>
        </w:tc>
        <w:tc>
          <w:tcPr>
            <w:tcW w:w="4376"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85" w:right="0"/>
              <w:jc w:val="left"/>
              <w:rPr>
                <w:rFonts w:ascii="宋体" w:hAnsi="宋体" w:cs="宋体" w:eastAsia="宋体" w:hint="default"/>
                <w:sz w:val="24"/>
                <w:szCs w:val="24"/>
              </w:rPr>
            </w:pPr>
            <w:r>
              <w:rPr>
                <w:rFonts w:ascii="宋体" w:hAnsi="宋体" w:cs="宋体" w:eastAsia="宋体" w:hint="default"/>
                <w:spacing w:val="12"/>
                <w:sz w:val="24"/>
                <w:szCs w:val="24"/>
              </w:rPr>
              <w:t>转回以前年度未确认递延所得税资产</w:t>
            </w:r>
            <w:r>
              <w:rPr>
                <w:rFonts w:ascii="宋体" w:hAnsi="宋体" w:cs="宋体" w:eastAsia="宋体" w:hint="default"/>
                <w:sz w:val="24"/>
                <w:szCs w:val="24"/>
              </w:rPr>
            </w:r>
          </w:p>
          <w:p>
            <w:pPr>
              <w:pStyle w:val="TableParagraph"/>
              <w:spacing w:line="312" w:lineRule="exact"/>
              <w:ind w:left="370" w:right="0"/>
              <w:jc w:val="left"/>
              <w:rPr>
                <w:rFonts w:ascii="宋体" w:hAnsi="宋体" w:cs="宋体" w:eastAsia="宋体" w:hint="default"/>
                <w:sz w:val="24"/>
                <w:szCs w:val="24"/>
              </w:rPr>
            </w:pPr>
            <w:r>
              <w:rPr>
                <w:rFonts w:ascii="宋体" w:hAnsi="宋体" w:cs="宋体" w:eastAsia="宋体" w:hint="default"/>
                <w:sz w:val="24"/>
                <w:szCs w:val="24"/>
              </w:rPr>
              <w:t>的暂时性差异</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763" w:right="0"/>
              <w:jc w:val="left"/>
              <w:rPr>
                <w:rFonts w:ascii="Arial" w:hAnsi="Arial" w:cs="Arial" w:eastAsia="Arial" w:hint="default"/>
                <w:sz w:val="24"/>
                <w:szCs w:val="24"/>
              </w:rPr>
            </w:pPr>
            <w:r>
              <w:rPr>
                <w:rFonts w:ascii="Arial"/>
                <w:sz w:val="24"/>
              </w:rPr>
              <w:t>(14,426)</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59"/>
              <w:jc w:val="right"/>
              <w:rPr>
                <w:rFonts w:ascii="Arial" w:hAnsi="Arial" w:cs="Arial" w:eastAsia="Arial" w:hint="default"/>
                <w:sz w:val="24"/>
                <w:szCs w:val="24"/>
              </w:rPr>
            </w:pPr>
            <w:r>
              <w:rPr>
                <w:rFonts w:ascii="Arial"/>
                <w:w w:val="95"/>
                <w:sz w:val="24"/>
              </w:rPr>
              <w:t>(25,847)</w:t>
            </w:r>
            <w:r>
              <w:rPr>
                <w:rFonts w:ascii="Arial"/>
                <w:sz w:val="24"/>
              </w:rPr>
            </w:r>
          </w:p>
        </w:tc>
      </w:tr>
      <w:tr>
        <w:trPr>
          <w:trHeight w:val="622" w:hRule="exact"/>
        </w:trPr>
        <w:tc>
          <w:tcPr>
            <w:tcW w:w="871" w:type="dxa"/>
            <w:tcBorders>
              <w:top w:val="nil" w:sz="6" w:space="0" w:color="auto"/>
              <w:left w:val="nil" w:sz="6" w:space="0" w:color="auto"/>
              <w:bottom w:val="nil" w:sz="6" w:space="0" w:color="auto"/>
              <w:right w:val="nil" w:sz="6" w:space="0" w:color="auto"/>
            </w:tcBorders>
          </w:tcPr>
          <w:p>
            <w:pPr/>
          </w:p>
        </w:tc>
        <w:tc>
          <w:tcPr>
            <w:tcW w:w="4376"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85" w:right="0"/>
              <w:jc w:val="left"/>
              <w:rPr>
                <w:rFonts w:ascii="宋体" w:hAnsi="宋体" w:cs="宋体" w:eastAsia="宋体" w:hint="default"/>
                <w:sz w:val="24"/>
                <w:szCs w:val="24"/>
              </w:rPr>
            </w:pPr>
            <w:r>
              <w:rPr>
                <w:rFonts w:ascii="宋体" w:hAnsi="宋体" w:cs="宋体" w:eastAsia="宋体" w:hint="default"/>
                <w:spacing w:val="12"/>
                <w:sz w:val="24"/>
                <w:szCs w:val="24"/>
              </w:rPr>
              <w:t>当年未确认递延所得税资产的暂时性</w:t>
            </w:r>
            <w:r>
              <w:rPr>
                <w:rFonts w:ascii="宋体" w:hAnsi="宋体" w:cs="宋体" w:eastAsia="宋体" w:hint="default"/>
                <w:sz w:val="24"/>
                <w:szCs w:val="24"/>
              </w:rPr>
            </w:r>
          </w:p>
          <w:p>
            <w:pPr>
              <w:pStyle w:val="TableParagraph"/>
              <w:spacing w:line="313" w:lineRule="exact"/>
              <w:ind w:left="370" w:right="0"/>
              <w:jc w:val="left"/>
              <w:rPr>
                <w:rFonts w:ascii="宋体" w:hAnsi="宋体" w:cs="宋体" w:eastAsia="宋体" w:hint="default"/>
                <w:sz w:val="24"/>
                <w:szCs w:val="24"/>
              </w:rPr>
            </w:pPr>
            <w:r>
              <w:rPr>
                <w:rFonts w:ascii="宋体" w:hAnsi="宋体" w:cs="宋体" w:eastAsia="宋体" w:hint="default"/>
                <w:sz w:val="24"/>
                <w:szCs w:val="24"/>
              </w:rPr>
              <w:t>差异</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958" w:right="0"/>
              <w:jc w:val="left"/>
              <w:rPr>
                <w:rFonts w:ascii="Arial" w:hAnsi="Arial" w:cs="Arial" w:eastAsia="Arial" w:hint="default"/>
                <w:sz w:val="24"/>
                <w:szCs w:val="24"/>
              </w:rPr>
            </w:pPr>
            <w:r>
              <w:rPr>
                <w:rFonts w:ascii="Arial"/>
                <w:sz w:val="24"/>
              </w:rPr>
              <w:t>7,022</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250" w:right="0"/>
              <w:jc w:val="left"/>
              <w:rPr>
                <w:rFonts w:ascii="Arial" w:hAnsi="Arial" w:cs="Arial" w:eastAsia="Arial" w:hint="default"/>
                <w:sz w:val="24"/>
                <w:szCs w:val="24"/>
              </w:rPr>
            </w:pPr>
            <w:r>
              <w:rPr>
                <w:rFonts w:ascii="Arial"/>
                <w:sz w:val="24"/>
              </w:rPr>
              <w:t>26,789</w:t>
            </w:r>
          </w:p>
        </w:tc>
      </w:tr>
      <w:tr>
        <w:trPr>
          <w:trHeight w:val="623" w:hRule="exact"/>
        </w:trPr>
        <w:tc>
          <w:tcPr>
            <w:tcW w:w="871" w:type="dxa"/>
            <w:tcBorders>
              <w:top w:val="nil" w:sz="6" w:space="0" w:color="auto"/>
              <w:left w:val="nil" w:sz="6" w:space="0" w:color="auto"/>
              <w:bottom w:val="nil" w:sz="6" w:space="0" w:color="auto"/>
              <w:right w:val="nil" w:sz="6" w:space="0" w:color="auto"/>
            </w:tcBorders>
          </w:tcPr>
          <w:p>
            <w:pPr/>
          </w:p>
        </w:tc>
        <w:tc>
          <w:tcPr>
            <w:tcW w:w="4376"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85" w:right="0"/>
              <w:jc w:val="left"/>
              <w:rPr>
                <w:rFonts w:ascii="宋体" w:hAnsi="宋体" w:cs="宋体" w:eastAsia="宋体" w:hint="default"/>
                <w:sz w:val="24"/>
                <w:szCs w:val="24"/>
              </w:rPr>
            </w:pPr>
            <w:r>
              <w:rPr>
                <w:rFonts w:ascii="宋体" w:hAnsi="宋体" w:cs="宋体" w:eastAsia="宋体" w:hint="default"/>
                <w:spacing w:val="12"/>
                <w:sz w:val="24"/>
                <w:szCs w:val="24"/>
              </w:rPr>
              <w:t>使用以前年度未确认递延所得税资产</w:t>
            </w:r>
            <w:r>
              <w:rPr>
                <w:rFonts w:ascii="宋体" w:hAnsi="宋体" w:cs="宋体" w:eastAsia="宋体" w:hint="default"/>
                <w:sz w:val="24"/>
                <w:szCs w:val="24"/>
              </w:rPr>
            </w:r>
          </w:p>
          <w:p>
            <w:pPr>
              <w:pStyle w:val="TableParagraph"/>
              <w:spacing w:line="313" w:lineRule="exact"/>
              <w:ind w:left="370" w:right="0"/>
              <w:jc w:val="left"/>
              <w:rPr>
                <w:rFonts w:ascii="宋体" w:hAnsi="宋体" w:cs="宋体" w:eastAsia="宋体" w:hint="default"/>
                <w:sz w:val="24"/>
                <w:szCs w:val="24"/>
              </w:rPr>
            </w:pPr>
            <w:r>
              <w:rPr>
                <w:rFonts w:ascii="宋体" w:hAnsi="宋体" w:cs="宋体" w:eastAsia="宋体" w:hint="default"/>
                <w:sz w:val="24"/>
                <w:szCs w:val="24"/>
              </w:rPr>
              <w:t>的可抵扣亏损</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629" w:right="0"/>
              <w:jc w:val="left"/>
              <w:rPr>
                <w:rFonts w:ascii="Arial" w:hAnsi="Arial" w:cs="Arial" w:eastAsia="Arial" w:hint="default"/>
                <w:sz w:val="24"/>
                <w:szCs w:val="24"/>
              </w:rPr>
            </w:pPr>
            <w:r>
              <w:rPr>
                <w:rFonts w:ascii="Arial"/>
                <w:sz w:val="24"/>
              </w:rPr>
              <w:t>(133,966)</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628" w:hRule="exact"/>
        </w:trPr>
        <w:tc>
          <w:tcPr>
            <w:tcW w:w="871" w:type="dxa"/>
            <w:tcBorders>
              <w:top w:val="nil" w:sz="6" w:space="0" w:color="auto"/>
              <w:left w:val="nil" w:sz="6" w:space="0" w:color="auto"/>
              <w:bottom w:val="nil" w:sz="6" w:space="0" w:color="auto"/>
              <w:right w:val="nil" w:sz="6" w:space="0" w:color="auto"/>
            </w:tcBorders>
          </w:tcPr>
          <w:p>
            <w:pPr/>
          </w:p>
        </w:tc>
        <w:tc>
          <w:tcPr>
            <w:tcW w:w="4376" w:type="dxa"/>
            <w:gridSpan w:val="2"/>
            <w:tcBorders>
              <w:top w:val="nil" w:sz="6" w:space="0" w:color="auto"/>
              <w:left w:val="nil" w:sz="6" w:space="0" w:color="auto"/>
              <w:bottom w:val="nil" w:sz="6" w:space="0" w:color="auto"/>
              <w:right w:val="nil" w:sz="6" w:space="0" w:color="auto"/>
            </w:tcBorders>
          </w:tcPr>
          <w:p>
            <w:pPr>
              <w:pStyle w:val="TableParagraph"/>
              <w:spacing w:line="258" w:lineRule="exact"/>
              <w:ind w:left="85" w:right="0"/>
              <w:jc w:val="left"/>
              <w:rPr>
                <w:rFonts w:ascii="宋体" w:hAnsi="宋体" w:cs="宋体" w:eastAsia="宋体" w:hint="default"/>
                <w:sz w:val="24"/>
                <w:szCs w:val="24"/>
              </w:rPr>
            </w:pPr>
            <w:r>
              <w:rPr>
                <w:rFonts w:ascii="宋体" w:hAnsi="宋体" w:cs="宋体" w:eastAsia="宋体" w:hint="default"/>
                <w:spacing w:val="12"/>
                <w:sz w:val="24"/>
                <w:szCs w:val="24"/>
              </w:rPr>
              <w:t>当年未确认递延所得税资产的可抵扣</w:t>
            </w:r>
            <w:r>
              <w:rPr>
                <w:rFonts w:ascii="宋体" w:hAnsi="宋体" w:cs="宋体" w:eastAsia="宋体" w:hint="default"/>
                <w:sz w:val="24"/>
                <w:szCs w:val="24"/>
              </w:rPr>
            </w:r>
          </w:p>
          <w:p>
            <w:pPr>
              <w:pStyle w:val="TableParagraph"/>
              <w:tabs>
                <w:tab w:pos="4214" w:val="left" w:leader="none"/>
                <w:tab w:pos="5200" w:val="left" w:leader="none"/>
              </w:tabs>
              <w:spacing w:line="311" w:lineRule="exact"/>
              <w:ind w:left="355" w:right="-825"/>
              <w:jc w:val="left"/>
              <w:rPr>
                <w:rFonts w:ascii="Arial" w:hAnsi="Arial" w:cs="Arial" w:eastAsia="Arial" w:hint="default"/>
                <w:sz w:val="24"/>
                <w:szCs w:val="24"/>
              </w:rPr>
            </w:pPr>
            <w:r>
              <w:rPr>
                <w:rFonts w:ascii="宋体" w:hAnsi="宋体" w:cs="宋体" w:eastAsia="宋体" w:hint="default"/>
                <w:position w:val="2"/>
                <w:sz w:val="24"/>
                <w:szCs w:val="24"/>
              </w:rPr>
              <w:t>亏损</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1708" w:val="left" w:leader="none"/>
              </w:tabs>
              <w:spacing w:line="240" w:lineRule="auto"/>
              <w:ind w:left="824" w:right="-21"/>
              <w:jc w:val="left"/>
              <w:rPr>
                <w:rFonts w:ascii="Arial" w:hAnsi="Arial" w:cs="Arial" w:eastAsia="Arial" w:hint="default"/>
                <w:sz w:val="24"/>
                <w:szCs w:val="24"/>
              </w:rPr>
            </w:pPr>
            <w:r>
              <w:rPr>
                <w:rFonts w:ascii="Arial"/>
                <w:w w:val="99"/>
                <w:sz w:val="24"/>
              </w:rPr>
            </w:r>
            <w:r>
              <w:rPr>
                <w:rFonts w:ascii="Arial"/>
                <w:sz w:val="24"/>
                <w:u w:val="single" w:color="000000"/>
              </w:rPr>
              <w:t>25,480</w:t>
              <w:tab/>
            </w:r>
            <w:r>
              <w:rPr>
                <w:rFonts w:ascii="Arial"/>
                <w:sz w:val="24"/>
              </w:rPr>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1250" w:val="left" w:leader="none"/>
                <w:tab w:pos="2112" w:val="left" w:leader="none"/>
              </w:tabs>
              <w:spacing w:line="240" w:lineRule="auto"/>
              <w:ind w:left="25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20,525</w:t>
              <w:tab/>
            </w:r>
            <w:r>
              <w:rPr>
                <w:rFonts w:ascii="Arial"/>
                <w:sz w:val="24"/>
              </w:rPr>
            </w:r>
          </w:p>
        </w:tc>
      </w:tr>
      <w:tr>
        <w:trPr>
          <w:trHeight w:val="295" w:hRule="exact"/>
        </w:trPr>
        <w:tc>
          <w:tcPr>
            <w:tcW w:w="8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67" w:lineRule="exact"/>
              <w:ind w:left="85"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762" w:type="dxa"/>
            <w:gridSpan w:val="2"/>
            <w:tcBorders>
              <w:top w:val="nil" w:sz="6" w:space="0" w:color="auto"/>
              <w:left w:val="nil" w:sz="6" w:space="0" w:color="auto"/>
              <w:bottom w:val="nil" w:sz="6" w:space="0" w:color="auto"/>
              <w:right w:val="nil" w:sz="6" w:space="0" w:color="auto"/>
            </w:tcBorders>
          </w:tcPr>
          <w:p>
            <w:pPr>
              <w:pStyle w:val="TableParagraph"/>
              <w:tabs>
                <w:tab w:pos="1765" w:val="left" w:leader="none"/>
                <w:tab w:pos="2782" w:val="left" w:leader="none"/>
              </w:tabs>
              <w:spacing w:line="240" w:lineRule="auto" w:before="24"/>
              <w:ind w:left="898" w:right="-2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131,225</w:t>
              <w:tab/>
            </w:r>
            <w:r>
              <w:rPr>
                <w:rFonts w:ascii="Arial"/>
                <w:sz w:val="24"/>
              </w:rPr>
            </w:r>
          </w:p>
        </w:tc>
        <w:tc>
          <w:tcPr>
            <w:tcW w:w="2126" w:type="dxa"/>
            <w:tcBorders>
              <w:top w:val="nil" w:sz="6" w:space="0" w:color="auto"/>
              <w:left w:val="nil" w:sz="6" w:space="0" w:color="auto"/>
              <w:bottom w:val="nil" w:sz="6" w:space="0" w:color="auto"/>
              <w:right w:val="nil" w:sz="6" w:space="0" w:color="auto"/>
            </w:tcBorders>
          </w:tcPr>
          <w:p>
            <w:pPr>
              <w:pStyle w:val="TableParagraph"/>
              <w:tabs>
                <w:tab w:pos="1117" w:val="left" w:leader="none"/>
                <w:tab w:pos="2112" w:val="left" w:leader="none"/>
              </w:tabs>
              <w:spacing w:line="240" w:lineRule="auto" w:before="24"/>
              <w:ind w:left="24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148,575</w:t>
              <w:tab/>
            </w:r>
            <w:r>
              <w:rPr>
                <w:rFonts w:ascii="Arial"/>
                <w:sz w:val="24"/>
              </w:rPr>
            </w:r>
          </w:p>
        </w:tc>
      </w:tr>
    </w:tbl>
    <w:p>
      <w:pPr>
        <w:spacing w:after="0" w:line="240" w:lineRule="auto"/>
        <w:jc w:val="left"/>
        <w:rPr>
          <w:rFonts w:ascii="Arial" w:hAnsi="Arial" w:cs="Arial" w:eastAsia="Arial" w:hint="default"/>
          <w:sz w:val="24"/>
          <w:szCs w:val="24"/>
        </w:rPr>
        <w:sectPr>
          <w:pgSz w:w="11910" w:h="16840"/>
          <w:pgMar w:header="0" w:footer="698" w:top="1860" w:bottom="880" w:left="13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738"/>
        <w:gridCol w:w="4516"/>
        <w:gridCol w:w="1804"/>
        <w:gridCol w:w="244"/>
        <w:gridCol w:w="1790"/>
      </w:tblGrid>
      <w:tr>
        <w:trPr>
          <w:trHeight w:val="41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55"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16"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04"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582"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(56)</w:t>
            </w:r>
          </w:p>
        </w:tc>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1" w:right="0"/>
              <w:jc w:val="left"/>
              <w:rPr>
                <w:rFonts w:ascii="黑体" w:hAnsi="黑体" w:cs="黑体" w:eastAsia="黑体" w:hint="default"/>
                <w:sz w:val="24"/>
                <w:szCs w:val="24"/>
              </w:rPr>
            </w:pPr>
            <w:r>
              <w:rPr>
                <w:rFonts w:ascii="黑体" w:hAnsi="黑体" w:cs="黑体" w:eastAsia="黑体" w:hint="default"/>
                <w:sz w:val="24"/>
                <w:szCs w:val="24"/>
              </w:rPr>
              <w:t>每股收益</w:t>
            </w:r>
          </w:p>
        </w:tc>
        <w:tc>
          <w:tcPr>
            <w:tcW w:w="1804"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591"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9"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04"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898" w:hRule="exact"/>
        </w:trPr>
        <w:tc>
          <w:tcPr>
            <w:tcW w:w="9092"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132"/>
              <w:ind w:left="877" w:right="115"/>
              <w:jc w:val="left"/>
              <w:rPr>
                <w:rFonts w:ascii="宋体" w:hAnsi="宋体" w:cs="宋体" w:eastAsia="宋体" w:hint="default"/>
                <w:sz w:val="24"/>
                <w:szCs w:val="24"/>
              </w:rPr>
            </w:pPr>
            <w:r>
              <w:rPr>
                <w:rFonts w:ascii="宋体" w:hAnsi="宋体" w:cs="宋体" w:eastAsia="宋体" w:hint="default"/>
                <w:spacing w:val="4"/>
                <w:sz w:val="24"/>
                <w:szCs w:val="24"/>
              </w:rPr>
              <w:t>基本每股收益以归属于本公司普通股股东的合并净利润除以本公司发行在外</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普通股的加权平均数计算：</w:t>
            </w:r>
          </w:p>
        </w:tc>
      </w:tr>
      <w:tr>
        <w:trPr>
          <w:trHeight w:val="593" w:hRule="exact"/>
        </w:trPr>
        <w:tc>
          <w:tcPr>
            <w:tcW w:w="738" w:type="dxa"/>
            <w:tcBorders>
              <w:top w:val="nil" w:sz="6" w:space="0" w:color="auto"/>
              <w:left w:val="nil" w:sz="6" w:space="0" w:color="auto"/>
              <w:bottom w:val="nil" w:sz="6" w:space="0" w:color="auto"/>
              <w:right w:val="nil" w:sz="6" w:space="0" w:color="auto"/>
            </w:tcBorders>
          </w:tcPr>
          <w:p>
            <w:pPr/>
          </w:p>
        </w:tc>
        <w:tc>
          <w:tcPr>
            <w:tcW w:w="4516"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0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768" w:hRule="exact"/>
        </w:trPr>
        <w:tc>
          <w:tcPr>
            <w:tcW w:w="738" w:type="dxa"/>
            <w:tcBorders>
              <w:top w:val="nil" w:sz="6" w:space="0" w:color="auto"/>
              <w:left w:val="nil" w:sz="6" w:space="0" w:color="auto"/>
              <w:bottom w:val="nil" w:sz="6" w:space="0" w:color="auto"/>
              <w:right w:val="nil" w:sz="6" w:space="0" w:color="auto"/>
            </w:tcBorders>
          </w:tcPr>
          <w:p>
            <w:pPr/>
          </w:p>
        </w:tc>
        <w:tc>
          <w:tcPr>
            <w:tcW w:w="4516" w:type="dxa"/>
            <w:tcBorders>
              <w:top w:val="nil" w:sz="6" w:space="0" w:color="auto"/>
              <w:left w:val="nil" w:sz="6" w:space="0" w:color="auto"/>
              <w:bottom w:val="nil" w:sz="6" w:space="0" w:color="auto"/>
              <w:right w:val="nil" w:sz="6" w:space="0" w:color="auto"/>
            </w:tcBorders>
          </w:tcPr>
          <w:p>
            <w:pPr>
              <w:pStyle w:val="TableParagraph"/>
              <w:spacing w:line="310" w:lineRule="exact" w:before="126"/>
              <w:ind w:left="434" w:right="702" w:hanging="296"/>
              <w:jc w:val="left"/>
              <w:rPr>
                <w:rFonts w:ascii="Arial" w:hAnsi="Arial" w:cs="Arial" w:eastAsia="Arial" w:hint="default"/>
                <w:sz w:val="24"/>
                <w:szCs w:val="24"/>
              </w:rPr>
            </w:pPr>
            <w:r>
              <w:rPr>
                <w:rFonts w:ascii="宋体" w:hAnsi="宋体" w:cs="宋体" w:eastAsia="宋体" w:hint="default"/>
                <w:spacing w:val="4"/>
                <w:sz w:val="24"/>
                <w:szCs w:val="24"/>
              </w:rPr>
              <w:t>归属于本公司普通股股东的合并净 </w:t>
            </w:r>
            <w:r>
              <w:rPr>
                <w:rFonts w:ascii="宋体" w:hAnsi="宋体" w:cs="宋体" w:eastAsia="宋体" w:hint="default"/>
                <w:sz w:val="24"/>
                <w:szCs w:val="24"/>
              </w:rPr>
              <w:t>利润</w:t>
            </w:r>
            <w:r>
              <w:rPr>
                <w:rFonts w:ascii="Arial" w:hAnsi="Arial" w:cs="Arial" w:eastAsia="Arial" w:hint="default"/>
                <w:sz w:val="24"/>
                <w:szCs w:val="24"/>
              </w:rPr>
              <w:t>(</w:t>
            </w:r>
            <w:r>
              <w:rPr>
                <w:rFonts w:ascii="宋体" w:hAnsi="宋体" w:cs="宋体" w:eastAsia="宋体" w:hint="default"/>
                <w:sz w:val="24"/>
                <w:szCs w:val="24"/>
              </w:rPr>
              <w:t>千元</w:t>
            </w:r>
            <w:r>
              <w:rPr>
                <w:rFonts w:ascii="Arial" w:hAnsi="Arial" w:cs="Arial" w:eastAsia="Arial" w:hint="default"/>
                <w:sz w:val="24"/>
                <w:szCs w:val="24"/>
              </w:rPr>
              <w:t>)</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9"/>
              <w:ind w:right="115"/>
              <w:jc w:val="right"/>
              <w:rPr>
                <w:rFonts w:ascii="Arial" w:hAnsi="Arial" w:cs="Arial" w:eastAsia="Arial" w:hint="default"/>
                <w:sz w:val="24"/>
                <w:szCs w:val="24"/>
              </w:rPr>
            </w:pPr>
            <w:r>
              <w:rPr>
                <w:rFonts w:ascii="Arial"/>
                <w:spacing w:val="-1"/>
                <w:sz w:val="24"/>
              </w:rPr>
              <w:t>872,504</w:t>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9"/>
              <w:ind w:left="803" w:right="0"/>
              <w:jc w:val="left"/>
              <w:rPr>
                <w:rFonts w:ascii="Arial" w:hAnsi="Arial" w:cs="Arial" w:eastAsia="Arial" w:hint="default"/>
                <w:sz w:val="24"/>
                <w:szCs w:val="24"/>
              </w:rPr>
            </w:pPr>
            <w:r>
              <w:rPr>
                <w:rFonts w:ascii="Arial"/>
                <w:sz w:val="24"/>
              </w:rPr>
              <w:t>866,915</w:t>
            </w:r>
          </w:p>
        </w:tc>
      </w:tr>
      <w:tr>
        <w:trPr>
          <w:trHeight w:val="628" w:hRule="exact"/>
        </w:trPr>
        <w:tc>
          <w:tcPr>
            <w:tcW w:w="738" w:type="dxa"/>
            <w:tcBorders>
              <w:top w:val="nil" w:sz="6" w:space="0" w:color="auto"/>
              <w:left w:val="nil" w:sz="6" w:space="0" w:color="auto"/>
              <w:bottom w:val="nil" w:sz="6" w:space="0" w:color="auto"/>
              <w:right w:val="nil" w:sz="6" w:space="0" w:color="auto"/>
            </w:tcBorders>
          </w:tcPr>
          <w:p>
            <w:pPr/>
          </w:p>
        </w:tc>
        <w:tc>
          <w:tcPr>
            <w:tcW w:w="4516" w:type="dxa"/>
            <w:tcBorders>
              <w:top w:val="nil" w:sz="6" w:space="0" w:color="auto"/>
              <w:left w:val="nil" w:sz="6" w:space="0" w:color="auto"/>
              <w:bottom w:val="nil" w:sz="6" w:space="0" w:color="auto"/>
              <w:right w:val="nil" w:sz="6" w:space="0" w:color="auto"/>
            </w:tcBorders>
          </w:tcPr>
          <w:p>
            <w:pPr>
              <w:pStyle w:val="TableParagraph"/>
              <w:spacing w:line="261" w:lineRule="exact"/>
              <w:ind w:left="153" w:right="0"/>
              <w:jc w:val="left"/>
              <w:rPr>
                <w:rFonts w:ascii="宋体" w:hAnsi="宋体" w:cs="宋体" w:eastAsia="宋体" w:hint="default"/>
                <w:sz w:val="24"/>
                <w:szCs w:val="24"/>
              </w:rPr>
            </w:pPr>
            <w:r>
              <w:rPr>
                <w:rFonts w:ascii="宋体" w:hAnsi="宋体" w:cs="宋体" w:eastAsia="宋体" w:hint="default"/>
                <w:spacing w:val="2"/>
                <w:sz w:val="24"/>
                <w:szCs w:val="24"/>
              </w:rPr>
              <w:t>本公司发行在外普通股的加权平均</w:t>
            </w:r>
          </w:p>
          <w:p>
            <w:pPr>
              <w:pStyle w:val="TableParagraph"/>
              <w:spacing w:line="330" w:lineRule="exact"/>
              <w:ind w:left="434" w:right="0"/>
              <w:jc w:val="left"/>
              <w:rPr>
                <w:rFonts w:ascii="Arial" w:hAnsi="Arial" w:cs="Arial" w:eastAsia="Arial" w:hint="default"/>
                <w:sz w:val="24"/>
                <w:szCs w:val="24"/>
              </w:rPr>
            </w:pPr>
            <w:r>
              <w:rPr>
                <w:rFonts w:ascii="宋体" w:hAnsi="宋体" w:cs="宋体" w:eastAsia="宋体" w:hint="default"/>
                <w:sz w:val="24"/>
                <w:szCs w:val="24"/>
              </w:rPr>
              <w:t>数</w:t>
            </w:r>
            <w:r>
              <w:rPr>
                <w:rFonts w:ascii="Arial" w:hAnsi="Arial" w:cs="Arial" w:eastAsia="Arial" w:hint="default"/>
                <w:sz w:val="24"/>
                <w:szCs w:val="24"/>
              </w:rPr>
              <w:t>(</w:t>
            </w:r>
            <w:r>
              <w:rPr>
                <w:rFonts w:ascii="宋体" w:hAnsi="宋体" w:cs="宋体" w:eastAsia="宋体" w:hint="default"/>
                <w:sz w:val="24"/>
                <w:szCs w:val="24"/>
              </w:rPr>
              <w:t>千股</w:t>
            </w:r>
            <w:r>
              <w:rPr>
                <w:rFonts w:ascii="Arial" w:hAnsi="Arial" w:cs="Arial" w:eastAsia="Arial" w:hint="default"/>
                <w:sz w:val="24"/>
                <w:szCs w:val="24"/>
              </w:rPr>
              <w:t>)</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619" w:val="left" w:leader="none"/>
                <w:tab w:pos="1803" w:val="left" w:leader="none"/>
              </w:tabs>
              <w:spacing w:line="240" w:lineRule="auto"/>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7,383,043</w:t>
            </w:r>
            <w:r>
              <w:rPr>
                <w:rFonts w:ascii="Arial"/>
                <w:sz w:val="24"/>
                <w:u w:val="single" w:color="000000"/>
              </w:rPr>
              <w:tab/>
            </w:r>
            <w:r>
              <w:rPr>
                <w:rFonts w:ascii="Arial"/>
                <w:sz w:val="24"/>
              </w:rPr>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603" w:val="left" w:leader="none"/>
                <w:tab w:pos="1790" w:val="left" w:leader="none"/>
              </w:tabs>
              <w:spacing w:line="240" w:lineRule="auto"/>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7,383,043</w:t>
              <w:tab/>
            </w:r>
            <w:r>
              <w:rPr>
                <w:rFonts w:ascii="Arial"/>
                <w:sz w:val="24"/>
              </w:rPr>
            </w:r>
          </w:p>
        </w:tc>
      </w:tr>
      <w:tr>
        <w:trPr>
          <w:trHeight w:val="319" w:hRule="exact"/>
        </w:trPr>
        <w:tc>
          <w:tcPr>
            <w:tcW w:w="738" w:type="dxa"/>
            <w:tcBorders>
              <w:top w:val="nil" w:sz="6" w:space="0" w:color="auto"/>
              <w:left w:val="nil" w:sz="6" w:space="0" w:color="auto"/>
              <w:bottom w:val="nil" w:sz="6" w:space="0" w:color="auto"/>
              <w:right w:val="nil" w:sz="6" w:space="0" w:color="auto"/>
            </w:tcBorders>
          </w:tcPr>
          <w:p>
            <w:pPr/>
          </w:p>
        </w:tc>
        <w:tc>
          <w:tcPr>
            <w:tcW w:w="4516" w:type="dxa"/>
            <w:tcBorders>
              <w:top w:val="nil" w:sz="6" w:space="0" w:color="auto"/>
              <w:left w:val="nil" w:sz="6" w:space="0" w:color="auto"/>
              <w:bottom w:val="nil" w:sz="6" w:space="0" w:color="auto"/>
              <w:right w:val="nil" w:sz="6" w:space="0" w:color="auto"/>
            </w:tcBorders>
          </w:tcPr>
          <w:p>
            <w:pPr>
              <w:pStyle w:val="TableParagraph"/>
              <w:spacing w:line="267" w:lineRule="exact"/>
              <w:ind w:left="114"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04" w:type="dxa"/>
            <w:tcBorders>
              <w:top w:val="nil" w:sz="6" w:space="0" w:color="auto"/>
              <w:left w:val="nil" w:sz="6" w:space="0" w:color="auto"/>
              <w:bottom w:val="single" w:sz="12" w:space="0" w:color="000000"/>
              <w:right w:val="nil" w:sz="6" w:space="0" w:color="auto"/>
            </w:tcBorders>
          </w:tcPr>
          <w:p>
            <w:pPr>
              <w:pStyle w:val="TableParagraph"/>
              <w:spacing w:line="284" w:lineRule="exact"/>
              <w:ind w:left="137"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1"/>
                <w:sz w:val="24"/>
                <w:szCs w:val="24"/>
              </w:rPr>
              <w:t> </w:t>
            </w:r>
            <w:r>
              <w:rPr>
                <w:rFonts w:ascii="Arial" w:hAnsi="Arial" w:cs="Arial" w:eastAsia="Arial" w:hint="default"/>
                <w:sz w:val="24"/>
                <w:szCs w:val="24"/>
              </w:rPr>
              <w:t>0.12</w:t>
            </w:r>
            <w:r>
              <w:rPr>
                <w:rFonts w:ascii="Arial" w:hAnsi="Arial" w:cs="Arial" w:eastAsia="Arial" w:hint="default"/>
                <w:spacing w:val="-8"/>
                <w:sz w:val="24"/>
                <w:szCs w:val="24"/>
              </w:rPr>
              <w:t> </w:t>
            </w:r>
            <w:r>
              <w:rPr>
                <w:rFonts w:ascii="宋体" w:hAnsi="宋体" w:cs="宋体" w:eastAsia="宋体" w:hint="default"/>
                <w:sz w:val="24"/>
                <w:szCs w:val="24"/>
              </w:rPr>
              <w:t>元</w:t>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12" w:space="0" w:color="000000"/>
              <w:right w:val="nil" w:sz="6" w:space="0" w:color="auto"/>
            </w:tcBorders>
          </w:tcPr>
          <w:p>
            <w:pPr>
              <w:pStyle w:val="TableParagraph"/>
              <w:spacing w:line="284" w:lineRule="exact"/>
              <w:ind w:left="120"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1"/>
                <w:sz w:val="24"/>
                <w:szCs w:val="24"/>
              </w:rPr>
              <w:t> </w:t>
            </w:r>
            <w:r>
              <w:rPr>
                <w:rFonts w:ascii="Arial" w:hAnsi="Arial" w:cs="Arial" w:eastAsia="Arial" w:hint="default"/>
                <w:sz w:val="24"/>
                <w:szCs w:val="24"/>
              </w:rPr>
              <w:t>0.12</w:t>
            </w:r>
            <w:r>
              <w:rPr>
                <w:rFonts w:ascii="Arial" w:hAnsi="Arial" w:cs="Arial" w:eastAsia="Arial" w:hint="default"/>
                <w:spacing w:val="-8"/>
                <w:sz w:val="24"/>
                <w:szCs w:val="24"/>
              </w:rPr>
              <w:t> </w:t>
            </w:r>
            <w:r>
              <w:rPr>
                <w:rFonts w:ascii="宋体" w:hAnsi="宋体" w:cs="宋体" w:eastAsia="宋体" w:hint="default"/>
                <w:sz w:val="24"/>
                <w:szCs w:val="24"/>
              </w:rPr>
              <w:t>元</w:t>
            </w:r>
          </w:p>
        </w:tc>
      </w:tr>
      <w:tr>
        <w:trPr>
          <w:trHeight w:val="740"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宋体" w:hAnsi="宋体" w:cs="宋体" w:eastAsia="宋体" w:hint="default"/>
                <w:sz w:val="24"/>
                <w:szCs w:val="24"/>
              </w:rPr>
            </w:pPr>
            <w:r>
              <w:rPr>
                <w:rFonts w:ascii="宋体" w:hAnsi="宋体" w:cs="宋体" w:eastAsia="宋体" w:hint="default"/>
                <w:sz w:val="24"/>
                <w:szCs w:val="24"/>
              </w:rPr>
              <w:t>稀释每股收益</w:t>
            </w:r>
          </w:p>
        </w:tc>
        <w:tc>
          <w:tcPr>
            <w:tcW w:w="1804" w:type="dxa"/>
            <w:tcBorders>
              <w:top w:val="single" w:sz="12"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single" w:sz="12" w:space="0" w:color="000000"/>
              <w:left w:val="nil" w:sz="6" w:space="0" w:color="auto"/>
              <w:bottom w:val="nil" w:sz="6" w:space="0" w:color="auto"/>
              <w:right w:val="nil" w:sz="6" w:space="0" w:color="auto"/>
            </w:tcBorders>
          </w:tcPr>
          <w:p>
            <w:pPr/>
          </w:p>
        </w:tc>
      </w:tr>
      <w:tr>
        <w:trPr>
          <w:trHeight w:val="1671" w:hRule="exact"/>
        </w:trPr>
        <w:tc>
          <w:tcPr>
            <w:tcW w:w="738" w:type="dxa"/>
            <w:tcBorders>
              <w:top w:val="nil" w:sz="6" w:space="0" w:color="auto"/>
              <w:left w:val="nil" w:sz="6" w:space="0" w:color="auto"/>
              <w:bottom w:val="nil" w:sz="6" w:space="0" w:color="auto"/>
              <w:right w:val="nil" w:sz="6" w:space="0" w:color="auto"/>
            </w:tcBorders>
          </w:tcPr>
          <w:p>
            <w:pPr/>
          </w:p>
        </w:tc>
        <w:tc>
          <w:tcPr>
            <w:tcW w:w="8354" w:type="dxa"/>
            <w:gridSpan w:val="4"/>
            <w:tcBorders>
              <w:top w:val="nil" w:sz="6" w:space="0" w:color="auto"/>
              <w:left w:val="nil" w:sz="6" w:space="0" w:color="auto"/>
              <w:bottom w:val="nil" w:sz="6" w:space="0" w:color="auto"/>
              <w:right w:val="nil" w:sz="6" w:space="0" w:color="auto"/>
            </w:tcBorders>
          </w:tcPr>
          <w:p>
            <w:pPr>
              <w:pStyle w:val="TableParagraph"/>
              <w:spacing w:line="235" w:lineRule="auto" w:before="105"/>
              <w:ind w:left="166" w:right="107"/>
              <w:jc w:val="both"/>
              <w:rPr>
                <w:rFonts w:ascii="宋体" w:hAnsi="宋体" w:cs="宋体" w:eastAsia="宋体" w:hint="default"/>
                <w:sz w:val="24"/>
                <w:szCs w:val="24"/>
              </w:rPr>
            </w:pPr>
            <w:r>
              <w:rPr>
                <w:rFonts w:ascii="宋体" w:hAnsi="宋体" w:cs="宋体" w:eastAsia="宋体" w:hint="default"/>
                <w:spacing w:val="3"/>
                <w:sz w:val="24"/>
                <w:szCs w:val="24"/>
              </w:rPr>
              <w:t>稀释每股收益以根据稀释性潜在普通股调整后的归属于本公司普通股股东的</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3"/>
                <w:sz w:val="24"/>
                <w:szCs w:val="24"/>
              </w:rPr>
              <w:t>合并净利润除以调整后的本公司发行在外普通股的加权平均数计算。对于盈利</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3"/>
                <w:sz w:val="24"/>
                <w:szCs w:val="24"/>
              </w:rPr>
              <w:t>企业，股票期权的行权价格低于当期普通股平均市场价格时，应当考虑其稀释</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性，并计算稀释每股收益。于</w:t>
            </w:r>
            <w:r>
              <w:rPr>
                <w:rFonts w:ascii="宋体" w:hAnsi="宋体" w:cs="宋体" w:eastAsia="宋体" w:hint="default"/>
                <w:spacing w:val="-70"/>
                <w:sz w:val="24"/>
                <w:szCs w:val="24"/>
              </w:rPr>
              <w:t> </w:t>
            </w:r>
            <w:r>
              <w:rPr>
                <w:rFonts w:ascii="Arial" w:hAnsi="Arial" w:cs="Arial" w:eastAsia="Arial" w:hint="default"/>
                <w:sz w:val="24"/>
                <w:szCs w:val="24"/>
              </w:rPr>
              <w:t>2015</w:t>
            </w:r>
            <w:r>
              <w:rPr>
                <w:rFonts w:ascii="Arial" w:hAnsi="Arial" w:cs="Arial" w:eastAsia="Arial" w:hint="default"/>
                <w:spacing w:val="-17"/>
                <w:sz w:val="24"/>
                <w:szCs w:val="24"/>
              </w:rPr>
              <w:t> </w:t>
            </w:r>
            <w:r>
              <w:rPr>
                <w:rFonts w:ascii="宋体" w:hAnsi="宋体" w:cs="宋体" w:eastAsia="宋体" w:hint="default"/>
                <w:sz w:val="24"/>
                <w:szCs w:val="24"/>
              </w:rPr>
              <w:t>年度，本公司不存在具有稀释性的潜在普 通股</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，因此，稀释每股收益等于基本每股收益。</w:t>
            </w:r>
          </w:p>
        </w:tc>
      </w:tr>
    </w:tbl>
    <w:p>
      <w:pPr>
        <w:spacing w:after="0" w:line="235" w:lineRule="auto"/>
        <w:jc w:val="both"/>
        <w:rPr>
          <w:rFonts w:ascii="宋体" w:hAnsi="宋体" w:cs="宋体" w:eastAsia="宋体" w:hint="default"/>
          <w:sz w:val="24"/>
          <w:szCs w:val="24"/>
        </w:rPr>
        <w:sectPr>
          <w:pgSz w:w="11910" w:h="16840"/>
          <w:pgMar w:header="0" w:footer="698" w:top="1860" w:bottom="880" w:left="14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735"/>
        <w:gridCol w:w="4307"/>
        <w:gridCol w:w="2198"/>
        <w:gridCol w:w="1942"/>
      </w:tblGrid>
      <w:tr>
        <w:trPr>
          <w:trHeight w:val="416"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exact"/>
              <w:ind w:left="255"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307"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98"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
        </w:tc>
      </w:tr>
      <w:tr>
        <w:trPr>
          <w:trHeight w:val="582"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(57)</w:t>
            </w: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1" w:right="0"/>
              <w:jc w:val="left"/>
              <w:rPr>
                <w:rFonts w:ascii="黑体" w:hAnsi="黑体" w:cs="黑体" w:eastAsia="黑体" w:hint="default"/>
                <w:sz w:val="24"/>
                <w:szCs w:val="24"/>
              </w:rPr>
            </w:pPr>
            <w:r>
              <w:rPr>
                <w:rFonts w:ascii="黑体" w:hAnsi="黑体" w:cs="黑体" w:eastAsia="黑体" w:hint="default"/>
                <w:sz w:val="24"/>
                <w:szCs w:val="24"/>
              </w:rPr>
              <w:t>现金流量表项目注释</w:t>
            </w:r>
          </w:p>
        </w:tc>
        <w:tc>
          <w:tcPr>
            <w:tcW w:w="2198"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
        </w:tc>
      </w:tr>
      <w:tr>
        <w:trPr>
          <w:trHeight w:val="591"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81" w:right="0"/>
              <w:jc w:val="left"/>
              <w:rPr>
                <w:rFonts w:ascii="宋体" w:hAnsi="宋体" w:cs="宋体" w:eastAsia="宋体" w:hint="default"/>
                <w:sz w:val="24"/>
                <w:szCs w:val="24"/>
              </w:rPr>
            </w:pPr>
            <w:r>
              <w:rPr>
                <w:rFonts w:ascii="宋体" w:hAnsi="宋体" w:cs="宋体" w:eastAsia="宋体" w:hint="default"/>
                <w:sz w:val="24"/>
                <w:szCs w:val="24"/>
              </w:rPr>
              <w:t>收到的其他与经营活动有关的现金</w:t>
            </w:r>
          </w:p>
        </w:tc>
        <w:tc>
          <w:tcPr>
            <w:tcW w:w="2198"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
        </w:tc>
      </w:tr>
      <w:tr>
        <w:trPr>
          <w:trHeight w:val="599"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34"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62"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6" w:right="0"/>
              <w:jc w:val="left"/>
              <w:rPr>
                <w:rFonts w:ascii="宋体" w:hAnsi="宋体" w:cs="宋体" w:eastAsia="宋体" w:hint="default"/>
                <w:sz w:val="24"/>
                <w:szCs w:val="24"/>
              </w:rPr>
            </w:pPr>
            <w:r>
              <w:rPr>
                <w:rFonts w:ascii="宋体" w:hAnsi="宋体" w:cs="宋体" w:eastAsia="宋体" w:hint="default"/>
                <w:sz w:val="24"/>
                <w:szCs w:val="24"/>
              </w:rPr>
              <w:t>收到的各种保证金、押金</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589" w:right="0"/>
              <w:jc w:val="left"/>
              <w:rPr>
                <w:rFonts w:ascii="Arial" w:hAnsi="Arial" w:cs="Arial" w:eastAsia="Arial" w:hint="default"/>
                <w:sz w:val="24"/>
                <w:szCs w:val="24"/>
              </w:rPr>
            </w:pPr>
            <w:r>
              <w:rPr>
                <w:rFonts w:ascii="Arial"/>
                <w:sz w:val="24"/>
              </w:rPr>
              <w:t>1,362,038</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8"/>
              <w:jc w:val="right"/>
              <w:rPr>
                <w:rFonts w:ascii="Arial" w:hAnsi="Arial" w:cs="Arial" w:eastAsia="Arial" w:hint="default"/>
                <w:sz w:val="24"/>
                <w:szCs w:val="24"/>
              </w:rPr>
            </w:pPr>
            <w:r>
              <w:rPr>
                <w:rFonts w:ascii="Arial"/>
                <w:w w:val="95"/>
                <w:sz w:val="24"/>
              </w:rPr>
              <w:t>2,913,250</w:t>
            </w:r>
            <w:r>
              <w:rPr>
                <w:rFonts w:ascii="Arial"/>
                <w:sz w:val="24"/>
              </w:rPr>
            </w:r>
          </w:p>
        </w:tc>
      </w:tr>
      <w:tr>
        <w:trPr>
          <w:trHeight w:val="312"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90" w:right="0"/>
              <w:jc w:val="left"/>
              <w:rPr>
                <w:rFonts w:ascii="Arial" w:hAnsi="Arial" w:cs="Arial" w:eastAsia="Arial" w:hint="default"/>
                <w:sz w:val="24"/>
                <w:szCs w:val="24"/>
              </w:rPr>
            </w:pPr>
            <w:r>
              <w:rPr>
                <w:rFonts w:ascii="Arial"/>
                <w:sz w:val="24"/>
              </w:rPr>
              <w:t>603,995</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9"/>
              <w:jc w:val="right"/>
              <w:rPr>
                <w:rFonts w:ascii="Arial" w:hAnsi="Arial" w:cs="Arial" w:eastAsia="Arial" w:hint="default"/>
                <w:sz w:val="24"/>
                <w:szCs w:val="24"/>
              </w:rPr>
            </w:pPr>
            <w:r>
              <w:rPr>
                <w:rFonts w:ascii="Arial"/>
                <w:spacing w:val="-1"/>
                <w:sz w:val="24"/>
              </w:rPr>
              <w:t>449,219</w:t>
            </w:r>
          </w:p>
        </w:tc>
      </w:tr>
      <w:tr>
        <w:trPr>
          <w:trHeight w:val="311"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补贴收入</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0" w:right="0"/>
              <w:jc w:val="left"/>
              <w:rPr>
                <w:rFonts w:ascii="Arial" w:hAnsi="Arial" w:cs="Arial" w:eastAsia="Arial" w:hint="default"/>
                <w:sz w:val="24"/>
                <w:szCs w:val="24"/>
              </w:rPr>
            </w:pPr>
            <w:r>
              <w:rPr>
                <w:rFonts w:ascii="Arial"/>
                <w:sz w:val="24"/>
              </w:rPr>
              <w:t>384,092</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7"/>
              <w:jc w:val="right"/>
              <w:rPr>
                <w:rFonts w:ascii="Arial" w:hAnsi="Arial" w:cs="Arial" w:eastAsia="Arial" w:hint="default"/>
                <w:sz w:val="24"/>
                <w:szCs w:val="24"/>
              </w:rPr>
            </w:pPr>
            <w:r>
              <w:rPr>
                <w:rFonts w:ascii="Arial"/>
                <w:spacing w:val="-3"/>
                <w:sz w:val="24"/>
              </w:rPr>
              <w:t>117,268</w:t>
            </w:r>
          </w:p>
        </w:tc>
      </w:tr>
      <w:tr>
        <w:trPr>
          <w:trHeight w:val="312"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tabs>
                <w:tab w:pos="3963" w:val="left" w:leader="none"/>
                <w:tab w:pos="5113" w:val="left" w:leader="none"/>
              </w:tabs>
              <w:spacing w:line="257" w:lineRule="exact"/>
              <w:ind w:right="-924"/>
              <w:jc w:val="righ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98" w:type="dxa"/>
            <w:tcBorders>
              <w:top w:val="nil" w:sz="6" w:space="0" w:color="auto"/>
              <w:left w:val="nil" w:sz="6" w:space="0" w:color="auto"/>
              <w:bottom w:val="nil" w:sz="6" w:space="0" w:color="auto"/>
              <w:right w:val="nil" w:sz="6" w:space="0" w:color="auto"/>
            </w:tcBorders>
          </w:tcPr>
          <w:p>
            <w:pPr>
              <w:pStyle w:val="TableParagraph"/>
              <w:tabs>
                <w:tab w:pos="2023" w:val="left" w:leader="none"/>
                <w:tab w:pos="3154" w:val="left" w:leader="none"/>
              </w:tabs>
              <w:spacing w:line="240" w:lineRule="auto" w:before="18"/>
              <w:ind w:left="923" w:right="-957"/>
              <w:jc w:val="left"/>
              <w:rPr>
                <w:rFonts w:ascii="Arial" w:hAnsi="Arial" w:cs="Arial" w:eastAsia="Arial" w:hint="default"/>
                <w:sz w:val="24"/>
                <w:szCs w:val="24"/>
              </w:rPr>
            </w:pPr>
            <w:r>
              <w:rPr>
                <w:rFonts w:ascii="Arial"/>
                <w:w w:val="99"/>
                <w:sz w:val="24"/>
              </w:rPr>
            </w:r>
            <w:r>
              <w:rPr>
                <w:rFonts w:ascii="Arial"/>
                <w:sz w:val="24"/>
                <w:u w:val="single" w:color="000000"/>
              </w:rPr>
              <w:t>84,617</w:t>
            </w:r>
            <w:r>
              <w:rPr>
                <w:rFonts w:ascii="Arial"/>
                <w:spacing w:val="28"/>
                <w:sz w:val="24"/>
                <w:u w:val="single" w:color="000000"/>
              </w:rPr>
              <w:t> </w:t>
            </w:r>
            <w:r>
              <w:rPr>
                <w:rFonts w:ascii="Arial"/>
                <w:spacing w:val="28"/>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942" w:type="dxa"/>
            <w:tcBorders>
              <w:top w:val="nil" w:sz="6" w:space="0" w:color="auto"/>
              <w:left w:val="nil" w:sz="6" w:space="0" w:color="auto"/>
              <w:bottom w:val="nil" w:sz="6" w:space="0" w:color="auto"/>
              <w:right w:val="nil" w:sz="6" w:space="0" w:color="auto"/>
            </w:tcBorders>
          </w:tcPr>
          <w:p>
            <w:pPr>
              <w:pStyle w:val="TableParagraph"/>
              <w:tabs>
                <w:tab w:pos="829" w:val="left" w:leader="none"/>
              </w:tabs>
              <w:spacing w:line="240" w:lineRule="auto" w:before="18"/>
              <w:ind w:right="153"/>
              <w:jc w:val="right"/>
              <w:rPr>
                <w:rFonts w:ascii="Arial" w:hAnsi="Arial" w:cs="Arial" w:eastAsia="Arial" w:hint="default"/>
                <w:sz w:val="24"/>
                <w:szCs w:val="24"/>
              </w:rPr>
            </w:pPr>
            <w:r>
              <w:rPr>
                <w:rFonts w:ascii="Arial"/>
                <w:w w:val="99"/>
                <w:sz w:val="24"/>
              </w:rPr>
            </w:r>
            <w:r>
              <w:rPr>
                <w:rFonts w:ascii="Arial"/>
                <w:w w:val="95"/>
                <w:sz w:val="24"/>
                <w:u w:val="single" w:color="000000"/>
              </w:rPr>
              <w:t>83,962</w:t>
            </w:r>
            <w:r>
              <w:rPr>
                <w:rFonts w:ascii="Arial"/>
                <w:sz w:val="24"/>
                <w:u w:val="single" w:color="000000"/>
              </w:rPr>
              <w:tab/>
            </w:r>
            <w:r>
              <w:rPr>
                <w:rFonts w:ascii="Arial"/>
                <w:sz w:val="24"/>
              </w:rPr>
            </w:r>
          </w:p>
        </w:tc>
      </w:tr>
      <w:tr>
        <w:trPr>
          <w:trHeight w:val="434" w:hRule="exact"/>
        </w:trPr>
        <w:tc>
          <w:tcPr>
            <w:tcW w:w="735" w:type="dxa"/>
            <w:tcBorders>
              <w:top w:val="nil" w:sz="6" w:space="0" w:color="auto"/>
              <w:left w:val="nil" w:sz="6" w:space="0" w:color="auto"/>
              <w:bottom w:val="nil" w:sz="6" w:space="0" w:color="auto"/>
              <w:right w:val="nil" w:sz="6" w:space="0" w:color="auto"/>
            </w:tcBorders>
          </w:tcPr>
          <w:p>
            <w:pPr/>
          </w:p>
        </w:tc>
        <w:tc>
          <w:tcPr>
            <w:tcW w:w="6504" w:type="dxa"/>
            <w:gridSpan w:val="2"/>
            <w:tcBorders>
              <w:top w:val="nil" w:sz="6" w:space="0" w:color="auto"/>
              <w:left w:val="nil" w:sz="6" w:space="0" w:color="auto"/>
              <w:bottom w:val="nil" w:sz="6" w:space="0" w:color="auto"/>
              <w:right w:val="nil" w:sz="6" w:space="0" w:color="auto"/>
            </w:tcBorders>
          </w:tcPr>
          <w:p>
            <w:pPr>
              <w:pStyle w:val="TableParagraph"/>
              <w:tabs>
                <w:tab w:pos="4896" w:val="left" w:leader="none"/>
                <w:tab w:pos="6329" w:val="left" w:leader="none"/>
                <w:tab w:pos="7127" w:val="left" w:leader="none"/>
              </w:tabs>
              <w:spacing w:line="269" w:lineRule="exact"/>
              <w:ind w:left="4080" w:right="-62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2,434,742</w:t>
            </w:r>
            <w:r>
              <w:rPr>
                <w:rFonts w:ascii="Arial"/>
                <w:spacing w:val="29"/>
                <w:sz w:val="24"/>
                <w:u w:val="thick" w:color="000000"/>
              </w:rPr>
              <w:t> </w:t>
            </w:r>
            <w:r>
              <w:rPr>
                <w:rFonts w:ascii="Arial"/>
                <w:spacing w:val="29"/>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942" w:type="dxa"/>
            <w:tcBorders>
              <w:top w:val="nil" w:sz="6" w:space="0" w:color="auto"/>
              <w:left w:val="nil" w:sz="6" w:space="0" w:color="auto"/>
              <w:bottom w:val="nil" w:sz="6" w:space="0" w:color="auto"/>
              <w:right w:val="nil" w:sz="6" w:space="0" w:color="auto"/>
            </w:tcBorders>
          </w:tcPr>
          <w:p>
            <w:pPr>
              <w:pStyle w:val="TableParagraph"/>
              <w:tabs>
                <w:tab w:pos="1162" w:val="left" w:leader="none"/>
              </w:tabs>
              <w:spacing w:line="269" w:lineRule="exact"/>
              <w:ind w:right="153"/>
              <w:jc w:val="right"/>
              <w:rPr>
                <w:rFonts w:ascii="Arial" w:hAnsi="Arial" w:cs="Arial" w:eastAsia="Arial" w:hint="default"/>
                <w:sz w:val="24"/>
                <w:szCs w:val="24"/>
              </w:rPr>
            </w:pPr>
            <w:r>
              <w:rPr>
                <w:rFonts w:ascii="Arial"/>
                <w:w w:val="99"/>
                <w:sz w:val="24"/>
              </w:rPr>
            </w:r>
            <w:r>
              <w:rPr>
                <w:rFonts w:ascii="Arial"/>
                <w:w w:val="95"/>
                <w:sz w:val="24"/>
                <w:u w:val="thick" w:color="000000"/>
              </w:rPr>
              <w:t>3,563,699</w:t>
            </w:r>
            <w:r>
              <w:rPr>
                <w:rFonts w:ascii="Arial"/>
                <w:sz w:val="24"/>
                <w:u w:val="thick" w:color="000000"/>
              </w:rPr>
              <w:tab/>
            </w:r>
            <w:r>
              <w:rPr>
                <w:rFonts w:ascii="Arial"/>
                <w:sz w:val="24"/>
              </w:rPr>
            </w:r>
          </w:p>
        </w:tc>
      </w:tr>
      <w:tr>
        <w:trPr>
          <w:trHeight w:val="592"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(b)</w:t>
            </w: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24"/>
                <w:szCs w:val="24"/>
              </w:rPr>
            </w:pPr>
            <w:r>
              <w:rPr>
                <w:rFonts w:ascii="宋体" w:hAnsi="宋体" w:cs="宋体" w:eastAsia="宋体" w:hint="default"/>
                <w:sz w:val="24"/>
                <w:szCs w:val="24"/>
              </w:rPr>
              <w:t>支付的其他与经营活动有关的现金</w:t>
            </w:r>
          </w:p>
        </w:tc>
        <w:tc>
          <w:tcPr>
            <w:tcW w:w="2198"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
        </w:tc>
      </w:tr>
      <w:tr>
        <w:trPr>
          <w:trHeight w:val="593"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34"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89" w:right="0"/>
              <w:jc w:val="left"/>
              <w:rPr>
                <w:rFonts w:ascii="Arial" w:hAnsi="Arial" w:cs="Arial" w:eastAsia="Arial" w:hint="default"/>
                <w:sz w:val="24"/>
                <w:szCs w:val="24"/>
              </w:rPr>
            </w:pPr>
            <w:r>
              <w:rPr>
                <w:rFonts w:ascii="Arial"/>
                <w:sz w:val="24"/>
              </w:rPr>
              <w:t>5,658,868</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48"/>
              <w:jc w:val="right"/>
              <w:rPr>
                <w:rFonts w:ascii="Arial" w:hAnsi="Arial" w:cs="Arial" w:eastAsia="Arial" w:hint="default"/>
                <w:sz w:val="24"/>
                <w:szCs w:val="24"/>
              </w:rPr>
            </w:pPr>
            <w:r>
              <w:rPr>
                <w:rFonts w:ascii="Arial"/>
                <w:w w:val="95"/>
                <w:sz w:val="24"/>
              </w:rPr>
              <w:t>4,786,452</w:t>
            </w:r>
            <w:r>
              <w:rPr>
                <w:rFonts w:ascii="Arial"/>
                <w:sz w:val="24"/>
              </w:rPr>
            </w:r>
          </w:p>
        </w:tc>
      </w:tr>
      <w:tr>
        <w:trPr>
          <w:trHeight w:val="311"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89" w:right="0"/>
              <w:jc w:val="left"/>
              <w:rPr>
                <w:rFonts w:ascii="Arial" w:hAnsi="Arial" w:cs="Arial" w:eastAsia="Arial" w:hint="default"/>
                <w:sz w:val="24"/>
                <w:szCs w:val="24"/>
              </w:rPr>
            </w:pPr>
            <w:r>
              <w:rPr>
                <w:rFonts w:ascii="Arial"/>
                <w:sz w:val="24"/>
              </w:rPr>
              <w:t>2,681,862</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8"/>
              <w:jc w:val="right"/>
              <w:rPr>
                <w:rFonts w:ascii="Arial" w:hAnsi="Arial" w:cs="Arial" w:eastAsia="Arial" w:hint="default"/>
                <w:sz w:val="24"/>
                <w:szCs w:val="24"/>
              </w:rPr>
            </w:pPr>
            <w:r>
              <w:rPr>
                <w:rFonts w:ascii="Arial"/>
                <w:w w:val="95"/>
                <w:sz w:val="24"/>
              </w:rPr>
              <w:t>1,984,209</w:t>
            </w:r>
            <w:r>
              <w:rPr>
                <w:rFonts w:ascii="Arial"/>
                <w:sz w:val="24"/>
              </w:rPr>
            </w:r>
          </w:p>
        </w:tc>
      </w:tr>
      <w:tr>
        <w:trPr>
          <w:trHeight w:val="311"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支付的各类保证金、订金及押金等</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89" w:right="0"/>
              <w:jc w:val="left"/>
              <w:rPr>
                <w:rFonts w:ascii="Arial" w:hAnsi="Arial" w:cs="Arial" w:eastAsia="Arial" w:hint="default"/>
                <w:sz w:val="24"/>
                <w:szCs w:val="24"/>
              </w:rPr>
            </w:pPr>
            <w:r>
              <w:rPr>
                <w:rFonts w:ascii="Arial"/>
                <w:sz w:val="24"/>
              </w:rPr>
              <w:t>1,097,852</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8"/>
              <w:jc w:val="right"/>
              <w:rPr>
                <w:rFonts w:ascii="Arial" w:hAnsi="Arial" w:cs="Arial" w:eastAsia="Arial" w:hint="default"/>
                <w:sz w:val="24"/>
                <w:szCs w:val="24"/>
              </w:rPr>
            </w:pPr>
            <w:r>
              <w:rPr>
                <w:rFonts w:ascii="Arial"/>
                <w:w w:val="95"/>
                <w:sz w:val="24"/>
              </w:rPr>
              <w:t>2,578,481</w:t>
            </w:r>
            <w:r>
              <w:rPr>
                <w:rFonts w:ascii="Arial"/>
                <w:sz w:val="24"/>
              </w:rPr>
            </w:r>
          </w:p>
        </w:tc>
      </w:tr>
      <w:tr>
        <w:trPr>
          <w:trHeight w:val="312"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运输费用</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89" w:right="0"/>
              <w:jc w:val="left"/>
              <w:rPr>
                <w:rFonts w:ascii="Arial" w:hAnsi="Arial" w:cs="Arial" w:eastAsia="Arial" w:hint="default"/>
                <w:sz w:val="24"/>
                <w:szCs w:val="24"/>
              </w:rPr>
            </w:pPr>
            <w:r>
              <w:rPr>
                <w:rFonts w:ascii="Arial"/>
                <w:sz w:val="24"/>
              </w:rPr>
              <w:t>1,435,049</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9"/>
              <w:jc w:val="right"/>
              <w:rPr>
                <w:rFonts w:ascii="Arial" w:hAnsi="Arial" w:cs="Arial" w:eastAsia="Arial" w:hint="default"/>
                <w:sz w:val="24"/>
                <w:szCs w:val="24"/>
              </w:rPr>
            </w:pPr>
            <w:r>
              <w:rPr>
                <w:rFonts w:ascii="Arial"/>
                <w:spacing w:val="-1"/>
                <w:sz w:val="24"/>
              </w:rPr>
              <w:t>993,748</w:t>
            </w:r>
          </w:p>
        </w:tc>
      </w:tr>
      <w:tr>
        <w:trPr>
          <w:trHeight w:val="311"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0" w:right="0"/>
              <w:jc w:val="left"/>
              <w:rPr>
                <w:rFonts w:ascii="Arial" w:hAnsi="Arial" w:cs="Arial" w:eastAsia="Arial" w:hint="default"/>
                <w:sz w:val="24"/>
                <w:szCs w:val="24"/>
              </w:rPr>
            </w:pPr>
            <w:r>
              <w:rPr>
                <w:rFonts w:ascii="Arial"/>
                <w:sz w:val="24"/>
              </w:rPr>
              <w:t>750,827</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24"/>
                <w:szCs w:val="24"/>
              </w:rPr>
            </w:pPr>
            <w:r>
              <w:rPr>
                <w:rFonts w:ascii="Arial"/>
                <w:spacing w:val="-1"/>
                <w:sz w:val="24"/>
              </w:rPr>
              <w:t>754,329</w:t>
            </w:r>
          </w:p>
        </w:tc>
      </w:tr>
      <w:tr>
        <w:trPr>
          <w:trHeight w:val="312"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90" w:right="0"/>
              <w:jc w:val="left"/>
              <w:rPr>
                <w:rFonts w:ascii="Arial" w:hAnsi="Arial" w:cs="Arial" w:eastAsia="Arial" w:hint="default"/>
                <w:sz w:val="24"/>
                <w:szCs w:val="24"/>
              </w:rPr>
            </w:pPr>
            <w:r>
              <w:rPr>
                <w:rFonts w:ascii="Arial"/>
                <w:sz w:val="24"/>
              </w:rPr>
              <w:t>401,388</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9"/>
              <w:jc w:val="right"/>
              <w:rPr>
                <w:rFonts w:ascii="Arial" w:hAnsi="Arial" w:cs="Arial" w:eastAsia="Arial" w:hint="default"/>
                <w:sz w:val="24"/>
                <w:szCs w:val="24"/>
              </w:rPr>
            </w:pPr>
            <w:r>
              <w:rPr>
                <w:rFonts w:ascii="Arial"/>
                <w:spacing w:val="-1"/>
                <w:sz w:val="24"/>
              </w:rPr>
              <w:t>373,667</w:t>
            </w:r>
          </w:p>
        </w:tc>
      </w:tr>
      <w:tr>
        <w:trPr>
          <w:trHeight w:val="311"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0" w:right="0"/>
              <w:jc w:val="left"/>
              <w:rPr>
                <w:rFonts w:ascii="Arial" w:hAnsi="Arial" w:cs="Arial" w:eastAsia="Arial" w:hint="default"/>
                <w:sz w:val="24"/>
                <w:szCs w:val="24"/>
              </w:rPr>
            </w:pPr>
            <w:r>
              <w:rPr>
                <w:rFonts w:ascii="Arial"/>
                <w:sz w:val="24"/>
              </w:rPr>
              <w:t>213,634</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24"/>
                <w:szCs w:val="24"/>
              </w:rPr>
            </w:pPr>
            <w:r>
              <w:rPr>
                <w:rFonts w:ascii="Arial"/>
                <w:spacing w:val="-1"/>
                <w:sz w:val="24"/>
              </w:rPr>
              <w:t>224,353</w:t>
            </w:r>
          </w:p>
        </w:tc>
      </w:tr>
      <w:tr>
        <w:trPr>
          <w:trHeight w:val="311"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日常维修及装潢</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0" w:right="0"/>
              <w:jc w:val="left"/>
              <w:rPr>
                <w:rFonts w:ascii="Arial" w:hAnsi="Arial" w:cs="Arial" w:eastAsia="Arial" w:hint="default"/>
                <w:sz w:val="24"/>
                <w:szCs w:val="24"/>
              </w:rPr>
            </w:pPr>
            <w:r>
              <w:rPr>
                <w:rFonts w:ascii="Arial"/>
                <w:sz w:val="24"/>
              </w:rPr>
              <w:t>126,819</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7"/>
              <w:jc w:val="right"/>
              <w:rPr>
                <w:rFonts w:ascii="Arial" w:hAnsi="Arial" w:cs="Arial" w:eastAsia="Arial" w:hint="default"/>
                <w:sz w:val="24"/>
                <w:szCs w:val="24"/>
              </w:rPr>
            </w:pPr>
            <w:r>
              <w:rPr>
                <w:rFonts w:ascii="Arial"/>
                <w:w w:val="95"/>
                <w:sz w:val="24"/>
              </w:rPr>
              <w:t>87,240</w:t>
            </w:r>
            <w:r>
              <w:rPr>
                <w:rFonts w:ascii="Arial"/>
                <w:sz w:val="24"/>
              </w:rPr>
            </w:r>
          </w:p>
        </w:tc>
      </w:tr>
      <w:tr>
        <w:trPr>
          <w:trHeight w:val="313"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tabs>
                <w:tab w:pos="3963" w:val="left" w:leader="none"/>
                <w:tab w:pos="4980" w:val="left" w:leader="none"/>
              </w:tabs>
              <w:spacing w:line="259" w:lineRule="exact"/>
              <w:ind w:right="-791"/>
              <w:jc w:val="righ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98" w:type="dxa"/>
            <w:tcBorders>
              <w:top w:val="nil" w:sz="6" w:space="0" w:color="auto"/>
              <w:left w:val="nil" w:sz="6" w:space="0" w:color="auto"/>
              <w:bottom w:val="nil" w:sz="6" w:space="0" w:color="auto"/>
              <w:right w:val="nil" w:sz="6" w:space="0" w:color="auto"/>
            </w:tcBorders>
          </w:tcPr>
          <w:p>
            <w:pPr>
              <w:pStyle w:val="TableParagraph"/>
              <w:tabs>
                <w:tab w:pos="2023" w:val="left" w:leader="none"/>
                <w:tab w:pos="2821" w:val="left" w:leader="none"/>
              </w:tabs>
              <w:spacing w:line="240" w:lineRule="auto" w:before="19"/>
              <w:ind w:left="790" w:right="-624"/>
              <w:jc w:val="left"/>
              <w:rPr>
                <w:rFonts w:ascii="Arial" w:hAnsi="Arial" w:cs="Arial" w:eastAsia="Arial" w:hint="default"/>
                <w:sz w:val="24"/>
                <w:szCs w:val="24"/>
              </w:rPr>
            </w:pPr>
            <w:r>
              <w:rPr>
                <w:rFonts w:ascii="Arial"/>
                <w:w w:val="99"/>
                <w:sz w:val="24"/>
              </w:rPr>
            </w:r>
            <w:r>
              <w:rPr>
                <w:rFonts w:ascii="Arial"/>
                <w:sz w:val="24"/>
                <w:u w:val="single" w:color="000000"/>
              </w:rPr>
              <w:t>901,403</w:t>
            </w:r>
            <w:r>
              <w:rPr>
                <w:rFonts w:ascii="Arial"/>
                <w:spacing w:val="29"/>
                <w:sz w:val="24"/>
                <w:u w:val="single" w:color="000000"/>
              </w:rPr>
              <w:t> </w:t>
            </w:r>
            <w:r>
              <w:rPr>
                <w:rFonts w:ascii="Arial"/>
                <w:spacing w:val="29"/>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942" w:type="dxa"/>
            <w:tcBorders>
              <w:top w:val="nil" w:sz="6" w:space="0" w:color="auto"/>
              <w:left w:val="nil" w:sz="6" w:space="0" w:color="auto"/>
              <w:bottom w:val="nil" w:sz="6" w:space="0" w:color="auto"/>
              <w:right w:val="nil" w:sz="6" w:space="0" w:color="auto"/>
            </w:tcBorders>
          </w:tcPr>
          <w:p>
            <w:pPr>
              <w:pStyle w:val="TableParagraph"/>
              <w:tabs>
                <w:tab w:pos="1162" w:val="left" w:leader="none"/>
              </w:tabs>
              <w:spacing w:line="240" w:lineRule="auto" w:before="19"/>
              <w:ind w:right="153"/>
              <w:jc w:val="right"/>
              <w:rPr>
                <w:rFonts w:ascii="Arial" w:hAnsi="Arial" w:cs="Arial" w:eastAsia="Arial" w:hint="default"/>
                <w:sz w:val="24"/>
                <w:szCs w:val="24"/>
              </w:rPr>
            </w:pPr>
            <w:r>
              <w:rPr>
                <w:rFonts w:ascii="Arial"/>
                <w:w w:val="99"/>
                <w:sz w:val="24"/>
              </w:rPr>
            </w:r>
            <w:r>
              <w:rPr>
                <w:rFonts w:ascii="Arial"/>
                <w:w w:val="95"/>
                <w:sz w:val="24"/>
                <w:u w:val="single" w:color="000000"/>
              </w:rPr>
              <w:t>1,276,058</w:t>
            </w:r>
            <w:r>
              <w:rPr>
                <w:rFonts w:ascii="Arial"/>
                <w:sz w:val="24"/>
                <w:u w:val="single" w:color="000000"/>
              </w:rPr>
              <w:tab/>
            </w:r>
            <w:r>
              <w:rPr>
                <w:rFonts w:ascii="Arial"/>
                <w:sz w:val="24"/>
              </w:rPr>
            </w:r>
          </w:p>
        </w:tc>
      </w:tr>
      <w:tr>
        <w:trPr>
          <w:trHeight w:val="263" w:hRule="exact"/>
        </w:trPr>
        <w:tc>
          <w:tcPr>
            <w:tcW w:w="735"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tabs>
                <w:tab w:pos="456" w:val="left" w:leader="none"/>
                <w:tab w:pos="2023" w:val="left" w:leader="none"/>
                <w:tab w:pos="2687" w:val="left" w:leader="none"/>
              </w:tabs>
              <w:spacing w:line="268" w:lineRule="exact"/>
              <w:ind w:left="-227" w:right="-49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13,267,702</w:t>
            </w:r>
            <w:r>
              <w:rPr>
                <w:rFonts w:ascii="Arial"/>
                <w:spacing w:val="28"/>
                <w:sz w:val="24"/>
                <w:u w:val="thick" w:color="000000"/>
              </w:rPr>
              <w:t> </w:t>
            </w:r>
            <w:r>
              <w:rPr>
                <w:rFonts w:ascii="Arial"/>
                <w:spacing w:val="28"/>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942" w:type="dxa"/>
            <w:tcBorders>
              <w:top w:val="nil" w:sz="6" w:space="0" w:color="auto"/>
              <w:left w:val="nil" w:sz="6" w:space="0" w:color="auto"/>
              <w:bottom w:val="nil" w:sz="6" w:space="0" w:color="auto"/>
              <w:right w:val="nil" w:sz="6" w:space="0" w:color="auto"/>
            </w:tcBorders>
          </w:tcPr>
          <w:p>
            <w:pPr>
              <w:pStyle w:val="TableParagraph"/>
              <w:tabs>
                <w:tab w:pos="1295" w:val="left" w:leader="none"/>
              </w:tabs>
              <w:spacing w:line="268" w:lineRule="exact"/>
              <w:ind w:right="153"/>
              <w:jc w:val="right"/>
              <w:rPr>
                <w:rFonts w:ascii="Arial" w:hAnsi="Arial" w:cs="Arial" w:eastAsia="Arial" w:hint="default"/>
                <w:sz w:val="24"/>
                <w:szCs w:val="24"/>
              </w:rPr>
            </w:pPr>
            <w:r>
              <w:rPr>
                <w:rFonts w:ascii="Arial"/>
                <w:w w:val="99"/>
                <w:sz w:val="24"/>
              </w:rPr>
            </w:r>
            <w:r>
              <w:rPr>
                <w:rFonts w:ascii="Arial"/>
                <w:w w:val="95"/>
                <w:sz w:val="24"/>
                <w:u w:val="thick" w:color="000000"/>
              </w:rPr>
              <w:t>13,058,537</w:t>
            </w:r>
            <w:r>
              <w:rPr>
                <w:rFonts w:ascii="Arial"/>
                <w:sz w:val="24"/>
                <w:u w:val="thick" w:color="000000"/>
              </w:rPr>
              <w:tab/>
            </w:r>
            <w:r>
              <w:rPr>
                <w:rFonts w:ascii="Arial"/>
                <w:sz w:val="24"/>
              </w:rPr>
            </w:r>
          </w:p>
        </w:tc>
      </w:tr>
    </w:tbl>
    <w:p>
      <w:pPr>
        <w:spacing w:after="0" w:line="268" w:lineRule="exact"/>
        <w:jc w:val="right"/>
        <w:rPr>
          <w:rFonts w:ascii="Arial" w:hAnsi="Arial" w:cs="Arial" w:eastAsia="Arial" w:hint="default"/>
          <w:sz w:val="24"/>
          <w:szCs w:val="24"/>
        </w:rPr>
        <w:sectPr>
          <w:pgSz w:w="11910" w:h="16840"/>
          <w:pgMar w:header="0" w:footer="698" w:top="1860" w:bottom="880" w:left="14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754"/>
        <w:gridCol w:w="4320"/>
        <w:gridCol w:w="2119"/>
        <w:gridCol w:w="2080"/>
      </w:tblGrid>
      <w:tr>
        <w:trPr>
          <w:trHeight w:val="398"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320" w:type="dxa"/>
            <w:tcBorders>
              <w:top w:val="nil" w:sz="6" w:space="0" w:color="auto"/>
              <w:left w:val="nil" w:sz="6" w:space="0" w:color="auto"/>
              <w:bottom w:val="nil" w:sz="6" w:space="0" w:color="auto"/>
              <w:right w:val="nil" w:sz="6" w:space="0" w:color="auto"/>
            </w:tcBorders>
          </w:tcPr>
          <w:p>
            <w:pPr>
              <w:pStyle w:val="TableParagraph"/>
              <w:spacing w:line="257" w:lineRule="exact"/>
              <w:ind w:left="12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r>
      <w:tr>
        <w:trPr>
          <w:trHeight w:val="531"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Arial" w:hAnsi="Arial" w:cs="Arial" w:eastAsia="Arial" w:hint="default"/>
                <w:sz w:val="24"/>
                <w:szCs w:val="24"/>
              </w:rPr>
            </w:pPr>
            <w:r>
              <w:rPr>
                <w:rFonts w:ascii="Arial"/>
                <w:sz w:val="24"/>
              </w:rPr>
              <w:t>(58)</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6" w:right="0"/>
              <w:jc w:val="left"/>
              <w:rPr>
                <w:rFonts w:ascii="黑体" w:hAnsi="黑体" w:cs="黑体" w:eastAsia="黑体" w:hint="default"/>
                <w:sz w:val="24"/>
                <w:szCs w:val="24"/>
              </w:rPr>
            </w:pPr>
            <w:r>
              <w:rPr>
                <w:rFonts w:ascii="黑体" w:hAnsi="黑体" w:cs="黑体" w:eastAsia="黑体" w:hint="default"/>
                <w:sz w:val="24"/>
                <w:szCs w:val="24"/>
              </w:rPr>
              <w:t>现金流量表补充资料</w:t>
            </w:r>
          </w:p>
        </w:tc>
        <w:tc>
          <w:tcPr>
            <w:tcW w:w="2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r>
      <w:tr>
        <w:trPr>
          <w:trHeight w:val="588"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0" w:right="0"/>
              <w:jc w:val="left"/>
              <w:rPr>
                <w:rFonts w:ascii="Arial" w:hAnsi="Arial" w:cs="Arial" w:eastAsia="Arial" w:hint="default"/>
                <w:sz w:val="24"/>
                <w:szCs w:val="24"/>
              </w:rPr>
            </w:pPr>
            <w:r>
              <w:rPr>
                <w:rFonts w:ascii="Arial"/>
                <w:sz w:val="24"/>
              </w:rPr>
              <w:t>(a)</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6" w:right="0"/>
              <w:jc w:val="left"/>
              <w:rPr>
                <w:rFonts w:ascii="宋体" w:hAnsi="宋体" w:cs="宋体" w:eastAsia="宋体" w:hint="default"/>
                <w:sz w:val="24"/>
                <w:szCs w:val="24"/>
              </w:rPr>
            </w:pPr>
            <w:r>
              <w:rPr>
                <w:rFonts w:ascii="宋体" w:hAnsi="宋体" w:cs="宋体" w:eastAsia="宋体" w:hint="default"/>
                <w:sz w:val="24"/>
                <w:szCs w:val="24"/>
              </w:rPr>
              <w:t>现金流量表补充资料</w:t>
            </w:r>
          </w:p>
        </w:tc>
        <w:tc>
          <w:tcPr>
            <w:tcW w:w="2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r>
      <w:tr>
        <w:trPr>
          <w:trHeight w:val="569"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6" w:right="0"/>
              <w:jc w:val="left"/>
              <w:rPr>
                <w:rFonts w:ascii="宋体" w:hAnsi="宋体" w:cs="宋体" w:eastAsia="宋体" w:hint="default"/>
                <w:sz w:val="24"/>
                <w:szCs w:val="24"/>
              </w:rPr>
            </w:pPr>
            <w:r>
              <w:rPr>
                <w:rFonts w:ascii="宋体" w:hAnsi="宋体" w:cs="宋体" w:eastAsia="宋体" w:hint="default"/>
                <w:sz w:val="24"/>
                <w:szCs w:val="24"/>
              </w:rPr>
              <w:t>将合并净利润调节为经营活动现金流量</w:t>
            </w:r>
          </w:p>
        </w:tc>
        <w:tc>
          <w:tcPr>
            <w:tcW w:w="2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r>
      <w:tr>
        <w:trPr>
          <w:trHeight w:val="557"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79"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2"/>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0"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6" w:right="0"/>
              <w:jc w:val="left"/>
              <w:rPr>
                <w:rFonts w:ascii="宋体" w:hAnsi="宋体" w:cs="宋体" w:eastAsia="宋体" w:hint="default"/>
                <w:sz w:val="24"/>
                <w:szCs w:val="24"/>
              </w:rPr>
            </w:pPr>
            <w:r>
              <w:rPr>
                <w:rFonts w:ascii="宋体" w:hAnsi="宋体" w:cs="宋体" w:eastAsia="宋体" w:hint="default"/>
                <w:sz w:val="24"/>
                <w:szCs w:val="24"/>
              </w:rPr>
              <w:t>合并净利润</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634" w:right="0"/>
              <w:jc w:val="left"/>
              <w:rPr>
                <w:rFonts w:ascii="Arial" w:hAnsi="Arial" w:cs="Arial" w:eastAsia="Arial" w:hint="default"/>
                <w:sz w:val="24"/>
                <w:szCs w:val="24"/>
              </w:rPr>
            </w:pPr>
            <w:r>
              <w:rPr>
                <w:rFonts w:ascii="Arial"/>
                <w:sz w:val="24"/>
              </w:rPr>
              <w:t>757,732</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79"/>
              <w:jc w:val="right"/>
              <w:rPr>
                <w:rFonts w:ascii="Arial" w:hAnsi="Arial" w:cs="Arial" w:eastAsia="Arial" w:hint="default"/>
                <w:sz w:val="24"/>
                <w:szCs w:val="24"/>
              </w:rPr>
            </w:pPr>
            <w:r>
              <w:rPr>
                <w:rFonts w:ascii="Arial"/>
                <w:spacing w:val="-1"/>
                <w:sz w:val="24"/>
              </w:rPr>
              <w:t>824,038</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62" w:lineRule="exact"/>
              <w:ind w:left="126" w:right="0"/>
              <w:jc w:val="left"/>
              <w:rPr>
                <w:rFonts w:ascii="宋体" w:hAnsi="宋体" w:cs="宋体" w:eastAsia="宋体" w:hint="default"/>
                <w:sz w:val="24"/>
                <w:szCs w:val="24"/>
              </w:rPr>
            </w:pPr>
            <w:r>
              <w:rPr>
                <w:rFonts w:ascii="宋体" w:hAnsi="宋体" w:cs="宋体" w:eastAsia="宋体" w:hint="default"/>
                <w:sz w:val="24"/>
                <w:szCs w:val="24"/>
              </w:rPr>
              <w:t>加：资产减值损失</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4" w:right="0"/>
              <w:jc w:val="left"/>
              <w:rPr>
                <w:rFonts w:ascii="Arial" w:hAnsi="Arial" w:cs="Arial" w:eastAsia="Arial" w:hint="default"/>
                <w:sz w:val="24"/>
                <w:szCs w:val="24"/>
              </w:rPr>
            </w:pPr>
            <w:r>
              <w:rPr>
                <w:rFonts w:ascii="Arial"/>
                <w:sz w:val="24"/>
              </w:rPr>
              <w:t>198,087</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9"/>
              <w:jc w:val="right"/>
              <w:rPr>
                <w:rFonts w:ascii="Arial" w:hAnsi="Arial" w:cs="Arial" w:eastAsia="Arial" w:hint="default"/>
                <w:sz w:val="24"/>
                <w:szCs w:val="24"/>
              </w:rPr>
            </w:pPr>
            <w:r>
              <w:rPr>
                <w:rFonts w:ascii="Arial"/>
                <w:spacing w:val="-1"/>
                <w:sz w:val="24"/>
              </w:rPr>
              <w:t>174,955</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固定资产和投资性房地产折旧</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4" w:right="0"/>
              <w:jc w:val="left"/>
              <w:rPr>
                <w:rFonts w:ascii="Arial" w:hAnsi="Arial" w:cs="Arial" w:eastAsia="Arial" w:hint="default"/>
                <w:sz w:val="24"/>
                <w:szCs w:val="24"/>
              </w:rPr>
            </w:pPr>
            <w:r>
              <w:rPr>
                <w:rFonts w:ascii="Arial"/>
                <w:sz w:val="24"/>
              </w:rPr>
              <w:t>886,983</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9"/>
              <w:jc w:val="right"/>
              <w:rPr>
                <w:rFonts w:ascii="Arial" w:hAnsi="Arial" w:cs="Arial" w:eastAsia="Arial" w:hint="default"/>
                <w:sz w:val="24"/>
                <w:szCs w:val="24"/>
              </w:rPr>
            </w:pPr>
            <w:r>
              <w:rPr>
                <w:rFonts w:ascii="Arial"/>
                <w:spacing w:val="-1"/>
                <w:sz w:val="24"/>
              </w:rPr>
              <w:t>936,906</w:t>
            </w:r>
          </w:p>
        </w:tc>
      </w:tr>
      <w:tr>
        <w:trPr>
          <w:trHeight w:val="312"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34" w:right="0"/>
              <w:jc w:val="left"/>
              <w:rPr>
                <w:rFonts w:ascii="Arial" w:hAnsi="Arial" w:cs="Arial" w:eastAsia="Arial" w:hint="default"/>
                <w:sz w:val="24"/>
                <w:szCs w:val="24"/>
              </w:rPr>
            </w:pPr>
            <w:r>
              <w:rPr>
                <w:rFonts w:ascii="Arial"/>
                <w:sz w:val="24"/>
              </w:rPr>
              <w:t>1,062,010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9"/>
              <w:jc w:val="right"/>
              <w:rPr>
                <w:rFonts w:ascii="Arial" w:hAnsi="Arial" w:cs="Arial" w:eastAsia="Arial" w:hint="default"/>
                <w:sz w:val="24"/>
                <w:szCs w:val="24"/>
              </w:rPr>
            </w:pPr>
            <w:r>
              <w:rPr>
                <w:rFonts w:ascii="Arial"/>
                <w:spacing w:val="-1"/>
                <w:sz w:val="24"/>
              </w:rPr>
              <w:t>302,109</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4" w:right="0"/>
              <w:jc w:val="left"/>
              <w:rPr>
                <w:rFonts w:ascii="Arial" w:hAnsi="Arial" w:cs="Arial" w:eastAsia="Arial" w:hint="default"/>
                <w:sz w:val="24"/>
                <w:szCs w:val="24"/>
              </w:rPr>
            </w:pPr>
            <w:r>
              <w:rPr>
                <w:rFonts w:ascii="Arial"/>
                <w:sz w:val="24"/>
              </w:rPr>
              <w:t>625,585</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9"/>
              <w:jc w:val="right"/>
              <w:rPr>
                <w:rFonts w:ascii="Arial" w:hAnsi="Arial" w:cs="Arial" w:eastAsia="Arial" w:hint="default"/>
                <w:sz w:val="24"/>
                <w:szCs w:val="24"/>
              </w:rPr>
            </w:pPr>
            <w:r>
              <w:rPr>
                <w:rFonts w:ascii="Arial"/>
                <w:spacing w:val="-1"/>
                <w:sz w:val="24"/>
              </w:rPr>
              <w:t>486,779</w:t>
            </w:r>
          </w:p>
        </w:tc>
      </w:tr>
      <w:tr>
        <w:trPr>
          <w:trHeight w:val="623"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61" w:lineRule="exact"/>
              <w:ind w:left="555" w:right="0"/>
              <w:jc w:val="left"/>
              <w:rPr>
                <w:rFonts w:ascii="宋体" w:hAnsi="宋体" w:cs="宋体" w:eastAsia="宋体" w:hint="default"/>
                <w:sz w:val="24"/>
                <w:szCs w:val="24"/>
              </w:rPr>
            </w:pPr>
            <w:r>
              <w:rPr>
                <w:rFonts w:ascii="宋体" w:hAnsi="宋体" w:cs="宋体" w:eastAsia="宋体" w:hint="default"/>
                <w:spacing w:val="-5"/>
                <w:sz w:val="24"/>
                <w:szCs w:val="24"/>
              </w:rPr>
              <w:t>处置固定资产、无形资产和其他长</w:t>
            </w:r>
          </w:p>
          <w:p>
            <w:pPr>
              <w:pStyle w:val="TableParagraph"/>
              <w:spacing w:line="313" w:lineRule="exact"/>
              <w:ind w:left="800" w:right="0"/>
              <w:jc w:val="left"/>
              <w:rPr>
                <w:rFonts w:ascii="宋体" w:hAnsi="宋体" w:cs="宋体" w:eastAsia="宋体" w:hint="default"/>
                <w:sz w:val="24"/>
                <w:szCs w:val="24"/>
              </w:rPr>
            </w:pPr>
            <w:r>
              <w:rPr>
                <w:rFonts w:ascii="宋体" w:hAnsi="宋体" w:cs="宋体" w:eastAsia="宋体" w:hint="default"/>
                <w:sz w:val="24"/>
                <w:szCs w:val="24"/>
              </w:rPr>
              <w:t>期资产的净收益</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353" w:right="0"/>
              <w:jc w:val="left"/>
              <w:rPr>
                <w:rFonts w:ascii="Arial" w:hAnsi="Arial" w:cs="Arial" w:eastAsia="Arial" w:hint="default"/>
                <w:sz w:val="24"/>
                <w:szCs w:val="24"/>
              </w:rPr>
            </w:pPr>
            <w:r>
              <w:rPr>
                <w:rFonts w:ascii="Arial"/>
                <w:sz w:val="24"/>
              </w:rPr>
              <w:t>(1,397,346)</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98"/>
              <w:jc w:val="right"/>
              <w:rPr>
                <w:rFonts w:ascii="Arial" w:hAnsi="Arial" w:cs="Arial" w:eastAsia="Arial" w:hint="default"/>
                <w:sz w:val="24"/>
                <w:szCs w:val="24"/>
              </w:rPr>
            </w:pPr>
            <w:r>
              <w:rPr>
                <w:rFonts w:ascii="Arial"/>
                <w:spacing w:val="-1"/>
                <w:sz w:val="24"/>
              </w:rPr>
              <w:t>(2,420,528)</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4" w:right="0"/>
              <w:jc w:val="left"/>
              <w:rPr>
                <w:rFonts w:ascii="Arial" w:hAnsi="Arial" w:cs="Arial" w:eastAsia="Arial" w:hint="default"/>
                <w:sz w:val="24"/>
                <w:szCs w:val="24"/>
              </w:rPr>
            </w:pPr>
            <w:r>
              <w:rPr>
                <w:rFonts w:ascii="Arial"/>
                <w:sz w:val="24"/>
              </w:rPr>
              <w:t>372,157</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9"/>
              <w:jc w:val="right"/>
              <w:rPr>
                <w:rFonts w:ascii="Arial" w:hAnsi="Arial" w:cs="Arial" w:eastAsia="Arial" w:hint="default"/>
                <w:sz w:val="24"/>
                <w:szCs w:val="24"/>
              </w:rPr>
            </w:pPr>
            <w:r>
              <w:rPr>
                <w:rFonts w:ascii="Arial"/>
                <w:spacing w:val="-1"/>
                <w:sz w:val="24"/>
              </w:rPr>
              <w:t>188,859</w:t>
            </w:r>
          </w:p>
        </w:tc>
      </w:tr>
      <w:tr>
        <w:trPr>
          <w:trHeight w:val="315"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79" w:lineRule="exact"/>
              <w:ind w:left="615" w:right="0"/>
              <w:jc w:val="left"/>
              <w:rPr>
                <w:rFonts w:ascii="宋体" w:hAnsi="宋体" w:cs="宋体" w:eastAsia="宋体" w:hint="default"/>
                <w:sz w:val="24"/>
                <w:szCs w:val="24"/>
              </w:rPr>
            </w:pPr>
            <w:r>
              <w:rPr>
                <w:rFonts w:ascii="宋体" w:hAnsi="宋体" w:cs="宋体" w:eastAsia="宋体" w:hint="default"/>
                <w:sz w:val="24"/>
                <w:szCs w:val="24"/>
              </w:rPr>
              <w:t>投资</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r>
              <w:rPr>
                <w:rFonts w:ascii="宋体" w:hAnsi="宋体" w:cs="宋体" w:eastAsia="宋体" w:hint="default"/>
                <w:sz w:val="24"/>
                <w:szCs w:val="24"/>
              </w:rPr>
              <w:t>损失</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3" w:right="0"/>
              <w:jc w:val="left"/>
              <w:rPr>
                <w:rFonts w:ascii="Arial" w:hAnsi="Arial" w:cs="Arial" w:eastAsia="Arial" w:hint="default"/>
                <w:sz w:val="24"/>
                <w:szCs w:val="24"/>
              </w:rPr>
            </w:pPr>
            <w:r>
              <w:rPr>
                <w:rFonts w:ascii="Arial"/>
                <w:sz w:val="24"/>
              </w:rPr>
              <w:t>(1,654,764)</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7"/>
              <w:jc w:val="right"/>
              <w:rPr>
                <w:rFonts w:ascii="Arial" w:hAnsi="Arial" w:cs="Arial" w:eastAsia="Arial" w:hint="default"/>
                <w:sz w:val="24"/>
                <w:szCs w:val="24"/>
              </w:rPr>
            </w:pPr>
            <w:r>
              <w:rPr>
                <w:rFonts w:ascii="Arial"/>
                <w:w w:val="95"/>
                <w:sz w:val="24"/>
              </w:rPr>
              <w:t>29,847</w:t>
            </w:r>
            <w:r>
              <w:rPr>
                <w:rFonts w:ascii="Arial"/>
                <w:sz w:val="24"/>
              </w:rPr>
            </w:r>
          </w:p>
        </w:tc>
      </w:tr>
      <w:tr>
        <w:trPr>
          <w:trHeight w:val="587"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76" w:lineRule="exact"/>
              <w:ind w:left="639" w:right="0"/>
              <w:jc w:val="left"/>
              <w:rPr>
                <w:rFonts w:ascii="宋体" w:hAnsi="宋体" w:cs="宋体" w:eastAsia="宋体" w:hint="default"/>
                <w:sz w:val="24"/>
                <w:szCs w:val="24"/>
              </w:rPr>
            </w:pPr>
            <w:r>
              <w:rPr>
                <w:rFonts w:ascii="宋体" w:hAnsi="宋体" w:cs="宋体" w:eastAsia="宋体" w:hint="default"/>
                <w:spacing w:val="32"/>
                <w:sz w:val="24"/>
                <w:szCs w:val="24"/>
              </w:rPr>
              <w:t>营业外</w:t>
            </w:r>
            <w:r>
              <w:rPr>
                <w:rFonts w:ascii="宋体" w:hAnsi="宋体" w:cs="宋体" w:eastAsia="宋体" w:hint="default"/>
                <w:spacing w:val="-71"/>
                <w:sz w:val="24"/>
                <w:szCs w:val="24"/>
              </w:rPr>
              <w:t> </w:t>
            </w:r>
            <w:r>
              <w:rPr>
                <w:rFonts w:ascii="宋体" w:hAnsi="宋体" w:cs="宋体" w:eastAsia="宋体" w:hint="default"/>
                <w:spacing w:val="24"/>
                <w:sz w:val="24"/>
                <w:szCs w:val="24"/>
              </w:rPr>
              <w:t>收入</w:t>
            </w:r>
            <w:r>
              <w:rPr>
                <w:rFonts w:ascii="宋体" w:hAnsi="宋体" w:cs="宋体" w:eastAsia="宋体" w:hint="default"/>
                <w:spacing w:val="-71"/>
                <w:sz w:val="24"/>
                <w:szCs w:val="24"/>
              </w:rPr>
              <w:t> </w:t>
            </w:r>
            <w:r>
              <w:rPr>
                <w:rFonts w:ascii="Arial" w:hAnsi="Arial" w:cs="Arial" w:eastAsia="Arial" w:hint="default"/>
                <w:sz w:val="24"/>
                <w:szCs w:val="24"/>
              </w:rPr>
              <w:t>–</w:t>
            </w:r>
            <w:r>
              <w:rPr>
                <w:rFonts w:ascii="Arial" w:hAnsi="Arial" w:cs="Arial" w:eastAsia="Arial" w:hint="default"/>
                <w:spacing w:val="-18"/>
                <w:sz w:val="24"/>
                <w:szCs w:val="24"/>
              </w:rPr>
              <w:t> </w:t>
            </w:r>
            <w:r>
              <w:rPr>
                <w:rFonts w:ascii="宋体" w:hAnsi="宋体" w:cs="宋体" w:eastAsia="宋体" w:hint="default"/>
                <w:sz w:val="24"/>
                <w:szCs w:val="24"/>
              </w:rPr>
              <w:t>负</w:t>
            </w:r>
            <w:r>
              <w:rPr>
                <w:rFonts w:ascii="宋体" w:hAnsi="宋体" w:cs="宋体" w:eastAsia="宋体" w:hint="default"/>
                <w:spacing w:val="-71"/>
                <w:sz w:val="24"/>
                <w:szCs w:val="24"/>
              </w:rPr>
              <w:t> </w:t>
            </w:r>
            <w:r>
              <w:rPr>
                <w:rFonts w:ascii="宋体" w:hAnsi="宋体" w:cs="宋体" w:eastAsia="宋体" w:hint="default"/>
                <w:spacing w:val="25"/>
                <w:sz w:val="24"/>
                <w:szCs w:val="24"/>
              </w:rPr>
              <w:t>商誉</w:t>
            </w:r>
            <w:r>
              <w:rPr>
                <w:rFonts w:ascii="宋体" w:hAnsi="宋体" w:cs="宋体" w:eastAsia="宋体" w:hint="default"/>
                <w:spacing w:val="-71"/>
                <w:sz w:val="24"/>
                <w:szCs w:val="24"/>
              </w:rPr>
              <w:t> </w:t>
            </w:r>
            <w:r>
              <w:rPr>
                <w:rFonts w:ascii="Arial" w:hAnsi="Arial" w:cs="Arial" w:eastAsia="Arial" w:hint="default"/>
                <w:sz w:val="24"/>
                <w:szCs w:val="24"/>
              </w:rPr>
              <w:t>(</w:t>
            </w:r>
            <w:r>
              <w:rPr>
                <w:rFonts w:ascii="Arial" w:hAnsi="Arial" w:cs="Arial" w:eastAsia="Arial" w:hint="default"/>
                <w:spacing w:val="-17"/>
                <w:sz w:val="24"/>
                <w:szCs w:val="24"/>
              </w:rPr>
              <w:t> </w:t>
            </w:r>
            <w:r>
              <w:rPr>
                <w:rFonts w:ascii="宋体" w:hAnsi="宋体" w:cs="宋体" w:eastAsia="宋体" w:hint="default"/>
                <w:spacing w:val="24"/>
                <w:sz w:val="24"/>
                <w:szCs w:val="24"/>
              </w:rPr>
              <w:t>附注</w:t>
            </w:r>
            <w:r>
              <w:rPr>
                <w:rFonts w:ascii="宋体" w:hAnsi="宋体" w:cs="宋体" w:eastAsia="宋体" w:hint="default"/>
                <w:spacing w:val="-71"/>
                <w:sz w:val="24"/>
                <w:szCs w:val="24"/>
              </w:rPr>
              <w:t> </w:t>
            </w:r>
            <w:r>
              <w:rPr>
                <w:rFonts w:ascii="宋体" w:hAnsi="宋体" w:cs="宋体" w:eastAsia="宋体" w:hint="default"/>
                <w:sz w:val="24"/>
                <w:szCs w:val="24"/>
              </w:rPr>
              <w:t>五</w:t>
            </w:r>
          </w:p>
          <w:p>
            <w:pPr>
              <w:pStyle w:val="TableParagraph"/>
              <w:spacing w:line="240" w:lineRule="auto" w:before="16"/>
              <w:ind w:left="867" w:right="0"/>
              <w:jc w:val="left"/>
              <w:rPr>
                <w:rFonts w:ascii="Arial" w:hAnsi="Arial" w:cs="Arial" w:eastAsia="Arial" w:hint="default"/>
                <w:sz w:val="24"/>
                <w:szCs w:val="24"/>
              </w:rPr>
            </w:pPr>
            <w:r>
              <w:rPr>
                <w:rFonts w:ascii="Arial"/>
                <w:sz w:val="24"/>
              </w:rPr>
              <w:t>(1)(b))</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821" w:right="0"/>
              <w:jc w:val="left"/>
              <w:rPr>
                <w:rFonts w:ascii="Arial" w:hAnsi="Arial" w:cs="Arial" w:eastAsia="Arial" w:hint="default"/>
                <w:sz w:val="24"/>
                <w:szCs w:val="24"/>
              </w:rPr>
            </w:pPr>
            <w:r>
              <w:rPr>
                <w:rFonts w:ascii="Arial"/>
                <w:sz w:val="24"/>
              </w:rPr>
              <w:t>(7,661)</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7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59" w:lineRule="exact"/>
              <w:ind w:left="615" w:right="0"/>
              <w:jc w:val="left"/>
              <w:rPr>
                <w:rFonts w:ascii="宋体" w:hAnsi="宋体" w:cs="宋体" w:eastAsia="宋体" w:hint="default"/>
                <w:sz w:val="24"/>
                <w:szCs w:val="24"/>
              </w:rPr>
            </w:pPr>
            <w:r>
              <w:rPr>
                <w:rFonts w:ascii="宋体" w:hAnsi="宋体" w:cs="宋体" w:eastAsia="宋体" w:hint="default"/>
                <w:sz w:val="24"/>
                <w:szCs w:val="24"/>
              </w:rPr>
              <w:t>公允价值变动损失</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02" w:right="0"/>
              <w:jc w:val="left"/>
              <w:rPr>
                <w:rFonts w:ascii="Arial" w:hAnsi="Arial" w:cs="Arial" w:eastAsia="Arial" w:hint="default"/>
                <w:sz w:val="24"/>
                <w:szCs w:val="24"/>
              </w:rPr>
            </w:pPr>
            <w:r>
              <w:rPr>
                <w:rFonts w:ascii="Arial"/>
                <w:sz w:val="24"/>
              </w:rPr>
              <w:t>6,920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8"/>
              <w:jc w:val="right"/>
              <w:rPr>
                <w:rFonts w:ascii="Arial" w:hAnsi="Arial" w:cs="Arial" w:eastAsia="Arial" w:hint="default"/>
                <w:sz w:val="24"/>
                <w:szCs w:val="24"/>
              </w:rPr>
            </w:pPr>
            <w:r>
              <w:rPr>
                <w:rFonts w:ascii="Arial"/>
                <w:spacing w:val="-1"/>
                <w:sz w:val="24"/>
              </w:rPr>
              <w:t>9,330</w:t>
            </w:r>
            <w:r>
              <w:rPr>
                <w:rFonts w:ascii="Arial"/>
                <w:sz w:val="24"/>
              </w:rPr>
            </w:r>
          </w:p>
        </w:tc>
      </w:tr>
      <w:tr>
        <w:trPr>
          <w:trHeight w:val="309"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59" w:lineRule="exact"/>
              <w:ind w:left="615" w:right="0"/>
              <w:jc w:val="left"/>
              <w:rPr>
                <w:rFonts w:ascii="宋体" w:hAnsi="宋体" w:cs="宋体" w:eastAsia="宋体" w:hint="default"/>
                <w:sz w:val="24"/>
                <w:szCs w:val="24"/>
              </w:rPr>
            </w:pPr>
            <w:r>
              <w:rPr>
                <w:rFonts w:ascii="宋体" w:hAnsi="宋体" w:cs="宋体" w:eastAsia="宋体" w:hint="default"/>
                <w:sz w:val="24"/>
                <w:szCs w:val="24"/>
              </w:rPr>
              <w:t>递延所得税资产增加</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54" w:right="0"/>
              <w:jc w:val="left"/>
              <w:rPr>
                <w:rFonts w:ascii="Arial" w:hAnsi="Arial" w:cs="Arial" w:eastAsia="Arial" w:hint="default"/>
                <w:sz w:val="24"/>
                <w:szCs w:val="24"/>
              </w:rPr>
            </w:pPr>
            <w:r>
              <w:rPr>
                <w:rFonts w:ascii="Arial"/>
                <w:sz w:val="24"/>
              </w:rPr>
              <w:t>(529,098)</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8"/>
              <w:jc w:val="right"/>
              <w:rPr>
                <w:rFonts w:ascii="Arial" w:hAnsi="Arial" w:cs="Arial" w:eastAsia="Arial" w:hint="default"/>
                <w:sz w:val="24"/>
                <w:szCs w:val="24"/>
              </w:rPr>
            </w:pPr>
            <w:r>
              <w:rPr>
                <w:rFonts w:ascii="Arial"/>
                <w:spacing w:val="-1"/>
                <w:sz w:val="24"/>
              </w:rPr>
              <w:t>(533,417)</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递延所得税负债减少</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87" w:right="0"/>
              <w:jc w:val="left"/>
              <w:rPr>
                <w:rFonts w:ascii="Arial" w:hAnsi="Arial" w:cs="Arial" w:eastAsia="Arial" w:hint="default"/>
                <w:sz w:val="24"/>
                <w:szCs w:val="24"/>
              </w:rPr>
            </w:pPr>
            <w:r>
              <w:rPr>
                <w:rFonts w:ascii="Arial"/>
                <w:sz w:val="24"/>
              </w:rPr>
              <w:t>(34,049)</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spacing w:val="-1"/>
                <w:sz w:val="24"/>
              </w:rPr>
              <w:t>(80,585)</w:t>
            </w:r>
          </w:p>
        </w:tc>
      </w:tr>
      <w:tr>
        <w:trPr>
          <w:trHeight w:val="315"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存货的减少</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34" w:right="0"/>
              <w:jc w:val="left"/>
              <w:rPr>
                <w:rFonts w:ascii="Arial" w:hAnsi="Arial" w:cs="Arial" w:eastAsia="Arial" w:hint="default"/>
                <w:sz w:val="24"/>
                <w:szCs w:val="24"/>
              </w:rPr>
            </w:pPr>
            <w:r>
              <w:rPr>
                <w:rFonts w:ascii="Arial"/>
                <w:sz w:val="24"/>
              </w:rPr>
              <w:t>1,579,818</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8"/>
              <w:jc w:val="right"/>
              <w:rPr>
                <w:rFonts w:ascii="Arial" w:hAnsi="Arial" w:cs="Arial" w:eastAsia="Arial" w:hint="default"/>
                <w:sz w:val="24"/>
                <w:szCs w:val="24"/>
              </w:rPr>
            </w:pPr>
            <w:r>
              <w:rPr>
                <w:rFonts w:ascii="Arial"/>
                <w:w w:val="95"/>
                <w:sz w:val="24"/>
              </w:rPr>
              <w:t>1,753,905</w:t>
            </w:r>
            <w:r>
              <w:rPr>
                <w:rFonts w:ascii="Arial"/>
                <w:sz w:val="24"/>
              </w:rPr>
            </w:r>
          </w:p>
        </w:tc>
      </w:tr>
      <w:tr>
        <w:trPr>
          <w:trHeight w:val="308"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59" w:lineRule="exact"/>
              <w:ind w:left="615" w:right="0"/>
              <w:jc w:val="left"/>
              <w:rPr>
                <w:rFonts w:ascii="宋体" w:hAnsi="宋体" w:cs="宋体" w:eastAsia="宋体" w:hint="default"/>
                <w:sz w:val="24"/>
                <w:szCs w:val="24"/>
              </w:rPr>
            </w:pPr>
            <w:r>
              <w:rPr>
                <w:rFonts w:ascii="宋体" w:hAnsi="宋体" w:cs="宋体" w:eastAsia="宋体" w:hint="default"/>
                <w:sz w:val="24"/>
                <w:szCs w:val="24"/>
              </w:rPr>
              <w:t>经营性应收项目的增加</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3" w:right="0"/>
              <w:jc w:val="left"/>
              <w:rPr>
                <w:rFonts w:ascii="Arial" w:hAnsi="Arial" w:cs="Arial" w:eastAsia="Arial" w:hint="default"/>
                <w:sz w:val="24"/>
                <w:szCs w:val="24"/>
              </w:rPr>
            </w:pPr>
            <w:r>
              <w:rPr>
                <w:rFonts w:ascii="Arial"/>
                <w:sz w:val="24"/>
              </w:rPr>
              <w:t>(3,255,372)</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4"/>
                <w:szCs w:val="24"/>
              </w:rPr>
            </w:pPr>
            <w:r>
              <w:rPr>
                <w:rFonts w:ascii="Arial"/>
                <w:w w:val="95"/>
                <w:sz w:val="24"/>
              </w:rPr>
              <w:t>(157,609)</w:t>
            </w:r>
            <w:r>
              <w:rPr>
                <w:rFonts w:ascii="Arial"/>
                <w:sz w:val="24"/>
              </w:rPr>
            </w:r>
          </w:p>
        </w:tc>
      </w:tr>
      <w:tr>
        <w:trPr>
          <w:trHeight w:val="316"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tabs>
                <w:tab w:pos="3511" w:val="left" w:leader="none"/>
                <w:tab w:pos="4138" w:val="left" w:leader="none"/>
              </w:tabs>
              <w:spacing w:line="274" w:lineRule="exact"/>
              <w:ind w:right="-435"/>
              <w:jc w:val="right"/>
              <w:rPr>
                <w:rFonts w:ascii="Arial" w:hAnsi="Arial" w:cs="Arial" w:eastAsia="Arial" w:hint="default"/>
                <w:sz w:val="24"/>
                <w:szCs w:val="24"/>
              </w:rPr>
            </w:pPr>
            <w:r>
              <w:rPr>
                <w:rFonts w:ascii="宋体" w:hAnsi="宋体" w:cs="宋体" w:eastAsia="宋体" w:hint="default"/>
                <w:position w:val="2"/>
                <w:sz w:val="24"/>
                <w:szCs w:val="24"/>
              </w:rPr>
              <w:t>经营性应付项目的增加</w:t>
            </w:r>
            <w:r>
              <w:rPr>
                <w:rFonts w:ascii="Arial" w:hAnsi="Arial" w:cs="Arial" w:eastAsia="Arial" w:hint="default"/>
                <w:position w:val="2"/>
                <w:sz w:val="24"/>
                <w:szCs w:val="24"/>
              </w:rPr>
              <w:t>/(</w:t>
            </w:r>
            <w:r>
              <w:rPr>
                <w:rFonts w:ascii="宋体" w:hAnsi="宋体" w:cs="宋体" w:eastAsia="宋体" w:hint="default"/>
                <w:position w:val="2"/>
                <w:sz w:val="24"/>
                <w:szCs w:val="24"/>
              </w:rPr>
              <w:t>减少</w:t>
            </w:r>
            <w:r>
              <w:rPr>
                <w:rFonts w:ascii="Arial" w:hAnsi="Arial" w:cs="Arial" w:eastAsia="Arial" w:hint="default"/>
                <w:position w:val="2"/>
                <w:sz w:val="24"/>
                <w:szCs w:val="24"/>
              </w:rPr>
              <w:t>)</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479" w:val="left" w:leader="none"/>
                <w:tab w:pos="2336" w:val="left" w:leader="none"/>
              </w:tabs>
              <w:spacing w:line="240" w:lineRule="auto" w:before="18"/>
              <w:ind w:right="-653"/>
              <w:jc w:val="right"/>
              <w:rPr>
                <w:rFonts w:ascii="Arial" w:hAnsi="Arial" w:cs="Arial" w:eastAsia="Arial" w:hint="default"/>
                <w:sz w:val="24"/>
                <w:szCs w:val="24"/>
              </w:rPr>
            </w:pPr>
            <w:r>
              <w:rPr>
                <w:rFonts w:ascii="Arial"/>
                <w:w w:val="99"/>
                <w:sz w:val="24"/>
              </w:rPr>
            </w:r>
            <w:r>
              <w:rPr>
                <w:rFonts w:ascii="Arial"/>
                <w:w w:val="95"/>
                <w:sz w:val="24"/>
                <w:u w:val="single" w:color="000000"/>
              </w:rPr>
              <w:t>3,122,337</w:t>
            </w:r>
            <w:r>
              <w:rPr>
                <w:rFonts w:ascii="Arial"/>
                <w:sz w:val="24"/>
                <w:u w:val="single" w:color="000000"/>
              </w:rPr>
              <w:t> </w:t>
            </w:r>
            <w:r>
              <w:rPr>
                <w:rFonts w:ascii="Arial"/>
                <w:spacing w:val="22"/>
                <w:sz w:val="24"/>
                <w:u w:val="single" w:color="000000"/>
              </w:rPr>
              <w:t> </w:t>
            </w:r>
            <w:r>
              <w:rPr>
                <w:rFonts w:ascii="Arial"/>
                <w:spacing w:val="22"/>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r>
            <w:r>
              <w:rPr>
                <w:rFonts w:ascii="Arial"/>
                <w:w w:val="95"/>
                <w:sz w:val="24"/>
                <w:u w:val="single" w:color="000000"/>
              </w:rPr>
              <w:t>(2,896,008)</w:t>
            </w:r>
            <w:r>
              <w:rPr>
                <w:rFonts w:ascii="Arial"/>
                <w:w w:val="95"/>
                <w:sz w:val="24"/>
              </w:rPr>
            </w:r>
            <w:r>
              <w:rPr>
                <w:rFonts w:ascii="Arial"/>
                <w:sz w:val="24"/>
              </w:rPr>
            </w:r>
          </w:p>
        </w:tc>
      </w:tr>
      <w:tr>
        <w:trPr>
          <w:trHeight w:val="450"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tabs>
                <w:tab w:pos="4627" w:val="left" w:leader="none"/>
              </w:tabs>
              <w:spacing w:line="280" w:lineRule="exact"/>
              <w:ind w:right="-435"/>
              <w:jc w:val="right"/>
              <w:rPr>
                <w:rFonts w:ascii="Arial" w:hAnsi="Arial" w:cs="Arial" w:eastAsia="Arial" w:hint="default"/>
                <w:sz w:val="24"/>
                <w:szCs w:val="24"/>
              </w:rPr>
            </w:pPr>
            <w:r>
              <w:rPr>
                <w:rFonts w:ascii="宋体" w:hAnsi="宋体" w:cs="宋体" w:eastAsia="宋体" w:hint="default"/>
                <w:spacing w:val="-1"/>
                <w:position w:val="2"/>
                <w:sz w:val="24"/>
                <w:szCs w:val="24"/>
              </w:rPr>
              <w:t>经营活动产生</w:t>
            </w:r>
            <w:r>
              <w:rPr>
                <w:rFonts w:ascii="Arial" w:hAnsi="Arial" w:cs="Arial" w:eastAsia="Arial" w:hint="default"/>
                <w:spacing w:val="-1"/>
                <w:position w:val="2"/>
                <w:sz w:val="24"/>
                <w:szCs w:val="24"/>
              </w:rPr>
              <w:t>/(</w:t>
            </w:r>
            <w:r>
              <w:rPr>
                <w:rFonts w:ascii="宋体" w:hAnsi="宋体" w:cs="宋体" w:eastAsia="宋体" w:hint="default"/>
                <w:spacing w:val="-1"/>
                <w:position w:val="2"/>
                <w:sz w:val="24"/>
                <w:szCs w:val="24"/>
              </w:rPr>
              <w:t>使用</w:t>
            </w:r>
            <w:r>
              <w:rPr>
                <w:rFonts w:ascii="Arial" w:hAnsi="Arial" w:cs="Arial" w:eastAsia="Arial" w:hint="default"/>
                <w:spacing w:val="-1"/>
                <w:position w:val="2"/>
                <w:sz w:val="24"/>
                <w:szCs w:val="24"/>
              </w:rPr>
              <w:t>)</w:t>
            </w:r>
            <w:r>
              <w:rPr>
                <w:rFonts w:ascii="宋体" w:hAnsi="宋体" w:cs="宋体" w:eastAsia="宋体" w:hint="default"/>
                <w:spacing w:val="-1"/>
                <w:position w:val="2"/>
                <w:sz w:val="24"/>
                <w:szCs w:val="24"/>
              </w:rPr>
              <w:t>的现金流量净额</w:t>
            </w:r>
            <w:r>
              <w:rPr>
                <w:rFonts w:ascii="宋体" w:hAnsi="宋体" w:cs="宋体" w:eastAsia="宋体" w:hint="default"/>
                <w:spacing w:val="52"/>
                <w:position w:val="2"/>
                <w:sz w:val="24"/>
                <w:szCs w:val="24"/>
              </w:rPr>
              <w:t> </w:t>
            </w:r>
            <w:r>
              <w:rPr>
                <w:rFonts w:ascii="Arial" w:hAnsi="Arial" w:cs="Arial" w:eastAsia="Arial" w:hint="default"/>
                <w:spacing w:val="52"/>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479" w:val="left" w:leader="none"/>
                <w:tab w:pos="2336" w:val="left" w:leader="none"/>
              </w:tabs>
              <w:spacing w:line="240" w:lineRule="auto" w:before="24"/>
              <w:ind w:right="-653"/>
              <w:jc w:val="right"/>
              <w:rPr>
                <w:rFonts w:ascii="Arial" w:hAnsi="Arial" w:cs="Arial" w:eastAsia="Arial" w:hint="default"/>
                <w:sz w:val="24"/>
                <w:szCs w:val="24"/>
              </w:rPr>
            </w:pPr>
            <w:r>
              <w:rPr>
                <w:rFonts w:ascii="Arial"/>
                <w:w w:val="99"/>
                <w:sz w:val="24"/>
              </w:rPr>
            </w:r>
            <w:r>
              <w:rPr>
                <w:rFonts w:ascii="Arial"/>
                <w:spacing w:val="-1"/>
                <w:sz w:val="24"/>
                <w:u w:val="thick" w:color="000000"/>
              </w:rPr>
              <w:t>1,733,339 </w:t>
            </w:r>
            <w:r>
              <w:rPr>
                <w:rFonts w:ascii="Arial"/>
                <w:spacing w:val="22"/>
                <w:sz w:val="24"/>
                <w:u w:val="thick" w:color="000000"/>
              </w:rPr>
              <w:t> </w:t>
            </w:r>
            <w:r>
              <w:rPr>
                <w:rFonts w:ascii="Arial"/>
                <w:spacing w:val="22"/>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4"/>
                <w:szCs w:val="24"/>
              </w:rPr>
            </w:pPr>
            <w:r>
              <w:rPr>
                <w:rFonts w:ascii="Arial"/>
                <w:w w:val="99"/>
                <w:sz w:val="24"/>
              </w:rPr>
            </w:r>
            <w:r>
              <w:rPr>
                <w:rFonts w:ascii="Arial"/>
                <w:w w:val="95"/>
                <w:sz w:val="24"/>
                <w:u w:val="thick" w:color="000000"/>
              </w:rPr>
              <w:t>(1,381,419)</w:t>
            </w:r>
            <w:r>
              <w:rPr>
                <w:rFonts w:ascii="Arial"/>
                <w:w w:val="95"/>
                <w:sz w:val="24"/>
              </w:rPr>
            </w:r>
            <w:r>
              <w:rPr>
                <w:rFonts w:ascii="Arial"/>
                <w:sz w:val="24"/>
              </w:rPr>
            </w:r>
          </w:p>
        </w:tc>
      </w:tr>
      <w:tr>
        <w:trPr>
          <w:trHeight w:val="607"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0" w:right="0"/>
              <w:jc w:val="left"/>
              <w:rPr>
                <w:rFonts w:ascii="Arial" w:hAnsi="Arial" w:cs="Arial" w:eastAsia="Arial" w:hint="default"/>
                <w:sz w:val="24"/>
                <w:szCs w:val="24"/>
              </w:rPr>
            </w:pPr>
            <w:r>
              <w:rPr>
                <w:rFonts w:ascii="Arial"/>
                <w:sz w:val="24"/>
              </w:rPr>
              <w:t>(b)</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2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r>
      <w:tr>
        <w:trPr>
          <w:trHeight w:val="575"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79"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1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6"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现金及现金等价物的年末余额</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10" w:right="0"/>
              <w:jc w:val="left"/>
              <w:rPr>
                <w:rFonts w:ascii="Arial" w:hAnsi="Arial" w:cs="Arial" w:eastAsia="Arial" w:hint="default"/>
                <w:sz w:val="24"/>
                <w:szCs w:val="24"/>
              </w:rPr>
            </w:pPr>
            <w:r>
              <w:rPr>
                <w:rFonts w:ascii="Arial"/>
                <w:sz w:val="24"/>
              </w:rPr>
              <w:t>16,818,166</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586" w:right="0"/>
              <w:jc w:val="left"/>
              <w:rPr>
                <w:rFonts w:ascii="Arial" w:hAnsi="Arial" w:cs="Arial" w:eastAsia="Arial" w:hint="default"/>
                <w:sz w:val="24"/>
                <w:szCs w:val="24"/>
              </w:rPr>
            </w:pPr>
            <w:r>
              <w:rPr>
                <w:rFonts w:ascii="Arial"/>
                <w:sz w:val="24"/>
              </w:rPr>
              <w:t>12,297,572</w:t>
            </w:r>
          </w:p>
        </w:tc>
      </w:tr>
      <w:tr>
        <w:trPr>
          <w:trHeight w:val="314"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tabs>
                <w:tab w:pos="4126" w:val="left" w:leader="none"/>
                <w:tab w:pos="4555" w:val="left" w:leader="none"/>
              </w:tabs>
              <w:spacing w:line="256" w:lineRule="exact"/>
              <w:ind w:left="136" w:right="-236"/>
              <w:jc w:val="left"/>
              <w:rPr>
                <w:rFonts w:ascii="Arial" w:hAnsi="Arial" w:cs="Arial" w:eastAsia="Arial" w:hint="default"/>
                <w:sz w:val="24"/>
                <w:szCs w:val="24"/>
              </w:rPr>
            </w:pPr>
            <w:r>
              <w:rPr>
                <w:rFonts w:ascii="宋体" w:hAnsi="宋体" w:cs="宋体" w:eastAsia="宋体" w:hint="default"/>
                <w:position w:val="2"/>
                <w:sz w:val="24"/>
                <w:szCs w:val="24"/>
              </w:rPr>
              <w:t>减：现金及现金等价物的年初余额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698" w:val="left" w:leader="none"/>
                <w:tab w:pos="2406" w:val="left" w:leader="none"/>
              </w:tabs>
              <w:spacing w:line="240" w:lineRule="auto" w:before="16"/>
              <w:ind w:right="-523"/>
              <w:jc w:val="right"/>
              <w:rPr>
                <w:rFonts w:ascii="Arial" w:hAnsi="Arial" w:cs="Arial" w:eastAsia="Arial" w:hint="default"/>
                <w:sz w:val="24"/>
                <w:szCs w:val="24"/>
              </w:rPr>
            </w:pPr>
            <w:r>
              <w:rPr>
                <w:rFonts w:ascii="Arial"/>
                <w:w w:val="99"/>
                <w:sz w:val="24"/>
              </w:rPr>
            </w:r>
            <w:r>
              <w:rPr>
                <w:rFonts w:ascii="Arial"/>
                <w:spacing w:val="-1"/>
                <w:sz w:val="24"/>
                <w:u w:val="single" w:color="000000"/>
              </w:rPr>
              <w:t>(12,297,572)</w:t>
            </w:r>
            <w:r>
              <w:rPr>
                <w:rFonts w:ascii="Arial"/>
                <w:spacing w:val="-1"/>
                <w:sz w:val="24"/>
              </w:rPr>
              <w:tab/>
            </w:r>
            <w:r>
              <w:rPr>
                <w:rFonts w:ascii="Arial"/>
                <w:spacing w:val="-1"/>
                <w:w w:val="100"/>
                <w:sz w:val="24"/>
              </w:rPr>
            </w:r>
            <w:r>
              <w:rPr>
                <w:rFonts w:ascii="Arial"/>
                <w:spacing w:val="-1"/>
                <w:w w:val="100"/>
                <w:sz w:val="24"/>
                <w:u w:val="single" w:color="000000"/>
              </w:rPr>
              <w:t> </w:t>
            </w:r>
            <w:r>
              <w:rPr>
                <w:rFonts w:ascii="Arial"/>
                <w:spacing w:val="-1"/>
                <w:sz w:val="24"/>
                <w:u w:val="single" w:color="000000"/>
              </w:rPr>
              <w:tab/>
            </w:r>
            <w:r>
              <w:rPr>
                <w:rFonts w:ascii="Arial"/>
                <w:spacing w:val="-1"/>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2"/>
              <w:jc w:val="right"/>
              <w:rPr>
                <w:rFonts w:ascii="Arial" w:hAnsi="Arial" w:cs="Arial" w:eastAsia="Arial" w:hint="default"/>
                <w:sz w:val="24"/>
                <w:szCs w:val="24"/>
              </w:rPr>
            </w:pPr>
            <w:r>
              <w:rPr>
                <w:rFonts w:ascii="Arial"/>
                <w:w w:val="99"/>
                <w:sz w:val="24"/>
              </w:rPr>
            </w:r>
            <w:r>
              <w:rPr>
                <w:rFonts w:ascii="Arial"/>
                <w:spacing w:val="-2"/>
                <w:sz w:val="24"/>
                <w:u w:val="single" w:color="000000"/>
              </w:rPr>
              <w:t>(15,118,092)</w:t>
            </w:r>
            <w:r>
              <w:rPr>
                <w:rFonts w:ascii="Arial"/>
                <w:spacing w:val="-2"/>
                <w:sz w:val="24"/>
              </w:rPr>
            </w:r>
          </w:p>
        </w:tc>
      </w:tr>
      <w:tr>
        <w:trPr>
          <w:trHeight w:val="300" w:hRule="exact"/>
        </w:trPr>
        <w:tc>
          <w:tcPr>
            <w:tcW w:w="754"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Style w:val="TableParagraph"/>
              <w:tabs>
                <w:tab w:pos="3975" w:val="left" w:leader="none"/>
                <w:tab w:pos="4627" w:val="left" w:leader="none"/>
              </w:tabs>
              <w:spacing w:line="284" w:lineRule="exact"/>
              <w:ind w:right="-444"/>
              <w:jc w:val="right"/>
              <w:rPr>
                <w:rFonts w:ascii="Arial" w:hAnsi="Arial" w:cs="Arial" w:eastAsia="Arial" w:hint="default"/>
                <w:sz w:val="24"/>
                <w:szCs w:val="24"/>
              </w:rPr>
            </w:pPr>
            <w:r>
              <w:rPr>
                <w:rFonts w:ascii="宋体" w:hAnsi="宋体" w:cs="宋体" w:eastAsia="宋体" w:hint="default"/>
                <w:sz w:val="24"/>
                <w:szCs w:val="24"/>
              </w:rPr>
              <w:t>现金及现金等价物净增加</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r>
              <w:rPr>
                <w:rFonts w:ascii="宋体" w:hAnsi="宋体" w:cs="宋体" w:eastAsia="宋体" w:hint="default"/>
                <w:sz w:val="24"/>
                <w:szCs w:val="24"/>
              </w:rPr>
              <w:t>额</w:t>
              <w:tab/>
            </w:r>
            <w:r>
              <w:rPr>
                <w:rFonts w:ascii="Arial" w:hAnsi="Arial" w:cs="Arial" w:eastAsia="Arial" w:hint="default"/>
                <w:w w:val="100"/>
                <w:position w:val="-1"/>
                <w:sz w:val="24"/>
                <w:szCs w:val="24"/>
              </w:rPr>
            </w:r>
            <w:r>
              <w:rPr>
                <w:rFonts w:ascii="Arial" w:hAnsi="Arial" w:cs="Arial" w:eastAsia="Arial" w:hint="default"/>
                <w:w w:val="100"/>
                <w:position w:val="-1"/>
                <w:sz w:val="24"/>
                <w:szCs w:val="24"/>
                <w:u w:val="thick" w:color="000000"/>
              </w:rPr>
              <w:t> </w:t>
            </w:r>
            <w:r>
              <w:rPr>
                <w:rFonts w:ascii="Arial" w:hAnsi="Arial" w:cs="Arial" w:eastAsia="Arial" w:hint="default"/>
                <w:position w:val="-1"/>
                <w:sz w:val="24"/>
                <w:szCs w:val="24"/>
                <w:u w:val="thick" w:color="000000"/>
              </w:rPr>
              <w:tab/>
            </w:r>
            <w:r>
              <w:rPr>
                <w:rFonts w:ascii="Arial" w:hAnsi="Arial" w:cs="Arial" w:eastAsia="Arial" w:hint="default"/>
                <w:sz w:val="24"/>
                <w:szCs w:val="24"/>
              </w:rPr>
            </w:r>
          </w:p>
        </w:tc>
        <w:tc>
          <w:tcPr>
            <w:tcW w:w="2119" w:type="dxa"/>
            <w:tcBorders>
              <w:top w:val="nil" w:sz="6" w:space="0" w:color="auto"/>
              <w:left w:val="nil" w:sz="6" w:space="0" w:color="auto"/>
              <w:bottom w:val="nil" w:sz="6" w:space="0" w:color="auto"/>
              <w:right w:val="nil" w:sz="6" w:space="0" w:color="auto"/>
            </w:tcBorders>
          </w:tcPr>
          <w:p>
            <w:pPr>
              <w:pStyle w:val="TableParagraph"/>
              <w:tabs>
                <w:tab w:pos="1475" w:val="left" w:leader="none"/>
                <w:tab w:pos="2312" w:val="left" w:leader="none"/>
              </w:tabs>
              <w:spacing w:line="240" w:lineRule="auto" w:before="29"/>
              <w:ind w:right="-639"/>
              <w:jc w:val="right"/>
              <w:rPr>
                <w:rFonts w:ascii="Arial" w:hAnsi="Arial" w:cs="Arial" w:eastAsia="Arial" w:hint="default"/>
                <w:sz w:val="24"/>
                <w:szCs w:val="24"/>
              </w:rPr>
            </w:pPr>
            <w:r>
              <w:rPr>
                <w:rFonts w:ascii="Arial"/>
                <w:w w:val="99"/>
                <w:sz w:val="24"/>
              </w:rPr>
            </w:r>
            <w:r>
              <w:rPr>
                <w:rFonts w:ascii="Arial"/>
                <w:w w:val="95"/>
                <w:sz w:val="24"/>
                <w:u w:val="thick" w:color="000000"/>
              </w:rPr>
              <w:t>4,520,594</w:t>
            </w:r>
            <w:r>
              <w:rPr>
                <w:rFonts w:ascii="Arial"/>
                <w:sz w:val="24"/>
                <w:u w:val="thick" w:color="000000"/>
              </w:rPr>
              <w:t> </w:t>
            </w:r>
            <w:r>
              <w:rPr>
                <w:rFonts w:ascii="Arial"/>
                <w:spacing w:val="5"/>
                <w:sz w:val="24"/>
                <w:u w:val="thick" w:color="000000"/>
              </w:rPr>
              <w:t> </w:t>
            </w:r>
            <w:r>
              <w:rPr>
                <w:rFonts w:ascii="Arial"/>
                <w:spacing w:val="5"/>
                <w:sz w:val="24"/>
              </w:rPr>
            </w:r>
            <w:r>
              <w:rPr>
                <w:rFonts w:ascii="Arial"/>
                <w:sz w:val="24"/>
              </w:rPr>
              <w:tab/>
            </w:r>
            <w:r>
              <w:rPr>
                <w:rFonts w:ascii="Arial"/>
                <w:w w:val="100"/>
                <w:position w:val="1"/>
                <w:sz w:val="24"/>
              </w:rPr>
            </w:r>
            <w:r>
              <w:rPr>
                <w:rFonts w:ascii="Arial"/>
                <w:w w:val="100"/>
                <w:position w:val="1"/>
                <w:sz w:val="24"/>
                <w:u w:val="thick" w:color="000000"/>
              </w:rPr>
              <w:t> </w:t>
            </w:r>
            <w:r>
              <w:rPr>
                <w:rFonts w:ascii="Arial"/>
                <w:position w:val="1"/>
                <w:sz w:val="24"/>
                <w:u w:val="thick" w:color="000000"/>
              </w:rPr>
              <w:tab/>
            </w:r>
            <w:r>
              <w:rPr>
                <w:rFonts w:ascii="Arial"/>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12"/>
              <w:jc w:val="right"/>
              <w:rPr>
                <w:rFonts w:ascii="Arial" w:hAnsi="Arial" w:cs="Arial" w:eastAsia="Arial" w:hint="default"/>
                <w:sz w:val="24"/>
                <w:szCs w:val="24"/>
              </w:rPr>
            </w:pPr>
            <w:r>
              <w:rPr>
                <w:rFonts w:ascii="Arial"/>
                <w:w w:val="99"/>
                <w:sz w:val="24"/>
              </w:rPr>
            </w:r>
            <w:r>
              <w:rPr>
                <w:rFonts w:ascii="Arial"/>
                <w:w w:val="95"/>
                <w:sz w:val="24"/>
                <w:u w:val="thick" w:color="000000"/>
              </w:rPr>
              <w:t>(2,820,520)</w:t>
            </w:r>
            <w:r>
              <w:rPr>
                <w:rFonts w:ascii="Arial"/>
                <w:w w:val="95"/>
                <w:sz w:val="24"/>
              </w:rPr>
            </w:r>
            <w:r>
              <w:rPr>
                <w:rFonts w:ascii="Arial"/>
                <w:sz w:val="24"/>
              </w:rPr>
            </w:r>
          </w:p>
        </w:tc>
      </w:tr>
    </w:tbl>
    <w:p>
      <w:pPr>
        <w:spacing w:after="0" w:line="240" w:lineRule="auto"/>
        <w:jc w:val="right"/>
        <w:rPr>
          <w:rFonts w:ascii="Arial" w:hAnsi="Arial" w:cs="Arial" w:eastAsia="Arial" w:hint="default"/>
          <w:sz w:val="24"/>
          <w:szCs w:val="24"/>
        </w:rPr>
        <w:sectPr>
          <w:pgSz w:w="11910" w:h="16840"/>
          <w:pgMar w:header="0" w:footer="698" w:top="1860" w:bottom="8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742"/>
        <w:gridCol w:w="5066"/>
        <w:gridCol w:w="1560"/>
        <w:gridCol w:w="282"/>
        <w:gridCol w:w="1396"/>
      </w:tblGrid>
      <w:tr>
        <w:trPr>
          <w:trHeight w:val="416"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exact"/>
              <w:ind w:left="261"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066"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6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588"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(58)</w:t>
            </w: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0" w:right="0"/>
              <w:jc w:val="left"/>
              <w:rPr>
                <w:rFonts w:ascii="Arial" w:hAnsi="Arial" w:cs="Arial" w:eastAsia="Arial" w:hint="default"/>
                <w:sz w:val="24"/>
                <w:szCs w:val="24"/>
              </w:rPr>
            </w:pPr>
            <w:r>
              <w:rPr>
                <w:rFonts w:ascii="黑体" w:hAnsi="黑体" w:cs="黑体" w:eastAsia="黑体" w:hint="default"/>
                <w:sz w:val="24"/>
                <w:szCs w:val="24"/>
              </w:rPr>
              <w:t>现金流量表补充资料</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6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585"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(c)</w:t>
            </w: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0" w:right="0"/>
              <w:jc w:val="left"/>
              <w:rPr>
                <w:rFonts w:ascii="宋体" w:hAnsi="宋体" w:cs="宋体" w:eastAsia="宋体" w:hint="default"/>
                <w:sz w:val="24"/>
                <w:szCs w:val="24"/>
              </w:rPr>
            </w:pPr>
            <w:r>
              <w:rPr>
                <w:rFonts w:ascii="宋体" w:hAnsi="宋体" w:cs="宋体" w:eastAsia="宋体" w:hint="default"/>
                <w:sz w:val="24"/>
                <w:szCs w:val="24"/>
              </w:rPr>
              <w:t>取得或处置子公司</w:t>
            </w:r>
          </w:p>
        </w:tc>
        <w:tc>
          <w:tcPr>
            <w:tcW w:w="156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593"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4" w:right="0"/>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3"/>
                <w:sz w:val="24"/>
                <w:szCs w:val="24"/>
              </w:rPr>
              <w:t> </w:t>
            </w:r>
            <w:r>
              <w:rPr>
                <w:rFonts w:ascii="宋体" w:hAnsi="宋体" w:cs="宋体" w:eastAsia="宋体" w:hint="default"/>
                <w:sz w:val="24"/>
                <w:szCs w:val="24"/>
              </w:rPr>
              <w:t>取得子公司</w:t>
            </w:r>
          </w:p>
        </w:tc>
        <w:tc>
          <w:tcPr>
            <w:tcW w:w="156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587"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4"/>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4" w:right="0"/>
              <w:jc w:val="left"/>
              <w:rPr>
                <w:rFonts w:ascii="宋体" w:hAnsi="宋体" w:cs="宋体" w:eastAsia="宋体" w:hint="default"/>
                <w:sz w:val="24"/>
                <w:szCs w:val="24"/>
              </w:rPr>
            </w:pPr>
            <w:r>
              <w:rPr>
                <w:rFonts w:ascii="宋体" w:hAnsi="宋体" w:cs="宋体" w:eastAsia="宋体" w:hint="default"/>
                <w:sz w:val="24"/>
                <w:szCs w:val="24"/>
              </w:rPr>
              <w:t>当年发生的企业合并并于当年支付的现金</w:t>
            </w:r>
          </w:p>
        </w:tc>
        <w:tc>
          <w:tcPr>
            <w:tcW w:w="156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321"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93" w:lineRule="exact"/>
              <w:ind w:left="114"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Arial" w:hAnsi="Arial" w:cs="Arial" w:eastAsia="Arial" w:hint="default"/>
                <w:sz w:val="24"/>
                <w:szCs w:val="24"/>
              </w:rPr>
              <w:t>PPTV</w:t>
            </w:r>
            <w:r>
              <w:rPr>
                <w:rFonts w:ascii="Arial" w:hAnsi="Arial" w:cs="Arial" w:eastAsia="Arial" w:hint="default"/>
                <w:spacing w:val="-8"/>
                <w:sz w:val="24"/>
                <w:szCs w:val="24"/>
              </w:rPr>
              <w:t> </w:t>
            </w:r>
            <w:r>
              <w:rPr>
                <w:rFonts w:ascii="宋体" w:hAnsi="宋体" w:cs="宋体" w:eastAsia="宋体" w:hint="default"/>
                <w:sz w:val="24"/>
                <w:szCs w:val="24"/>
              </w:rPr>
              <w:t>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3"/>
              <w:jc w:val="right"/>
              <w:rPr>
                <w:rFonts w:ascii="Arial" w:hAnsi="Arial" w:cs="Arial" w:eastAsia="Arial" w:hint="default"/>
                <w:sz w:val="24"/>
                <w:szCs w:val="24"/>
              </w:rPr>
            </w:pPr>
            <w:r>
              <w:rPr>
                <w:rFonts w:ascii="Arial"/>
                <w:w w:val="99"/>
                <w:sz w:val="24"/>
              </w:rPr>
              <w:t>-</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1"/>
              <w:jc w:val="right"/>
              <w:rPr>
                <w:rFonts w:ascii="Arial" w:hAnsi="Arial" w:cs="Arial" w:eastAsia="Arial" w:hint="default"/>
                <w:sz w:val="24"/>
                <w:szCs w:val="24"/>
              </w:rPr>
            </w:pPr>
            <w:r>
              <w:rPr>
                <w:rFonts w:ascii="Arial"/>
                <w:w w:val="99"/>
                <w:sz w:val="24"/>
              </w:rPr>
              <w:t>-</w:t>
            </w:r>
            <w:r>
              <w:rPr>
                <w:rFonts w:ascii="Arial"/>
                <w:sz w:val="24"/>
              </w:rPr>
            </w:r>
          </w:p>
        </w:tc>
      </w:tr>
      <w:tr>
        <w:trPr>
          <w:trHeight w:val="591"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08" w:lineRule="auto" w:before="16"/>
              <w:ind w:left="1675" w:right="317" w:hanging="240"/>
              <w:jc w:val="left"/>
              <w:rPr>
                <w:rFonts w:ascii="宋体" w:hAnsi="宋体" w:cs="宋体" w:eastAsia="宋体" w:hint="default"/>
                <w:sz w:val="24"/>
                <w:szCs w:val="24"/>
              </w:rPr>
            </w:pPr>
            <w:r>
              <w:rPr>
                <w:rFonts w:ascii="Arial" w:hAnsi="Arial" w:cs="Arial" w:eastAsia="Arial" w:hint="default"/>
                <w:sz w:val="24"/>
                <w:szCs w:val="24"/>
              </w:rPr>
              <w:t>MODE ET JACOMO CO.,</w:t>
            </w:r>
            <w:r>
              <w:rPr>
                <w:rFonts w:ascii="Arial" w:hAnsi="Arial" w:cs="Arial" w:eastAsia="Arial" w:hint="default"/>
                <w:spacing w:val="-7"/>
                <w:sz w:val="24"/>
                <w:szCs w:val="24"/>
              </w:rPr>
              <w:t> </w:t>
            </w:r>
            <w:r>
              <w:rPr>
                <w:rFonts w:ascii="Arial" w:hAnsi="Arial" w:cs="Arial" w:eastAsia="Arial" w:hint="default"/>
                <w:spacing w:val="-5"/>
                <w:sz w:val="24"/>
                <w:szCs w:val="24"/>
              </w:rPr>
              <w:t>LTD.</w:t>
            </w:r>
            <w:r>
              <w:rPr>
                <w:rFonts w:ascii="Arial" w:hAnsi="Arial" w:cs="Arial" w:eastAsia="Arial" w:hint="default"/>
                <w:w w:val="100"/>
                <w:sz w:val="24"/>
                <w:szCs w:val="24"/>
              </w:rPr>
              <w:t> </w:t>
            </w:r>
            <w:r>
              <w:rPr>
                <w:rFonts w:ascii="Arial" w:hAnsi="Arial" w:cs="Arial" w:eastAsia="Arial" w:hint="default"/>
                <w:sz w:val="24"/>
                <w:szCs w:val="24"/>
              </w:rPr>
              <w:t>(</w:t>
            </w:r>
            <w:r>
              <w:rPr>
                <w:rFonts w:ascii="Arial" w:hAnsi="Arial" w:cs="Arial" w:eastAsia="Arial" w:hint="default"/>
                <w:sz w:val="24"/>
                <w:szCs w:val="24"/>
              </w:rPr>
              <w:t>“</w:t>
            </w:r>
            <w:r>
              <w:rPr>
                <w:rFonts w:ascii="Arial" w:hAnsi="Arial" w:cs="Arial" w:eastAsia="Arial" w:hint="default"/>
                <w:sz w:val="24"/>
                <w:szCs w:val="24"/>
              </w:rPr>
              <w:t>MODE ET</w:t>
            </w:r>
            <w:r>
              <w:rPr>
                <w:rFonts w:ascii="Arial" w:hAnsi="Arial" w:cs="Arial" w:eastAsia="Arial" w:hint="default"/>
                <w:spacing w:val="-8"/>
                <w:sz w:val="24"/>
                <w:szCs w:val="24"/>
              </w:rPr>
              <w:t> </w:t>
            </w:r>
            <w:r>
              <w:rPr>
                <w:rFonts w:ascii="Arial" w:hAnsi="Arial" w:cs="Arial" w:eastAsia="Arial" w:hint="default"/>
                <w:sz w:val="24"/>
                <w:szCs w:val="24"/>
              </w:rPr>
              <w:t>JACOMO</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15"/>
              <w:jc w:val="right"/>
              <w:rPr>
                <w:rFonts w:ascii="Arial" w:hAnsi="Arial" w:cs="Arial" w:eastAsia="Arial" w:hint="default"/>
                <w:sz w:val="24"/>
                <w:szCs w:val="24"/>
              </w:rPr>
            </w:pPr>
            <w:r>
              <w:rPr>
                <w:rFonts w:ascii="Arial"/>
                <w:spacing w:val="-4"/>
                <w:sz w:val="24"/>
              </w:rPr>
              <w:t>21,011</w:t>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312"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435" w:right="0"/>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5"/>
              <w:jc w:val="right"/>
              <w:rPr>
                <w:rFonts w:ascii="Arial" w:hAnsi="Arial" w:cs="Arial" w:eastAsia="Arial" w:hint="default"/>
                <w:sz w:val="24"/>
                <w:szCs w:val="24"/>
              </w:rPr>
            </w:pPr>
            <w:r>
              <w:rPr>
                <w:rFonts w:ascii="Arial"/>
                <w:w w:val="99"/>
                <w:sz w:val="24"/>
              </w:rPr>
              <w:t>-</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1"/>
              <w:jc w:val="right"/>
              <w:rPr>
                <w:rFonts w:ascii="Arial" w:hAnsi="Arial" w:cs="Arial" w:eastAsia="Arial" w:hint="default"/>
                <w:sz w:val="24"/>
                <w:szCs w:val="24"/>
              </w:rPr>
            </w:pPr>
            <w:r>
              <w:rPr>
                <w:rFonts w:ascii="Arial"/>
                <w:w w:val="95"/>
                <w:sz w:val="24"/>
              </w:rPr>
              <w:t>40,560</w:t>
            </w:r>
            <w:r>
              <w:rPr>
                <w:rFonts w:ascii="Arial"/>
                <w:sz w:val="24"/>
              </w:rPr>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825" w:right="0"/>
              <w:jc w:val="left"/>
              <w:rPr>
                <w:rFonts w:ascii="宋体" w:hAnsi="宋体" w:cs="宋体" w:eastAsia="宋体" w:hint="default"/>
                <w:sz w:val="24"/>
                <w:szCs w:val="24"/>
              </w:rPr>
            </w:pPr>
            <w:r>
              <w:rPr>
                <w:rFonts w:ascii="宋体" w:hAnsi="宋体" w:cs="宋体" w:eastAsia="宋体" w:hint="default"/>
                <w:sz w:val="24"/>
                <w:szCs w:val="24"/>
              </w:rPr>
              <w:t>好耶广告技术板块业务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5"/>
              <w:jc w:val="right"/>
              <w:rPr>
                <w:rFonts w:ascii="Arial" w:hAnsi="Arial" w:cs="Arial" w:eastAsia="Arial" w:hint="default"/>
                <w:sz w:val="24"/>
                <w:szCs w:val="24"/>
              </w:rPr>
            </w:pPr>
            <w:r>
              <w:rPr>
                <w:rFonts w:ascii="Arial"/>
                <w:w w:val="99"/>
                <w:sz w:val="24"/>
              </w:rPr>
              <w:t>-</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1"/>
              <w:jc w:val="right"/>
              <w:rPr>
                <w:rFonts w:ascii="Arial" w:hAnsi="Arial" w:cs="Arial" w:eastAsia="Arial" w:hint="default"/>
                <w:sz w:val="24"/>
                <w:szCs w:val="24"/>
              </w:rPr>
            </w:pPr>
            <w:r>
              <w:rPr>
                <w:rFonts w:ascii="Arial"/>
                <w:w w:val="95"/>
                <w:sz w:val="24"/>
              </w:rPr>
              <w:t>69,714</w:t>
            </w:r>
            <w:r>
              <w:rPr>
                <w:rFonts w:ascii="Arial"/>
                <w:sz w:val="24"/>
              </w:rPr>
            </w:r>
          </w:p>
        </w:tc>
      </w:tr>
      <w:tr>
        <w:trPr>
          <w:trHeight w:val="297"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减：购买日子公司持有的现金</w:t>
            </w:r>
          </w:p>
        </w:tc>
        <w:tc>
          <w:tcPr>
            <w:tcW w:w="156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326"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93" w:lineRule="exact"/>
              <w:ind w:left="114"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Arial" w:hAnsi="Arial" w:cs="Arial" w:eastAsia="Arial" w:hint="default"/>
                <w:sz w:val="24"/>
                <w:szCs w:val="24"/>
              </w:rPr>
              <w:t>PPTV</w:t>
            </w:r>
            <w:r>
              <w:rPr>
                <w:rFonts w:ascii="Arial" w:hAnsi="Arial" w:cs="Arial" w:eastAsia="Arial" w:hint="default"/>
                <w:spacing w:val="-8"/>
                <w:sz w:val="24"/>
                <w:szCs w:val="24"/>
              </w:rPr>
              <w:t> </w:t>
            </w:r>
            <w:r>
              <w:rPr>
                <w:rFonts w:ascii="宋体" w:hAnsi="宋体" w:cs="宋体" w:eastAsia="宋体" w:hint="default"/>
                <w:sz w:val="24"/>
                <w:szCs w:val="24"/>
              </w:rPr>
              <w:t>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3"/>
              <w:jc w:val="right"/>
              <w:rPr>
                <w:rFonts w:ascii="Arial" w:hAnsi="Arial" w:cs="Arial" w:eastAsia="Arial" w:hint="default"/>
                <w:sz w:val="24"/>
                <w:szCs w:val="24"/>
              </w:rPr>
            </w:pPr>
            <w:r>
              <w:rPr>
                <w:rFonts w:ascii="Arial"/>
                <w:w w:val="95"/>
                <w:sz w:val="24"/>
              </w:rPr>
              <w:t>(187,717)</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79" w:lineRule="exact"/>
              <w:ind w:left="1435" w:right="0"/>
              <w:jc w:val="left"/>
              <w:rPr>
                <w:rFonts w:ascii="宋体" w:hAnsi="宋体" w:cs="宋体" w:eastAsia="宋体" w:hint="default"/>
                <w:sz w:val="24"/>
                <w:szCs w:val="24"/>
              </w:rPr>
            </w:pPr>
            <w:r>
              <w:rPr>
                <w:rFonts w:ascii="Arial" w:hAnsi="Arial" w:cs="Arial" w:eastAsia="Arial" w:hint="default"/>
                <w:sz w:val="24"/>
                <w:szCs w:val="24"/>
              </w:rPr>
              <w:t>MODE ET JACOMO</w:t>
            </w:r>
            <w:r>
              <w:rPr>
                <w:rFonts w:ascii="Arial" w:hAnsi="Arial" w:cs="Arial" w:eastAsia="Arial" w:hint="default"/>
                <w:spacing w:val="-13"/>
                <w:sz w:val="24"/>
                <w:szCs w:val="24"/>
              </w:rPr>
              <w:t> </w:t>
            </w:r>
            <w:r>
              <w:rPr>
                <w:rFonts w:ascii="宋体" w:hAnsi="宋体" w:cs="宋体" w:eastAsia="宋体" w:hint="default"/>
                <w:sz w:val="24"/>
                <w:szCs w:val="24"/>
              </w:rPr>
              <w:t>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5"/>
              <w:jc w:val="right"/>
              <w:rPr>
                <w:rFonts w:ascii="Arial" w:hAnsi="Arial" w:cs="Arial" w:eastAsia="Arial" w:hint="default"/>
                <w:sz w:val="24"/>
                <w:szCs w:val="24"/>
              </w:rPr>
            </w:pPr>
            <w:r>
              <w:rPr>
                <w:rFonts w:ascii="Arial"/>
                <w:w w:val="95"/>
                <w:sz w:val="24"/>
              </w:rPr>
              <w:t>(18,408)</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1"/>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435" w:right="0"/>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5"/>
              <w:jc w:val="right"/>
              <w:rPr>
                <w:rFonts w:ascii="Arial" w:hAnsi="Arial" w:cs="Arial" w:eastAsia="Arial" w:hint="default"/>
                <w:sz w:val="24"/>
                <w:szCs w:val="24"/>
              </w:rPr>
            </w:pPr>
            <w:r>
              <w:rPr>
                <w:rFonts w:ascii="Arial"/>
                <w:w w:val="99"/>
                <w:sz w:val="24"/>
              </w:rPr>
              <w:t>-</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0"/>
              <w:jc w:val="right"/>
              <w:rPr>
                <w:rFonts w:ascii="Arial" w:hAnsi="Arial" w:cs="Arial" w:eastAsia="Arial" w:hint="default"/>
                <w:sz w:val="24"/>
                <w:szCs w:val="24"/>
              </w:rPr>
            </w:pPr>
            <w:r>
              <w:rPr>
                <w:rFonts w:ascii="Arial"/>
                <w:spacing w:val="-1"/>
                <w:sz w:val="24"/>
              </w:rPr>
              <w:t>(10,618)</w:t>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825" w:right="0"/>
              <w:jc w:val="left"/>
              <w:rPr>
                <w:rFonts w:ascii="宋体" w:hAnsi="宋体" w:cs="宋体" w:eastAsia="宋体" w:hint="default"/>
                <w:sz w:val="24"/>
                <w:szCs w:val="24"/>
              </w:rPr>
            </w:pPr>
            <w:r>
              <w:rPr>
                <w:rFonts w:ascii="宋体" w:hAnsi="宋体" w:cs="宋体" w:eastAsia="宋体" w:hint="default"/>
                <w:sz w:val="24"/>
                <w:szCs w:val="24"/>
              </w:rPr>
              <w:t>好耶广告技术板块业务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5"/>
              <w:jc w:val="right"/>
              <w:rPr>
                <w:rFonts w:ascii="Arial" w:hAnsi="Arial" w:cs="Arial" w:eastAsia="Arial" w:hint="default"/>
                <w:sz w:val="24"/>
                <w:szCs w:val="24"/>
              </w:rPr>
            </w:pPr>
            <w:r>
              <w:rPr>
                <w:rFonts w:ascii="Arial"/>
                <w:w w:val="99"/>
                <w:sz w:val="24"/>
              </w:rPr>
              <w:t>-</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0"/>
              <w:jc w:val="right"/>
              <w:rPr>
                <w:rFonts w:ascii="Arial" w:hAnsi="Arial" w:cs="Arial" w:eastAsia="Arial" w:hint="default"/>
                <w:sz w:val="24"/>
                <w:szCs w:val="24"/>
              </w:rPr>
            </w:pPr>
            <w:r>
              <w:rPr>
                <w:rFonts w:ascii="Arial"/>
                <w:spacing w:val="-1"/>
                <w:sz w:val="24"/>
              </w:rPr>
              <w:t>(8,672)</w:t>
            </w:r>
          </w:p>
        </w:tc>
      </w:tr>
      <w:tr>
        <w:trPr>
          <w:trHeight w:val="297"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加：前期发生的企业合并于本年支付的现金</w:t>
            </w:r>
          </w:p>
        </w:tc>
        <w:tc>
          <w:tcPr>
            <w:tcW w:w="156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326"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75" w:lineRule="exact"/>
              <w:ind w:left="114" w:right="0"/>
              <w:jc w:val="left"/>
              <w:rPr>
                <w:rFonts w:ascii="宋体" w:hAnsi="宋体" w:cs="宋体" w:eastAsia="宋体" w:hint="default"/>
                <w:sz w:val="24"/>
                <w:szCs w:val="24"/>
              </w:rPr>
            </w:pPr>
            <w:r>
              <w:rPr>
                <w:rFonts w:ascii="宋体" w:hAnsi="宋体" w:cs="宋体" w:eastAsia="宋体" w:hint="default"/>
                <w:sz w:val="24"/>
                <w:szCs w:val="24"/>
              </w:rPr>
              <w:t>其中：红孩子母婴及美妆业务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8"/>
              <w:jc w:val="right"/>
              <w:rPr>
                <w:rFonts w:ascii="Arial" w:hAnsi="Arial" w:cs="Arial" w:eastAsia="Arial" w:hint="default"/>
                <w:sz w:val="24"/>
                <w:szCs w:val="24"/>
              </w:rPr>
            </w:pPr>
            <w:r>
              <w:rPr>
                <w:rFonts w:ascii="Arial"/>
                <w:w w:val="95"/>
                <w:sz w:val="24"/>
              </w:rPr>
              <w:t>1,525</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3"/>
              <w:jc w:val="right"/>
              <w:rPr>
                <w:rFonts w:ascii="Arial" w:hAnsi="Arial" w:cs="Arial" w:eastAsia="Arial" w:hint="default"/>
                <w:sz w:val="24"/>
                <w:szCs w:val="24"/>
              </w:rPr>
            </w:pPr>
            <w:r>
              <w:rPr>
                <w:rFonts w:ascii="Arial"/>
                <w:spacing w:val="-1"/>
                <w:sz w:val="24"/>
              </w:rPr>
              <w:t>13,371</w:t>
            </w:r>
            <w:r>
              <w:rPr>
                <w:rFonts w:ascii="Arial"/>
                <w:sz w:val="24"/>
              </w:rPr>
            </w:r>
          </w:p>
        </w:tc>
      </w:tr>
      <w:tr>
        <w:trPr>
          <w:trHeight w:val="316"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435" w:right="0"/>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1560" w:type="dxa"/>
            <w:tcBorders>
              <w:top w:val="nil" w:sz="6" w:space="0" w:color="auto"/>
              <w:left w:val="nil" w:sz="6" w:space="0" w:color="auto"/>
              <w:bottom w:val="nil" w:sz="6" w:space="0" w:color="auto"/>
              <w:right w:val="nil" w:sz="6" w:space="0" w:color="auto"/>
            </w:tcBorders>
          </w:tcPr>
          <w:p>
            <w:pPr>
              <w:pStyle w:val="TableParagraph"/>
              <w:tabs>
                <w:tab w:pos="843" w:val="left" w:leader="none"/>
                <w:tab w:pos="1547" w:val="left" w:leader="none"/>
              </w:tabs>
              <w:spacing w:line="240" w:lineRule="auto" w:before="18"/>
              <w:ind w:right="1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1,845</w:t>
            </w:r>
            <w:r>
              <w:rPr>
                <w:rFonts w:ascii="Arial"/>
                <w:sz w:val="24"/>
                <w:u w:val="single" w:color="000000"/>
              </w:rPr>
              <w:tab/>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tabs>
                <w:tab w:pos="1172" w:val="left" w:leader="none"/>
                <w:tab w:pos="1373" w:val="left" w:leader="none"/>
              </w:tabs>
              <w:spacing w:line="240" w:lineRule="auto" w:before="18"/>
              <w:ind w:left="-13" w:right="1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70"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84" w:lineRule="exact"/>
              <w:ind w:left="114" w:right="0"/>
              <w:jc w:val="left"/>
              <w:rPr>
                <w:rFonts w:ascii="宋体" w:hAnsi="宋体" w:cs="宋体" w:eastAsia="宋体" w:hint="default"/>
                <w:sz w:val="24"/>
                <w:szCs w:val="24"/>
              </w:rPr>
            </w:pPr>
            <w:r>
              <w:rPr>
                <w:rFonts w:ascii="宋体" w:hAnsi="宋体" w:cs="宋体" w:eastAsia="宋体" w:hint="default"/>
                <w:sz w:val="24"/>
                <w:szCs w:val="24"/>
              </w:rPr>
              <w:t>取得子公司</w:t>
            </w:r>
            <w:r>
              <w:rPr>
                <w:rFonts w:ascii="Arial" w:hAnsi="Arial" w:cs="Arial" w:eastAsia="Arial" w:hint="default"/>
                <w:sz w:val="24"/>
                <w:szCs w:val="24"/>
              </w:rPr>
              <w:t>(</w:t>
            </w:r>
            <w:r>
              <w:rPr>
                <w:rFonts w:ascii="宋体" w:hAnsi="宋体" w:cs="宋体" w:eastAsia="宋体" w:hint="default"/>
                <w:sz w:val="24"/>
                <w:szCs w:val="24"/>
              </w:rPr>
              <w:t>收到</w:t>
            </w:r>
            <w:r>
              <w:rPr>
                <w:rFonts w:ascii="Arial" w:hAnsi="Arial" w:cs="Arial" w:eastAsia="Arial" w:hint="default"/>
                <w:sz w:val="24"/>
                <w:szCs w:val="24"/>
              </w:rPr>
              <w:t>)/</w:t>
            </w:r>
            <w:r>
              <w:rPr>
                <w:rFonts w:ascii="宋体" w:hAnsi="宋体" w:cs="宋体" w:eastAsia="宋体" w:hint="default"/>
                <w:sz w:val="24"/>
                <w:szCs w:val="24"/>
              </w:rPr>
              <w:t>支付的现金净额</w:t>
            </w:r>
          </w:p>
        </w:tc>
        <w:tc>
          <w:tcPr>
            <w:tcW w:w="1560"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240" w:lineRule="auto" w:before="24"/>
              <w:ind w:right="5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(181,744)</w:t>
            </w:r>
            <w:r>
              <w:rPr>
                <w:rFonts w:ascii="Arial"/>
                <w:spacing w:val="-1"/>
                <w:sz w:val="24"/>
              </w:rPr>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tabs>
                <w:tab w:pos="385" w:val="left" w:leader="none"/>
                <w:tab w:pos="1373" w:val="left" w:leader="none"/>
              </w:tabs>
              <w:spacing w:line="240" w:lineRule="auto" w:before="24"/>
              <w:ind w:left="-13" w:right="1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104,355</w:t>
              <w:tab/>
            </w:r>
            <w:r>
              <w:rPr>
                <w:rFonts w:ascii="Arial"/>
                <w:spacing w:val="-1"/>
                <w:sz w:val="24"/>
              </w:rPr>
            </w:r>
          </w:p>
        </w:tc>
      </w:tr>
      <w:tr>
        <w:trPr>
          <w:trHeight w:val="588"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4" w:right="0"/>
              <w:jc w:val="left"/>
              <w:rPr>
                <w:rFonts w:ascii="宋体" w:hAnsi="宋体" w:cs="宋体" w:eastAsia="宋体" w:hint="default"/>
                <w:sz w:val="24"/>
                <w:szCs w:val="24"/>
              </w:rPr>
            </w:pPr>
            <w:r>
              <w:rPr>
                <w:rFonts w:ascii="宋体" w:hAnsi="宋体" w:cs="宋体" w:eastAsia="宋体" w:hint="default"/>
                <w:sz w:val="24"/>
                <w:szCs w:val="24"/>
              </w:rPr>
              <w:t>取得子公司的价格</w:t>
            </w:r>
          </w:p>
        </w:tc>
        <w:tc>
          <w:tcPr>
            <w:tcW w:w="156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593"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4" w:right="0"/>
              <w:jc w:val="left"/>
              <w:rPr>
                <w:rFonts w:ascii="宋体" w:hAnsi="宋体" w:cs="宋体" w:eastAsia="宋体" w:hint="default"/>
                <w:sz w:val="24"/>
                <w:szCs w:val="24"/>
              </w:rPr>
            </w:pPr>
            <w:r>
              <w:rPr>
                <w:rFonts w:ascii="Arial" w:hAnsi="Arial" w:cs="Arial" w:eastAsia="Arial" w:hint="default"/>
                <w:sz w:val="24"/>
                <w:szCs w:val="24"/>
              </w:rPr>
              <w:t>PPTV</w:t>
            </w:r>
            <w:r>
              <w:rPr>
                <w:rFonts w:ascii="Arial" w:hAnsi="Arial" w:cs="Arial" w:eastAsia="Arial" w:hint="default"/>
                <w:spacing w:val="-8"/>
                <w:sz w:val="24"/>
                <w:szCs w:val="24"/>
              </w:rPr>
              <w:t> </w:t>
            </w:r>
            <w:r>
              <w:rPr>
                <w:rFonts w:ascii="宋体" w:hAnsi="宋体" w:cs="宋体" w:eastAsia="宋体" w:hint="default"/>
                <w:sz w:val="24"/>
                <w:szCs w:val="24"/>
              </w:rPr>
              <w:t>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87"/>
              <w:jc w:val="right"/>
              <w:rPr>
                <w:rFonts w:ascii="Arial" w:hAnsi="Arial" w:cs="Arial" w:eastAsia="Arial" w:hint="default"/>
                <w:sz w:val="24"/>
                <w:szCs w:val="24"/>
              </w:rPr>
            </w:pPr>
            <w:r>
              <w:rPr>
                <w:rFonts w:ascii="Arial"/>
                <w:spacing w:val="-1"/>
                <w:sz w:val="24"/>
              </w:rPr>
              <w:t>710,586</w:t>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65"/>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79" w:lineRule="exact"/>
              <w:ind w:left="114" w:right="0"/>
              <w:jc w:val="left"/>
              <w:rPr>
                <w:rFonts w:ascii="宋体" w:hAnsi="宋体" w:cs="宋体" w:eastAsia="宋体" w:hint="default"/>
                <w:sz w:val="24"/>
                <w:szCs w:val="24"/>
              </w:rPr>
            </w:pPr>
            <w:r>
              <w:rPr>
                <w:rFonts w:ascii="Arial" w:hAnsi="Arial" w:cs="Arial" w:eastAsia="Arial" w:hint="default"/>
                <w:sz w:val="24"/>
                <w:szCs w:val="24"/>
              </w:rPr>
              <w:t>MODE ET JACOMO</w:t>
            </w:r>
            <w:r>
              <w:rPr>
                <w:rFonts w:ascii="Arial" w:hAnsi="Arial" w:cs="Arial" w:eastAsia="Arial" w:hint="default"/>
                <w:spacing w:val="-12"/>
                <w:sz w:val="24"/>
                <w:szCs w:val="24"/>
              </w:rPr>
              <w:t> </w:t>
            </w:r>
            <w:r>
              <w:rPr>
                <w:rFonts w:ascii="宋体" w:hAnsi="宋体" w:cs="宋体" w:eastAsia="宋体" w:hint="default"/>
                <w:sz w:val="24"/>
                <w:szCs w:val="24"/>
              </w:rPr>
              <w:t>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2"/>
              <w:jc w:val="right"/>
              <w:rPr>
                <w:rFonts w:ascii="Arial" w:hAnsi="Arial" w:cs="Arial" w:eastAsia="Arial" w:hint="default"/>
                <w:sz w:val="24"/>
                <w:szCs w:val="24"/>
              </w:rPr>
            </w:pPr>
            <w:r>
              <w:rPr>
                <w:rFonts w:ascii="Arial"/>
                <w:spacing w:val="-4"/>
                <w:sz w:val="24"/>
              </w:rPr>
              <w:t>21,011</w:t>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Arial" w:hAnsi="Arial" w:cs="Arial" w:eastAsia="Arial" w:hint="default"/>
                <w:sz w:val="24"/>
                <w:szCs w:val="24"/>
              </w:rPr>
            </w:pPr>
            <w:r>
              <w:rPr>
                <w:rFonts w:ascii="Arial"/>
                <w:w w:val="99"/>
                <w:sz w:val="24"/>
              </w:rPr>
              <w:t>-</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6"/>
              <w:jc w:val="right"/>
              <w:rPr>
                <w:rFonts w:ascii="Arial" w:hAnsi="Arial" w:cs="Arial" w:eastAsia="Arial" w:hint="default"/>
                <w:sz w:val="24"/>
                <w:szCs w:val="24"/>
              </w:rPr>
            </w:pPr>
            <w:r>
              <w:rPr>
                <w:rFonts w:ascii="Arial"/>
                <w:w w:val="95"/>
                <w:sz w:val="24"/>
              </w:rPr>
              <w:t>44,865</w:t>
            </w:r>
            <w:r>
              <w:rPr>
                <w:rFonts w:ascii="Arial"/>
                <w:sz w:val="24"/>
              </w:rPr>
            </w:r>
          </w:p>
        </w:tc>
      </w:tr>
      <w:tr>
        <w:trPr>
          <w:trHeight w:val="464"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好耶广告技术板块业务</w:t>
            </w:r>
          </w:p>
        </w:tc>
        <w:tc>
          <w:tcPr>
            <w:tcW w:w="1560" w:type="dxa"/>
            <w:tcBorders>
              <w:top w:val="nil" w:sz="6" w:space="0" w:color="auto"/>
              <w:left w:val="nil" w:sz="6" w:space="0" w:color="auto"/>
              <w:bottom w:val="nil" w:sz="6" w:space="0" w:color="auto"/>
              <w:right w:val="nil" w:sz="6" w:space="0" w:color="auto"/>
            </w:tcBorders>
          </w:tcPr>
          <w:p>
            <w:pPr>
              <w:pStyle w:val="TableParagraph"/>
              <w:tabs>
                <w:tab w:pos="1321" w:val="left" w:leader="none"/>
                <w:tab w:pos="1547" w:val="left" w:leader="none"/>
              </w:tabs>
              <w:spacing w:line="240" w:lineRule="auto" w:before="18"/>
              <w:ind w:right="1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tabs>
                <w:tab w:pos="543" w:val="left" w:leader="none"/>
                <w:tab w:pos="1373" w:val="left" w:leader="none"/>
              </w:tabs>
              <w:spacing w:line="240" w:lineRule="auto" w:before="18"/>
              <w:ind w:left="-13" w:right="1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69,714</w:t>
            </w:r>
            <w:r>
              <w:rPr>
                <w:rFonts w:ascii="Arial"/>
                <w:sz w:val="24"/>
                <w:u w:val="thick" w:color="000000"/>
              </w:rPr>
              <w:tab/>
            </w:r>
            <w:r>
              <w:rPr>
                <w:rFonts w:ascii="Arial"/>
                <w:sz w:val="24"/>
              </w:rPr>
            </w:r>
          </w:p>
        </w:tc>
      </w:tr>
      <w:tr>
        <w:trPr>
          <w:trHeight w:val="588"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2" w:right="0"/>
              <w:jc w:val="left"/>
              <w:rPr>
                <w:rFonts w:ascii="宋体" w:hAnsi="宋体" w:cs="宋体" w:eastAsia="宋体" w:hint="default"/>
                <w:sz w:val="24"/>
                <w:szCs w:val="24"/>
              </w:rPr>
            </w:pPr>
            <w:r>
              <w:rPr>
                <w:rFonts w:ascii="宋体" w:hAnsi="宋体" w:cs="宋体" w:eastAsia="宋体" w:hint="default"/>
                <w:sz w:val="24"/>
                <w:szCs w:val="24"/>
              </w:rPr>
              <w:t>取得子公司的净资产</w:t>
            </w:r>
          </w:p>
        </w:tc>
        <w:tc>
          <w:tcPr>
            <w:tcW w:w="156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590"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3"/>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93"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4"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96"/>
              <w:jc w:val="right"/>
              <w:rPr>
                <w:rFonts w:ascii="Arial" w:hAnsi="Arial" w:cs="Arial" w:eastAsia="Arial" w:hint="default"/>
                <w:sz w:val="24"/>
                <w:szCs w:val="24"/>
              </w:rPr>
            </w:pPr>
            <w:r>
              <w:rPr>
                <w:rFonts w:ascii="Arial"/>
                <w:spacing w:val="-1"/>
                <w:sz w:val="24"/>
              </w:rPr>
              <w:t>769,520</w:t>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16"/>
              <w:jc w:val="right"/>
              <w:rPr>
                <w:rFonts w:ascii="Arial" w:hAnsi="Arial" w:cs="Arial" w:eastAsia="Arial" w:hint="default"/>
                <w:sz w:val="24"/>
                <w:szCs w:val="24"/>
              </w:rPr>
            </w:pPr>
            <w:r>
              <w:rPr>
                <w:rFonts w:ascii="Arial"/>
                <w:w w:val="95"/>
                <w:sz w:val="24"/>
              </w:rPr>
              <w:t>31,869</w:t>
            </w:r>
            <w:r>
              <w:rPr>
                <w:rFonts w:ascii="Arial"/>
                <w:sz w:val="24"/>
              </w:rPr>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560" w:type="dxa"/>
            <w:tcBorders>
              <w:top w:val="nil" w:sz="6" w:space="0" w:color="auto"/>
              <w:left w:val="nil" w:sz="6" w:space="0" w:color="auto"/>
              <w:bottom w:val="nil" w:sz="6" w:space="0" w:color="auto"/>
              <w:right w:val="nil" w:sz="6" w:space="0" w:color="auto"/>
            </w:tcBorders>
          </w:tcPr>
          <w:p>
            <w:pPr>
              <w:pStyle w:val="TableParagraph"/>
              <w:spacing w:line="263" w:lineRule="exact"/>
              <w:ind w:right="94"/>
              <w:jc w:val="right"/>
              <w:rPr>
                <w:rFonts w:ascii="Arial" w:hAnsi="Arial" w:cs="Arial" w:eastAsia="Arial" w:hint="default"/>
                <w:sz w:val="24"/>
                <w:szCs w:val="24"/>
              </w:rPr>
            </w:pPr>
            <w:r>
              <w:rPr>
                <w:rFonts w:ascii="Arial"/>
                <w:w w:val="95"/>
                <w:sz w:val="24"/>
              </w:rPr>
              <w:t>1,365,805</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6"/>
              <w:jc w:val="right"/>
              <w:rPr>
                <w:rFonts w:ascii="Arial" w:hAnsi="Arial" w:cs="Arial" w:eastAsia="Arial" w:hint="default"/>
                <w:sz w:val="24"/>
                <w:szCs w:val="24"/>
              </w:rPr>
            </w:pPr>
            <w:r>
              <w:rPr>
                <w:rFonts w:ascii="Arial"/>
                <w:w w:val="95"/>
                <w:sz w:val="24"/>
              </w:rPr>
              <w:t>84,083</w:t>
            </w:r>
            <w:r>
              <w:rPr>
                <w:rFonts w:ascii="Arial"/>
                <w:sz w:val="24"/>
              </w:rPr>
            </w:r>
          </w:p>
        </w:tc>
      </w:tr>
      <w:tr>
        <w:trPr>
          <w:trHeight w:val="312"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560" w:type="dxa"/>
            <w:tcBorders>
              <w:top w:val="nil" w:sz="6" w:space="0" w:color="auto"/>
              <w:left w:val="nil" w:sz="6" w:space="0" w:color="auto"/>
              <w:bottom w:val="nil" w:sz="6" w:space="0" w:color="auto"/>
              <w:right w:val="nil" w:sz="6" w:space="0" w:color="auto"/>
            </w:tcBorders>
          </w:tcPr>
          <w:p>
            <w:pPr>
              <w:pStyle w:val="TableParagraph"/>
              <w:spacing w:line="263" w:lineRule="exact"/>
              <w:ind w:right="17"/>
              <w:jc w:val="right"/>
              <w:rPr>
                <w:rFonts w:ascii="Arial" w:hAnsi="Arial" w:cs="Arial" w:eastAsia="Arial" w:hint="default"/>
                <w:sz w:val="24"/>
                <w:szCs w:val="24"/>
              </w:rPr>
            </w:pPr>
            <w:r>
              <w:rPr>
                <w:rFonts w:ascii="Arial"/>
                <w:w w:val="95"/>
                <w:sz w:val="24"/>
              </w:rPr>
              <w:t>(1,452,212)</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9"/>
              <w:jc w:val="right"/>
              <w:rPr>
                <w:rFonts w:ascii="Arial" w:hAnsi="Arial" w:cs="Arial" w:eastAsia="Arial" w:hint="default"/>
                <w:sz w:val="24"/>
                <w:szCs w:val="24"/>
              </w:rPr>
            </w:pPr>
            <w:r>
              <w:rPr>
                <w:rFonts w:ascii="Arial"/>
                <w:w w:val="95"/>
                <w:sz w:val="24"/>
              </w:rPr>
              <w:t>(41,681)</w:t>
            </w:r>
            <w:r>
              <w:rPr>
                <w:rFonts w:ascii="Arial"/>
                <w:sz w:val="24"/>
              </w:rPr>
            </w:r>
          </w:p>
        </w:tc>
      </w:tr>
      <w:tr>
        <w:trPr>
          <w:trHeight w:val="306"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63" w:lineRule="exact"/>
              <w:ind w:right="17"/>
              <w:jc w:val="right"/>
              <w:rPr>
                <w:rFonts w:ascii="Arial" w:hAnsi="Arial" w:cs="Arial" w:eastAsia="Arial" w:hint="default"/>
                <w:sz w:val="24"/>
                <w:szCs w:val="24"/>
              </w:rPr>
            </w:pPr>
            <w:r>
              <w:rPr>
                <w:rFonts w:ascii="Arial"/>
                <w:spacing w:val="-3"/>
                <w:sz w:val="24"/>
              </w:rPr>
              <w:t>(254,511)</w:t>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59"/>
              <w:jc w:val="right"/>
              <w:rPr>
                <w:rFonts w:ascii="Arial" w:hAnsi="Arial" w:cs="Arial" w:eastAsia="Arial" w:hint="default"/>
                <w:sz w:val="24"/>
                <w:szCs w:val="24"/>
              </w:rPr>
            </w:pPr>
            <w:r>
              <w:rPr>
                <w:rFonts w:ascii="Arial"/>
                <w:w w:val="95"/>
                <w:sz w:val="24"/>
              </w:rPr>
              <w:t>(18,173)</w:t>
            </w:r>
            <w:r>
              <w:rPr>
                <w:rFonts w:ascii="Arial"/>
                <w:sz w:val="24"/>
              </w:rPr>
            </w:r>
          </w:p>
        </w:tc>
      </w:tr>
      <w:tr>
        <w:trPr>
          <w:trHeight w:val="297" w:hRule="exact"/>
        </w:trPr>
        <w:tc>
          <w:tcPr>
            <w:tcW w:w="742"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4"/>
              <w:jc w:val="right"/>
              <w:rPr>
                <w:rFonts w:ascii="Arial" w:hAnsi="Arial" w:cs="Arial" w:eastAsia="Arial" w:hint="default"/>
                <w:sz w:val="24"/>
                <w:szCs w:val="24"/>
              </w:rPr>
            </w:pPr>
            <w:r>
              <w:rPr>
                <w:rFonts w:ascii="Arial"/>
                <w:spacing w:val="-1"/>
                <w:sz w:val="24"/>
              </w:rPr>
              <w:t>428,602</w:t>
            </w:r>
          </w:p>
        </w:tc>
        <w:tc>
          <w:tcPr>
            <w:tcW w:w="282"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16"/>
              <w:jc w:val="right"/>
              <w:rPr>
                <w:rFonts w:ascii="Arial" w:hAnsi="Arial" w:cs="Arial" w:eastAsia="Arial" w:hint="default"/>
                <w:sz w:val="24"/>
                <w:szCs w:val="24"/>
              </w:rPr>
            </w:pPr>
            <w:r>
              <w:rPr>
                <w:rFonts w:ascii="Arial"/>
                <w:w w:val="95"/>
                <w:sz w:val="24"/>
              </w:rPr>
              <w:t>56,098</w:t>
            </w:r>
            <w:r>
              <w:rPr>
                <w:rFonts w:ascii="Arial"/>
                <w:sz w:val="24"/>
              </w:rPr>
            </w:r>
          </w:p>
        </w:tc>
      </w:tr>
    </w:tbl>
    <w:p>
      <w:pPr>
        <w:spacing w:after="0" w:line="274" w:lineRule="exact"/>
        <w:jc w:val="right"/>
        <w:rPr>
          <w:rFonts w:ascii="Arial" w:hAnsi="Arial" w:cs="Arial" w:eastAsia="Arial" w:hint="default"/>
          <w:sz w:val="24"/>
          <w:szCs w:val="24"/>
        </w:rPr>
        <w:sectPr>
          <w:pgSz w:w="11910" w:h="16840"/>
          <w:pgMar w:header="0" w:footer="698" w:top="1860" w:bottom="880" w:left="14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800"/>
        <w:gridCol w:w="5777"/>
        <w:gridCol w:w="2482"/>
      </w:tblGrid>
      <w:tr>
        <w:trPr>
          <w:trHeight w:val="41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777"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82" w:type="dxa"/>
            <w:tcBorders>
              <w:top w:val="nil" w:sz="6" w:space="0" w:color="auto"/>
              <w:left w:val="nil" w:sz="6" w:space="0" w:color="auto"/>
              <w:bottom w:val="nil" w:sz="6" w:space="0" w:color="auto"/>
              <w:right w:val="nil" w:sz="6" w:space="0" w:color="auto"/>
            </w:tcBorders>
          </w:tcPr>
          <w:p>
            <w:pPr/>
          </w:p>
        </w:tc>
      </w:tr>
      <w:tr>
        <w:trPr>
          <w:trHeight w:val="588"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58" w:right="0"/>
              <w:jc w:val="left"/>
              <w:rPr>
                <w:rFonts w:ascii="Arial" w:hAnsi="Arial" w:cs="Arial" w:eastAsia="Arial" w:hint="default"/>
                <w:sz w:val="24"/>
                <w:szCs w:val="24"/>
              </w:rPr>
            </w:pPr>
            <w:r>
              <w:rPr>
                <w:rFonts w:ascii="Arial"/>
                <w:sz w:val="24"/>
              </w:rPr>
              <w:t>(58)</w:t>
            </w:r>
          </w:p>
        </w:tc>
        <w:tc>
          <w:tcPr>
            <w:tcW w:w="577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0" w:right="0"/>
              <w:jc w:val="left"/>
              <w:rPr>
                <w:rFonts w:ascii="Arial" w:hAnsi="Arial" w:cs="Arial" w:eastAsia="Arial" w:hint="default"/>
                <w:sz w:val="24"/>
                <w:szCs w:val="24"/>
              </w:rPr>
            </w:pPr>
            <w:r>
              <w:rPr>
                <w:rFonts w:ascii="黑体" w:hAnsi="黑体" w:cs="黑体" w:eastAsia="黑体" w:hint="default"/>
                <w:sz w:val="24"/>
                <w:szCs w:val="24"/>
              </w:rPr>
              <w:t>现金流量表补充资料</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82" w:type="dxa"/>
            <w:tcBorders>
              <w:top w:val="nil" w:sz="6" w:space="0" w:color="auto"/>
              <w:left w:val="nil" w:sz="6" w:space="0" w:color="auto"/>
              <w:bottom w:val="nil" w:sz="6" w:space="0" w:color="auto"/>
              <w:right w:val="nil" w:sz="6" w:space="0" w:color="auto"/>
            </w:tcBorders>
          </w:tcPr>
          <w:p>
            <w:pPr/>
          </w:p>
        </w:tc>
      </w:tr>
      <w:tr>
        <w:trPr>
          <w:trHeight w:val="591"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8" w:right="0"/>
              <w:jc w:val="left"/>
              <w:rPr>
                <w:rFonts w:ascii="Arial" w:hAnsi="Arial" w:cs="Arial" w:eastAsia="Arial" w:hint="default"/>
                <w:sz w:val="24"/>
                <w:szCs w:val="24"/>
              </w:rPr>
            </w:pPr>
            <w:r>
              <w:rPr>
                <w:rFonts w:ascii="Arial"/>
                <w:sz w:val="24"/>
              </w:rPr>
              <w:t>(c)</w:t>
            </w:r>
          </w:p>
        </w:tc>
        <w:tc>
          <w:tcPr>
            <w:tcW w:w="577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0" w:right="0"/>
              <w:jc w:val="left"/>
              <w:rPr>
                <w:rFonts w:ascii="Arial" w:hAnsi="Arial" w:cs="Arial" w:eastAsia="Arial" w:hint="default"/>
                <w:sz w:val="24"/>
                <w:szCs w:val="24"/>
              </w:rPr>
            </w:pPr>
            <w:r>
              <w:rPr>
                <w:rFonts w:ascii="宋体" w:hAnsi="宋体" w:cs="宋体" w:eastAsia="宋体" w:hint="default"/>
                <w:sz w:val="24"/>
                <w:szCs w:val="24"/>
              </w:rPr>
              <w:t>取得或处置子公司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482" w:type="dxa"/>
            <w:tcBorders>
              <w:top w:val="nil" w:sz="6" w:space="0" w:color="auto"/>
              <w:left w:val="nil" w:sz="6" w:space="0" w:color="auto"/>
              <w:bottom w:val="nil" w:sz="6" w:space="0" w:color="auto"/>
              <w:right w:val="nil" w:sz="6" w:space="0" w:color="auto"/>
            </w:tcBorders>
          </w:tcPr>
          <w:p>
            <w:pPr/>
          </w:p>
        </w:tc>
      </w:tr>
      <w:tr>
        <w:trPr>
          <w:trHeight w:val="587"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0" w:right="0"/>
              <w:jc w:val="left"/>
              <w:rPr>
                <w:rFonts w:ascii="宋体" w:hAnsi="宋体" w:cs="宋体" w:eastAsia="宋体" w:hint="default"/>
                <w:sz w:val="24"/>
                <w:szCs w:val="24"/>
              </w:rPr>
            </w:pPr>
            <w:r>
              <w:rPr>
                <w:rFonts w:ascii="Arial" w:hAnsi="Arial" w:cs="Arial" w:eastAsia="Arial" w:hint="default"/>
                <w:sz w:val="24"/>
                <w:szCs w:val="24"/>
              </w:rPr>
              <w:t>(ii)</w:t>
            </w:r>
            <w:r>
              <w:rPr>
                <w:rFonts w:ascii="Arial" w:hAnsi="Arial" w:cs="Arial" w:eastAsia="Arial" w:hint="default"/>
                <w:spacing w:val="52"/>
                <w:sz w:val="24"/>
                <w:szCs w:val="24"/>
              </w:rPr>
              <w:t> </w:t>
            </w:r>
            <w:r>
              <w:rPr>
                <w:rFonts w:ascii="宋体" w:hAnsi="宋体" w:cs="宋体" w:eastAsia="宋体" w:hint="default"/>
                <w:sz w:val="24"/>
                <w:szCs w:val="24"/>
              </w:rPr>
              <w:t>处置子公司</w:t>
            </w:r>
          </w:p>
        </w:tc>
        <w:tc>
          <w:tcPr>
            <w:tcW w:w="2482" w:type="dxa"/>
            <w:tcBorders>
              <w:top w:val="nil" w:sz="6" w:space="0" w:color="auto"/>
              <w:left w:val="nil" w:sz="6" w:space="0" w:color="auto"/>
              <w:bottom w:val="nil" w:sz="6" w:space="0" w:color="auto"/>
              <w:right w:val="nil" w:sz="6" w:space="0" w:color="auto"/>
            </w:tcBorders>
          </w:tcPr>
          <w:p>
            <w:pPr/>
          </w:p>
        </w:tc>
      </w:tr>
      <w:tr>
        <w:trPr>
          <w:trHeight w:val="587"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769"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405" w:right="753" w:hanging="291"/>
              <w:jc w:val="left"/>
              <w:rPr>
                <w:rFonts w:ascii="宋体" w:hAnsi="宋体" w:cs="宋体" w:eastAsia="宋体" w:hint="default"/>
                <w:sz w:val="24"/>
                <w:szCs w:val="24"/>
              </w:rPr>
            </w:pPr>
            <w:r>
              <w:rPr>
                <w:rFonts w:ascii="宋体" w:hAnsi="宋体" w:cs="宋体" w:eastAsia="宋体" w:hint="default"/>
                <w:sz w:val="24"/>
                <w:szCs w:val="24"/>
              </w:rPr>
              <w:t>本年处置 </w:t>
            </w:r>
            <w:r>
              <w:rPr>
                <w:rFonts w:ascii="Arial" w:hAnsi="Arial" w:cs="Arial" w:eastAsia="Arial" w:hint="default"/>
                <w:sz w:val="24"/>
                <w:szCs w:val="24"/>
              </w:rPr>
              <w:t>PPTV</w:t>
            </w:r>
            <w:r>
              <w:rPr>
                <w:rFonts w:ascii="Arial" w:hAnsi="Arial" w:cs="Arial" w:eastAsia="Arial" w:hint="default"/>
                <w:spacing w:val="11"/>
                <w:sz w:val="24"/>
                <w:szCs w:val="24"/>
              </w:rPr>
              <w:t> </w:t>
            </w:r>
            <w:r>
              <w:rPr>
                <w:rFonts w:ascii="宋体" w:hAnsi="宋体" w:cs="宋体" w:eastAsia="宋体" w:hint="default"/>
                <w:sz w:val="24"/>
                <w:szCs w:val="24"/>
              </w:rPr>
              <w:t>业务于本年收到的现金和现金 等价物</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0"/>
              <w:ind w:right="119"/>
              <w:jc w:val="right"/>
              <w:rPr>
                <w:rFonts w:ascii="Arial" w:hAnsi="Arial" w:cs="Arial" w:eastAsia="Arial" w:hint="default"/>
                <w:sz w:val="24"/>
                <w:szCs w:val="24"/>
              </w:rPr>
            </w:pPr>
            <w:r>
              <w:rPr>
                <w:rFonts w:ascii="Arial"/>
                <w:w w:val="95"/>
                <w:sz w:val="24"/>
              </w:rPr>
              <w:t>2,585,483</w:t>
            </w:r>
            <w:r>
              <w:rPr>
                <w:rFonts w:ascii="Arial"/>
                <w:sz w:val="24"/>
              </w:rPr>
            </w:r>
          </w:p>
        </w:tc>
      </w:tr>
      <w:tr>
        <w:trPr>
          <w:trHeight w:val="628"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69" w:lineRule="exact"/>
              <w:ind w:left="114" w:right="0"/>
              <w:jc w:val="left"/>
              <w:rPr>
                <w:rFonts w:ascii="宋体" w:hAnsi="宋体" w:cs="宋体" w:eastAsia="宋体" w:hint="default"/>
                <w:sz w:val="24"/>
                <w:szCs w:val="24"/>
              </w:rPr>
            </w:pPr>
            <w:r>
              <w:rPr>
                <w:rFonts w:ascii="宋体" w:hAnsi="宋体" w:cs="宋体" w:eastAsia="宋体" w:hint="default"/>
                <w:sz w:val="24"/>
                <w:szCs w:val="24"/>
              </w:rPr>
              <w:t>减：丧失控制权日</w:t>
            </w:r>
            <w:r>
              <w:rPr>
                <w:rFonts w:ascii="宋体" w:hAnsi="宋体" w:cs="宋体" w:eastAsia="宋体" w:hint="default"/>
                <w:spacing w:val="-60"/>
                <w:sz w:val="24"/>
                <w:szCs w:val="24"/>
              </w:rPr>
              <w:t> </w:t>
            </w:r>
            <w:r>
              <w:rPr>
                <w:rFonts w:ascii="Arial" w:hAnsi="Arial" w:cs="Arial" w:eastAsia="Arial" w:hint="default"/>
                <w:sz w:val="24"/>
                <w:szCs w:val="24"/>
              </w:rPr>
              <w:t>PPTV</w:t>
            </w:r>
            <w:r>
              <w:rPr>
                <w:rFonts w:ascii="Arial" w:hAnsi="Arial" w:cs="Arial" w:eastAsia="Arial" w:hint="default"/>
                <w:spacing w:val="-8"/>
                <w:sz w:val="24"/>
                <w:szCs w:val="24"/>
              </w:rPr>
              <w:t> </w:t>
            </w:r>
            <w:r>
              <w:rPr>
                <w:rFonts w:ascii="宋体" w:hAnsi="宋体" w:cs="宋体" w:eastAsia="宋体" w:hint="default"/>
                <w:sz w:val="24"/>
                <w:szCs w:val="24"/>
              </w:rPr>
              <w:t>业务持有的现金和现</w:t>
            </w:r>
          </w:p>
          <w:p>
            <w:pPr>
              <w:pStyle w:val="TableParagraph"/>
              <w:spacing w:line="304" w:lineRule="exact"/>
              <w:ind w:left="1435" w:right="0"/>
              <w:jc w:val="left"/>
              <w:rPr>
                <w:rFonts w:ascii="宋体" w:hAnsi="宋体" w:cs="宋体" w:eastAsia="宋体" w:hint="default"/>
                <w:sz w:val="24"/>
                <w:szCs w:val="24"/>
              </w:rPr>
            </w:pPr>
            <w:r>
              <w:rPr>
                <w:rFonts w:ascii="宋体" w:hAnsi="宋体" w:cs="宋体" w:eastAsia="宋体" w:hint="default"/>
                <w:sz w:val="24"/>
                <w:szCs w:val="24"/>
              </w:rPr>
              <w:t>金等价物</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1430" w:val="left" w:leader="none"/>
              </w:tabs>
              <w:spacing w:line="240" w:lineRule="auto"/>
              <w:ind w:right="2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(342,510)</w:t>
            </w:r>
            <w:r>
              <w:rPr>
                <w:rFonts w:ascii="Arial"/>
                <w:w w:val="95"/>
                <w:sz w:val="24"/>
              </w:rPr>
            </w:r>
            <w:r>
              <w:rPr>
                <w:rFonts w:ascii="Arial"/>
                <w:sz w:val="24"/>
              </w:rPr>
            </w:r>
          </w:p>
        </w:tc>
      </w:tr>
      <w:tr>
        <w:trPr>
          <w:trHeight w:val="469"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67" w:lineRule="exact"/>
              <w:ind w:left="114" w:right="0"/>
              <w:jc w:val="left"/>
              <w:rPr>
                <w:rFonts w:ascii="宋体" w:hAnsi="宋体" w:cs="宋体" w:eastAsia="宋体" w:hint="default"/>
                <w:sz w:val="24"/>
                <w:szCs w:val="24"/>
              </w:rPr>
            </w:pPr>
            <w:r>
              <w:rPr>
                <w:rFonts w:ascii="宋体" w:hAnsi="宋体" w:cs="宋体" w:eastAsia="宋体" w:hint="default"/>
                <w:sz w:val="24"/>
                <w:szCs w:val="24"/>
              </w:rPr>
              <w:t>处置子公司收到的现金净额</w:t>
            </w:r>
          </w:p>
        </w:tc>
        <w:tc>
          <w:tcPr>
            <w:tcW w:w="2482" w:type="dxa"/>
            <w:tcBorders>
              <w:top w:val="nil" w:sz="6" w:space="0" w:color="auto"/>
              <w:left w:val="nil" w:sz="6" w:space="0" w:color="auto"/>
              <w:bottom w:val="nil" w:sz="6" w:space="0" w:color="auto"/>
              <w:right w:val="nil" w:sz="6" w:space="0" w:color="auto"/>
            </w:tcBorders>
          </w:tcPr>
          <w:p>
            <w:pPr>
              <w:pStyle w:val="TableParagraph"/>
              <w:tabs>
                <w:tab w:pos="1319" w:val="left" w:leader="none"/>
                <w:tab w:pos="2481" w:val="left" w:leader="none"/>
              </w:tabs>
              <w:spacing w:line="240" w:lineRule="auto" w:before="23"/>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2,242,973</w:t>
            </w:r>
            <w:r>
              <w:rPr>
                <w:rFonts w:ascii="Arial"/>
                <w:sz w:val="24"/>
                <w:u w:val="thick" w:color="000000"/>
              </w:rPr>
              <w:tab/>
            </w:r>
            <w:r>
              <w:rPr>
                <w:rFonts w:ascii="Arial"/>
                <w:sz w:val="24"/>
              </w:rPr>
            </w:r>
          </w:p>
        </w:tc>
      </w:tr>
      <w:tr>
        <w:trPr>
          <w:trHeight w:val="589"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4" w:right="0"/>
              <w:jc w:val="left"/>
              <w:rPr>
                <w:rFonts w:ascii="宋体" w:hAnsi="宋体" w:cs="宋体" w:eastAsia="宋体" w:hint="default"/>
                <w:sz w:val="24"/>
                <w:szCs w:val="24"/>
              </w:rPr>
            </w:pPr>
            <w:r>
              <w:rPr>
                <w:rFonts w:ascii="宋体" w:hAnsi="宋体" w:cs="宋体" w:eastAsia="宋体" w:hint="default"/>
                <w:sz w:val="24"/>
                <w:szCs w:val="24"/>
              </w:rPr>
              <w:t>处置子公司的价格</w:t>
            </w:r>
          </w:p>
        </w:tc>
        <w:tc>
          <w:tcPr>
            <w:tcW w:w="2482" w:type="dxa"/>
            <w:tcBorders>
              <w:top w:val="nil" w:sz="6" w:space="0" w:color="auto"/>
              <w:left w:val="nil" w:sz="6" w:space="0" w:color="auto"/>
              <w:bottom w:val="nil" w:sz="6" w:space="0" w:color="auto"/>
              <w:right w:val="nil" w:sz="6" w:space="0" w:color="auto"/>
            </w:tcBorders>
          </w:tcPr>
          <w:p>
            <w:pPr/>
          </w:p>
        </w:tc>
      </w:tr>
      <w:tr>
        <w:trPr>
          <w:trHeight w:val="593"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2"/>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11"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4" w:right="0"/>
              <w:jc w:val="left"/>
              <w:rPr>
                <w:rFonts w:ascii="宋体" w:hAnsi="宋体" w:cs="宋体" w:eastAsia="宋体" w:hint="default"/>
                <w:sz w:val="24"/>
                <w:szCs w:val="24"/>
              </w:rPr>
            </w:pPr>
            <w:r>
              <w:rPr>
                <w:rFonts w:ascii="Arial" w:hAnsi="Arial" w:cs="Arial" w:eastAsia="Arial" w:hint="default"/>
                <w:sz w:val="24"/>
                <w:szCs w:val="24"/>
              </w:rPr>
              <w:t>PPTV</w:t>
            </w:r>
            <w:r>
              <w:rPr>
                <w:rFonts w:ascii="Arial" w:hAnsi="Arial" w:cs="Arial" w:eastAsia="Arial" w:hint="default"/>
                <w:spacing w:val="-8"/>
                <w:sz w:val="24"/>
                <w:szCs w:val="24"/>
              </w:rPr>
              <w:t> </w:t>
            </w:r>
            <w:r>
              <w:rPr>
                <w:rFonts w:ascii="宋体" w:hAnsi="宋体" w:cs="宋体" w:eastAsia="宋体" w:hint="default"/>
                <w:sz w:val="24"/>
                <w:szCs w:val="24"/>
              </w:rPr>
              <w:t>业务</w:t>
            </w:r>
          </w:p>
        </w:tc>
        <w:tc>
          <w:tcPr>
            <w:tcW w:w="2482" w:type="dxa"/>
            <w:tcBorders>
              <w:top w:val="nil" w:sz="6" w:space="0" w:color="auto"/>
              <w:left w:val="nil" w:sz="6" w:space="0" w:color="auto"/>
              <w:bottom w:val="nil" w:sz="6" w:space="0" w:color="auto"/>
              <w:right w:val="nil" w:sz="6" w:space="0" w:color="auto"/>
            </w:tcBorders>
          </w:tcPr>
          <w:p>
            <w:pPr>
              <w:pStyle w:val="TableParagraph"/>
              <w:tabs>
                <w:tab w:pos="1317" w:val="left" w:leader="none"/>
                <w:tab w:pos="2481" w:val="left" w:leader="none"/>
              </w:tabs>
              <w:spacing w:line="240" w:lineRule="auto" w:before="165"/>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2,585,483</w:t>
            </w:r>
            <w:r>
              <w:rPr>
                <w:rFonts w:ascii="Arial"/>
                <w:sz w:val="24"/>
                <w:u w:val="thick" w:color="000000"/>
              </w:rPr>
              <w:tab/>
            </w:r>
            <w:r>
              <w:rPr>
                <w:rFonts w:ascii="Arial"/>
                <w:sz w:val="24"/>
              </w:rPr>
            </w:r>
          </w:p>
        </w:tc>
      </w:tr>
      <w:tr>
        <w:trPr>
          <w:trHeight w:val="588"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2" w:right="0"/>
              <w:jc w:val="left"/>
              <w:rPr>
                <w:rFonts w:ascii="宋体" w:hAnsi="宋体" w:cs="宋体" w:eastAsia="宋体" w:hint="default"/>
                <w:sz w:val="24"/>
                <w:szCs w:val="24"/>
              </w:rPr>
            </w:pPr>
            <w:r>
              <w:rPr>
                <w:rFonts w:ascii="宋体" w:hAnsi="宋体" w:cs="宋体" w:eastAsia="宋体" w:hint="default"/>
                <w:sz w:val="24"/>
                <w:szCs w:val="24"/>
              </w:rPr>
              <w:t>处置子公司的净资产</w:t>
            </w:r>
          </w:p>
        </w:tc>
        <w:tc>
          <w:tcPr>
            <w:tcW w:w="2482" w:type="dxa"/>
            <w:tcBorders>
              <w:top w:val="nil" w:sz="6" w:space="0" w:color="auto"/>
              <w:left w:val="nil" w:sz="6" w:space="0" w:color="auto"/>
              <w:bottom w:val="nil" w:sz="6" w:space="0" w:color="auto"/>
              <w:right w:val="nil" w:sz="6" w:space="0" w:color="auto"/>
            </w:tcBorders>
          </w:tcPr>
          <w:p>
            <w:pPr/>
          </w:p>
        </w:tc>
      </w:tr>
      <w:tr>
        <w:trPr>
          <w:trHeight w:val="589"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4"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9"/>
              <w:jc w:val="right"/>
              <w:rPr>
                <w:rFonts w:ascii="Arial" w:hAnsi="Arial" w:cs="Arial" w:eastAsia="Arial" w:hint="default"/>
                <w:sz w:val="24"/>
                <w:szCs w:val="24"/>
              </w:rPr>
            </w:pPr>
            <w:r>
              <w:rPr>
                <w:rFonts w:ascii="Arial"/>
                <w:w w:val="95"/>
                <w:sz w:val="24"/>
              </w:rPr>
              <w:t>1,006,922</w:t>
            </w:r>
            <w:r>
              <w:rPr>
                <w:rFonts w:ascii="Arial"/>
                <w:sz w:val="24"/>
              </w:rPr>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80" w:lineRule="exact"/>
              <w:ind w:left="114"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19"/>
              <w:jc w:val="right"/>
              <w:rPr>
                <w:rFonts w:ascii="Arial" w:hAnsi="Arial" w:cs="Arial" w:eastAsia="Arial" w:hint="default"/>
                <w:sz w:val="24"/>
                <w:szCs w:val="24"/>
              </w:rPr>
            </w:pPr>
            <w:r>
              <w:rPr>
                <w:rFonts w:ascii="Arial"/>
                <w:w w:val="95"/>
                <w:sz w:val="24"/>
              </w:rPr>
              <w:t>1,848,374</w:t>
            </w:r>
            <w:r>
              <w:rPr>
                <w:rFonts w:ascii="Arial"/>
                <w:sz w:val="24"/>
              </w:rPr>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79" w:lineRule="exact"/>
              <w:ind w:left="114"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w w:val="95"/>
                <w:sz w:val="24"/>
              </w:rPr>
              <w:t>(2,890,830)</w:t>
            </w:r>
            <w:r>
              <w:rPr>
                <w:rFonts w:ascii="Arial"/>
                <w:sz w:val="24"/>
              </w:rPr>
            </w:r>
          </w:p>
        </w:tc>
      </w:tr>
      <w:tr>
        <w:trPr>
          <w:trHeight w:val="321"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Style w:val="TableParagraph"/>
              <w:spacing w:line="279" w:lineRule="exact"/>
              <w:ind w:left="114"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48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w w:val="95"/>
                <w:sz w:val="24"/>
              </w:rPr>
              <w:t>(733,732)</w:t>
            </w:r>
            <w:r>
              <w:rPr>
                <w:rFonts w:ascii="Arial"/>
                <w:sz w:val="24"/>
              </w:rPr>
            </w:r>
          </w:p>
        </w:tc>
      </w:tr>
      <w:tr>
        <w:trPr>
          <w:trHeight w:val="296" w:hRule="exact"/>
        </w:trPr>
        <w:tc>
          <w:tcPr>
            <w:tcW w:w="800" w:type="dxa"/>
            <w:tcBorders>
              <w:top w:val="nil" w:sz="6" w:space="0" w:color="auto"/>
              <w:left w:val="nil" w:sz="6" w:space="0" w:color="auto"/>
              <w:bottom w:val="nil" w:sz="6" w:space="0" w:color="auto"/>
              <w:right w:val="nil" w:sz="6" w:space="0" w:color="auto"/>
            </w:tcBorders>
          </w:tcPr>
          <w:p>
            <w:pPr/>
          </w:p>
        </w:tc>
        <w:tc>
          <w:tcPr>
            <w:tcW w:w="5777" w:type="dxa"/>
            <w:tcBorders>
              <w:top w:val="nil" w:sz="6" w:space="0" w:color="auto"/>
              <w:left w:val="nil" w:sz="6" w:space="0" w:color="auto"/>
              <w:bottom w:val="nil" w:sz="6" w:space="0" w:color="auto"/>
              <w:right w:val="nil" w:sz="6" w:space="0" w:color="auto"/>
            </w:tcBorders>
          </w:tcPr>
          <w:p>
            <w:pPr/>
          </w:p>
        </w:tc>
        <w:tc>
          <w:tcPr>
            <w:tcW w:w="2482"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54"/>
              <w:jc w:val="right"/>
              <w:rPr>
                <w:rFonts w:ascii="Arial" w:hAnsi="Arial" w:cs="Arial" w:eastAsia="Arial" w:hint="default"/>
                <w:sz w:val="24"/>
                <w:szCs w:val="24"/>
              </w:rPr>
            </w:pPr>
            <w:r>
              <w:rPr>
                <w:rFonts w:ascii="Arial"/>
                <w:w w:val="95"/>
                <w:sz w:val="24"/>
              </w:rPr>
              <w:t>(769,266)</w:t>
            </w:r>
            <w:r>
              <w:rPr>
                <w:rFonts w:ascii="Arial"/>
                <w:sz w:val="24"/>
              </w:rPr>
            </w:r>
          </w:p>
        </w:tc>
      </w:tr>
    </w:tbl>
    <w:p>
      <w:pPr>
        <w:spacing w:after="0" w:line="273" w:lineRule="exact"/>
        <w:jc w:val="right"/>
        <w:rPr>
          <w:rFonts w:ascii="Arial" w:hAnsi="Arial" w:cs="Arial" w:eastAsia="Arial" w:hint="default"/>
          <w:sz w:val="24"/>
          <w:szCs w:val="24"/>
        </w:rPr>
        <w:sectPr>
          <w:pgSz w:w="11910" w:h="16840"/>
          <w:pgMar w:header="0" w:footer="698" w:top="1860" w:bottom="8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814"/>
        <w:gridCol w:w="4104"/>
        <w:gridCol w:w="1169"/>
        <w:gridCol w:w="1227"/>
        <w:gridCol w:w="186"/>
        <w:gridCol w:w="1526"/>
      </w:tblGrid>
      <w:tr>
        <w:trPr>
          <w:trHeight w:val="416"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104" w:type="dxa"/>
            <w:tcBorders>
              <w:top w:val="nil" w:sz="6" w:space="0" w:color="auto"/>
              <w:left w:val="nil" w:sz="6" w:space="0" w:color="auto"/>
              <w:bottom w:val="nil" w:sz="6" w:space="0" w:color="auto"/>
              <w:right w:val="nil" w:sz="6" w:space="0" w:color="auto"/>
            </w:tcBorders>
          </w:tcPr>
          <w:p>
            <w:pPr>
              <w:pStyle w:val="TableParagraph"/>
              <w:spacing w:line="257" w:lineRule="exact"/>
              <w:ind w:left="3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r>
      <w:tr>
        <w:trPr>
          <w:trHeight w:val="588"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(58)</w:t>
            </w: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6" w:right="0"/>
              <w:jc w:val="left"/>
              <w:rPr>
                <w:rFonts w:ascii="Arial" w:hAnsi="Arial" w:cs="Arial" w:eastAsia="Arial" w:hint="default"/>
                <w:sz w:val="24"/>
                <w:szCs w:val="24"/>
              </w:rPr>
            </w:pPr>
            <w:r>
              <w:rPr>
                <w:rFonts w:ascii="黑体" w:hAnsi="黑体" w:cs="黑体" w:eastAsia="黑体" w:hint="default"/>
                <w:sz w:val="24"/>
                <w:szCs w:val="24"/>
              </w:rPr>
              <w:t>现金流量表补充资料</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r>
      <w:tr>
        <w:trPr>
          <w:trHeight w:val="585"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(d)</w:t>
            </w: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 w:right="0"/>
              <w:jc w:val="left"/>
              <w:rPr>
                <w:rFonts w:ascii="宋体" w:hAnsi="宋体" w:cs="宋体" w:eastAsia="宋体" w:hint="default"/>
                <w:sz w:val="24"/>
                <w:szCs w:val="24"/>
              </w:rPr>
            </w:pPr>
            <w:r>
              <w:rPr>
                <w:rFonts w:ascii="宋体" w:hAnsi="宋体" w:cs="宋体" w:eastAsia="宋体" w:hint="default"/>
                <w:sz w:val="24"/>
                <w:szCs w:val="24"/>
              </w:rPr>
              <w:t>现金及现金等价物</w:t>
            </w: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r>
      <w:tr>
        <w:trPr>
          <w:trHeight w:val="904"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
        </w:tc>
        <w:tc>
          <w:tcPr>
            <w:tcW w:w="2396" w:type="dxa"/>
            <w:gridSpan w:val="2"/>
            <w:tcBorders>
              <w:top w:val="nil" w:sz="6" w:space="0" w:color="auto"/>
              <w:left w:val="nil" w:sz="6" w:space="0" w:color="auto"/>
              <w:bottom w:val="nil" w:sz="6" w:space="0" w:color="auto"/>
              <w:right w:val="nil" w:sz="6" w:space="0" w:color="auto"/>
            </w:tcBorders>
          </w:tcPr>
          <w:p>
            <w:pPr>
              <w:pStyle w:val="TableParagraph"/>
              <w:spacing w:line="321" w:lineRule="exact" w:before="100"/>
              <w:ind w:left="1231"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885"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321" w:lineRule="exact" w:before="100"/>
              <w:ind w:left="63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278"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49"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4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239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5"/>
              <w:ind w:left="887" w:right="0"/>
              <w:jc w:val="left"/>
              <w:rPr>
                <w:rFonts w:ascii="Arial" w:hAnsi="Arial" w:cs="Arial" w:eastAsia="Arial" w:hint="default"/>
                <w:sz w:val="24"/>
                <w:szCs w:val="24"/>
              </w:rPr>
            </w:pPr>
            <w:r>
              <w:rPr>
                <w:rFonts w:ascii="Arial"/>
                <w:sz w:val="24"/>
              </w:rPr>
              <w:t>16,818,166</w:t>
            </w:r>
          </w:p>
        </w:tc>
        <w:tc>
          <w:tcPr>
            <w:tcW w:w="186" w:type="dxa"/>
            <w:tcBorders>
              <w:top w:val="nil" w:sz="6" w:space="0" w:color="auto"/>
              <w:left w:val="nil" w:sz="6" w:space="0" w:color="auto"/>
              <w:bottom w:val="single" w:sz="4" w:space="0" w:color="000000"/>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left="255" w:right="0"/>
              <w:jc w:val="left"/>
              <w:rPr>
                <w:rFonts w:ascii="Arial" w:hAnsi="Arial" w:cs="Arial" w:eastAsia="Arial" w:hint="default"/>
                <w:sz w:val="24"/>
                <w:szCs w:val="24"/>
              </w:rPr>
            </w:pPr>
            <w:r>
              <w:rPr>
                <w:rFonts w:ascii="Arial"/>
                <w:sz w:val="24"/>
              </w:rPr>
              <w:t>12,297,572</w:t>
            </w:r>
          </w:p>
        </w:tc>
      </w:tr>
      <w:tr>
        <w:trPr>
          <w:trHeight w:val="329" w:hRule="exact"/>
        </w:trPr>
        <w:tc>
          <w:tcPr>
            <w:tcW w:w="814" w:type="dxa"/>
            <w:tcBorders>
              <w:top w:val="nil" w:sz="6" w:space="0" w:color="auto"/>
              <w:left w:val="nil" w:sz="6" w:space="0" w:color="auto"/>
              <w:bottom w:val="nil" w:sz="6" w:space="0" w:color="auto"/>
              <w:right w:val="single" w:sz="4" w:space="0" w:color="000000"/>
            </w:tcBorders>
          </w:tcPr>
          <w:p>
            <w:pPr/>
          </w:p>
        </w:tc>
        <w:tc>
          <w:tcPr>
            <w:tcW w:w="4104" w:type="dxa"/>
            <w:tcBorders>
              <w:top w:val="single" w:sz="4" w:space="0" w:color="000000"/>
              <w:left w:val="single" w:sz="4" w:space="0" w:color="000000"/>
              <w:bottom w:val="nil" w:sz="6" w:space="0" w:color="auto"/>
              <w:right w:val="nil" w:sz="6" w:space="0" w:color="auto"/>
            </w:tcBorders>
          </w:tcPr>
          <w:p>
            <w:pPr>
              <w:pStyle w:val="TableParagraph"/>
              <w:spacing w:line="275" w:lineRule="exact"/>
              <w:ind w:left="37"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1169" w:type="dxa"/>
            <w:tcBorders>
              <w:top w:val="single" w:sz="4" w:space="0" w:color="000000"/>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185" w:right="0"/>
              <w:jc w:val="left"/>
              <w:rPr>
                <w:rFonts w:ascii="Arial" w:hAnsi="Arial" w:cs="Arial" w:eastAsia="Arial" w:hint="default"/>
                <w:sz w:val="24"/>
                <w:szCs w:val="24"/>
              </w:rPr>
            </w:pPr>
            <w:r>
              <w:rPr>
                <w:rFonts w:ascii="Arial"/>
                <w:sz w:val="24"/>
              </w:rPr>
              <w:t>21,928</w:t>
            </w:r>
          </w:p>
        </w:tc>
        <w:tc>
          <w:tcPr>
            <w:tcW w:w="186" w:type="dxa"/>
            <w:tcBorders>
              <w:top w:val="single" w:sz="4" w:space="0" w:color="000000"/>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single" w:sz="4" w:space="0" w:color="000000"/>
            </w:tcBorders>
          </w:tcPr>
          <w:p>
            <w:pPr>
              <w:pStyle w:val="TableParagraph"/>
              <w:spacing w:line="240" w:lineRule="auto" w:before="31"/>
              <w:ind w:right="63"/>
              <w:jc w:val="right"/>
              <w:rPr>
                <w:rFonts w:ascii="Arial" w:hAnsi="Arial" w:cs="Arial" w:eastAsia="Arial" w:hint="default"/>
                <w:sz w:val="24"/>
                <w:szCs w:val="24"/>
              </w:rPr>
            </w:pPr>
            <w:r>
              <w:rPr>
                <w:rFonts w:ascii="Arial"/>
                <w:w w:val="95"/>
                <w:sz w:val="24"/>
              </w:rPr>
              <w:t>19,930</w:t>
            </w:r>
            <w:r>
              <w:rPr>
                <w:rFonts w:ascii="Arial"/>
                <w:sz w:val="24"/>
              </w:rPr>
            </w:r>
          </w:p>
        </w:tc>
      </w:tr>
      <w:tr>
        <w:trPr>
          <w:trHeight w:val="312" w:hRule="exact"/>
        </w:trPr>
        <w:tc>
          <w:tcPr>
            <w:tcW w:w="814" w:type="dxa"/>
            <w:tcBorders>
              <w:top w:val="nil" w:sz="6" w:space="0" w:color="auto"/>
              <w:left w:val="nil" w:sz="6" w:space="0" w:color="auto"/>
              <w:bottom w:val="nil" w:sz="6" w:space="0" w:color="auto"/>
              <w:right w:val="single" w:sz="4" w:space="0" w:color="000000"/>
            </w:tcBorders>
          </w:tcPr>
          <w:p>
            <w:pPr/>
          </w:p>
        </w:tc>
        <w:tc>
          <w:tcPr>
            <w:tcW w:w="4104" w:type="dxa"/>
            <w:tcBorders>
              <w:top w:val="nil" w:sz="6" w:space="0" w:color="auto"/>
              <w:left w:val="single" w:sz="4" w:space="0" w:color="000000"/>
              <w:bottom w:val="nil" w:sz="6" w:space="0" w:color="auto"/>
              <w:right w:val="nil" w:sz="6" w:space="0" w:color="auto"/>
            </w:tcBorders>
          </w:tcPr>
          <w:p>
            <w:pPr>
              <w:pStyle w:val="TableParagraph"/>
              <w:spacing w:line="262" w:lineRule="exact"/>
              <w:ind w:left="756"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2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887" w:right="0"/>
              <w:jc w:val="left"/>
              <w:rPr>
                <w:rFonts w:ascii="Arial" w:hAnsi="Arial" w:cs="Arial" w:eastAsia="Arial" w:hint="default"/>
                <w:sz w:val="24"/>
                <w:szCs w:val="24"/>
              </w:rPr>
            </w:pPr>
            <w:r>
              <w:rPr>
                <w:rFonts w:ascii="Arial"/>
                <w:sz w:val="24"/>
              </w:rPr>
              <w:t>15,518,320</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291" w:right="0"/>
              <w:jc w:val="left"/>
              <w:rPr>
                <w:rFonts w:ascii="Arial" w:hAnsi="Arial" w:cs="Arial" w:eastAsia="Arial" w:hint="default"/>
                <w:sz w:val="24"/>
                <w:szCs w:val="24"/>
              </w:rPr>
            </w:pPr>
            <w:r>
              <w:rPr>
                <w:rFonts w:ascii="Arial"/>
                <w:spacing w:val="-4"/>
                <w:sz w:val="24"/>
              </w:rPr>
              <w:t>12,111,056</w:t>
            </w:r>
          </w:p>
        </w:tc>
      </w:tr>
      <w:tr>
        <w:trPr>
          <w:trHeight w:val="302" w:hRule="exact"/>
        </w:trPr>
        <w:tc>
          <w:tcPr>
            <w:tcW w:w="814" w:type="dxa"/>
            <w:tcBorders>
              <w:top w:val="nil" w:sz="6" w:space="0" w:color="auto"/>
              <w:left w:val="nil" w:sz="6" w:space="0" w:color="auto"/>
              <w:bottom w:val="nil" w:sz="6" w:space="0" w:color="auto"/>
              <w:right w:val="single" w:sz="4" w:space="0" w:color="000000"/>
            </w:tcBorders>
          </w:tcPr>
          <w:p>
            <w:pPr/>
          </w:p>
        </w:tc>
        <w:tc>
          <w:tcPr>
            <w:tcW w:w="4104" w:type="dxa"/>
            <w:tcBorders>
              <w:top w:val="nil" w:sz="6" w:space="0" w:color="auto"/>
              <w:left w:val="single" w:sz="4" w:space="0" w:color="000000"/>
              <w:bottom w:val="single" w:sz="4" w:space="0" w:color="000000"/>
              <w:right w:val="nil" w:sz="6" w:space="0" w:color="auto"/>
            </w:tcBorders>
          </w:tcPr>
          <w:p>
            <w:pPr>
              <w:pStyle w:val="TableParagraph"/>
              <w:spacing w:line="262" w:lineRule="exact"/>
              <w:ind w:left="756" w:right="-17"/>
              <w:jc w:val="lef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239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8"/>
              <w:ind w:left="1020" w:right="0"/>
              <w:jc w:val="left"/>
              <w:rPr>
                <w:rFonts w:ascii="Arial" w:hAnsi="Arial" w:cs="Arial" w:eastAsia="Arial" w:hint="default"/>
                <w:sz w:val="24"/>
                <w:szCs w:val="24"/>
              </w:rPr>
            </w:pPr>
            <w:r>
              <w:rPr>
                <w:rFonts w:ascii="Arial"/>
                <w:sz w:val="24"/>
              </w:rPr>
              <w:t>1,277,918</w:t>
            </w:r>
          </w:p>
        </w:tc>
        <w:tc>
          <w:tcPr>
            <w:tcW w:w="186" w:type="dxa"/>
            <w:tcBorders>
              <w:top w:val="nil" w:sz="6" w:space="0" w:color="auto"/>
              <w:left w:val="nil" w:sz="6" w:space="0" w:color="auto"/>
              <w:bottom w:val="single" w:sz="4" w:space="0" w:color="000000"/>
              <w:right w:val="nil" w:sz="6" w:space="0" w:color="auto"/>
            </w:tcBorders>
          </w:tcPr>
          <w:p>
            <w:pPr/>
          </w:p>
        </w:tc>
        <w:tc>
          <w:tcPr>
            <w:tcW w:w="1526" w:type="dxa"/>
            <w:tcBorders>
              <w:top w:val="nil" w:sz="6" w:space="0" w:color="auto"/>
              <w:left w:val="nil" w:sz="6" w:space="0" w:color="auto"/>
              <w:bottom w:val="single" w:sz="4" w:space="0" w:color="000000"/>
              <w:right w:val="single" w:sz="4" w:space="0" w:color="000000"/>
            </w:tcBorders>
          </w:tcPr>
          <w:p>
            <w:pPr>
              <w:pStyle w:val="TableParagraph"/>
              <w:spacing w:line="240" w:lineRule="auto" w:before="18"/>
              <w:ind w:right="63"/>
              <w:jc w:val="right"/>
              <w:rPr>
                <w:rFonts w:ascii="Arial" w:hAnsi="Arial" w:cs="Arial" w:eastAsia="Arial" w:hint="default"/>
                <w:sz w:val="24"/>
                <w:szCs w:val="24"/>
              </w:rPr>
            </w:pPr>
            <w:r>
              <w:rPr>
                <w:rFonts w:ascii="Arial"/>
                <w:spacing w:val="-1"/>
                <w:sz w:val="24"/>
              </w:rPr>
              <w:t>166,586</w:t>
            </w:r>
          </w:p>
        </w:tc>
      </w:tr>
      <w:tr>
        <w:trPr>
          <w:trHeight w:val="28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single" w:sz="4" w:space="0" w:color="000000"/>
              <w:left w:val="nil" w:sz="6" w:space="0" w:color="auto"/>
              <w:bottom w:val="nil" w:sz="6" w:space="0" w:color="auto"/>
              <w:right w:val="nil" w:sz="6" w:space="0" w:color="auto"/>
            </w:tcBorders>
          </w:tcPr>
          <w:p>
            <w:pPr/>
          </w:p>
        </w:tc>
        <w:tc>
          <w:tcPr>
            <w:tcW w:w="2396" w:type="dxa"/>
            <w:gridSpan w:val="2"/>
            <w:tcBorders>
              <w:top w:val="single" w:sz="4" w:space="0" w:color="000000"/>
              <w:left w:val="nil" w:sz="6" w:space="0" w:color="auto"/>
              <w:bottom w:val="nil" w:sz="6" w:space="0" w:color="auto"/>
              <w:right w:val="nil" w:sz="6" w:space="0" w:color="auto"/>
            </w:tcBorders>
          </w:tcPr>
          <w:p>
            <w:pPr/>
          </w:p>
        </w:tc>
        <w:tc>
          <w:tcPr>
            <w:tcW w:w="186" w:type="dxa"/>
            <w:tcBorders>
              <w:top w:val="single" w:sz="4" w:space="0" w:color="000000"/>
              <w:left w:val="nil" w:sz="6" w:space="0" w:color="auto"/>
              <w:bottom w:val="single" w:sz="4" w:space="0" w:color="000000"/>
              <w:right w:val="nil" w:sz="6" w:space="0" w:color="auto"/>
            </w:tcBorders>
          </w:tcPr>
          <w:p>
            <w:pPr/>
          </w:p>
        </w:tc>
        <w:tc>
          <w:tcPr>
            <w:tcW w:w="1526" w:type="dxa"/>
            <w:tcBorders>
              <w:top w:val="single" w:sz="4" w:space="0" w:color="000000"/>
              <w:left w:val="nil" w:sz="6" w:space="0" w:color="auto"/>
              <w:bottom w:val="single" w:sz="4" w:space="0" w:color="000000"/>
              <w:right w:val="nil" w:sz="6" w:space="0" w:color="auto"/>
            </w:tcBorders>
          </w:tcPr>
          <w:p>
            <w:pPr/>
          </w:p>
        </w:tc>
      </w:tr>
      <w:tr>
        <w:trPr>
          <w:trHeight w:val="332"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81" w:lineRule="exact"/>
              <w:ind w:left="41" w:right="0"/>
              <w:jc w:val="left"/>
              <w:rPr>
                <w:rFonts w:ascii="宋体" w:hAnsi="宋体" w:cs="宋体" w:eastAsia="宋体" w:hint="default"/>
                <w:sz w:val="24"/>
                <w:szCs w:val="24"/>
              </w:rPr>
            </w:pPr>
            <w:r>
              <w:rPr>
                <w:rFonts w:ascii="宋体" w:hAnsi="宋体" w:cs="宋体" w:eastAsia="宋体" w:hint="default"/>
                <w:sz w:val="24"/>
                <w:szCs w:val="24"/>
              </w:rPr>
              <w:t>年末现金及现金等价物余额</w:t>
            </w:r>
          </w:p>
        </w:tc>
        <w:tc>
          <w:tcPr>
            <w:tcW w:w="2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871" w:right="0"/>
              <w:jc w:val="left"/>
              <w:rPr>
                <w:rFonts w:ascii="Arial" w:hAnsi="Arial" w:cs="Arial" w:eastAsia="Arial" w:hint="default"/>
                <w:sz w:val="24"/>
                <w:szCs w:val="24"/>
              </w:rPr>
            </w:pPr>
            <w:r>
              <w:rPr>
                <w:rFonts w:ascii="Arial"/>
                <w:sz w:val="24"/>
              </w:rPr>
              <w:t>16,818,166</w:t>
            </w:r>
          </w:p>
        </w:tc>
        <w:tc>
          <w:tcPr>
            <w:tcW w:w="186" w:type="dxa"/>
            <w:tcBorders>
              <w:top w:val="single" w:sz="4" w:space="0" w:color="000000"/>
              <w:left w:val="nil" w:sz="6" w:space="0" w:color="auto"/>
              <w:bottom w:val="single" w:sz="12" w:space="0" w:color="000000"/>
              <w:right w:val="nil" w:sz="6" w:space="0" w:color="auto"/>
            </w:tcBorders>
          </w:tcPr>
          <w:p>
            <w:pPr/>
          </w:p>
        </w:tc>
        <w:tc>
          <w:tcPr>
            <w:tcW w:w="15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41"/>
              <w:jc w:val="right"/>
              <w:rPr>
                <w:rFonts w:ascii="Arial" w:hAnsi="Arial" w:cs="Arial" w:eastAsia="Arial" w:hint="default"/>
                <w:sz w:val="24"/>
                <w:szCs w:val="24"/>
              </w:rPr>
            </w:pPr>
            <w:r>
              <w:rPr>
                <w:rFonts w:ascii="Arial"/>
                <w:w w:val="95"/>
                <w:sz w:val="24"/>
              </w:rPr>
              <w:t>12,297,572</w:t>
            </w:r>
            <w:r>
              <w:rPr>
                <w:rFonts w:ascii="Arial"/>
                <w:sz w:val="24"/>
              </w:rPr>
            </w:r>
          </w:p>
        </w:tc>
      </w:tr>
      <w:tr>
        <w:trPr>
          <w:trHeight w:val="735"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(59)</w:t>
            </w: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黑体" w:hAnsi="黑体" w:cs="黑体" w:eastAsia="黑体" w:hint="default"/>
                <w:sz w:val="24"/>
                <w:szCs w:val="24"/>
              </w:rPr>
            </w:pPr>
            <w:r>
              <w:rPr>
                <w:rFonts w:ascii="黑体" w:hAnsi="黑体" w:cs="黑体" w:eastAsia="黑体" w:hint="default"/>
                <w:sz w:val="24"/>
                <w:szCs w:val="24"/>
              </w:rPr>
              <w:t>外币货币性项目</w:t>
            </w:r>
          </w:p>
        </w:tc>
        <w:tc>
          <w:tcPr>
            <w:tcW w:w="1169" w:type="dxa"/>
            <w:tcBorders>
              <w:top w:val="single" w:sz="12" w:space="0" w:color="000000"/>
              <w:left w:val="nil" w:sz="6" w:space="0" w:color="auto"/>
              <w:bottom w:val="nil" w:sz="6" w:space="0" w:color="auto"/>
              <w:right w:val="nil" w:sz="6" w:space="0" w:color="auto"/>
            </w:tcBorders>
          </w:tcPr>
          <w:p>
            <w:pPr/>
          </w:p>
        </w:tc>
        <w:tc>
          <w:tcPr>
            <w:tcW w:w="1227" w:type="dxa"/>
            <w:tcBorders>
              <w:top w:val="single" w:sz="12" w:space="0" w:color="000000"/>
              <w:left w:val="nil" w:sz="6" w:space="0" w:color="auto"/>
              <w:bottom w:val="nil" w:sz="6" w:space="0" w:color="auto"/>
              <w:right w:val="nil" w:sz="6" w:space="0" w:color="auto"/>
            </w:tcBorders>
          </w:tcPr>
          <w:p>
            <w:pPr/>
          </w:p>
        </w:tc>
        <w:tc>
          <w:tcPr>
            <w:tcW w:w="186" w:type="dxa"/>
            <w:tcBorders>
              <w:top w:val="single" w:sz="12" w:space="0" w:color="000000"/>
              <w:left w:val="nil" w:sz="6" w:space="0" w:color="auto"/>
              <w:bottom w:val="nil" w:sz="6" w:space="0" w:color="auto"/>
              <w:right w:val="nil" w:sz="6" w:space="0" w:color="auto"/>
            </w:tcBorders>
          </w:tcPr>
          <w:p>
            <w:pPr/>
          </w:p>
        </w:tc>
        <w:tc>
          <w:tcPr>
            <w:tcW w:w="1526" w:type="dxa"/>
            <w:tcBorders>
              <w:top w:val="single" w:sz="12" w:space="0" w:color="000000"/>
              <w:left w:val="nil" w:sz="6" w:space="0" w:color="auto"/>
              <w:bottom w:val="nil" w:sz="6" w:space="0" w:color="auto"/>
              <w:right w:val="nil" w:sz="6" w:space="0" w:color="auto"/>
            </w:tcBorders>
          </w:tcPr>
          <w:p>
            <w:pPr/>
          </w:p>
        </w:tc>
      </w:tr>
      <w:tr>
        <w:trPr>
          <w:trHeight w:val="401"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29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3"/>
              <w:ind w:left="4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93"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24" w:lineRule="exact"/>
              <w:ind w:right="384"/>
              <w:jc w:val="right"/>
              <w:rPr>
                <w:rFonts w:ascii="宋体" w:hAnsi="宋体" w:cs="宋体" w:eastAsia="宋体" w:hint="default"/>
                <w:sz w:val="18"/>
                <w:szCs w:val="18"/>
              </w:rPr>
            </w:pPr>
            <w:r>
              <w:rPr>
                <w:rFonts w:ascii="宋体" w:hAnsi="宋体" w:cs="宋体" w:eastAsia="宋体" w:hint="default"/>
                <w:sz w:val="18"/>
                <w:szCs w:val="18"/>
              </w:rPr>
              <w:t>外币余额</w:t>
            </w:r>
          </w:p>
        </w:tc>
        <w:tc>
          <w:tcPr>
            <w:tcW w:w="1227" w:type="dxa"/>
            <w:tcBorders>
              <w:top w:val="nil" w:sz="6" w:space="0" w:color="auto"/>
              <w:left w:val="nil" w:sz="6" w:space="0" w:color="auto"/>
              <w:bottom w:val="nil" w:sz="6" w:space="0" w:color="auto"/>
              <w:right w:val="nil" w:sz="6" w:space="0" w:color="auto"/>
            </w:tcBorders>
          </w:tcPr>
          <w:p>
            <w:pPr>
              <w:pStyle w:val="TableParagraph"/>
              <w:spacing w:line="224" w:lineRule="exact"/>
              <w:ind w:right="119"/>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24" w:lineRule="exact"/>
              <w:ind w:right="121"/>
              <w:jc w:val="right"/>
              <w:rPr>
                <w:rFonts w:ascii="宋体" w:hAnsi="宋体" w:cs="宋体" w:eastAsia="宋体" w:hint="default"/>
                <w:sz w:val="18"/>
                <w:szCs w:val="18"/>
              </w:rPr>
            </w:pPr>
            <w:r>
              <w:rPr>
                <w:rFonts w:ascii="宋体" w:hAnsi="宋体" w:cs="宋体" w:eastAsia="宋体" w:hint="default"/>
                <w:sz w:val="18"/>
                <w:szCs w:val="18"/>
              </w:rPr>
              <w:t>人民币余额</w:t>
            </w:r>
          </w:p>
        </w:tc>
      </w:tr>
      <w:tr>
        <w:trPr>
          <w:trHeight w:val="298"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28" w:lineRule="exact"/>
              <w:ind w:left="73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83"/>
              <w:jc w:val="right"/>
              <w:rPr>
                <w:rFonts w:ascii="Arial" w:hAnsi="Arial" w:cs="Arial" w:eastAsia="Arial" w:hint="default"/>
                <w:sz w:val="18"/>
                <w:szCs w:val="18"/>
              </w:rPr>
            </w:pPr>
            <w:r>
              <w:rPr>
                <w:rFonts w:ascii="Arial"/>
                <w:spacing w:val="-1"/>
                <w:sz w:val="18"/>
              </w:rPr>
              <w:t>405,017</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8"/>
              <w:jc w:val="right"/>
              <w:rPr>
                <w:rFonts w:ascii="Arial" w:hAnsi="Arial" w:cs="Arial" w:eastAsia="Arial" w:hint="default"/>
                <w:sz w:val="18"/>
                <w:szCs w:val="18"/>
              </w:rPr>
            </w:pPr>
            <w:r>
              <w:rPr>
                <w:rFonts w:ascii="Arial"/>
                <w:spacing w:val="-1"/>
                <w:sz w:val="18"/>
              </w:rPr>
              <w:t>6.4936</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2,630,018</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17" w:lineRule="exact"/>
              <w:ind w:left="73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3"/>
              <w:jc w:val="right"/>
              <w:rPr>
                <w:rFonts w:ascii="Arial" w:hAnsi="Arial" w:cs="Arial" w:eastAsia="Arial" w:hint="default"/>
                <w:sz w:val="18"/>
                <w:szCs w:val="18"/>
              </w:rPr>
            </w:pPr>
            <w:r>
              <w:rPr>
                <w:rFonts w:ascii="Arial"/>
                <w:spacing w:val="-1"/>
                <w:sz w:val="18"/>
              </w:rPr>
              <w:t>820,855</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0.8378</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Arial" w:hAnsi="Arial" w:cs="Arial" w:eastAsia="Arial" w:hint="default"/>
                <w:sz w:val="18"/>
                <w:szCs w:val="18"/>
              </w:rPr>
            </w:pPr>
            <w:r>
              <w:rPr>
                <w:rFonts w:ascii="Arial"/>
                <w:spacing w:val="-1"/>
                <w:sz w:val="18"/>
              </w:rPr>
              <w:t>687,712</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17" w:lineRule="exact"/>
              <w:ind w:left="73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 w:right="383"/>
              <w:jc w:val="right"/>
              <w:rPr>
                <w:rFonts w:ascii="Arial" w:hAnsi="Arial" w:cs="Arial" w:eastAsia="Arial" w:hint="default"/>
                <w:sz w:val="18"/>
                <w:szCs w:val="18"/>
              </w:rPr>
            </w:pPr>
            <w:r>
              <w:rPr>
                <w:rFonts w:ascii="Arial"/>
                <w:spacing w:val="-1"/>
                <w:sz w:val="18"/>
              </w:rPr>
              <w:t>4,567,985</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0.0539</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246,214</w:t>
            </w:r>
          </w:p>
        </w:tc>
      </w:tr>
      <w:tr>
        <w:trPr>
          <w:trHeight w:val="254"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17" w:lineRule="exact"/>
              <w:ind w:left="696"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3"/>
              <w:jc w:val="right"/>
              <w:rPr>
                <w:rFonts w:ascii="Arial" w:hAnsi="Arial" w:cs="Arial" w:eastAsia="Arial" w:hint="default"/>
                <w:sz w:val="18"/>
                <w:szCs w:val="18"/>
              </w:rPr>
            </w:pPr>
            <w:r>
              <w:rPr>
                <w:rFonts w:ascii="Arial"/>
                <w:spacing w:val="-1"/>
                <w:sz w:val="18"/>
              </w:rPr>
              <w:t>4,332</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0.8133</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4"/>
              <w:jc w:val="right"/>
              <w:rPr>
                <w:rFonts w:ascii="Arial" w:hAnsi="Arial" w:cs="Arial" w:eastAsia="Arial" w:hint="default"/>
                <w:sz w:val="18"/>
                <w:szCs w:val="18"/>
              </w:rPr>
            </w:pPr>
            <w:r>
              <w:rPr>
                <w:rFonts w:ascii="Arial"/>
                <w:spacing w:val="-1"/>
                <w:sz w:val="18"/>
              </w:rPr>
              <w:t>3,523</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195" w:lineRule="exact"/>
              <w:ind w:left="696"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84"/>
              <w:jc w:val="right"/>
              <w:rPr>
                <w:rFonts w:ascii="Arial" w:hAnsi="Arial" w:cs="Arial" w:eastAsia="Arial" w:hint="default"/>
                <w:sz w:val="18"/>
                <w:szCs w:val="18"/>
              </w:rPr>
            </w:pPr>
            <w:r>
              <w:rPr>
                <w:rFonts w:ascii="Arial"/>
                <w:w w:val="99"/>
                <w:sz w:val="18"/>
              </w:rPr>
              <w:t>8</w:t>
            </w:r>
            <w:r>
              <w:rPr>
                <w:rFonts w:ascii="Arial"/>
                <w:sz w:val="18"/>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8"/>
              <w:jc w:val="right"/>
              <w:rPr>
                <w:rFonts w:ascii="Arial" w:hAnsi="Arial" w:cs="Arial" w:eastAsia="Arial" w:hint="default"/>
                <w:sz w:val="18"/>
                <w:szCs w:val="18"/>
              </w:rPr>
            </w:pPr>
            <w:r>
              <w:rPr>
                <w:rFonts w:ascii="Arial"/>
                <w:spacing w:val="-1"/>
                <w:sz w:val="18"/>
              </w:rPr>
              <w:t>4.6814</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8"/>
                <w:szCs w:val="18"/>
              </w:rPr>
            </w:pPr>
            <w:r>
              <w:rPr>
                <w:rFonts w:ascii="Arial"/>
                <w:spacing w:val="-1"/>
                <w:w w:val="95"/>
                <w:sz w:val="18"/>
              </w:rPr>
              <w:t>37</w:t>
            </w:r>
            <w:r>
              <w:rPr>
                <w:rFonts w:ascii="Arial"/>
                <w:sz w:val="18"/>
              </w:rPr>
            </w:r>
          </w:p>
        </w:tc>
      </w:tr>
      <w:tr>
        <w:trPr>
          <w:trHeight w:val="313"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195" w:lineRule="exact"/>
              <w:ind w:left="696"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84"/>
              <w:jc w:val="right"/>
              <w:rPr>
                <w:rFonts w:ascii="Arial" w:hAnsi="Arial" w:cs="Arial" w:eastAsia="Arial" w:hint="default"/>
                <w:sz w:val="18"/>
                <w:szCs w:val="18"/>
              </w:rPr>
            </w:pPr>
            <w:r>
              <w:rPr>
                <w:rFonts w:ascii="Arial"/>
                <w:spacing w:val="-1"/>
                <w:w w:val="95"/>
                <w:sz w:val="18"/>
              </w:rPr>
              <w:t>49</w:t>
            </w:r>
            <w:r>
              <w:rPr>
                <w:rFonts w:ascii="Arial"/>
                <w:sz w:val="18"/>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8"/>
              <w:jc w:val="right"/>
              <w:rPr>
                <w:rFonts w:ascii="Arial" w:hAnsi="Arial" w:cs="Arial" w:eastAsia="Arial" w:hint="default"/>
                <w:sz w:val="18"/>
                <w:szCs w:val="18"/>
              </w:rPr>
            </w:pPr>
            <w:r>
              <w:rPr>
                <w:rFonts w:ascii="Arial"/>
                <w:spacing w:val="-1"/>
                <w:sz w:val="18"/>
              </w:rPr>
              <w:t>4.7276</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tabs>
                <w:tab w:pos="1112" w:val="left" w:leader="none"/>
                <w:tab w:pos="1519"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232</w:t>
              <w:tab/>
            </w:r>
            <w:r>
              <w:rPr>
                <w:rFonts w:ascii="Arial"/>
                <w:spacing w:val="-1"/>
                <w:sz w:val="18"/>
              </w:rPr>
            </w:r>
          </w:p>
        </w:tc>
      </w:tr>
      <w:tr>
        <w:trPr>
          <w:trHeight w:val="254"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3,567,736</w:t>
            </w:r>
          </w:p>
        </w:tc>
      </w:tr>
      <w:tr>
        <w:trPr>
          <w:trHeight w:val="58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single" w:sz="12" w:space="0" w:color="000000"/>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28" w:lineRule="exact"/>
              <w:ind w:left="73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83"/>
              <w:jc w:val="right"/>
              <w:rPr>
                <w:rFonts w:ascii="Arial" w:hAnsi="Arial" w:cs="Arial" w:eastAsia="Arial" w:hint="default"/>
                <w:sz w:val="18"/>
                <w:szCs w:val="18"/>
              </w:rPr>
            </w:pPr>
            <w:r>
              <w:rPr>
                <w:rFonts w:ascii="Arial"/>
                <w:spacing w:val="-5"/>
                <w:sz w:val="18"/>
              </w:rPr>
              <w:t>116</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8"/>
              <w:jc w:val="right"/>
              <w:rPr>
                <w:rFonts w:ascii="Arial" w:hAnsi="Arial" w:cs="Arial" w:eastAsia="Arial" w:hint="default"/>
                <w:sz w:val="18"/>
                <w:szCs w:val="18"/>
              </w:rPr>
            </w:pPr>
            <w:r>
              <w:rPr>
                <w:rFonts w:ascii="Arial"/>
                <w:spacing w:val="-1"/>
                <w:sz w:val="18"/>
              </w:rPr>
              <w:t>6.4936</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w w:val="95"/>
                <w:sz w:val="18"/>
              </w:rPr>
              <w:t>753</w:t>
            </w:r>
            <w:r>
              <w:rPr>
                <w:rFonts w:ascii="Arial"/>
                <w:sz w:val="18"/>
              </w:rPr>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17" w:lineRule="exact"/>
              <w:ind w:left="73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3"/>
              <w:jc w:val="right"/>
              <w:rPr>
                <w:rFonts w:ascii="Arial" w:hAnsi="Arial" w:cs="Arial" w:eastAsia="Arial" w:hint="default"/>
                <w:sz w:val="18"/>
                <w:szCs w:val="18"/>
              </w:rPr>
            </w:pPr>
            <w:r>
              <w:rPr>
                <w:rFonts w:ascii="Arial"/>
                <w:spacing w:val="-1"/>
                <w:sz w:val="18"/>
              </w:rPr>
              <w:t>4,167</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0.8378</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4"/>
              <w:jc w:val="right"/>
              <w:rPr>
                <w:rFonts w:ascii="Arial" w:hAnsi="Arial" w:cs="Arial" w:eastAsia="Arial" w:hint="default"/>
                <w:sz w:val="18"/>
                <w:szCs w:val="18"/>
              </w:rPr>
            </w:pPr>
            <w:r>
              <w:rPr>
                <w:rFonts w:ascii="Arial"/>
                <w:spacing w:val="-1"/>
                <w:sz w:val="18"/>
              </w:rPr>
              <w:t>3,491</w:t>
            </w:r>
          </w:p>
        </w:tc>
      </w:tr>
      <w:tr>
        <w:trPr>
          <w:trHeight w:val="292"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17" w:lineRule="exact"/>
              <w:ind w:left="73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4"/>
              <w:jc w:val="right"/>
              <w:rPr>
                <w:rFonts w:ascii="Arial" w:hAnsi="Arial" w:cs="Arial" w:eastAsia="Arial" w:hint="default"/>
                <w:sz w:val="18"/>
                <w:szCs w:val="18"/>
              </w:rPr>
            </w:pPr>
            <w:r>
              <w:rPr>
                <w:rFonts w:ascii="Arial"/>
                <w:spacing w:val="-1"/>
                <w:sz w:val="18"/>
              </w:rPr>
              <w:t>896,690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0.0539</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tabs>
                <w:tab w:pos="860" w:val="left" w:leader="none"/>
                <w:tab w:pos="1519"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48,332</w:t>
              <w:tab/>
            </w:r>
            <w:r>
              <w:rPr>
                <w:rFonts w:ascii="Arial"/>
                <w:spacing w:val="-1"/>
                <w:sz w:val="18"/>
              </w:rPr>
            </w:r>
          </w:p>
        </w:tc>
      </w:tr>
      <w:tr>
        <w:trPr>
          <w:trHeight w:val="254"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52,576</w:t>
            </w:r>
          </w:p>
        </w:tc>
      </w:tr>
      <w:tr>
        <w:trPr>
          <w:trHeight w:val="58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single" w:sz="12" w:space="0" w:color="000000"/>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28" w:lineRule="exact"/>
              <w:ind w:left="73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84"/>
              <w:jc w:val="right"/>
              <w:rPr>
                <w:rFonts w:ascii="Arial" w:hAnsi="Arial" w:cs="Arial" w:eastAsia="Arial" w:hint="default"/>
                <w:sz w:val="18"/>
                <w:szCs w:val="18"/>
              </w:rPr>
            </w:pPr>
            <w:r>
              <w:rPr>
                <w:rFonts w:ascii="Arial"/>
                <w:spacing w:val="-1"/>
                <w:w w:val="95"/>
                <w:sz w:val="18"/>
              </w:rPr>
              <w:t>636</w:t>
            </w:r>
            <w:r>
              <w:rPr>
                <w:rFonts w:ascii="Arial"/>
                <w:sz w:val="18"/>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8"/>
              <w:jc w:val="right"/>
              <w:rPr>
                <w:rFonts w:ascii="Arial" w:hAnsi="Arial" w:cs="Arial" w:eastAsia="Arial" w:hint="default"/>
                <w:sz w:val="18"/>
                <w:szCs w:val="18"/>
              </w:rPr>
            </w:pPr>
            <w:r>
              <w:rPr>
                <w:rFonts w:ascii="Arial"/>
                <w:spacing w:val="-1"/>
                <w:sz w:val="18"/>
              </w:rPr>
              <w:t>6.4936</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spacing w:val="-1"/>
                <w:sz w:val="18"/>
              </w:rPr>
              <w:t>4,130</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17" w:lineRule="exact"/>
              <w:ind w:left="73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 w:right="383"/>
              <w:jc w:val="right"/>
              <w:rPr>
                <w:rFonts w:ascii="Arial" w:hAnsi="Arial" w:cs="Arial" w:eastAsia="Arial" w:hint="default"/>
                <w:sz w:val="18"/>
                <w:szCs w:val="18"/>
              </w:rPr>
            </w:pPr>
            <w:r>
              <w:rPr>
                <w:rFonts w:ascii="Arial"/>
                <w:spacing w:val="-1"/>
                <w:sz w:val="18"/>
              </w:rPr>
              <w:t>3,597,100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0.8378</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3,013,650</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17" w:lineRule="exact"/>
              <w:ind w:left="73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5"/>
              <w:jc w:val="right"/>
              <w:rPr>
                <w:rFonts w:ascii="Arial" w:hAnsi="Arial" w:cs="Arial" w:eastAsia="Arial" w:hint="default"/>
                <w:sz w:val="18"/>
                <w:szCs w:val="18"/>
              </w:rPr>
            </w:pPr>
            <w:r>
              <w:rPr>
                <w:rFonts w:ascii="Arial"/>
                <w:spacing w:val="-1"/>
                <w:sz w:val="18"/>
              </w:rPr>
              <w:t>98,497</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0.0539</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5,309</w:t>
            </w:r>
          </w:p>
        </w:tc>
      </w:tr>
      <w:tr>
        <w:trPr>
          <w:trHeight w:val="292"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17" w:lineRule="exact"/>
              <w:ind w:left="740"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4"/>
              <w:jc w:val="right"/>
              <w:rPr>
                <w:rFonts w:ascii="Arial" w:hAnsi="Arial" w:cs="Arial" w:eastAsia="Arial" w:hint="default"/>
                <w:sz w:val="18"/>
                <w:szCs w:val="18"/>
              </w:rPr>
            </w:pPr>
            <w:r>
              <w:rPr>
                <w:rFonts w:ascii="Arial"/>
                <w:spacing w:val="-1"/>
                <w:w w:val="95"/>
                <w:sz w:val="18"/>
              </w:rPr>
              <w:t>649</w:t>
            </w:r>
            <w:r>
              <w:rPr>
                <w:rFonts w:ascii="Arial"/>
                <w:sz w:val="18"/>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0.8133</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tabs>
                <w:tab w:pos="1112" w:val="left" w:leader="none"/>
                <w:tab w:pos="1519"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528</w:t>
              <w:tab/>
            </w:r>
            <w:r>
              <w:rPr>
                <w:rFonts w:ascii="Arial"/>
                <w:spacing w:val="-1"/>
                <w:sz w:val="18"/>
              </w:rPr>
            </w:r>
          </w:p>
        </w:tc>
      </w:tr>
      <w:tr>
        <w:trPr>
          <w:trHeight w:val="254"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3,023,617</w:t>
            </w:r>
          </w:p>
        </w:tc>
      </w:tr>
      <w:tr>
        <w:trPr>
          <w:trHeight w:val="586"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single" w:sz="12" w:space="0" w:color="000000"/>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28" w:lineRule="exact"/>
              <w:ind w:left="64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83"/>
              <w:jc w:val="right"/>
              <w:rPr>
                <w:rFonts w:ascii="Arial" w:hAnsi="Arial" w:cs="Arial" w:eastAsia="Arial" w:hint="default"/>
                <w:sz w:val="18"/>
                <w:szCs w:val="18"/>
              </w:rPr>
            </w:pPr>
            <w:r>
              <w:rPr>
                <w:rFonts w:ascii="Arial"/>
                <w:spacing w:val="-1"/>
                <w:sz w:val="18"/>
              </w:rPr>
              <w:t>1,171</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5"/>
              <w:jc w:val="right"/>
              <w:rPr>
                <w:rFonts w:ascii="Arial" w:hAnsi="Arial" w:cs="Arial" w:eastAsia="Arial" w:hint="default"/>
                <w:sz w:val="18"/>
                <w:szCs w:val="18"/>
              </w:rPr>
            </w:pPr>
            <w:r>
              <w:rPr>
                <w:rFonts w:ascii="Arial"/>
                <w:spacing w:val="-1"/>
                <w:sz w:val="18"/>
              </w:rPr>
              <w:t>0.8378</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w w:val="95"/>
                <w:sz w:val="18"/>
              </w:rPr>
              <w:t>981</w:t>
            </w:r>
            <w:r>
              <w:rPr>
                <w:rFonts w:ascii="Arial"/>
                <w:sz w:val="18"/>
              </w:rPr>
            </w:r>
          </w:p>
        </w:tc>
      </w:tr>
      <w:tr>
        <w:trPr>
          <w:trHeight w:val="292"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17" w:lineRule="exact"/>
              <w:ind w:left="64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3"/>
              <w:jc w:val="right"/>
              <w:rPr>
                <w:rFonts w:ascii="Arial" w:hAnsi="Arial" w:cs="Arial" w:eastAsia="Arial" w:hint="default"/>
                <w:sz w:val="18"/>
                <w:szCs w:val="18"/>
              </w:rPr>
            </w:pPr>
            <w:r>
              <w:rPr>
                <w:rFonts w:ascii="Arial"/>
                <w:spacing w:val="-1"/>
                <w:sz w:val="18"/>
              </w:rPr>
              <w:t>73,748</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5"/>
              <w:jc w:val="right"/>
              <w:rPr>
                <w:rFonts w:ascii="Arial" w:hAnsi="Arial" w:cs="Arial" w:eastAsia="Arial" w:hint="default"/>
                <w:sz w:val="18"/>
                <w:szCs w:val="18"/>
              </w:rPr>
            </w:pPr>
            <w:r>
              <w:rPr>
                <w:rFonts w:ascii="Arial"/>
                <w:spacing w:val="-1"/>
                <w:sz w:val="18"/>
              </w:rPr>
              <w:t>0.0539</w:t>
            </w: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tabs>
                <w:tab w:pos="962" w:val="left" w:leader="none"/>
                <w:tab w:pos="1519"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3,975</w:t>
              <w:tab/>
            </w:r>
            <w:r>
              <w:rPr>
                <w:rFonts w:ascii="Arial"/>
                <w:spacing w:val="-1"/>
                <w:sz w:val="18"/>
              </w:rPr>
            </w:r>
          </w:p>
        </w:tc>
      </w:tr>
      <w:tr>
        <w:trPr>
          <w:trHeight w:val="254" w:hRule="exact"/>
        </w:trPr>
        <w:tc>
          <w:tcPr>
            <w:tcW w:w="814"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4,956</w:t>
            </w:r>
          </w:p>
        </w:tc>
      </w:tr>
    </w:tbl>
    <w:p>
      <w:pPr>
        <w:spacing w:after="0" w:line="240" w:lineRule="auto"/>
        <w:jc w:val="right"/>
        <w:rPr>
          <w:rFonts w:ascii="Arial" w:hAnsi="Arial" w:cs="Arial" w:eastAsia="Arial" w:hint="default"/>
          <w:sz w:val="18"/>
          <w:szCs w:val="18"/>
        </w:rPr>
        <w:sectPr>
          <w:footerReference w:type="default" r:id="rId66"/>
          <w:pgSz w:w="11910" w:h="16840"/>
          <w:pgMar w:footer="839" w:header="0" w:top="1860" w:bottom="1020" w:left="1480" w:right="0"/>
          <w:pgNumType w:start="21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789"/>
        <w:gridCol w:w="3178"/>
        <w:gridCol w:w="2142"/>
        <w:gridCol w:w="1398"/>
        <w:gridCol w:w="1519"/>
      </w:tblGrid>
      <w:tr>
        <w:trPr>
          <w:trHeight w:val="416" w:hRule="exact"/>
        </w:trPr>
        <w:tc>
          <w:tcPr>
            <w:tcW w:w="78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320"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9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608" w:hRule="exact"/>
        </w:trPr>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30" w:right="0"/>
              <w:jc w:val="left"/>
              <w:rPr>
                <w:rFonts w:ascii="Arial" w:hAnsi="Arial" w:cs="Arial" w:eastAsia="Arial" w:hint="default"/>
                <w:sz w:val="24"/>
                <w:szCs w:val="24"/>
              </w:rPr>
            </w:pPr>
            <w:r>
              <w:rPr>
                <w:rFonts w:ascii="Arial"/>
                <w:sz w:val="24"/>
              </w:rPr>
              <w:t>(59)</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32" w:right="0"/>
              <w:jc w:val="left"/>
              <w:rPr>
                <w:rFonts w:ascii="Arial" w:hAnsi="Arial" w:cs="Arial" w:eastAsia="Arial" w:hint="default"/>
                <w:sz w:val="24"/>
                <w:szCs w:val="24"/>
              </w:rPr>
            </w:pPr>
            <w:r>
              <w:rPr>
                <w:rFonts w:ascii="黑体" w:hAnsi="黑体" w:cs="黑体" w:eastAsia="黑体" w:hint="default"/>
                <w:sz w:val="24"/>
                <w:szCs w:val="24"/>
              </w:rPr>
              <w:t>外币货币性项目</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4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397"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single" w:sz="4" w:space="0" w:color="000000"/>
              <w:right w:val="nil" w:sz="6" w:space="0" w:color="auto"/>
            </w:tcBorders>
          </w:tcPr>
          <w:p>
            <w:pPr/>
          </w:p>
        </w:tc>
        <w:tc>
          <w:tcPr>
            <w:tcW w:w="291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8"/>
              <w:ind w:left="2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18"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nil" w:sz="6" w:space="0" w:color="auto"/>
              <w:right w:val="nil" w:sz="6" w:space="0" w:color="auto"/>
            </w:tcBorders>
          </w:tcPr>
          <w:p>
            <w:pPr>
              <w:pStyle w:val="TableParagraph"/>
              <w:spacing w:line="205" w:lineRule="exact"/>
              <w:ind w:right="406"/>
              <w:jc w:val="right"/>
              <w:rPr>
                <w:rFonts w:ascii="宋体" w:hAnsi="宋体" w:cs="宋体" w:eastAsia="宋体" w:hint="default"/>
                <w:sz w:val="18"/>
                <w:szCs w:val="18"/>
              </w:rPr>
            </w:pPr>
            <w:r>
              <w:rPr>
                <w:rFonts w:ascii="宋体" w:hAnsi="宋体" w:cs="宋体" w:eastAsia="宋体" w:hint="default"/>
                <w:sz w:val="18"/>
                <w:szCs w:val="18"/>
              </w:rPr>
              <w:t>外币余额</w:t>
            </w:r>
          </w:p>
        </w:tc>
        <w:tc>
          <w:tcPr>
            <w:tcW w:w="1398" w:type="dxa"/>
            <w:tcBorders>
              <w:top w:val="single" w:sz="4" w:space="0" w:color="000000"/>
              <w:left w:val="nil" w:sz="6" w:space="0" w:color="auto"/>
              <w:bottom w:val="nil" w:sz="6" w:space="0" w:color="auto"/>
              <w:right w:val="nil" w:sz="6" w:space="0" w:color="auto"/>
            </w:tcBorders>
          </w:tcPr>
          <w:p>
            <w:pPr>
              <w:pStyle w:val="TableParagraph"/>
              <w:spacing w:line="205" w:lineRule="exact"/>
              <w:ind w:right="269"/>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人民币余额</w:t>
            </w:r>
          </w:p>
        </w:tc>
      </w:tr>
      <w:tr>
        <w:trPr>
          <w:trHeight w:val="436"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3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4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270"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28" w:lineRule="exact"/>
              <w:ind w:left="58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07"/>
              <w:jc w:val="right"/>
              <w:rPr>
                <w:rFonts w:ascii="Arial" w:hAnsi="Arial" w:cs="Arial" w:eastAsia="Arial" w:hint="default"/>
                <w:sz w:val="18"/>
                <w:szCs w:val="18"/>
              </w:rPr>
            </w:pPr>
            <w:r>
              <w:rPr>
                <w:rFonts w:ascii="Arial"/>
                <w:spacing w:val="-1"/>
                <w:sz w:val="18"/>
              </w:rPr>
              <w:t>14,824</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33" w:right="0"/>
              <w:jc w:val="left"/>
              <w:rPr>
                <w:rFonts w:ascii="Arial" w:hAnsi="Arial" w:cs="Arial" w:eastAsia="Arial" w:hint="default"/>
                <w:sz w:val="18"/>
                <w:szCs w:val="18"/>
              </w:rPr>
            </w:pPr>
            <w:r>
              <w:rPr>
                <w:rFonts w:ascii="Arial"/>
                <w:sz w:val="18"/>
              </w:rPr>
              <w:t>0.0539</w:t>
            </w: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799</w:t>
            </w:r>
            <w:r>
              <w:rPr>
                <w:rFonts w:ascii="Arial"/>
                <w:sz w:val="18"/>
              </w:rPr>
            </w:r>
          </w:p>
        </w:tc>
      </w:tr>
      <w:tr>
        <w:trPr>
          <w:trHeight w:val="588"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4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287"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28" w:lineRule="exact"/>
              <w:ind w:left="58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05"/>
              <w:jc w:val="right"/>
              <w:rPr>
                <w:rFonts w:ascii="Arial" w:hAnsi="Arial" w:cs="Arial" w:eastAsia="Arial" w:hint="default"/>
                <w:sz w:val="18"/>
                <w:szCs w:val="18"/>
              </w:rPr>
            </w:pPr>
            <w:r>
              <w:rPr>
                <w:rFonts w:ascii="Arial"/>
                <w:spacing w:val="-1"/>
                <w:sz w:val="18"/>
              </w:rPr>
              <w:t>1,490</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34" w:right="0"/>
              <w:jc w:val="left"/>
              <w:rPr>
                <w:rFonts w:ascii="Arial" w:hAnsi="Arial" w:cs="Arial" w:eastAsia="Arial" w:hint="default"/>
                <w:sz w:val="18"/>
                <w:szCs w:val="18"/>
              </w:rPr>
            </w:pPr>
            <w:r>
              <w:rPr>
                <w:rFonts w:ascii="Arial"/>
                <w:sz w:val="18"/>
              </w:rPr>
              <w:t>6.4936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962" w:right="0"/>
              <w:jc w:val="left"/>
              <w:rPr>
                <w:rFonts w:ascii="Arial" w:hAnsi="Arial" w:cs="Arial" w:eastAsia="Arial" w:hint="default"/>
                <w:sz w:val="18"/>
                <w:szCs w:val="18"/>
              </w:rPr>
            </w:pPr>
            <w:r>
              <w:rPr>
                <w:rFonts w:ascii="Arial"/>
                <w:sz w:val="18"/>
              </w:rPr>
              <w:t>9,675</w:t>
            </w:r>
          </w:p>
        </w:tc>
      </w:tr>
      <w:tr>
        <w:trPr>
          <w:trHeight w:val="276"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17" w:lineRule="exact"/>
              <w:ind w:left="58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5"/>
              <w:jc w:val="right"/>
              <w:rPr>
                <w:rFonts w:ascii="Arial" w:hAnsi="Arial" w:cs="Arial" w:eastAsia="Arial" w:hint="default"/>
                <w:sz w:val="18"/>
                <w:szCs w:val="18"/>
              </w:rPr>
            </w:pPr>
            <w:r>
              <w:rPr>
                <w:rFonts w:ascii="Arial"/>
                <w:spacing w:val="-1"/>
                <w:sz w:val="18"/>
              </w:rPr>
              <w:t>29,044</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4" w:right="0"/>
              <w:jc w:val="left"/>
              <w:rPr>
                <w:rFonts w:ascii="Arial" w:hAnsi="Arial" w:cs="Arial" w:eastAsia="Arial" w:hint="default"/>
                <w:sz w:val="18"/>
                <w:szCs w:val="18"/>
              </w:rPr>
            </w:pPr>
            <w:r>
              <w:rPr>
                <w:rFonts w:ascii="Arial"/>
                <w:sz w:val="18"/>
              </w:rPr>
              <w:t>0.8378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61" w:right="0"/>
              <w:jc w:val="left"/>
              <w:rPr>
                <w:rFonts w:ascii="Arial" w:hAnsi="Arial" w:cs="Arial" w:eastAsia="Arial" w:hint="default"/>
                <w:sz w:val="18"/>
                <w:szCs w:val="18"/>
              </w:rPr>
            </w:pPr>
            <w:r>
              <w:rPr>
                <w:rFonts w:ascii="Arial"/>
                <w:sz w:val="18"/>
              </w:rPr>
              <w:t>24,333</w:t>
            </w:r>
          </w:p>
        </w:tc>
      </w:tr>
      <w:tr>
        <w:trPr>
          <w:trHeight w:val="276"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17" w:lineRule="exact"/>
              <w:ind w:left="58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6"/>
              <w:jc w:val="right"/>
              <w:rPr>
                <w:rFonts w:ascii="Arial" w:hAnsi="Arial" w:cs="Arial" w:eastAsia="Arial" w:hint="default"/>
                <w:sz w:val="18"/>
                <w:szCs w:val="18"/>
              </w:rPr>
            </w:pPr>
            <w:r>
              <w:rPr>
                <w:rFonts w:ascii="Arial"/>
                <w:spacing w:val="-1"/>
                <w:sz w:val="18"/>
              </w:rPr>
              <w:t>4,957,913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4" w:right="0"/>
              <w:jc w:val="left"/>
              <w:rPr>
                <w:rFonts w:ascii="Arial" w:hAnsi="Arial" w:cs="Arial" w:eastAsia="Arial" w:hint="default"/>
                <w:sz w:val="18"/>
                <w:szCs w:val="18"/>
              </w:rPr>
            </w:pPr>
            <w:r>
              <w:rPr>
                <w:rFonts w:ascii="Arial"/>
                <w:sz w:val="18"/>
              </w:rPr>
              <w:t>0.0539</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60" w:right="0"/>
              <w:jc w:val="left"/>
              <w:rPr>
                <w:rFonts w:ascii="Arial" w:hAnsi="Arial" w:cs="Arial" w:eastAsia="Arial" w:hint="default"/>
                <w:sz w:val="18"/>
                <w:szCs w:val="18"/>
              </w:rPr>
            </w:pPr>
            <w:r>
              <w:rPr>
                <w:rFonts w:ascii="Arial"/>
                <w:sz w:val="18"/>
              </w:rPr>
              <w:t>267,232</w:t>
            </w:r>
          </w:p>
        </w:tc>
      </w:tr>
      <w:tr>
        <w:trPr>
          <w:trHeight w:val="292"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17" w:lineRule="exact"/>
              <w:ind w:left="582"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6"/>
              <w:jc w:val="right"/>
              <w:rPr>
                <w:rFonts w:ascii="Arial" w:hAnsi="Arial" w:cs="Arial" w:eastAsia="Arial" w:hint="default"/>
                <w:sz w:val="18"/>
                <w:szCs w:val="18"/>
              </w:rPr>
            </w:pPr>
            <w:r>
              <w:rPr>
                <w:rFonts w:ascii="Arial"/>
                <w:spacing w:val="-1"/>
                <w:w w:val="95"/>
                <w:sz w:val="18"/>
              </w:rPr>
              <w:t>794</w:t>
            </w:r>
            <w:r>
              <w:rPr>
                <w:rFonts w:ascii="Arial"/>
                <w:sz w:val="18"/>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4" w:right="0"/>
              <w:jc w:val="left"/>
              <w:rPr>
                <w:rFonts w:ascii="Arial" w:hAnsi="Arial" w:cs="Arial" w:eastAsia="Arial" w:hint="default"/>
                <w:sz w:val="18"/>
                <w:szCs w:val="18"/>
              </w:rPr>
            </w:pPr>
            <w:r>
              <w:rPr>
                <w:rFonts w:ascii="Arial"/>
                <w:sz w:val="18"/>
              </w:rPr>
              <w:t>0.8133</w:t>
            </w:r>
          </w:p>
        </w:tc>
        <w:tc>
          <w:tcPr>
            <w:tcW w:w="1519" w:type="dxa"/>
            <w:tcBorders>
              <w:top w:val="nil" w:sz="6" w:space="0" w:color="auto"/>
              <w:left w:val="nil" w:sz="6" w:space="0" w:color="auto"/>
              <w:bottom w:val="nil" w:sz="6" w:space="0" w:color="auto"/>
              <w:right w:val="nil" w:sz="6" w:space="0" w:color="auto"/>
            </w:tcBorders>
          </w:tcPr>
          <w:p>
            <w:pPr>
              <w:pStyle w:val="TableParagraph"/>
              <w:tabs>
                <w:tab w:pos="1112" w:val="left" w:leader="none"/>
                <w:tab w:pos="1519" w:val="left" w:leader="none"/>
              </w:tabs>
              <w:spacing w:line="240" w:lineRule="auto" w:before="36"/>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646</w:t>
              <w:tab/>
            </w:r>
            <w:r>
              <w:rPr>
                <w:rFonts w:ascii="Arial"/>
                <w:sz w:val="18"/>
              </w:rPr>
            </w:r>
          </w:p>
        </w:tc>
      </w:tr>
      <w:tr>
        <w:trPr>
          <w:trHeight w:val="254"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
        </w:tc>
        <w:tc>
          <w:tcPr>
            <w:tcW w:w="29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22"/>
              <w:jc w:val="right"/>
              <w:rPr>
                <w:rFonts w:ascii="Arial" w:hAnsi="Arial" w:cs="Arial" w:eastAsia="Arial" w:hint="default"/>
                <w:sz w:val="18"/>
                <w:szCs w:val="18"/>
              </w:rPr>
            </w:pPr>
            <w:r>
              <w:rPr>
                <w:rFonts w:ascii="Arial"/>
                <w:spacing w:val="-1"/>
                <w:sz w:val="18"/>
              </w:rPr>
              <w:t>301,886</w:t>
            </w:r>
          </w:p>
        </w:tc>
      </w:tr>
      <w:tr>
        <w:trPr>
          <w:trHeight w:val="586"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4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287"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28" w:lineRule="exact"/>
              <w:ind w:left="58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40"/>
              <w:jc w:val="right"/>
              <w:rPr>
                <w:rFonts w:ascii="Arial" w:hAnsi="Arial" w:cs="Arial" w:eastAsia="Arial" w:hint="default"/>
                <w:sz w:val="18"/>
                <w:szCs w:val="18"/>
              </w:rPr>
            </w:pPr>
            <w:r>
              <w:rPr>
                <w:rFonts w:ascii="Arial"/>
                <w:spacing w:val="-1"/>
                <w:sz w:val="18"/>
              </w:rPr>
              <w:t>92,400</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0"/>
              <w:jc w:val="right"/>
              <w:rPr>
                <w:rFonts w:ascii="Arial" w:hAnsi="Arial" w:cs="Arial" w:eastAsia="Arial" w:hint="default"/>
                <w:sz w:val="18"/>
                <w:szCs w:val="18"/>
              </w:rPr>
            </w:pPr>
            <w:r>
              <w:rPr>
                <w:rFonts w:ascii="Arial"/>
                <w:spacing w:val="-1"/>
                <w:sz w:val="18"/>
              </w:rPr>
              <w:t>6.4936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745" w:right="0"/>
              <w:jc w:val="left"/>
              <w:rPr>
                <w:rFonts w:ascii="Arial" w:hAnsi="Arial" w:cs="Arial" w:eastAsia="Arial" w:hint="default"/>
                <w:sz w:val="18"/>
                <w:szCs w:val="18"/>
              </w:rPr>
            </w:pPr>
            <w:r>
              <w:rPr>
                <w:rFonts w:ascii="Arial"/>
                <w:sz w:val="18"/>
              </w:rPr>
              <w:t>600,009</w:t>
            </w:r>
          </w:p>
        </w:tc>
      </w:tr>
      <w:tr>
        <w:trPr>
          <w:trHeight w:val="292"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17" w:lineRule="exact"/>
              <w:ind w:left="58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8"/>
              <w:jc w:val="right"/>
              <w:rPr>
                <w:rFonts w:ascii="Arial" w:hAnsi="Arial" w:cs="Arial" w:eastAsia="Arial" w:hint="default"/>
                <w:sz w:val="18"/>
                <w:szCs w:val="18"/>
              </w:rPr>
            </w:pPr>
            <w:r>
              <w:rPr>
                <w:rFonts w:ascii="Arial"/>
                <w:spacing w:val="-1"/>
                <w:sz w:val="18"/>
              </w:rPr>
              <w:t>1,445,500</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8"/>
              <w:jc w:val="right"/>
              <w:rPr>
                <w:rFonts w:ascii="Arial" w:hAnsi="Arial" w:cs="Arial" w:eastAsia="Arial" w:hint="default"/>
                <w:sz w:val="18"/>
                <w:szCs w:val="18"/>
              </w:rPr>
            </w:pPr>
            <w:r>
              <w:rPr>
                <w:rFonts w:ascii="Arial"/>
                <w:spacing w:val="-1"/>
                <w:sz w:val="18"/>
              </w:rPr>
              <w:t>0.8378</w:t>
            </w:r>
          </w:p>
        </w:tc>
        <w:tc>
          <w:tcPr>
            <w:tcW w:w="1519" w:type="dxa"/>
            <w:tcBorders>
              <w:top w:val="nil" w:sz="6" w:space="0" w:color="auto"/>
              <w:left w:val="nil" w:sz="6" w:space="0" w:color="auto"/>
              <w:bottom w:val="nil" w:sz="6" w:space="0" w:color="auto"/>
              <w:right w:val="nil" w:sz="6" w:space="0" w:color="auto"/>
            </w:tcBorders>
          </w:tcPr>
          <w:p>
            <w:pPr>
              <w:pStyle w:val="TableParagraph"/>
              <w:tabs>
                <w:tab w:pos="609" w:val="left" w:leader="none"/>
                <w:tab w:pos="1519" w:val="left" w:leader="none"/>
              </w:tabs>
              <w:spacing w:line="240" w:lineRule="auto" w:before="36"/>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1,211,040</w:t>
              <w:tab/>
            </w:r>
            <w:r>
              <w:rPr>
                <w:rFonts w:ascii="Arial"/>
                <w:sz w:val="18"/>
              </w:rPr>
            </w:r>
          </w:p>
        </w:tc>
      </w:tr>
      <w:tr>
        <w:trPr>
          <w:trHeight w:val="254"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
        </w:tc>
        <w:tc>
          <w:tcPr>
            <w:tcW w:w="29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22"/>
              <w:jc w:val="right"/>
              <w:rPr>
                <w:rFonts w:ascii="Arial" w:hAnsi="Arial" w:cs="Arial" w:eastAsia="Arial" w:hint="default"/>
                <w:sz w:val="18"/>
                <w:szCs w:val="18"/>
              </w:rPr>
            </w:pPr>
            <w:r>
              <w:rPr>
                <w:rFonts w:ascii="Arial"/>
                <w:spacing w:val="-2"/>
                <w:sz w:val="18"/>
              </w:rPr>
              <w:t>1,811,049</w:t>
            </w:r>
          </w:p>
        </w:tc>
      </w:tr>
      <w:tr>
        <w:trPr>
          <w:trHeight w:val="544"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4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08"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28" w:lineRule="exact"/>
              <w:ind w:left="58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06"/>
              <w:jc w:val="right"/>
              <w:rPr>
                <w:rFonts w:ascii="Arial" w:hAnsi="Arial" w:cs="Arial" w:eastAsia="Arial" w:hint="default"/>
                <w:sz w:val="18"/>
                <w:szCs w:val="18"/>
              </w:rPr>
            </w:pPr>
            <w:r>
              <w:rPr>
                <w:rFonts w:ascii="Arial"/>
                <w:spacing w:val="-1"/>
                <w:w w:val="95"/>
                <w:sz w:val="18"/>
              </w:rPr>
              <w:t>180</w:t>
            </w:r>
            <w:r>
              <w:rPr>
                <w:rFonts w:ascii="Arial"/>
                <w:sz w:val="18"/>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03" w:right="0"/>
              <w:jc w:val="left"/>
              <w:rPr>
                <w:rFonts w:ascii="Arial" w:hAnsi="Arial" w:cs="Arial" w:eastAsia="Arial" w:hint="default"/>
                <w:sz w:val="18"/>
                <w:szCs w:val="18"/>
              </w:rPr>
            </w:pPr>
            <w:r>
              <w:rPr>
                <w:rFonts w:ascii="Arial"/>
                <w:sz w:val="18"/>
              </w:rPr>
              <w:t>6.4936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62" w:right="0"/>
              <w:jc w:val="left"/>
              <w:rPr>
                <w:rFonts w:ascii="Arial" w:hAnsi="Arial" w:cs="Arial" w:eastAsia="Arial" w:hint="default"/>
                <w:sz w:val="18"/>
                <w:szCs w:val="18"/>
              </w:rPr>
            </w:pPr>
            <w:r>
              <w:rPr>
                <w:rFonts w:ascii="Arial"/>
                <w:sz w:val="18"/>
              </w:rPr>
              <w:t>1,169</w:t>
            </w:r>
          </w:p>
        </w:tc>
      </w:tr>
      <w:tr>
        <w:trPr>
          <w:trHeight w:val="276"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196" w:lineRule="exact"/>
              <w:ind w:left="58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06"/>
              <w:jc w:val="right"/>
              <w:rPr>
                <w:rFonts w:ascii="Arial" w:hAnsi="Arial" w:cs="Arial" w:eastAsia="Arial" w:hint="default"/>
                <w:sz w:val="18"/>
                <w:szCs w:val="18"/>
              </w:rPr>
            </w:pPr>
            <w:r>
              <w:rPr>
                <w:rFonts w:ascii="Arial"/>
                <w:spacing w:val="-1"/>
                <w:sz w:val="18"/>
              </w:rPr>
              <w:t>342,565</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03" w:right="0"/>
              <w:jc w:val="left"/>
              <w:rPr>
                <w:rFonts w:ascii="Arial" w:hAnsi="Arial" w:cs="Arial" w:eastAsia="Arial" w:hint="default"/>
                <w:sz w:val="18"/>
                <w:szCs w:val="18"/>
              </w:rPr>
            </w:pPr>
            <w:r>
              <w:rPr>
                <w:rFonts w:ascii="Arial"/>
                <w:sz w:val="18"/>
              </w:rPr>
              <w:t>0.8378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60" w:right="0"/>
              <w:jc w:val="left"/>
              <w:rPr>
                <w:rFonts w:ascii="Arial" w:hAnsi="Arial" w:cs="Arial" w:eastAsia="Arial" w:hint="default"/>
                <w:sz w:val="18"/>
                <w:szCs w:val="18"/>
              </w:rPr>
            </w:pPr>
            <w:r>
              <w:rPr>
                <w:rFonts w:ascii="Arial"/>
                <w:sz w:val="18"/>
              </w:rPr>
              <w:t>287,001</w:t>
            </w:r>
          </w:p>
        </w:tc>
      </w:tr>
      <w:tr>
        <w:trPr>
          <w:trHeight w:val="276"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196" w:lineRule="exact"/>
              <w:ind w:left="58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05"/>
              <w:jc w:val="right"/>
              <w:rPr>
                <w:rFonts w:ascii="Arial" w:hAnsi="Arial" w:cs="Arial" w:eastAsia="Arial" w:hint="default"/>
                <w:sz w:val="18"/>
                <w:szCs w:val="18"/>
              </w:rPr>
            </w:pPr>
            <w:r>
              <w:rPr>
                <w:rFonts w:ascii="Arial"/>
                <w:spacing w:val="-1"/>
                <w:sz w:val="18"/>
              </w:rPr>
              <w:t>2,380,419</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03" w:right="0"/>
              <w:jc w:val="left"/>
              <w:rPr>
                <w:rFonts w:ascii="Arial" w:hAnsi="Arial" w:cs="Arial" w:eastAsia="Arial" w:hint="default"/>
                <w:sz w:val="18"/>
                <w:szCs w:val="18"/>
              </w:rPr>
            </w:pPr>
            <w:r>
              <w:rPr>
                <w:rFonts w:ascii="Arial"/>
                <w:sz w:val="18"/>
              </w:rPr>
              <w:t>0.0539</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60" w:right="0"/>
              <w:jc w:val="left"/>
              <w:rPr>
                <w:rFonts w:ascii="Arial" w:hAnsi="Arial" w:cs="Arial" w:eastAsia="Arial" w:hint="default"/>
                <w:sz w:val="18"/>
                <w:szCs w:val="18"/>
              </w:rPr>
            </w:pPr>
            <w:r>
              <w:rPr>
                <w:rFonts w:ascii="Arial"/>
                <w:sz w:val="18"/>
              </w:rPr>
              <w:t>128,305</w:t>
            </w:r>
          </w:p>
        </w:tc>
      </w:tr>
      <w:tr>
        <w:trPr>
          <w:trHeight w:val="313"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196" w:lineRule="exact"/>
              <w:ind w:left="582"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05"/>
              <w:jc w:val="right"/>
              <w:rPr>
                <w:rFonts w:ascii="Arial" w:hAnsi="Arial" w:cs="Arial" w:eastAsia="Arial" w:hint="default"/>
                <w:sz w:val="18"/>
                <w:szCs w:val="18"/>
              </w:rPr>
            </w:pPr>
            <w:r>
              <w:rPr>
                <w:rFonts w:ascii="Arial"/>
                <w:w w:val="99"/>
                <w:sz w:val="18"/>
              </w:rPr>
              <w:t>5</w:t>
            </w:r>
            <w:r>
              <w:rPr>
                <w:rFonts w:ascii="Arial"/>
                <w:sz w:val="18"/>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03" w:right="0"/>
              <w:jc w:val="left"/>
              <w:rPr>
                <w:rFonts w:ascii="Arial" w:hAnsi="Arial" w:cs="Arial" w:eastAsia="Arial" w:hint="default"/>
                <w:sz w:val="18"/>
                <w:szCs w:val="18"/>
              </w:rPr>
            </w:pPr>
            <w:r>
              <w:rPr>
                <w:rFonts w:ascii="Arial"/>
                <w:sz w:val="18"/>
              </w:rPr>
              <w:t>0.8133</w:t>
            </w:r>
          </w:p>
        </w:tc>
        <w:tc>
          <w:tcPr>
            <w:tcW w:w="1519" w:type="dxa"/>
            <w:tcBorders>
              <w:top w:val="nil" w:sz="6" w:space="0" w:color="auto"/>
              <w:left w:val="nil" w:sz="6" w:space="0" w:color="auto"/>
              <w:bottom w:val="nil" w:sz="6" w:space="0" w:color="auto"/>
              <w:right w:val="nil" w:sz="6" w:space="0" w:color="auto"/>
            </w:tcBorders>
          </w:tcPr>
          <w:p>
            <w:pPr>
              <w:pStyle w:val="TableParagraph"/>
              <w:tabs>
                <w:tab w:pos="1311" w:val="left" w:leader="none"/>
                <w:tab w:pos="1519" w:val="left" w:leader="none"/>
              </w:tabs>
              <w:spacing w:line="240" w:lineRule="auto" w:before="57"/>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w:t>
              <w:tab/>
            </w:r>
            <w:r>
              <w:rPr>
                <w:rFonts w:ascii="Arial"/>
                <w:sz w:val="18"/>
              </w:rPr>
            </w:r>
          </w:p>
        </w:tc>
      </w:tr>
      <w:tr>
        <w:trPr>
          <w:trHeight w:val="254"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
        </w:tc>
        <w:tc>
          <w:tcPr>
            <w:tcW w:w="29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416,479</w:t>
            </w:r>
          </w:p>
        </w:tc>
      </w:tr>
      <w:tr>
        <w:trPr>
          <w:trHeight w:val="268"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20" w:lineRule="exact"/>
              <w:ind w:left="13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4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09"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28" w:lineRule="exact"/>
              <w:ind w:left="58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06"/>
              <w:jc w:val="right"/>
              <w:rPr>
                <w:rFonts w:ascii="Arial" w:hAnsi="Arial" w:cs="Arial" w:eastAsia="Arial" w:hint="default"/>
                <w:sz w:val="18"/>
                <w:szCs w:val="18"/>
              </w:rPr>
            </w:pPr>
            <w:r>
              <w:rPr>
                <w:rFonts w:ascii="Arial"/>
                <w:spacing w:val="-1"/>
                <w:w w:val="95"/>
                <w:sz w:val="18"/>
              </w:rPr>
              <w:t>192</w:t>
            </w:r>
            <w:r>
              <w:rPr>
                <w:rFonts w:ascii="Arial"/>
                <w:sz w:val="18"/>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03" w:right="0"/>
              <w:jc w:val="left"/>
              <w:rPr>
                <w:rFonts w:ascii="Arial" w:hAnsi="Arial" w:cs="Arial" w:eastAsia="Arial" w:hint="default"/>
                <w:sz w:val="18"/>
                <w:szCs w:val="18"/>
              </w:rPr>
            </w:pPr>
            <w:r>
              <w:rPr>
                <w:rFonts w:ascii="Arial"/>
                <w:sz w:val="18"/>
              </w:rPr>
              <w:t>6.4936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61" w:right="0"/>
              <w:jc w:val="left"/>
              <w:rPr>
                <w:rFonts w:ascii="Arial" w:hAnsi="Arial" w:cs="Arial" w:eastAsia="Arial" w:hint="default"/>
                <w:sz w:val="18"/>
                <w:szCs w:val="18"/>
              </w:rPr>
            </w:pPr>
            <w:r>
              <w:rPr>
                <w:rFonts w:ascii="Arial"/>
                <w:sz w:val="18"/>
              </w:rPr>
              <w:t>1,247</w:t>
            </w:r>
          </w:p>
        </w:tc>
      </w:tr>
      <w:tr>
        <w:trPr>
          <w:trHeight w:val="313"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195" w:lineRule="exact"/>
              <w:ind w:left="58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05"/>
              <w:jc w:val="right"/>
              <w:rPr>
                <w:rFonts w:ascii="Arial" w:hAnsi="Arial" w:cs="Arial" w:eastAsia="Arial" w:hint="default"/>
                <w:sz w:val="18"/>
                <w:szCs w:val="18"/>
              </w:rPr>
            </w:pPr>
            <w:r>
              <w:rPr>
                <w:rFonts w:ascii="Arial"/>
                <w:spacing w:val="-1"/>
                <w:sz w:val="18"/>
              </w:rPr>
              <w:t>1,712</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03" w:right="0"/>
              <w:jc w:val="left"/>
              <w:rPr>
                <w:rFonts w:ascii="Arial" w:hAnsi="Arial" w:cs="Arial" w:eastAsia="Arial" w:hint="default"/>
                <w:sz w:val="18"/>
                <w:szCs w:val="18"/>
              </w:rPr>
            </w:pPr>
            <w:r>
              <w:rPr>
                <w:rFonts w:ascii="Arial"/>
                <w:sz w:val="18"/>
              </w:rPr>
              <w:t>0.8378</w:t>
            </w:r>
          </w:p>
        </w:tc>
        <w:tc>
          <w:tcPr>
            <w:tcW w:w="1519" w:type="dxa"/>
            <w:tcBorders>
              <w:top w:val="nil" w:sz="6" w:space="0" w:color="auto"/>
              <w:left w:val="nil" w:sz="6" w:space="0" w:color="auto"/>
              <w:bottom w:val="nil" w:sz="6" w:space="0" w:color="auto"/>
              <w:right w:val="nil" w:sz="6" w:space="0" w:color="auto"/>
            </w:tcBorders>
          </w:tcPr>
          <w:p>
            <w:pPr>
              <w:pStyle w:val="TableParagraph"/>
              <w:tabs>
                <w:tab w:pos="962" w:val="left" w:leader="none"/>
                <w:tab w:pos="1519" w:val="left" w:leader="none"/>
              </w:tabs>
              <w:spacing w:line="240" w:lineRule="auto" w:before="56"/>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1,434</w:t>
              <w:tab/>
            </w:r>
            <w:r>
              <w:rPr>
                <w:rFonts w:ascii="Arial"/>
                <w:sz w:val="18"/>
              </w:rPr>
            </w:r>
          </w:p>
        </w:tc>
      </w:tr>
      <w:tr>
        <w:trPr>
          <w:trHeight w:val="254"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
        </w:tc>
        <w:tc>
          <w:tcPr>
            <w:tcW w:w="29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2,681</w:t>
            </w:r>
          </w:p>
        </w:tc>
      </w:tr>
      <w:tr>
        <w:trPr>
          <w:trHeight w:val="268"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20" w:lineRule="exact"/>
              <w:ind w:left="13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4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09"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28" w:lineRule="exact"/>
              <w:ind w:left="58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05"/>
              <w:jc w:val="right"/>
              <w:rPr>
                <w:rFonts w:ascii="Arial" w:hAnsi="Arial" w:cs="Arial" w:eastAsia="Arial" w:hint="default"/>
                <w:sz w:val="18"/>
                <w:szCs w:val="18"/>
              </w:rPr>
            </w:pPr>
            <w:r>
              <w:rPr>
                <w:rFonts w:ascii="Arial"/>
                <w:spacing w:val="-1"/>
                <w:sz w:val="18"/>
              </w:rPr>
              <w:t>316,024</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03" w:right="0"/>
              <w:jc w:val="left"/>
              <w:rPr>
                <w:rFonts w:ascii="Arial" w:hAnsi="Arial" w:cs="Arial" w:eastAsia="Arial" w:hint="default"/>
                <w:sz w:val="18"/>
                <w:szCs w:val="18"/>
              </w:rPr>
            </w:pPr>
            <w:r>
              <w:rPr>
                <w:rFonts w:ascii="Arial"/>
                <w:sz w:val="18"/>
              </w:rPr>
              <w:t>6.4936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12" w:right="0"/>
              <w:jc w:val="left"/>
              <w:rPr>
                <w:rFonts w:ascii="Arial" w:hAnsi="Arial" w:cs="Arial" w:eastAsia="Arial" w:hint="default"/>
                <w:sz w:val="18"/>
                <w:szCs w:val="18"/>
              </w:rPr>
            </w:pPr>
            <w:r>
              <w:rPr>
                <w:rFonts w:ascii="Arial"/>
                <w:sz w:val="18"/>
              </w:rPr>
              <w:t>2,052,133</w:t>
            </w:r>
          </w:p>
        </w:tc>
      </w:tr>
      <w:tr>
        <w:trPr>
          <w:trHeight w:val="276"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195" w:lineRule="exact"/>
              <w:ind w:left="58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05"/>
              <w:jc w:val="right"/>
              <w:rPr>
                <w:rFonts w:ascii="Arial" w:hAnsi="Arial" w:cs="Arial" w:eastAsia="Arial" w:hint="default"/>
                <w:sz w:val="18"/>
                <w:szCs w:val="18"/>
              </w:rPr>
            </w:pPr>
            <w:r>
              <w:rPr>
                <w:rFonts w:ascii="Arial"/>
                <w:spacing w:val="-1"/>
                <w:sz w:val="18"/>
              </w:rPr>
              <w:t>152,234</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03" w:right="0"/>
              <w:jc w:val="left"/>
              <w:rPr>
                <w:rFonts w:ascii="Arial" w:hAnsi="Arial" w:cs="Arial" w:eastAsia="Arial" w:hint="default"/>
                <w:sz w:val="18"/>
                <w:szCs w:val="18"/>
              </w:rPr>
            </w:pPr>
            <w:r>
              <w:rPr>
                <w:rFonts w:ascii="Arial"/>
                <w:sz w:val="18"/>
              </w:rPr>
              <w:t>0.8378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62" w:right="0"/>
              <w:jc w:val="left"/>
              <w:rPr>
                <w:rFonts w:ascii="Arial" w:hAnsi="Arial" w:cs="Arial" w:eastAsia="Arial" w:hint="default"/>
                <w:sz w:val="18"/>
                <w:szCs w:val="18"/>
              </w:rPr>
            </w:pPr>
            <w:r>
              <w:rPr>
                <w:rFonts w:ascii="Arial"/>
                <w:sz w:val="18"/>
              </w:rPr>
              <w:t>127,542</w:t>
            </w:r>
          </w:p>
        </w:tc>
      </w:tr>
      <w:tr>
        <w:trPr>
          <w:trHeight w:val="276"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195" w:lineRule="exact"/>
              <w:ind w:left="58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05"/>
              <w:jc w:val="right"/>
              <w:rPr>
                <w:rFonts w:ascii="Arial" w:hAnsi="Arial" w:cs="Arial" w:eastAsia="Arial" w:hint="default"/>
                <w:sz w:val="18"/>
                <w:szCs w:val="18"/>
              </w:rPr>
            </w:pPr>
            <w:r>
              <w:rPr>
                <w:rFonts w:ascii="Arial"/>
                <w:spacing w:val="-1"/>
                <w:sz w:val="18"/>
              </w:rPr>
              <w:t>1,453,675</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03" w:right="0"/>
              <w:jc w:val="left"/>
              <w:rPr>
                <w:rFonts w:ascii="Arial" w:hAnsi="Arial" w:cs="Arial" w:eastAsia="Arial" w:hint="default"/>
                <w:sz w:val="18"/>
                <w:szCs w:val="18"/>
              </w:rPr>
            </w:pPr>
            <w:r>
              <w:rPr>
                <w:rFonts w:ascii="Arial"/>
                <w:sz w:val="18"/>
              </w:rPr>
              <w:t>0.0539</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60" w:right="0"/>
              <w:jc w:val="left"/>
              <w:rPr>
                <w:rFonts w:ascii="Arial" w:hAnsi="Arial" w:cs="Arial" w:eastAsia="Arial" w:hint="default"/>
                <w:sz w:val="18"/>
                <w:szCs w:val="18"/>
              </w:rPr>
            </w:pPr>
            <w:r>
              <w:rPr>
                <w:rFonts w:ascii="Arial"/>
                <w:sz w:val="18"/>
              </w:rPr>
              <w:t>78,353</w:t>
            </w:r>
          </w:p>
        </w:tc>
      </w:tr>
      <w:tr>
        <w:trPr>
          <w:trHeight w:val="313"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195" w:lineRule="exact"/>
              <w:ind w:left="623"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06"/>
              <w:jc w:val="right"/>
              <w:rPr>
                <w:rFonts w:ascii="Arial" w:hAnsi="Arial" w:cs="Arial" w:eastAsia="Arial" w:hint="default"/>
                <w:sz w:val="18"/>
                <w:szCs w:val="18"/>
              </w:rPr>
            </w:pPr>
            <w:r>
              <w:rPr>
                <w:rFonts w:ascii="Arial"/>
                <w:spacing w:val="-1"/>
                <w:w w:val="95"/>
                <w:sz w:val="18"/>
              </w:rPr>
              <w:t>345</w:t>
            </w:r>
            <w:r>
              <w:rPr>
                <w:rFonts w:ascii="Arial"/>
                <w:sz w:val="18"/>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03" w:right="0"/>
              <w:jc w:val="left"/>
              <w:rPr>
                <w:rFonts w:ascii="Arial" w:hAnsi="Arial" w:cs="Arial" w:eastAsia="Arial" w:hint="default"/>
                <w:sz w:val="18"/>
                <w:szCs w:val="18"/>
              </w:rPr>
            </w:pPr>
            <w:r>
              <w:rPr>
                <w:rFonts w:ascii="Arial"/>
                <w:sz w:val="18"/>
              </w:rPr>
              <w:t>0.8133</w:t>
            </w:r>
          </w:p>
        </w:tc>
        <w:tc>
          <w:tcPr>
            <w:tcW w:w="1519" w:type="dxa"/>
            <w:tcBorders>
              <w:top w:val="nil" w:sz="6" w:space="0" w:color="auto"/>
              <w:left w:val="nil" w:sz="6" w:space="0" w:color="auto"/>
              <w:bottom w:val="nil" w:sz="6" w:space="0" w:color="auto"/>
              <w:right w:val="nil" w:sz="6" w:space="0" w:color="auto"/>
            </w:tcBorders>
          </w:tcPr>
          <w:p>
            <w:pPr>
              <w:pStyle w:val="TableParagraph"/>
              <w:tabs>
                <w:tab w:pos="1112" w:val="left" w:leader="none"/>
                <w:tab w:pos="1519" w:val="left" w:leader="none"/>
              </w:tabs>
              <w:spacing w:line="240" w:lineRule="auto" w:before="57"/>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281</w:t>
              <w:tab/>
            </w:r>
            <w:r>
              <w:rPr>
                <w:rFonts w:ascii="Arial"/>
                <w:sz w:val="18"/>
              </w:rPr>
            </w:r>
          </w:p>
        </w:tc>
      </w:tr>
      <w:tr>
        <w:trPr>
          <w:trHeight w:val="254" w:hRule="exact"/>
        </w:trPr>
        <w:tc>
          <w:tcPr>
            <w:tcW w:w="78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610" w:right="0"/>
              <w:jc w:val="left"/>
              <w:rPr>
                <w:rFonts w:ascii="Arial" w:hAnsi="Arial" w:cs="Arial" w:eastAsia="Arial" w:hint="default"/>
                <w:sz w:val="18"/>
                <w:szCs w:val="18"/>
              </w:rPr>
            </w:pPr>
            <w:r>
              <w:rPr>
                <w:rFonts w:ascii="Arial"/>
                <w:sz w:val="18"/>
              </w:rPr>
              <w:t>2,258,309</w:t>
            </w:r>
          </w:p>
        </w:tc>
      </w:tr>
    </w:tbl>
    <w:p>
      <w:pPr>
        <w:spacing w:after="0" w:line="240" w:lineRule="auto"/>
        <w:jc w:val="left"/>
        <w:rPr>
          <w:rFonts w:ascii="Arial" w:hAnsi="Arial" w:cs="Arial" w:eastAsia="Arial" w:hint="default"/>
          <w:sz w:val="18"/>
          <w:szCs w:val="18"/>
        </w:rPr>
        <w:sectPr>
          <w:pgSz w:w="11910" w:h="16840"/>
          <w:pgMar w:header="0" w:footer="839" w:top="1860" w:bottom="102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775"/>
        <w:gridCol w:w="3192"/>
        <w:gridCol w:w="2104"/>
        <w:gridCol w:w="1436"/>
        <w:gridCol w:w="1519"/>
      </w:tblGrid>
      <w:tr>
        <w:trPr>
          <w:trHeight w:val="41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296"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36"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74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2" w:right="0"/>
              <w:jc w:val="left"/>
              <w:rPr>
                <w:rFonts w:ascii="Arial" w:hAnsi="Arial" w:cs="Arial" w:eastAsia="Arial" w:hint="default"/>
                <w:sz w:val="24"/>
                <w:szCs w:val="24"/>
              </w:rPr>
            </w:pPr>
            <w:r>
              <w:rPr>
                <w:rFonts w:ascii="Arial"/>
                <w:sz w:val="24"/>
              </w:rPr>
              <w:t>(59)</w:t>
            </w:r>
          </w:p>
        </w:tc>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6" w:right="0"/>
              <w:jc w:val="left"/>
              <w:rPr>
                <w:rFonts w:ascii="Arial" w:hAnsi="Arial" w:cs="Arial" w:eastAsia="Arial" w:hint="default"/>
                <w:sz w:val="24"/>
                <w:szCs w:val="24"/>
              </w:rPr>
            </w:pPr>
            <w:r>
              <w:rPr>
                <w:rFonts w:ascii="黑体" w:hAnsi="黑体" w:cs="黑体" w:eastAsia="黑体" w:hint="default"/>
                <w:sz w:val="24"/>
                <w:szCs w:val="24"/>
              </w:rPr>
              <w:t>外币货币性项目</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0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535"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
        </w:tc>
        <w:tc>
          <w:tcPr>
            <w:tcW w:w="295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96"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Style w:val="TableParagraph"/>
              <w:spacing w:line="205" w:lineRule="exact"/>
              <w:ind w:right="368"/>
              <w:jc w:val="right"/>
              <w:rPr>
                <w:rFonts w:ascii="宋体" w:hAnsi="宋体" w:cs="宋体" w:eastAsia="宋体" w:hint="default"/>
                <w:sz w:val="18"/>
                <w:szCs w:val="18"/>
              </w:rPr>
            </w:pPr>
            <w:r>
              <w:rPr>
                <w:rFonts w:ascii="宋体" w:hAnsi="宋体" w:cs="宋体" w:eastAsia="宋体" w:hint="default"/>
                <w:sz w:val="18"/>
                <w:szCs w:val="18"/>
              </w:rPr>
              <w:t>外币余额</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05" w:lineRule="exact"/>
              <w:ind w:right="343"/>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人民币余额</w:t>
            </w:r>
          </w:p>
        </w:tc>
      </w:tr>
      <w:tr>
        <w:trPr>
          <w:trHeight w:val="414"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46"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10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309"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Style w:val="TableParagraph"/>
              <w:spacing w:line="228" w:lineRule="exact"/>
              <w:ind w:left="68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68"/>
              <w:jc w:val="right"/>
              <w:rPr>
                <w:rFonts w:ascii="Arial" w:hAnsi="Arial" w:cs="Arial" w:eastAsia="Arial" w:hint="default"/>
                <w:sz w:val="18"/>
                <w:szCs w:val="18"/>
              </w:rPr>
            </w:pPr>
            <w:r>
              <w:rPr>
                <w:rFonts w:ascii="Arial"/>
                <w:spacing w:val="-1"/>
                <w:sz w:val="18"/>
              </w:rPr>
              <w:t>9,000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3"/>
              <w:jc w:val="right"/>
              <w:rPr>
                <w:rFonts w:ascii="Arial" w:hAnsi="Arial" w:cs="Arial" w:eastAsia="Arial" w:hint="default"/>
                <w:sz w:val="18"/>
                <w:szCs w:val="18"/>
              </w:rPr>
            </w:pPr>
            <w:r>
              <w:rPr>
                <w:rFonts w:ascii="Arial"/>
                <w:spacing w:val="-1"/>
                <w:sz w:val="18"/>
              </w:rPr>
              <w:t>6.4936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860" w:right="0"/>
              <w:jc w:val="left"/>
              <w:rPr>
                <w:rFonts w:ascii="Arial" w:hAnsi="Arial" w:cs="Arial" w:eastAsia="Arial" w:hint="default"/>
                <w:sz w:val="18"/>
                <w:szCs w:val="18"/>
              </w:rPr>
            </w:pPr>
            <w:r>
              <w:rPr>
                <w:rFonts w:ascii="Arial"/>
                <w:sz w:val="18"/>
              </w:rPr>
              <w:t>58,442</w:t>
            </w:r>
          </w:p>
        </w:tc>
      </w:tr>
      <w:tr>
        <w:trPr>
          <w:trHeight w:val="313"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Style w:val="TableParagraph"/>
              <w:spacing w:line="195" w:lineRule="exact"/>
              <w:ind w:left="68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9"/>
              <w:jc w:val="right"/>
              <w:rPr>
                <w:rFonts w:ascii="Arial" w:hAnsi="Arial" w:cs="Arial" w:eastAsia="Arial" w:hint="default"/>
                <w:sz w:val="18"/>
                <w:szCs w:val="18"/>
              </w:rPr>
            </w:pPr>
            <w:r>
              <w:rPr>
                <w:rFonts w:ascii="Arial"/>
                <w:spacing w:val="-1"/>
                <w:sz w:val="18"/>
              </w:rPr>
              <w:t>68,998</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3"/>
              <w:jc w:val="right"/>
              <w:rPr>
                <w:rFonts w:ascii="Arial" w:hAnsi="Arial" w:cs="Arial" w:eastAsia="Arial" w:hint="default"/>
                <w:sz w:val="18"/>
                <w:szCs w:val="18"/>
              </w:rPr>
            </w:pPr>
            <w:r>
              <w:rPr>
                <w:rFonts w:ascii="Arial"/>
                <w:spacing w:val="-1"/>
                <w:sz w:val="18"/>
              </w:rPr>
              <w:t>0.0539</w:t>
            </w:r>
          </w:p>
        </w:tc>
        <w:tc>
          <w:tcPr>
            <w:tcW w:w="1519" w:type="dxa"/>
            <w:tcBorders>
              <w:top w:val="nil" w:sz="6" w:space="0" w:color="auto"/>
              <w:left w:val="nil" w:sz="6" w:space="0" w:color="auto"/>
              <w:bottom w:val="nil" w:sz="6" w:space="0" w:color="auto"/>
              <w:right w:val="nil" w:sz="6" w:space="0" w:color="auto"/>
            </w:tcBorders>
          </w:tcPr>
          <w:p>
            <w:pPr>
              <w:pStyle w:val="TableParagraph"/>
              <w:tabs>
                <w:tab w:pos="961" w:val="left" w:leader="none"/>
                <w:tab w:pos="1519" w:val="left" w:leader="none"/>
              </w:tabs>
              <w:spacing w:line="240" w:lineRule="auto" w:before="57"/>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3,719</w:t>
              <w:tab/>
            </w:r>
            <w:r>
              <w:rPr>
                <w:rFonts w:ascii="Arial"/>
                <w:sz w:val="18"/>
              </w:rPr>
            </w:r>
          </w:p>
        </w:tc>
      </w:tr>
      <w:tr>
        <w:trPr>
          <w:trHeight w:val="254"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29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62,161</w:t>
            </w:r>
          </w:p>
        </w:tc>
      </w:tr>
      <w:tr>
        <w:trPr>
          <w:trHeight w:val="268"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Style w:val="TableParagraph"/>
              <w:spacing w:line="220" w:lineRule="exact"/>
              <w:ind w:left="14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0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08"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Style w:val="TableParagraph"/>
              <w:spacing w:line="228" w:lineRule="exact"/>
              <w:ind w:left="68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69"/>
              <w:jc w:val="right"/>
              <w:rPr>
                <w:rFonts w:ascii="Arial" w:hAnsi="Arial" w:cs="Arial" w:eastAsia="Arial" w:hint="default"/>
                <w:sz w:val="18"/>
                <w:szCs w:val="18"/>
              </w:rPr>
            </w:pPr>
            <w:r>
              <w:rPr>
                <w:rFonts w:ascii="Arial"/>
                <w:spacing w:val="-1"/>
                <w:sz w:val="18"/>
              </w:rPr>
              <w:t>52,000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3"/>
              <w:jc w:val="right"/>
              <w:rPr>
                <w:rFonts w:ascii="Arial" w:hAnsi="Arial" w:cs="Arial" w:eastAsia="Arial" w:hint="default"/>
                <w:sz w:val="18"/>
                <w:szCs w:val="18"/>
              </w:rPr>
            </w:pPr>
            <w:r>
              <w:rPr>
                <w:rFonts w:ascii="Arial"/>
                <w:spacing w:val="-1"/>
                <w:sz w:val="18"/>
              </w:rPr>
              <w:t>6.4936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60" w:right="0"/>
              <w:jc w:val="left"/>
              <w:rPr>
                <w:rFonts w:ascii="Arial" w:hAnsi="Arial" w:cs="Arial" w:eastAsia="Arial" w:hint="default"/>
                <w:sz w:val="18"/>
                <w:szCs w:val="18"/>
              </w:rPr>
            </w:pPr>
            <w:r>
              <w:rPr>
                <w:rFonts w:ascii="Arial"/>
                <w:sz w:val="18"/>
              </w:rPr>
              <w:t>337,667</w:t>
            </w:r>
          </w:p>
        </w:tc>
      </w:tr>
      <w:tr>
        <w:trPr>
          <w:trHeight w:val="313"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Style w:val="TableParagraph"/>
              <w:spacing w:line="196" w:lineRule="exact"/>
              <w:ind w:left="68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8"/>
              <w:jc w:val="right"/>
              <w:rPr>
                <w:rFonts w:ascii="Arial" w:hAnsi="Arial" w:cs="Arial" w:eastAsia="Arial" w:hint="default"/>
                <w:sz w:val="18"/>
                <w:szCs w:val="18"/>
              </w:rPr>
            </w:pPr>
            <w:r>
              <w:rPr>
                <w:rFonts w:ascii="Arial"/>
                <w:spacing w:val="-1"/>
                <w:sz w:val="18"/>
              </w:rPr>
              <w:t>370,204</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3"/>
              <w:jc w:val="right"/>
              <w:rPr>
                <w:rFonts w:ascii="Arial" w:hAnsi="Arial" w:cs="Arial" w:eastAsia="Arial" w:hint="default"/>
                <w:sz w:val="18"/>
                <w:szCs w:val="18"/>
              </w:rPr>
            </w:pPr>
            <w:r>
              <w:rPr>
                <w:rFonts w:ascii="Arial"/>
                <w:spacing w:val="-1"/>
                <w:sz w:val="18"/>
              </w:rPr>
              <w:t>0.0539</w:t>
            </w:r>
          </w:p>
        </w:tc>
        <w:tc>
          <w:tcPr>
            <w:tcW w:w="1519" w:type="dxa"/>
            <w:tcBorders>
              <w:top w:val="nil" w:sz="6" w:space="0" w:color="auto"/>
              <w:left w:val="nil" w:sz="6" w:space="0" w:color="auto"/>
              <w:bottom w:val="nil" w:sz="6" w:space="0" w:color="auto"/>
              <w:right w:val="nil" w:sz="6" w:space="0" w:color="auto"/>
            </w:tcBorders>
          </w:tcPr>
          <w:p>
            <w:pPr>
              <w:pStyle w:val="TableParagraph"/>
              <w:tabs>
                <w:tab w:pos="861" w:val="left" w:leader="none"/>
                <w:tab w:pos="1519" w:val="left" w:leader="none"/>
              </w:tabs>
              <w:spacing w:line="240" w:lineRule="auto" w:before="57"/>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19,954</w:t>
              <w:tab/>
            </w:r>
            <w:r>
              <w:rPr>
                <w:rFonts w:ascii="Arial"/>
                <w:sz w:val="18"/>
              </w:rPr>
            </w:r>
          </w:p>
        </w:tc>
      </w:tr>
      <w:tr>
        <w:trPr>
          <w:trHeight w:val="254"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29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357,621</w:t>
            </w:r>
          </w:p>
        </w:tc>
      </w:tr>
      <w:tr>
        <w:trPr>
          <w:trHeight w:val="544"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0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292" w:hRule="exact"/>
        </w:trPr>
        <w:tc>
          <w:tcPr>
            <w:tcW w:w="775"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Style w:val="TableParagraph"/>
              <w:spacing w:line="228" w:lineRule="exact"/>
              <w:ind w:left="686"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69"/>
              <w:jc w:val="right"/>
              <w:rPr>
                <w:rFonts w:ascii="Arial" w:hAnsi="Arial" w:cs="Arial" w:eastAsia="Arial" w:hint="default"/>
                <w:sz w:val="18"/>
                <w:szCs w:val="18"/>
              </w:rPr>
            </w:pPr>
            <w:r>
              <w:rPr>
                <w:rFonts w:ascii="Arial"/>
                <w:spacing w:val="-1"/>
                <w:sz w:val="18"/>
              </w:rPr>
              <w:t>24,468</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4"/>
              <w:jc w:val="right"/>
              <w:rPr>
                <w:rFonts w:ascii="Arial" w:hAnsi="Arial" w:cs="Arial" w:eastAsia="Arial" w:hint="default"/>
                <w:sz w:val="18"/>
                <w:szCs w:val="18"/>
              </w:rPr>
            </w:pPr>
            <w:r>
              <w:rPr>
                <w:rFonts w:ascii="Arial"/>
                <w:spacing w:val="-1"/>
                <w:sz w:val="18"/>
              </w:rPr>
              <w:t>0.8378</w:t>
            </w:r>
          </w:p>
        </w:tc>
        <w:tc>
          <w:tcPr>
            <w:tcW w:w="1519" w:type="dxa"/>
            <w:tcBorders>
              <w:top w:val="nil" w:sz="6" w:space="0" w:color="auto"/>
              <w:left w:val="nil" w:sz="6" w:space="0" w:color="auto"/>
              <w:bottom w:val="nil" w:sz="6" w:space="0" w:color="auto"/>
              <w:right w:val="nil" w:sz="6" w:space="0" w:color="auto"/>
            </w:tcBorders>
          </w:tcPr>
          <w:p>
            <w:pPr>
              <w:pStyle w:val="TableParagraph"/>
              <w:tabs>
                <w:tab w:pos="860" w:val="left" w:leader="none"/>
                <w:tab w:pos="1519" w:val="left" w:leader="none"/>
              </w:tabs>
              <w:spacing w:line="240" w:lineRule="auto" w:before="89"/>
              <w:ind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20,499</w:t>
              <w:tab/>
            </w:r>
            <w:r>
              <w:rPr>
                <w:rFonts w:ascii="Arial"/>
                <w:sz w:val="18"/>
              </w:rPr>
            </w:r>
          </w:p>
        </w:tc>
      </w:tr>
    </w:tbl>
    <w:p>
      <w:pPr>
        <w:spacing w:after="0" w:line="240" w:lineRule="auto"/>
        <w:jc w:val="left"/>
        <w:rPr>
          <w:rFonts w:ascii="Arial" w:hAnsi="Arial" w:cs="Arial" w:eastAsia="Arial" w:hint="default"/>
          <w:sz w:val="18"/>
          <w:szCs w:val="18"/>
        </w:rPr>
        <w:sectPr>
          <w:pgSz w:w="11910" w:h="16840"/>
          <w:pgMar w:header="0" w:footer="839" w:top="1860" w:bottom="1020" w:left="1480" w:right="0"/>
        </w:sectPr>
      </w:pPr>
    </w:p>
    <w:p>
      <w:pPr>
        <w:pStyle w:val="Heading3"/>
        <w:spacing w:line="310" w:lineRule="exact" w:before="45"/>
        <w:ind w:left="180" w:right="13219"/>
        <w:jc w:val="left"/>
        <w:rPr>
          <w:rFonts w:ascii="黑体" w:hAnsi="黑体" w:cs="黑体" w:eastAsia="黑体" w:hint="default"/>
        </w:rPr>
      </w:pPr>
      <w:r>
        <w:rPr>
          <w:rFonts w:ascii="黑体" w:hAnsi="黑体" w:cs="黑体" w:eastAsia="黑体" w:hint="default"/>
        </w:rPr>
        <w:t>苏宁云商集团股份有限公司 财务报表附注</w:t>
      </w:r>
    </w:p>
    <w:p>
      <w:pPr>
        <w:pStyle w:val="Heading3"/>
        <w:spacing w:line="295" w:lineRule="exact"/>
        <w:ind w:left="180" w:right="13219"/>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w:t>
      </w:r>
    </w:p>
    <w:p>
      <w:pPr>
        <w:spacing w:line="243" w:lineRule="exact" w:before="0"/>
        <w:ind w:left="180" w:right="637"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8"/>
        <w:rPr>
          <w:rFonts w:ascii="Arial" w:hAnsi="Arial" w:cs="Arial" w:eastAsia="Arial"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536"/>
        <w:gridCol w:w="4474"/>
        <w:gridCol w:w="1080"/>
        <w:gridCol w:w="716"/>
        <w:gridCol w:w="1065"/>
        <w:gridCol w:w="1476"/>
        <w:gridCol w:w="1272"/>
        <w:gridCol w:w="1268"/>
        <w:gridCol w:w="1611"/>
        <w:gridCol w:w="1331"/>
      </w:tblGrid>
      <w:tr>
        <w:trPr>
          <w:trHeight w:val="2054" w:hRule="exact"/>
        </w:trPr>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五</w:t>
            </w: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94"/>
              <w:ind w:left="35" w:right="0"/>
              <w:jc w:val="left"/>
              <w:rPr>
                <w:rFonts w:ascii="Arial" w:hAnsi="Arial" w:cs="Arial" w:eastAsia="Arial" w:hint="default"/>
                <w:sz w:val="24"/>
                <w:szCs w:val="24"/>
              </w:rPr>
            </w:pPr>
            <w:r>
              <w:rPr>
                <w:rFonts w:ascii="Arial"/>
                <w:sz w:val="24"/>
              </w:rPr>
              <w:t>(1)</w:t>
            </w: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95"/>
              <w:ind w:left="35" w:right="0"/>
              <w:jc w:val="left"/>
              <w:rPr>
                <w:rFonts w:ascii="Arial" w:hAnsi="Arial" w:cs="Arial" w:eastAsia="Arial" w:hint="default"/>
                <w:sz w:val="24"/>
                <w:szCs w:val="24"/>
              </w:rPr>
            </w:pPr>
            <w:r>
              <w:rPr>
                <w:rFonts w:ascii="Arial"/>
                <w:sz w:val="24"/>
              </w:rPr>
              <w:t>(a)</w:t>
            </w:r>
          </w:p>
        </w:tc>
        <w:tc>
          <w:tcPr>
            <w:tcW w:w="4474" w:type="dxa"/>
            <w:tcBorders>
              <w:top w:val="nil" w:sz="6" w:space="0" w:color="auto"/>
              <w:left w:val="nil" w:sz="6" w:space="0" w:color="auto"/>
              <w:bottom w:val="nil" w:sz="6" w:space="0" w:color="auto"/>
              <w:right w:val="nil" w:sz="6" w:space="0" w:color="auto"/>
            </w:tcBorders>
          </w:tcPr>
          <w:p>
            <w:pPr>
              <w:pStyle w:val="TableParagraph"/>
              <w:spacing w:line="571" w:lineRule="auto" w:before="26"/>
              <w:ind w:left="207" w:right="183" w:firstLine="9"/>
              <w:jc w:val="left"/>
              <w:rPr>
                <w:rFonts w:ascii="黑体" w:hAnsi="黑体" w:cs="黑体" w:eastAsia="黑体" w:hint="default"/>
                <w:sz w:val="24"/>
                <w:szCs w:val="24"/>
              </w:rPr>
            </w:pPr>
            <w:r>
              <w:rPr>
                <w:rFonts w:ascii="黑体" w:hAnsi="黑体" w:cs="黑体" w:eastAsia="黑体" w:hint="default"/>
                <w:sz w:val="24"/>
                <w:szCs w:val="24"/>
              </w:rPr>
              <w:t>合并范围的变更 非同一控制下的企业合并</w:t>
            </w:r>
          </w:p>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sz w:val="24"/>
                <w:szCs w:val="24"/>
              </w:rPr>
              <w:t>本年度发生的非同一控制下的企业合并</w:t>
            </w:r>
          </w:p>
        </w:tc>
        <w:tc>
          <w:tcPr>
            <w:tcW w:w="9820" w:type="dxa"/>
            <w:gridSpan w:val="8"/>
            <w:tcBorders>
              <w:top w:val="nil" w:sz="6" w:space="0" w:color="auto"/>
              <w:left w:val="nil" w:sz="6" w:space="0" w:color="auto"/>
              <w:bottom w:val="nil" w:sz="6" w:space="0" w:color="auto"/>
              <w:right w:val="nil" w:sz="6" w:space="0" w:color="auto"/>
            </w:tcBorders>
          </w:tcPr>
          <w:p>
            <w:pPr/>
          </w:p>
        </w:tc>
      </w:tr>
      <w:tr>
        <w:trPr>
          <w:trHeight w:val="406" w:hRule="exact"/>
        </w:trPr>
        <w:tc>
          <w:tcPr>
            <w:tcW w:w="536"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购买日至处</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z w:val="18"/>
                <w:szCs w:val="18"/>
              </w:rPr>
              <w:t>购买日至处</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购买日至处置日</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购买日至处置</w:t>
            </w:r>
          </w:p>
        </w:tc>
      </w:tr>
      <w:tr>
        <w:trPr>
          <w:trHeight w:val="253" w:hRule="exact"/>
        </w:trPr>
        <w:tc>
          <w:tcPr>
            <w:tcW w:w="536"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188" w:lineRule="exact"/>
              <w:ind w:left="190" w:right="0"/>
              <w:jc w:val="center"/>
              <w:rPr>
                <w:rFonts w:ascii="宋体" w:hAnsi="宋体" w:cs="宋体" w:eastAsia="宋体" w:hint="default"/>
                <w:sz w:val="18"/>
                <w:szCs w:val="18"/>
              </w:rPr>
            </w:pPr>
            <w:r>
              <w:rPr>
                <w:rFonts w:ascii="宋体" w:hAnsi="宋体" w:cs="宋体" w:eastAsia="宋体" w:hint="default"/>
                <w:sz w:val="18"/>
                <w:szCs w:val="18"/>
              </w:rPr>
              <w:t>取得的</w:t>
            </w:r>
          </w:p>
        </w:tc>
        <w:tc>
          <w:tcPr>
            <w:tcW w:w="716" w:type="dxa"/>
            <w:tcBorders>
              <w:top w:val="nil" w:sz="6" w:space="0" w:color="auto"/>
              <w:left w:val="nil" w:sz="6" w:space="0" w:color="auto"/>
              <w:bottom w:val="nil" w:sz="6" w:space="0" w:color="auto"/>
              <w:right w:val="nil" w:sz="6" w:space="0" w:color="auto"/>
            </w:tcBorders>
          </w:tcPr>
          <w:p>
            <w:pPr>
              <w:pStyle w:val="TableParagraph"/>
              <w:spacing w:line="188" w:lineRule="exact"/>
              <w:ind w:right="4"/>
              <w:jc w:val="center"/>
              <w:rPr>
                <w:rFonts w:ascii="宋体" w:hAnsi="宋体" w:cs="宋体" w:eastAsia="宋体" w:hint="default"/>
                <w:sz w:val="18"/>
                <w:szCs w:val="18"/>
              </w:rPr>
            </w:pPr>
            <w:r>
              <w:rPr>
                <w:rFonts w:ascii="宋体" w:hAnsi="宋体" w:cs="宋体" w:eastAsia="宋体" w:hint="default"/>
                <w:sz w:val="18"/>
                <w:szCs w:val="18"/>
              </w:rPr>
              <w:t>取得</w:t>
            </w:r>
          </w:p>
        </w:tc>
        <w:tc>
          <w:tcPr>
            <w:tcW w:w="106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188" w:lineRule="exact"/>
              <w:ind w:right="186"/>
              <w:jc w:val="right"/>
              <w:rPr>
                <w:rFonts w:ascii="宋体" w:hAnsi="宋体" w:cs="宋体" w:eastAsia="宋体" w:hint="default"/>
                <w:sz w:val="18"/>
                <w:szCs w:val="18"/>
              </w:rPr>
            </w:pPr>
            <w:r>
              <w:rPr>
                <w:rFonts w:ascii="宋体" w:hAnsi="宋体" w:cs="宋体" w:eastAsia="宋体" w:hint="default"/>
                <w:sz w:val="18"/>
                <w:szCs w:val="18"/>
              </w:rPr>
              <w:t>购买日</w:t>
            </w:r>
          </w:p>
        </w:tc>
        <w:tc>
          <w:tcPr>
            <w:tcW w:w="1272" w:type="dxa"/>
            <w:tcBorders>
              <w:top w:val="nil" w:sz="6" w:space="0" w:color="auto"/>
              <w:left w:val="nil" w:sz="6" w:space="0" w:color="auto"/>
              <w:bottom w:val="nil" w:sz="6" w:space="0" w:color="auto"/>
              <w:right w:val="nil" w:sz="6" w:space="0" w:color="auto"/>
            </w:tcBorders>
          </w:tcPr>
          <w:p>
            <w:pPr>
              <w:pStyle w:val="TableParagraph"/>
              <w:spacing w:line="226" w:lineRule="exact"/>
              <w:ind w:right="185"/>
              <w:jc w:val="right"/>
              <w:rPr>
                <w:rFonts w:ascii="宋体" w:hAnsi="宋体" w:cs="宋体" w:eastAsia="宋体" w:hint="default"/>
                <w:sz w:val="18"/>
                <w:szCs w:val="18"/>
              </w:rPr>
            </w:pPr>
            <w:r>
              <w:rPr>
                <w:rFonts w:ascii="宋体" w:hAnsi="宋体" w:cs="宋体" w:eastAsia="宋体" w:hint="default"/>
                <w:sz w:val="18"/>
                <w:szCs w:val="18"/>
              </w:rPr>
              <w:t>置日被购买</w:t>
            </w:r>
          </w:p>
        </w:tc>
        <w:tc>
          <w:tcPr>
            <w:tcW w:w="1268" w:type="dxa"/>
            <w:tcBorders>
              <w:top w:val="nil" w:sz="6" w:space="0" w:color="auto"/>
              <w:left w:val="nil" w:sz="6" w:space="0" w:color="auto"/>
              <w:bottom w:val="nil" w:sz="6" w:space="0" w:color="auto"/>
              <w:right w:val="nil" w:sz="6" w:space="0" w:color="auto"/>
            </w:tcBorders>
          </w:tcPr>
          <w:p>
            <w:pPr>
              <w:pStyle w:val="TableParagraph"/>
              <w:spacing w:line="226" w:lineRule="exact"/>
              <w:ind w:right="180"/>
              <w:jc w:val="right"/>
              <w:rPr>
                <w:rFonts w:ascii="宋体" w:hAnsi="宋体" w:cs="宋体" w:eastAsia="宋体" w:hint="default"/>
                <w:sz w:val="18"/>
                <w:szCs w:val="18"/>
              </w:rPr>
            </w:pPr>
            <w:r>
              <w:rPr>
                <w:rFonts w:ascii="宋体" w:hAnsi="宋体" w:cs="宋体" w:eastAsia="宋体" w:hint="default"/>
                <w:sz w:val="18"/>
                <w:szCs w:val="18"/>
              </w:rPr>
              <w:t>置日被购买</w:t>
            </w:r>
          </w:p>
        </w:tc>
        <w:tc>
          <w:tcPr>
            <w:tcW w:w="1611" w:type="dxa"/>
            <w:tcBorders>
              <w:top w:val="nil" w:sz="6" w:space="0" w:color="auto"/>
              <w:left w:val="nil" w:sz="6" w:space="0" w:color="auto"/>
              <w:bottom w:val="nil" w:sz="6" w:space="0" w:color="auto"/>
              <w:right w:val="nil" w:sz="6" w:space="0" w:color="auto"/>
            </w:tcBorders>
          </w:tcPr>
          <w:p>
            <w:pPr>
              <w:pStyle w:val="TableParagraph"/>
              <w:spacing w:line="226" w:lineRule="exact"/>
              <w:ind w:right="169"/>
              <w:jc w:val="right"/>
              <w:rPr>
                <w:rFonts w:ascii="宋体" w:hAnsi="宋体" w:cs="宋体" w:eastAsia="宋体" w:hint="default"/>
                <w:sz w:val="18"/>
                <w:szCs w:val="18"/>
              </w:rPr>
            </w:pPr>
            <w:r>
              <w:rPr>
                <w:rFonts w:ascii="宋体" w:hAnsi="宋体" w:cs="宋体" w:eastAsia="宋体" w:hint="default"/>
                <w:sz w:val="18"/>
                <w:szCs w:val="18"/>
              </w:rPr>
              <w:t>被购买方的经营</w:t>
            </w:r>
          </w:p>
        </w:tc>
        <w:tc>
          <w:tcPr>
            <w:tcW w:w="1331" w:type="dxa"/>
            <w:tcBorders>
              <w:top w:val="nil" w:sz="6" w:space="0" w:color="auto"/>
              <w:left w:val="nil" w:sz="6" w:space="0" w:color="auto"/>
              <w:bottom w:val="nil" w:sz="6" w:space="0" w:color="auto"/>
              <w:right w:val="nil" w:sz="6" w:space="0" w:color="auto"/>
            </w:tcBorders>
          </w:tcPr>
          <w:p>
            <w:pPr>
              <w:pStyle w:val="TableParagraph"/>
              <w:spacing w:line="226" w:lineRule="exact"/>
              <w:ind w:right="78"/>
              <w:jc w:val="right"/>
              <w:rPr>
                <w:rFonts w:ascii="宋体" w:hAnsi="宋体" w:cs="宋体" w:eastAsia="宋体" w:hint="default"/>
                <w:sz w:val="18"/>
                <w:szCs w:val="18"/>
              </w:rPr>
            </w:pPr>
            <w:r>
              <w:rPr>
                <w:rFonts w:ascii="宋体" w:hAnsi="宋体" w:cs="宋体" w:eastAsia="宋体" w:hint="default"/>
                <w:sz w:val="18"/>
                <w:szCs w:val="18"/>
              </w:rPr>
              <w:t>日被购买方的</w:t>
            </w:r>
          </w:p>
        </w:tc>
      </w:tr>
      <w:tr>
        <w:trPr>
          <w:trHeight w:val="454" w:hRule="exact"/>
        </w:trPr>
        <w:tc>
          <w:tcPr>
            <w:tcW w:w="536"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2389" w:val="left" w:leader="none"/>
                <w:tab w:pos="3549" w:val="left" w:leader="none"/>
              </w:tabs>
              <w:spacing w:line="207" w:lineRule="exact"/>
              <w:ind w:left="207" w:right="0"/>
              <w:jc w:val="left"/>
              <w:rPr>
                <w:rFonts w:ascii="宋体" w:hAnsi="宋体" w:cs="宋体" w:eastAsia="宋体" w:hint="default"/>
                <w:sz w:val="18"/>
                <w:szCs w:val="18"/>
              </w:rPr>
            </w:pPr>
            <w:r>
              <w:rPr>
                <w:rFonts w:ascii="宋体" w:hAnsi="宋体" w:cs="宋体" w:eastAsia="宋体" w:hint="default"/>
                <w:sz w:val="18"/>
                <w:szCs w:val="18"/>
              </w:rPr>
              <w:t>被购买方</w:t>
              <w:tab/>
              <w:t>取得时点</w:t>
              <w:tab/>
              <w:t>购买成本</w:t>
            </w:r>
          </w:p>
        </w:tc>
        <w:tc>
          <w:tcPr>
            <w:tcW w:w="1080" w:type="dxa"/>
            <w:tcBorders>
              <w:top w:val="nil" w:sz="6" w:space="0" w:color="auto"/>
              <w:left w:val="nil" w:sz="6" w:space="0" w:color="auto"/>
              <w:bottom w:val="nil" w:sz="6" w:space="0" w:color="auto"/>
              <w:right w:val="nil" w:sz="6" w:space="0" w:color="auto"/>
            </w:tcBorders>
          </w:tcPr>
          <w:p>
            <w:pPr>
              <w:pStyle w:val="TableParagraph"/>
              <w:spacing w:line="207" w:lineRule="exact"/>
              <w:ind w:left="10" w:right="0"/>
              <w:jc w:val="center"/>
              <w:rPr>
                <w:rFonts w:ascii="宋体" w:hAnsi="宋体" w:cs="宋体" w:eastAsia="宋体" w:hint="default"/>
                <w:sz w:val="18"/>
                <w:szCs w:val="18"/>
              </w:rPr>
            </w:pPr>
            <w:r>
              <w:rPr>
                <w:rFonts w:ascii="宋体" w:hAnsi="宋体" w:cs="宋体" w:eastAsia="宋体" w:hint="default"/>
                <w:sz w:val="18"/>
                <w:szCs w:val="18"/>
              </w:rPr>
              <w:t>权益比例</w:t>
            </w:r>
          </w:p>
        </w:tc>
        <w:tc>
          <w:tcPr>
            <w:tcW w:w="716" w:type="dxa"/>
            <w:tcBorders>
              <w:top w:val="nil" w:sz="6" w:space="0" w:color="auto"/>
              <w:left w:val="nil" w:sz="6" w:space="0" w:color="auto"/>
              <w:bottom w:val="nil" w:sz="6" w:space="0" w:color="auto"/>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sz w:val="18"/>
                <w:szCs w:val="18"/>
              </w:rPr>
              <w:t>方式</w:t>
            </w:r>
          </w:p>
        </w:tc>
        <w:tc>
          <w:tcPr>
            <w:tcW w:w="1065" w:type="dxa"/>
            <w:tcBorders>
              <w:top w:val="nil" w:sz="6" w:space="0" w:color="auto"/>
              <w:left w:val="nil" w:sz="6" w:space="0" w:color="auto"/>
              <w:bottom w:val="nil" w:sz="6" w:space="0" w:color="auto"/>
              <w:right w:val="nil" w:sz="6" w:space="0" w:color="auto"/>
            </w:tcBorders>
          </w:tcPr>
          <w:p>
            <w:pPr>
              <w:pStyle w:val="TableParagraph"/>
              <w:spacing w:line="207" w:lineRule="exact"/>
              <w:ind w:right="111"/>
              <w:jc w:val="right"/>
              <w:rPr>
                <w:rFonts w:ascii="宋体" w:hAnsi="宋体" w:cs="宋体" w:eastAsia="宋体" w:hint="default"/>
                <w:sz w:val="18"/>
                <w:szCs w:val="18"/>
              </w:rPr>
            </w:pPr>
            <w:r>
              <w:rPr>
                <w:rFonts w:ascii="宋体" w:hAnsi="宋体" w:cs="宋体" w:eastAsia="宋体" w:hint="default"/>
                <w:sz w:val="18"/>
                <w:szCs w:val="18"/>
              </w:rPr>
              <w:t>购买日</w:t>
            </w:r>
          </w:p>
        </w:tc>
        <w:tc>
          <w:tcPr>
            <w:tcW w:w="1476" w:type="dxa"/>
            <w:tcBorders>
              <w:top w:val="nil" w:sz="6" w:space="0" w:color="auto"/>
              <w:left w:val="nil" w:sz="6" w:space="0" w:color="auto"/>
              <w:bottom w:val="nil" w:sz="6" w:space="0" w:color="auto"/>
              <w:right w:val="nil" w:sz="6" w:space="0" w:color="auto"/>
            </w:tcBorders>
          </w:tcPr>
          <w:p>
            <w:pPr>
              <w:pStyle w:val="TableParagraph"/>
              <w:spacing w:line="207" w:lineRule="exact"/>
              <w:ind w:right="186"/>
              <w:jc w:val="right"/>
              <w:rPr>
                <w:rFonts w:ascii="宋体" w:hAnsi="宋体" w:cs="宋体" w:eastAsia="宋体" w:hint="default"/>
                <w:sz w:val="18"/>
                <w:szCs w:val="18"/>
              </w:rPr>
            </w:pPr>
            <w:r>
              <w:rPr>
                <w:rFonts w:ascii="宋体" w:hAnsi="宋体" w:cs="宋体" w:eastAsia="宋体" w:hint="default"/>
                <w:sz w:val="18"/>
                <w:szCs w:val="18"/>
              </w:rPr>
              <w:t>确定依据</w:t>
            </w:r>
          </w:p>
        </w:tc>
        <w:tc>
          <w:tcPr>
            <w:tcW w:w="1272" w:type="dxa"/>
            <w:tcBorders>
              <w:top w:val="nil" w:sz="6" w:space="0" w:color="auto"/>
              <w:left w:val="nil" w:sz="6" w:space="0" w:color="auto"/>
              <w:bottom w:val="nil" w:sz="6" w:space="0" w:color="auto"/>
              <w:right w:val="nil" w:sz="6" w:space="0" w:color="auto"/>
            </w:tcBorders>
          </w:tcPr>
          <w:p>
            <w:pPr>
              <w:pStyle w:val="TableParagraph"/>
              <w:spacing w:line="207" w:lineRule="exact"/>
              <w:ind w:right="185"/>
              <w:jc w:val="right"/>
              <w:rPr>
                <w:rFonts w:ascii="宋体" w:hAnsi="宋体" w:cs="宋体" w:eastAsia="宋体" w:hint="default"/>
                <w:sz w:val="18"/>
                <w:szCs w:val="18"/>
              </w:rPr>
            </w:pPr>
            <w:r>
              <w:rPr>
                <w:rFonts w:ascii="宋体" w:hAnsi="宋体" w:cs="宋体" w:eastAsia="宋体" w:hint="default"/>
                <w:sz w:val="18"/>
                <w:szCs w:val="18"/>
              </w:rPr>
              <w:t>方的收入</w:t>
            </w:r>
          </w:p>
        </w:tc>
        <w:tc>
          <w:tcPr>
            <w:tcW w:w="1268" w:type="dxa"/>
            <w:tcBorders>
              <w:top w:val="nil" w:sz="6" w:space="0" w:color="auto"/>
              <w:left w:val="nil" w:sz="6" w:space="0" w:color="auto"/>
              <w:bottom w:val="nil" w:sz="6" w:space="0" w:color="auto"/>
              <w:right w:val="nil" w:sz="6" w:space="0" w:color="auto"/>
            </w:tcBorders>
          </w:tcPr>
          <w:p>
            <w:pPr>
              <w:pStyle w:val="TableParagraph"/>
              <w:spacing w:line="207" w:lineRule="exact"/>
              <w:ind w:right="180"/>
              <w:jc w:val="right"/>
              <w:rPr>
                <w:rFonts w:ascii="宋体" w:hAnsi="宋体" w:cs="宋体" w:eastAsia="宋体" w:hint="default"/>
                <w:sz w:val="18"/>
                <w:szCs w:val="18"/>
              </w:rPr>
            </w:pPr>
            <w:r>
              <w:rPr>
                <w:rFonts w:ascii="宋体" w:hAnsi="宋体" w:cs="宋体" w:eastAsia="宋体" w:hint="default"/>
                <w:sz w:val="18"/>
                <w:szCs w:val="18"/>
              </w:rPr>
              <w:t>方的净亏损</w:t>
            </w:r>
          </w:p>
        </w:tc>
        <w:tc>
          <w:tcPr>
            <w:tcW w:w="1611" w:type="dxa"/>
            <w:tcBorders>
              <w:top w:val="nil" w:sz="6" w:space="0" w:color="auto"/>
              <w:left w:val="nil" w:sz="6" w:space="0" w:color="auto"/>
              <w:bottom w:val="nil" w:sz="6" w:space="0" w:color="auto"/>
              <w:right w:val="nil" w:sz="6" w:space="0" w:color="auto"/>
            </w:tcBorders>
          </w:tcPr>
          <w:p>
            <w:pPr>
              <w:pStyle w:val="TableParagraph"/>
              <w:spacing w:line="207" w:lineRule="exact"/>
              <w:ind w:right="169"/>
              <w:jc w:val="right"/>
              <w:rPr>
                <w:rFonts w:ascii="宋体" w:hAnsi="宋体" w:cs="宋体" w:eastAsia="宋体" w:hint="default"/>
                <w:sz w:val="18"/>
                <w:szCs w:val="18"/>
              </w:rPr>
            </w:pPr>
            <w:r>
              <w:rPr>
                <w:rFonts w:ascii="宋体" w:hAnsi="宋体" w:cs="宋体" w:eastAsia="宋体" w:hint="default"/>
                <w:sz w:val="18"/>
                <w:szCs w:val="18"/>
              </w:rPr>
              <w:t>活动现金流量</w:t>
            </w:r>
          </w:p>
        </w:tc>
        <w:tc>
          <w:tcPr>
            <w:tcW w:w="1331" w:type="dxa"/>
            <w:tcBorders>
              <w:top w:val="nil" w:sz="6" w:space="0" w:color="auto"/>
              <w:left w:val="nil" w:sz="6" w:space="0" w:color="auto"/>
              <w:bottom w:val="nil" w:sz="6" w:space="0" w:color="auto"/>
              <w:right w:val="nil" w:sz="6" w:space="0" w:color="auto"/>
            </w:tcBorders>
          </w:tcPr>
          <w:p>
            <w:pPr>
              <w:pStyle w:val="TableParagraph"/>
              <w:spacing w:line="207" w:lineRule="exact"/>
              <w:ind w:right="78"/>
              <w:jc w:val="right"/>
              <w:rPr>
                <w:rFonts w:ascii="宋体" w:hAnsi="宋体" w:cs="宋体" w:eastAsia="宋体" w:hint="default"/>
                <w:sz w:val="18"/>
                <w:szCs w:val="18"/>
              </w:rPr>
            </w:pPr>
            <w:r>
              <w:rPr>
                <w:rFonts w:ascii="宋体" w:hAnsi="宋体" w:cs="宋体" w:eastAsia="宋体" w:hint="default"/>
                <w:sz w:val="18"/>
                <w:szCs w:val="18"/>
              </w:rPr>
              <w:t>现金流量净额</w:t>
            </w:r>
          </w:p>
        </w:tc>
      </w:tr>
      <w:tr>
        <w:trPr>
          <w:trHeight w:val="678" w:hRule="exact"/>
        </w:trPr>
        <w:tc>
          <w:tcPr>
            <w:tcW w:w="536"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6"/>
              <w:ind w:right="0"/>
              <w:jc w:val="left"/>
              <w:rPr>
                <w:rFonts w:ascii="Arial" w:hAnsi="Arial" w:cs="Arial" w:eastAsia="Arial" w:hint="default"/>
                <w:sz w:val="15"/>
                <w:szCs w:val="15"/>
              </w:rPr>
            </w:pPr>
          </w:p>
          <w:p>
            <w:pPr>
              <w:pStyle w:val="TableParagraph"/>
              <w:spacing w:line="240" w:lineRule="auto"/>
              <w:ind w:left="248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080"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6"/>
              <w:ind w:right="0"/>
              <w:jc w:val="left"/>
              <w:rPr>
                <w:rFonts w:ascii="Arial" w:hAnsi="Arial" w:cs="Arial" w:eastAsia="Arial" w:hint="default"/>
                <w:sz w:val="15"/>
                <w:szCs w:val="15"/>
              </w:rPr>
            </w:pPr>
          </w:p>
          <w:p>
            <w:pPr>
              <w:pStyle w:val="TableParagraph"/>
              <w:spacing w:line="240" w:lineRule="auto"/>
              <w:ind w:right="112"/>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6"/>
                <w:szCs w:val="16"/>
              </w:rPr>
            </w:pPr>
          </w:p>
          <w:p>
            <w:pPr>
              <w:pStyle w:val="TableParagraph"/>
              <w:spacing w:line="235" w:lineRule="exact"/>
              <w:ind w:left="568" w:right="0"/>
              <w:jc w:val="left"/>
              <w:rPr>
                <w:rFonts w:ascii="宋体" w:hAnsi="宋体" w:cs="宋体" w:eastAsia="宋体" w:hint="default"/>
                <w:sz w:val="18"/>
                <w:szCs w:val="18"/>
              </w:rPr>
            </w:pPr>
            <w:r>
              <w:rPr>
                <w:rFonts w:ascii="宋体" w:hAnsi="宋体" w:cs="宋体" w:eastAsia="宋体" w:hint="default"/>
                <w:sz w:val="18"/>
                <w:szCs w:val="18"/>
              </w:rPr>
              <w:t>实际取得</w:t>
            </w:r>
          </w:p>
          <w:p>
            <w:pPr>
              <w:pStyle w:val="TableParagraph"/>
              <w:spacing w:line="248" w:lineRule="exact"/>
              <w:ind w:left="233" w:right="0"/>
              <w:jc w:val="left"/>
              <w:rPr>
                <w:rFonts w:ascii="宋体" w:hAnsi="宋体" w:cs="宋体" w:eastAsia="宋体" w:hint="default"/>
                <w:sz w:val="18"/>
                <w:szCs w:val="18"/>
              </w:rPr>
            </w:pPr>
            <w:r>
              <w:rPr>
                <w:rFonts w:ascii="Arial" w:hAnsi="Arial" w:cs="Arial" w:eastAsia="Arial" w:hint="default"/>
                <w:sz w:val="18"/>
                <w:szCs w:val="18"/>
              </w:rPr>
              <w:t>PPTV</w:t>
            </w:r>
            <w:r>
              <w:rPr>
                <w:rFonts w:ascii="Arial" w:hAnsi="Arial" w:cs="Arial" w:eastAsia="Arial" w:hint="default"/>
                <w:spacing w:val="-5"/>
                <w:sz w:val="18"/>
                <w:szCs w:val="18"/>
              </w:rPr>
              <w:t> </w:t>
            </w:r>
            <w:r>
              <w:rPr>
                <w:rFonts w:ascii="宋体" w:hAnsi="宋体" w:cs="宋体" w:eastAsia="宋体" w:hint="default"/>
                <w:sz w:val="18"/>
                <w:szCs w:val="18"/>
              </w:rPr>
              <w:t>业务控</w:t>
            </w:r>
          </w:p>
        </w:tc>
        <w:tc>
          <w:tcPr>
            <w:tcW w:w="12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r>
      <w:tr>
        <w:trPr>
          <w:trHeight w:val="297" w:hRule="exact"/>
        </w:trPr>
        <w:tc>
          <w:tcPr>
            <w:tcW w:w="536"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2415" w:val="left" w:leader="none"/>
                <w:tab w:pos="3468" w:val="left" w:leader="none"/>
              </w:tabs>
              <w:spacing w:line="242" w:lineRule="exact"/>
              <w:ind w:left="207" w:right="0"/>
              <w:jc w:val="left"/>
              <w:rPr>
                <w:rFonts w:ascii="Arial" w:hAnsi="Arial" w:cs="Arial" w:eastAsia="Arial" w:hint="default"/>
                <w:sz w:val="18"/>
                <w:szCs w:val="18"/>
              </w:rPr>
            </w:pPr>
            <w:r>
              <w:rPr>
                <w:rFonts w:ascii="Arial" w:hAnsi="Arial" w:cs="Arial" w:eastAsia="Arial" w:hint="default"/>
                <w:position w:val="4"/>
                <w:sz w:val="18"/>
                <w:szCs w:val="18"/>
              </w:rPr>
              <w:t>PPTV</w:t>
            </w:r>
            <w:r>
              <w:rPr>
                <w:rFonts w:ascii="Arial" w:hAnsi="Arial" w:cs="Arial" w:eastAsia="Arial" w:hint="default"/>
                <w:spacing w:val="-5"/>
                <w:position w:val="4"/>
                <w:sz w:val="18"/>
                <w:szCs w:val="18"/>
              </w:rPr>
              <w:t> </w:t>
            </w:r>
            <w:r>
              <w:rPr>
                <w:rFonts w:ascii="宋体" w:hAnsi="宋体" w:cs="宋体" w:eastAsia="宋体" w:hint="default"/>
                <w:position w:val="4"/>
                <w:sz w:val="18"/>
                <w:szCs w:val="18"/>
              </w:rPr>
              <w:t>业务</w:t>
            </w:r>
            <w:r>
              <w:rPr>
                <w:rFonts w:ascii="Arial" w:hAnsi="Arial" w:cs="Arial" w:eastAsia="Arial" w:hint="default"/>
                <w:position w:val="4"/>
                <w:sz w:val="18"/>
                <w:szCs w:val="18"/>
              </w:rPr>
              <w:t>(i)</w:t>
              <w:tab/>
            </w:r>
            <w:r>
              <w:rPr>
                <w:rFonts w:ascii="Arial" w:hAnsi="Arial" w:cs="Arial" w:eastAsia="Arial" w:hint="default"/>
                <w:position w:val="1"/>
                <w:sz w:val="18"/>
                <w:szCs w:val="18"/>
              </w:rPr>
              <w:t>1</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月</w:t>
            </w:r>
            <w:r>
              <w:rPr>
                <w:rFonts w:ascii="宋体" w:hAnsi="宋体" w:cs="宋体" w:eastAsia="宋体" w:hint="default"/>
                <w:spacing w:val="-45"/>
                <w:position w:val="1"/>
                <w:sz w:val="18"/>
                <w:szCs w:val="18"/>
              </w:rPr>
              <w:t> </w:t>
            </w:r>
            <w:r>
              <w:rPr>
                <w:rFonts w:ascii="Arial" w:hAnsi="Arial" w:cs="Arial" w:eastAsia="Arial" w:hint="default"/>
                <w:position w:val="1"/>
                <w:sz w:val="18"/>
                <w:szCs w:val="18"/>
              </w:rPr>
              <w:t>5</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日</w:t>
              <w:tab/>
            </w:r>
            <w:r>
              <w:rPr>
                <w:rFonts w:ascii="Arial" w:hAnsi="Arial" w:cs="Arial" w:eastAsia="Arial" w:hint="default"/>
                <w:sz w:val="18"/>
                <w:szCs w:val="18"/>
              </w:rPr>
              <w:t>1,984,230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9" w:right="0"/>
              <w:jc w:val="center"/>
              <w:rPr>
                <w:rFonts w:ascii="Arial" w:hAnsi="Arial" w:cs="Arial" w:eastAsia="Arial" w:hint="default"/>
                <w:sz w:val="18"/>
                <w:szCs w:val="18"/>
              </w:rPr>
            </w:pPr>
            <w:r>
              <w:rPr>
                <w:rFonts w:ascii="Arial"/>
                <w:sz w:val="18"/>
              </w:rPr>
              <w:t>21.28%</w:t>
            </w:r>
          </w:p>
        </w:tc>
        <w:tc>
          <w:tcPr>
            <w:tcW w:w="716" w:type="dxa"/>
            <w:tcBorders>
              <w:top w:val="nil" w:sz="6" w:space="0" w:color="auto"/>
              <w:left w:val="nil" w:sz="6" w:space="0" w:color="auto"/>
              <w:bottom w:val="nil" w:sz="6" w:space="0" w:color="auto"/>
              <w:right w:val="nil" w:sz="6" w:space="0" w:color="auto"/>
            </w:tcBorders>
          </w:tcPr>
          <w:p>
            <w:pPr>
              <w:pStyle w:val="TableParagraph"/>
              <w:spacing w:line="189" w:lineRule="exact"/>
              <w:ind w:right="4"/>
              <w:jc w:val="center"/>
              <w:rPr>
                <w:rFonts w:ascii="宋体" w:hAnsi="宋体" w:cs="宋体" w:eastAsia="宋体" w:hint="default"/>
                <w:sz w:val="18"/>
                <w:szCs w:val="18"/>
              </w:rPr>
            </w:pPr>
            <w:r>
              <w:rPr>
                <w:rFonts w:ascii="宋体" w:hAnsi="宋体" w:cs="宋体" w:eastAsia="宋体" w:hint="default"/>
                <w:sz w:val="18"/>
                <w:szCs w:val="18"/>
              </w:rPr>
              <w:t>购买</w:t>
            </w:r>
          </w:p>
        </w:tc>
        <w:tc>
          <w:tcPr>
            <w:tcW w:w="1065" w:type="dxa"/>
            <w:tcBorders>
              <w:top w:val="nil" w:sz="6" w:space="0" w:color="auto"/>
              <w:left w:val="nil" w:sz="6" w:space="0" w:color="auto"/>
              <w:bottom w:val="nil" w:sz="6" w:space="0" w:color="auto"/>
              <w:right w:val="nil" w:sz="6" w:space="0" w:color="auto"/>
            </w:tcBorders>
          </w:tcPr>
          <w:p>
            <w:pPr>
              <w:pStyle w:val="TableParagraph"/>
              <w:spacing w:line="228" w:lineRule="exact"/>
              <w:ind w:right="11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476" w:type="dxa"/>
            <w:tcBorders>
              <w:top w:val="nil" w:sz="6" w:space="0" w:color="auto"/>
              <w:left w:val="nil" w:sz="6" w:space="0" w:color="auto"/>
              <w:bottom w:val="nil" w:sz="6" w:space="0" w:color="auto"/>
              <w:right w:val="nil" w:sz="6" w:space="0" w:color="auto"/>
            </w:tcBorders>
          </w:tcPr>
          <w:p>
            <w:pPr>
              <w:pStyle w:val="TableParagraph"/>
              <w:spacing w:line="215" w:lineRule="exact"/>
              <w:ind w:right="186"/>
              <w:jc w:val="right"/>
              <w:rPr>
                <w:rFonts w:ascii="宋体" w:hAnsi="宋体" w:cs="宋体" w:eastAsia="宋体" w:hint="default"/>
                <w:sz w:val="18"/>
                <w:szCs w:val="18"/>
              </w:rPr>
            </w:pPr>
            <w:r>
              <w:rPr>
                <w:rFonts w:ascii="宋体" w:hAnsi="宋体" w:cs="宋体" w:eastAsia="宋体" w:hint="default"/>
                <w:sz w:val="18"/>
                <w:szCs w:val="18"/>
              </w:rPr>
              <w:t>制权</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4"/>
              <w:jc w:val="right"/>
              <w:rPr>
                <w:rFonts w:ascii="Arial" w:hAnsi="Arial" w:cs="Arial" w:eastAsia="Arial" w:hint="default"/>
                <w:sz w:val="18"/>
                <w:szCs w:val="18"/>
              </w:rPr>
            </w:pPr>
            <w:r>
              <w:rPr>
                <w:rFonts w:ascii="Arial"/>
                <w:spacing w:val="-1"/>
                <w:sz w:val="18"/>
              </w:rPr>
              <w:t>921,829</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9"/>
              <w:jc w:val="right"/>
              <w:rPr>
                <w:rFonts w:ascii="Arial" w:hAnsi="Arial" w:cs="Arial" w:eastAsia="Arial" w:hint="default"/>
                <w:sz w:val="18"/>
                <w:szCs w:val="18"/>
              </w:rPr>
            </w:pPr>
            <w:r>
              <w:rPr>
                <w:rFonts w:ascii="Arial"/>
                <w:spacing w:val="-1"/>
                <w:sz w:val="18"/>
              </w:rPr>
              <w:t>1,122,281</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9"/>
              <w:jc w:val="right"/>
              <w:rPr>
                <w:rFonts w:ascii="Arial" w:hAnsi="Arial" w:cs="Arial" w:eastAsia="Arial" w:hint="default"/>
                <w:sz w:val="18"/>
                <w:szCs w:val="18"/>
              </w:rPr>
            </w:pPr>
            <w:r>
              <w:rPr>
                <w:rFonts w:ascii="Arial"/>
                <w:spacing w:val="-1"/>
                <w:sz w:val="18"/>
              </w:rPr>
              <w:t>(229,451)</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7"/>
              <w:jc w:val="right"/>
              <w:rPr>
                <w:rFonts w:ascii="Arial" w:hAnsi="Arial" w:cs="Arial" w:eastAsia="Arial" w:hint="default"/>
                <w:sz w:val="18"/>
                <w:szCs w:val="18"/>
              </w:rPr>
            </w:pPr>
            <w:r>
              <w:rPr>
                <w:rFonts w:ascii="Arial"/>
                <w:spacing w:val="-1"/>
                <w:sz w:val="18"/>
              </w:rPr>
              <w:t>9,234</w:t>
            </w:r>
          </w:p>
        </w:tc>
      </w:tr>
      <w:tr>
        <w:trPr>
          <w:trHeight w:val="256" w:hRule="exact"/>
        </w:trPr>
        <w:tc>
          <w:tcPr>
            <w:tcW w:w="536"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7" w:right="0"/>
              <w:jc w:val="left"/>
              <w:rPr>
                <w:rFonts w:ascii="Arial" w:hAnsi="Arial" w:cs="Arial" w:eastAsia="Arial" w:hint="default"/>
                <w:sz w:val="18"/>
                <w:szCs w:val="18"/>
              </w:rPr>
            </w:pPr>
            <w:r>
              <w:rPr>
                <w:rFonts w:ascii="Arial"/>
                <w:sz w:val="18"/>
              </w:rPr>
              <w:t>MODE  ET </w:t>
            </w:r>
            <w:r>
              <w:rPr>
                <w:rFonts w:ascii="Arial"/>
                <w:spacing w:val="22"/>
                <w:sz w:val="18"/>
              </w:rPr>
              <w:t> </w:t>
            </w:r>
            <w:r>
              <w:rPr>
                <w:rFonts w:ascii="Arial"/>
                <w:sz w:val="18"/>
              </w:rPr>
              <w:t>JACOMO</w:t>
            </w:r>
          </w:p>
        </w:tc>
        <w:tc>
          <w:tcPr>
            <w:tcW w:w="1080"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6"/>
              <w:jc w:val="right"/>
              <w:rPr>
                <w:rFonts w:ascii="宋体" w:hAnsi="宋体" w:cs="宋体" w:eastAsia="宋体" w:hint="default"/>
                <w:sz w:val="18"/>
                <w:szCs w:val="18"/>
              </w:rPr>
            </w:pPr>
            <w:r>
              <w:rPr>
                <w:rFonts w:ascii="宋体" w:hAnsi="宋体" w:cs="宋体" w:eastAsia="宋体" w:hint="default"/>
                <w:sz w:val="18"/>
                <w:szCs w:val="18"/>
              </w:rPr>
              <w:t>实际取得</w:t>
            </w:r>
          </w:p>
        </w:tc>
        <w:tc>
          <w:tcPr>
            <w:tcW w:w="12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r>
      <w:tr>
        <w:trPr>
          <w:trHeight w:val="232" w:hRule="exact"/>
        </w:trPr>
        <w:tc>
          <w:tcPr>
            <w:tcW w:w="536"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spacing w:line="206" w:lineRule="exact"/>
              <w:ind w:left="297" w:right="0"/>
              <w:jc w:val="left"/>
              <w:rPr>
                <w:rFonts w:ascii="Arial" w:hAnsi="Arial" w:cs="Arial" w:eastAsia="Arial" w:hint="default"/>
                <w:sz w:val="18"/>
                <w:szCs w:val="18"/>
              </w:rPr>
            </w:pPr>
            <w:r>
              <w:rPr>
                <w:rFonts w:ascii="宋体" w:hAnsi="宋体" w:cs="宋体" w:eastAsia="宋体" w:hint="default"/>
                <w:sz w:val="18"/>
                <w:szCs w:val="18"/>
              </w:rPr>
              <w:t>业务</w:t>
            </w:r>
            <w:r>
              <w:rPr>
                <w:rFonts w:ascii="Arial" w:hAnsi="Arial" w:cs="Arial" w:eastAsia="Arial" w:hint="default"/>
                <w:sz w:val="18"/>
                <w:szCs w:val="18"/>
              </w:rPr>
              <w:t>(ii)</w:t>
            </w:r>
          </w:p>
        </w:tc>
        <w:tc>
          <w:tcPr>
            <w:tcW w:w="1080"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3"/>
              <w:jc w:val="right"/>
              <w:rPr>
                <w:rFonts w:ascii="Arial" w:hAnsi="Arial" w:cs="Arial" w:eastAsia="Arial" w:hint="default"/>
                <w:sz w:val="18"/>
                <w:szCs w:val="18"/>
              </w:rPr>
            </w:pPr>
            <w:r>
              <w:rPr>
                <w:rFonts w:ascii="Arial"/>
                <w:sz w:val="18"/>
              </w:rPr>
              <w:t>MODE ET</w:t>
            </w:r>
          </w:p>
        </w:tc>
        <w:tc>
          <w:tcPr>
            <w:tcW w:w="12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r>
      <w:tr>
        <w:trPr>
          <w:trHeight w:val="227" w:hRule="exact"/>
        </w:trPr>
        <w:tc>
          <w:tcPr>
            <w:tcW w:w="536"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spacing w:line="208" w:lineRule="exact"/>
              <w:ind w:left="2339"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7</w:t>
            </w:r>
          </w:p>
        </w:tc>
        <w:tc>
          <w:tcPr>
            <w:tcW w:w="1080"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Style w:val="TableParagraph"/>
              <w:spacing w:line="208" w:lineRule="exact"/>
              <w:ind w:right="111"/>
              <w:jc w:val="righ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7</w:t>
            </w:r>
          </w:p>
        </w:tc>
        <w:tc>
          <w:tcPr>
            <w:tcW w:w="1476" w:type="dxa"/>
            <w:tcBorders>
              <w:top w:val="nil" w:sz="6" w:space="0" w:color="auto"/>
              <w:left w:val="nil" w:sz="6" w:space="0" w:color="auto"/>
              <w:bottom w:val="nil" w:sz="6" w:space="0" w:color="auto"/>
              <w:right w:val="nil" w:sz="6" w:space="0" w:color="auto"/>
            </w:tcBorders>
          </w:tcPr>
          <w:p>
            <w:pPr>
              <w:pStyle w:val="TableParagraph"/>
              <w:spacing w:line="208" w:lineRule="exact"/>
              <w:ind w:right="186"/>
              <w:jc w:val="right"/>
              <w:rPr>
                <w:rFonts w:ascii="宋体" w:hAnsi="宋体" w:cs="宋体" w:eastAsia="宋体" w:hint="default"/>
                <w:sz w:val="18"/>
                <w:szCs w:val="18"/>
              </w:rPr>
            </w:pPr>
            <w:r>
              <w:rPr>
                <w:rFonts w:ascii="Arial" w:hAnsi="Arial" w:cs="Arial" w:eastAsia="Arial" w:hint="default"/>
                <w:sz w:val="18"/>
                <w:szCs w:val="18"/>
              </w:rPr>
              <w:t>JACOMO</w:t>
            </w:r>
            <w:r>
              <w:rPr>
                <w:rFonts w:ascii="Arial" w:hAnsi="Arial" w:cs="Arial" w:eastAsia="Arial" w:hint="default"/>
                <w:spacing w:val="-6"/>
                <w:sz w:val="18"/>
                <w:szCs w:val="18"/>
              </w:rPr>
              <w:t> </w:t>
            </w:r>
            <w:r>
              <w:rPr>
                <w:rFonts w:ascii="宋体" w:hAnsi="宋体" w:cs="宋体" w:eastAsia="宋体" w:hint="default"/>
                <w:sz w:val="18"/>
                <w:szCs w:val="18"/>
              </w:rPr>
              <w:t>业务</w:t>
            </w:r>
          </w:p>
        </w:tc>
        <w:tc>
          <w:tcPr>
            <w:tcW w:w="12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r>
      <w:tr>
        <w:trPr>
          <w:trHeight w:val="325" w:hRule="exact"/>
        </w:trPr>
        <w:tc>
          <w:tcPr>
            <w:tcW w:w="536"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3732" w:val="left" w:leader="none"/>
              </w:tabs>
              <w:spacing w:line="229" w:lineRule="exact"/>
              <w:ind w:left="2459" w:right="0"/>
              <w:jc w:val="left"/>
              <w:rPr>
                <w:rFonts w:ascii="Arial" w:hAnsi="Arial" w:cs="Arial" w:eastAsia="Arial" w:hint="default"/>
                <w:sz w:val="18"/>
                <w:szCs w:val="18"/>
              </w:rPr>
            </w:pPr>
            <w:r>
              <w:rPr>
                <w:rFonts w:ascii="宋体" w:hAnsi="宋体" w:cs="宋体" w:eastAsia="宋体" w:hint="default"/>
                <w:position w:val="1"/>
                <w:sz w:val="18"/>
                <w:szCs w:val="18"/>
              </w:rPr>
              <w:t>月</w:t>
            </w:r>
            <w:r>
              <w:rPr>
                <w:rFonts w:ascii="宋体" w:hAnsi="宋体" w:cs="宋体" w:eastAsia="宋体" w:hint="default"/>
                <w:spacing w:val="-47"/>
                <w:position w:val="1"/>
                <w:sz w:val="18"/>
                <w:szCs w:val="18"/>
              </w:rPr>
              <w:t> </w:t>
            </w:r>
            <w:r>
              <w:rPr>
                <w:rFonts w:ascii="Arial" w:hAnsi="Arial" w:cs="Arial" w:eastAsia="Arial" w:hint="default"/>
                <w:position w:val="1"/>
                <w:sz w:val="18"/>
                <w:szCs w:val="18"/>
              </w:rPr>
              <w:t>31</w:t>
            </w:r>
            <w:r>
              <w:rPr>
                <w:rFonts w:ascii="Arial" w:hAnsi="Arial" w:cs="Arial" w:eastAsia="Arial" w:hint="default"/>
                <w:spacing w:val="-8"/>
                <w:position w:val="1"/>
                <w:sz w:val="18"/>
                <w:szCs w:val="18"/>
              </w:rPr>
              <w:t> </w:t>
            </w:r>
            <w:r>
              <w:rPr>
                <w:rFonts w:ascii="宋体" w:hAnsi="宋体" w:cs="宋体" w:eastAsia="宋体" w:hint="default"/>
                <w:position w:val="1"/>
                <w:sz w:val="18"/>
                <w:szCs w:val="18"/>
              </w:rPr>
              <w:t>日</w:t>
              <w:tab/>
            </w:r>
            <w:r>
              <w:rPr>
                <w:rFonts w:ascii="Arial" w:hAnsi="Arial" w:cs="Arial" w:eastAsia="Arial" w:hint="default"/>
                <w:spacing w:val="-3"/>
                <w:sz w:val="18"/>
                <w:szCs w:val="18"/>
              </w:rPr>
              <w:t>21,011</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 w:right="0"/>
              <w:jc w:val="center"/>
              <w:rPr>
                <w:rFonts w:ascii="Arial" w:hAnsi="Arial" w:cs="Arial" w:eastAsia="Arial" w:hint="default"/>
                <w:sz w:val="18"/>
                <w:szCs w:val="18"/>
              </w:rPr>
            </w:pPr>
            <w:r>
              <w:rPr>
                <w:rFonts w:ascii="Arial"/>
                <w:sz w:val="18"/>
              </w:rPr>
              <w:t>100.00%</w:t>
            </w:r>
          </w:p>
        </w:tc>
        <w:tc>
          <w:tcPr>
            <w:tcW w:w="716" w:type="dxa"/>
            <w:tcBorders>
              <w:top w:val="nil" w:sz="6" w:space="0" w:color="auto"/>
              <w:left w:val="nil" w:sz="6" w:space="0" w:color="auto"/>
              <w:bottom w:val="nil" w:sz="6" w:space="0" w:color="auto"/>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购买</w:t>
            </w:r>
          </w:p>
        </w:tc>
        <w:tc>
          <w:tcPr>
            <w:tcW w:w="1065" w:type="dxa"/>
            <w:tcBorders>
              <w:top w:val="nil" w:sz="6" w:space="0" w:color="auto"/>
              <w:left w:val="nil" w:sz="6" w:space="0" w:color="auto"/>
              <w:bottom w:val="nil" w:sz="6" w:space="0" w:color="auto"/>
              <w:right w:val="nil" w:sz="6" w:space="0" w:color="auto"/>
            </w:tcBorders>
          </w:tcPr>
          <w:p>
            <w:pPr>
              <w:pStyle w:val="TableParagraph"/>
              <w:spacing w:line="215" w:lineRule="exact"/>
              <w:ind w:right="112"/>
              <w:jc w:val="righ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76" w:type="dxa"/>
            <w:tcBorders>
              <w:top w:val="nil" w:sz="6" w:space="0" w:color="auto"/>
              <w:left w:val="nil" w:sz="6" w:space="0" w:color="auto"/>
              <w:bottom w:val="nil" w:sz="6" w:space="0" w:color="auto"/>
              <w:right w:val="nil" w:sz="6" w:space="0" w:color="auto"/>
            </w:tcBorders>
          </w:tcPr>
          <w:p>
            <w:pPr>
              <w:pStyle w:val="TableParagraph"/>
              <w:spacing w:line="203" w:lineRule="exact"/>
              <w:ind w:right="186"/>
              <w:jc w:val="right"/>
              <w:rPr>
                <w:rFonts w:ascii="宋体" w:hAnsi="宋体" w:cs="宋体" w:eastAsia="宋体" w:hint="default"/>
                <w:sz w:val="18"/>
                <w:szCs w:val="18"/>
              </w:rPr>
            </w:pPr>
            <w:r>
              <w:rPr>
                <w:rFonts w:ascii="宋体" w:hAnsi="宋体" w:cs="宋体" w:eastAsia="宋体" w:hint="default"/>
                <w:sz w:val="18"/>
                <w:szCs w:val="18"/>
              </w:rPr>
              <w:t>控制权</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84"/>
              <w:jc w:val="right"/>
              <w:rPr>
                <w:rFonts w:ascii="Arial" w:hAnsi="Arial" w:cs="Arial" w:eastAsia="Arial" w:hint="default"/>
                <w:sz w:val="18"/>
                <w:szCs w:val="18"/>
              </w:rPr>
            </w:pPr>
            <w:r>
              <w:rPr>
                <w:rFonts w:ascii="Arial"/>
                <w:spacing w:val="-3"/>
                <w:sz w:val="18"/>
              </w:rPr>
              <w:t>115,620</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18"/>
                <w:szCs w:val="18"/>
              </w:rPr>
            </w:pPr>
            <w:r>
              <w:rPr>
                <w:rFonts w:ascii="Arial"/>
                <w:spacing w:val="-1"/>
                <w:sz w:val="18"/>
              </w:rPr>
              <w:t>2,243</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8"/>
              <w:jc w:val="right"/>
              <w:rPr>
                <w:rFonts w:ascii="Arial" w:hAnsi="Arial" w:cs="Arial" w:eastAsia="Arial" w:hint="default"/>
                <w:sz w:val="18"/>
                <w:szCs w:val="18"/>
              </w:rPr>
            </w:pPr>
            <w:r>
              <w:rPr>
                <w:rFonts w:ascii="Arial"/>
                <w:spacing w:val="-1"/>
                <w:sz w:val="18"/>
              </w:rPr>
              <w:t>(20,444)</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8"/>
                <w:szCs w:val="18"/>
              </w:rPr>
            </w:pPr>
            <w:r>
              <w:rPr>
                <w:rFonts w:ascii="Arial"/>
                <w:spacing w:val="-1"/>
                <w:sz w:val="18"/>
              </w:rPr>
              <w:t>(5,209)</w:t>
            </w:r>
          </w:p>
        </w:tc>
      </w:tr>
    </w:tbl>
    <w:p>
      <w:pPr>
        <w:spacing w:line="240" w:lineRule="auto" w:before="11"/>
        <w:rPr>
          <w:rFonts w:ascii="Arial" w:hAnsi="Arial" w:cs="Arial" w:eastAsia="Arial" w:hint="default"/>
          <w:sz w:val="18"/>
          <w:szCs w:val="18"/>
        </w:rPr>
      </w:pPr>
    </w:p>
    <w:p>
      <w:pPr>
        <w:pStyle w:val="Heading3"/>
        <w:spacing w:line="225" w:lineRule="auto" w:before="42"/>
        <w:ind w:left="855" w:right="637"/>
        <w:jc w:val="left"/>
      </w:pPr>
      <w:r>
        <w:rPr>
          <w:rFonts w:ascii="Arial" w:hAnsi="Arial" w:cs="Arial" w:eastAsia="Arial" w:hint="default"/>
        </w:rPr>
        <w:t>(i)</w:t>
      </w:r>
      <w:r>
        <w:rPr>
          <w:rFonts w:ascii="Arial" w:hAnsi="Arial" w:cs="Arial" w:eastAsia="Arial" w:hint="default"/>
          <w:spacing w:val="52"/>
        </w:rPr>
        <w:t> </w:t>
      </w:r>
      <w:r>
        <w:rPr/>
        <w:t>于</w:t>
      </w:r>
      <w:r>
        <w:rPr>
          <w:spacing w:val="-61"/>
        </w:rPr>
        <w:t> </w:t>
      </w:r>
      <w:r>
        <w:rPr>
          <w:rFonts w:ascii="Arial" w:hAnsi="Arial" w:cs="Arial" w:eastAsia="Arial" w:hint="default"/>
        </w:rPr>
        <w:t>2015</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8"/>
        </w:rPr>
        <w:t> </w:t>
      </w:r>
      <w:r>
        <w:rPr>
          <w:spacing w:val="-3"/>
        </w:rPr>
        <w:t>月，本集团对联营公司</w:t>
      </w:r>
      <w:r>
        <w:rPr>
          <w:spacing w:val="-61"/>
        </w:rPr>
        <w:t> </w:t>
      </w:r>
      <w:r>
        <w:rPr>
          <w:rFonts w:ascii="Arial" w:hAnsi="Arial" w:cs="Arial" w:eastAsia="Arial" w:hint="default"/>
        </w:rPr>
        <w:t>PPTV</w:t>
      </w:r>
      <w:r>
        <w:rPr>
          <w:rFonts w:ascii="Arial" w:hAnsi="Arial" w:cs="Arial" w:eastAsia="Arial" w:hint="default"/>
          <w:spacing w:val="-8"/>
        </w:rPr>
        <w:t> </w:t>
      </w:r>
      <w:r>
        <w:rPr>
          <w:spacing w:val="-5"/>
        </w:rPr>
        <w:t>追加投资，向</w:t>
      </w:r>
      <w:r>
        <w:rPr>
          <w:spacing w:val="-61"/>
        </w:rPr>
        <w:t> </w:t>
      </w:r>
      <w:r>
        <w:rPr>
          <w:rFonts w:ascii="Arial" w:hAnsi="Arial" w:cs="Arial" w:eastAsia="Arial" w:hint="default"/>
        </w:rPr>
        <w:t>PPTV</w:t>
      </w:r>
      <w:r>
        <w:rPr>
          <w:rFonts w:ascii="Arial" w:hAnsi="Arial" w:cs="Arial" w:eastAsia="Arial" w:hint="default"/>
          <w:spacing w:val="-8"/>
        </w:rPr>
        <w:t> </w:t>
      </w:r>
      <w:r>
        <w:rPr/>
        <w:t>两位原始股东收购了其持有的</w:t>
      </w:r>
      <w:r>
        <w:rPr>
          <w:spacing w:val="-61"/>
        </w:rPr>
        <w:t> </w:t>
      </w:r>
      <w:r>
        <w:rPr>
          <w:rFonts w:ascii="Arial" w:hAnsi="Arial" w:cs="Arial" w:eastAsia="Arial" w:hint="default"/>
        </w:rPr>
        <w:t>PPTV</w:t>
      </w:r>
      <w:r>
        <w:rPr>
          <w:rFonts w:ascii="Arial" w:hAnsi="Arial" w:cs="Arial" w:eastAsia="Arial" w:hint="default"/>
          <w:spacing w:val="-8"/>
        </w:rPr>
        <w:t> </w:t>
      </w:r>
      <w:r>
        <w:rPr>
          <w:rFonts w:ascii="Arial" w:hAnsi="Arial" w:cs="Arial" w:eastAsia="Arial" w:hint="default"/>
        </w:rPr>
        <w:t>21.28%</w:t>
      </w:r>
      <w:r>
        <w:rPr/>
        <w:t>的股权</w:t>
      </w:r>
      <w:r>
        <w:rPr>
          <w:rFonts w:ascii="Arial" w:hAnsi="Arial" w:cs="Arial" w:eastAsia="Arial" w:hint="default"/>
        </w:rPr>
        <w:t>(</w:t>
      </w:r>
      <w:r>
        <w:rPr>
          <w:rFonts w:ascii="Arial" w:hAnsi="Arial" w:cs="Arial" w:eastAsia="Arial" w:hint="default"/>
        </w:rPr>
        <w:t>“</w:t>
      </w:r>
      <w:r>
        <w:rPr>
          <w:rFonts w:ascii="Arial" w:hAnsi="Arial" w:cs="Arial" w:eastAsia="Arial" w:hint="default"/>
        </w:rPr>
        <w:t>PPTV</w:t>
      </w:r>
      <w:r>
        <w:rPr>
          <w:rFonts w:ascii="Arial" w:hAnsi="Arial" w:cs="Arial" w:eastAsia="Arial" w:hint="default"/>
          <w:spacing w:val="-9"/>
        </w:rPr>
        <w:t> </w:t>
      </w:r>
      <w:r>
        <w:rPr/>
        <w:t>业务</w:t>
      </w:r>
      <w:r>
        <w:rPr>
          <w:rFonts w:ascii="Arial" w:hAnsi="Arial" w:cs="Arial" w:eastAsia="Arial" w:hint="default"/>
        </w:rPr>
        <w:t>”</w:t>
      </w:r>
      <w:r>
        <w:rPr>
          <w:rFonts w:ascii="Arial" w:hAnsi="Arial" w:cs="Arial" w:eastAsia="Arial" w:hint="default"/>
        </w:rPr>
        <w:t>)</w:t>
      </w:r>
      <w:r>
        <w:rPr/>
        <w:t>， 完成对</w:t>
      </w:r>
      <w:r>
        <w:rPr>
          <w:spacing w:val="-54"/>
        </w:rPr>
        <w:t> </w:t>
      </w:r>
      <w:r>
        <w:rPr>
          <w:rFonts w:ascii="Arial" w:hAnsi="Arial" w:cs="Arial" w:eastAsia="Arial" w:hint="default"/>
        </w:rPr>
        <w:t>PPTV</w:t>
      </w:r>
      <w:r>
        <w:rPr>
          <w:rFonts w:ascii="Arial" w:hAnsi="Arial" w:cs="Arial" w:eastAsia="Arial" w:hint="default"/>
          <w:spacing w:val="-1"/>
        </w:rPr>
        <w:t> </w:t>
      </w:r>
      <w:r>
        <w:rPr/>
        <w:t>的分步实现非同一控制下企业合并。本次交易的购买日为</w:t>
      </w:r>
      <w:r>
        <w:rPr>
          <w:spacing w:val="-54"/>
        </w:rPr>
        <w:t> </w:t>
      </w:r>
      <w:r>
        <w:rPr>
          <w:rFonts w:ascii="Arial" w:hAnsi="Arial" w:cs="Arial" w:eastAsia="Arial" w:hint="default"/>
        </w:rPr>
        <w:t>2015 </w:t>
      </w:r>
      <w:r>
        <w:rPr/>
        <w:t>年</w:t>
      </w:r>
      <w:r>
        <w:rPr>
          <w:spacing w:val="-54"/>
        </w:rPr>
        <w:t> </w:t>
      </w:r>
      <w:r>
        <w:rPr>
          <w:rFonts w:ascii="Arial" w:hAnsi="Arial" w:cs="Arial" w:eastAsia="Arial" w:hint="default"/>
        </w:rPr>
        <w:t>1</w:t>
      </w:r>
      <w:r>
        <w:rPr>
          <w:rFonts w:ascii="Arial" w:hAnsi="Arial" w:cs="Arial" w:eastAsia="Arial" w:hint="default"/>
          <w:spacing w:val="-1"/>
        </w:rPr>
        <w:t> </w:t>
      </w:r>
      <w:r>
        <w:rPr/>
        <w:t>月</w:t>
      </w:r>
      <w:r>
        <w:rPr>
          <w:spacing w:val="-54"/>
        </w:rPr>
        <w:t> </w:t>
      </w:r>
      <w:r>
        <w:rPr>
          <w:rFonts w:ascii="Arial" w:hAnsi="Arial" w:cs="Arial" w:eastAsia="Arial" w:hint="default"/>
        </w:rPr>
        <w:t>5</w:t>
      </w:r>
      <w:r>
        <w:rPr>
          <w:rFonts w:ascii="Arial" w:hAnsi="Arial" w:cs="Arial" w:eastAsia="Arial" w:hint="default"/>
          <w:spacing w:val="-1"/>
        </w:rPr>
        <w:t> </w:t>
      </w:r>
      <w:r>
        <w:rPr/>
        <w:t>日，系本集团实际取得</w:t>
      </w:r>
      <w:r>
        <w:rPr>
          <w:spacing w:val="-54"/>
        </w:rPr>
        <w:t> </w:t>
      </w:r>
      <w:r>
        <w:rPr>
          <w:rFonts w:ascii="Arial" w:hAnsi="Arial" w:cs="Arial" w:eastAsia="Arial" w:hint="default"/>
        </w:rPr>
        <w:t>PPTV </w:t>
      </w:r>
      <w:r>
        <w:rPr/>
        <w:t>业务控制权的日 期</w:t>
      </w:r>
      <w:r>
        <w:rPr>
          <w:rFonts w:ascii="Arial" w:hAnsi="Arial" w:cs="Arial" w:eastAsia="Arial" w:hint="default"/>
        </w:rPr>
        <w:t>(</w:t>
      </w:r>
      <w:r>
        <w:rPr/>
        <w:t>附注四</w:t>
      </w:r>
      <w:r>
        <w:rPr>
          <w:rFonts w:ascii="Arial" w:hAnsi="Arial" w:cs="Arial" w:eastAsia="Arial" w:hint="default"/>
        </w:rPr>
        <w:t>(51))</w:t>
      </w:r>
      <w:r>
        <w:rPr/>
        <w:t>。</w:t>
      </w:r>
    </w:p>
    <w:p>
      <w:pPr>
        <w:spacing w:line="240" w:lineRule="auto" w:before="12"/>
        <w:rPr>
          <w:rFonts w:ascii="宋体" w:hAnsi="宋体" w:cs="宋体" w:eastAsia="宋体" w:hint="default"/>
          <w:sz w:val="28"/>
          <w:szCs w:val="28"/>
        </w:rPr>
      </w:pPr>
    </w:p>
    <w:p>
      <w:pPr>
        <w:pStyle w:val="Heading3"/>
        <w:spacing w:line="322" w:lineRule="exact"/>
        <w:ind w:left="855" w:right="637"/>
        <w:jc w:val="left"/>
        <w:rPr>
          <w:rFonts w:ascii="Arial" w:hAnsi="Arial" w:cs="Arial" w:eastAsia="Arial" w:hint="default"/>
        </w:rPr>
      </w:pPr>
      <w:r>
        <w:rPr>
          <w:rFonts w:ascii="Arial" w:hAnsi="Arial" w:cs="Arial" w:eastAsia="Arial" w:hint="default"/>
          <w:w w:val="99"/>
        </w:rPr>
        <w:t>(</w:t>
      </w:r>
      <w:r>
        <w:rPr>
          <w:rFonts w:ascii="Arial" w:hAnsi="Arial" w:cs="Arial" w:eastAsia="Arial" w:hint="default"/>
          <w:spacing w:val="-1"/>
          <w:w w:val="99"/>
        </w:rPr>
        <w:t>i</w:t>
      </w:r>
      <w:r>
        <w:rPr>
          <w:rFonts w:ascii="Arial" w:hAnsi="Arial" w:cs="Arial" w:eastAsia="Arial" w:hint="default"/>
          <w:spacing w:val="-1"/>
          <w:w w:val="99"/>
        </w:rPr>
        <w:t>i</w:t>
      </w:r>
      <w:r>
        <w:rPr>
          <w:rFonts w:ascii="Arial" w:hAnsi="Arial" w:cs="Arial" w:eastAsia="Arial" w:hint="default"/>
          <w:w w:val="99"/>
        </w:rPr>
        <w:t>) </w:t>
      </w:r>
      <w:r>
        <w:rPr>
          <w:rFonts w:ascii="Arial" w:hAnsi="Arial" w:cs="Arial" w:eastAsia="Arial" w:hint="default"/>
          <w:spacing w:val="-13"/>
          <w:w w:val="99"/>
        </w:rPr>
        <w:t> </w:t>
      </w:r>
      <w:r>
        <w:rPr>
          <w:w w:val="99"/>
        </w:rPr>
        <w:t>于</w:t>
      </w:r>
      <w:r>
        <w:rPr>
          <w:spacing w:val="-64"/>
          <w:w w:val="99"/>
        </w:rPr>
        <w:t> </w:t>
      </w:r>
      <w:r>
        <w:rPr>
          <w:rFonts w:ascii="Arial" w:hAnsi="Arial" w:cs="Arial" w:eastAsia="Arial" w:hint="default"/>
          <w:w w:val="99"/>
        </w:rPr>
        <w:t>2015</w:t>
      </w:r>
      <w:r>
        <w:rPr>
          <w:rFonts w:ascii="Arial" w:hAnsi="Arial" w:cs="Arial" w:eastAsia="Arial" w:hint="default"/>
          <w:spacing w:val="-10"/>
        </w:rPr>
        <w:t> </w:t>
      </w:r>
      <w:r>
        <w:rPr/>
        <w:t>年</w:t>
      </w:r>
      <w:r>
        <w:rPr>
          <w:spacing w:val="-64"/>
        </w:rPr>
        <w:t> </w:t>
      </w:r>
      <w:r>
        <w:rPr>
          <w:rFonts w:ascii="Arial" w:hAnsi="Arial" w:cs="Arial" w:eastAsia="Arial" w:hint="default"/>
          <w:w w:val="99"/>
        </w:rPr>
        <w:t>7</w:t>
      </w:r>
      <w:r>
        <w:rPr>
          <w:rFonts w:ascii="Arial" w:hAnsi="Arial" w:cs="Arial" w:eastAsia="Arial" w:hint="default"/>
          <w:spacing w:val="-11"/>
        </w:rPr>
        <w:t> </w:t>
      </w:r>
      <w:r>
        <w:rPr/>
        <w:t>月</w:t>
      </w:r>
      <w:r>
        <w:rPr>
          <w:spacing w:val="-119"/>
        </w:rPr>
        <w:t>，</w:t>
      </w:r>
      <w:r>
        <w:rPr/>
        <w:t>本集团向</w:t>
      </w:r>
      <w:r>
        <w:rPr>
          <w:spacing w:val="-64"/>
        </w:rPr>
        <w:t> </w:t>
      </w:r>
      <w:r>
        <w:rPr>
          <w:rFonts w:ascii="Arial" w:hAnsi="Arial" w:cs="Arial" w:eastAsia="Arial" w:hint="default"/>
        </w:rPr>
        <w:t>MO</w:t>
      </w:r>
      <w:r>
        <w:rPr>
          <w:rFonts w:ascii="Arial" w:hAnsi="Arial" w:cs="Arial" w:eastAsia="Arial" w:hint="default"/>
          <w:w w:val="99"/>
        </w:rPr>
        <w:t>DE</w:t>
      </w:r>
      <w:r>
        <w:rPr>
          <w:rFonts w:ascii="Arial" w:hAnsi="Arial" w:cs="Arial" w:eastAsia="Arial" w:hint="default"/>
          <w:spacing w:val="-8"/>
        </w:rPr>
        <w:t> </w:t>
      </w:r>
      <w:r>
        <w:rPr>
          <w:rFonts w:ascii="Arial" w:hAnsi="Arial" w:cs="Arial" w:eastAsia="Arial" w:hint="default"/>
          <w:w w:val="100"/>
        </w:rPr>
        <w:t>ET</w:t>
      </w:r>
      <w:r>
        <w:rPr>
          <w:rFonts w:ascii="Arial" w:hAnsi="Arial" w:cs="Arial" w:eastAsia="Arial" w:hint="default"/>
          <w:spacing w:val="-13"/>
        </w:rPr>
        <w:t> </w:t>
      </w:r>
      <w:r>
        <w:rPr>
          <w:rFonts w:ascii="Arial" w:hAnsi="Arial" w:cs="Arial" w:eastAsia="Arial" w:hint="default"/>
        </w:rPr>
        <w:t>JACO</w:t>
      </w:r>
      <w:r>
        <w:rPr>
          <w:rFonts w:ascii="Arial" w:hAnsi="Arial" w:cs="Arial" w:eastAsia="Arial" w:hint="default"/>
          <w:spacing w:val="1"/>
        </w:rPr>
        <w:t>M</w:t>
      </w:r>
      <w:r>
        <w:rPr>
          <w:rFonts w:ascii="Arial" w:hAnsi="Arial" w:cs="Arial" w:eastAsia="Arial" w:hint="default"/>
          <w:w w:val="100"/>
        </w:rPr>
        <w:t>O</w:t>
      </w:r>
      <w:r>
        <w:rPr>
          <w:rFonts w:ascii="Arial" w:hAnsi="Arial" w:cs="Arial" w:eastAsia="Arial" w:hint="default"/>
          <w:spacing w:val="-10"/>
        </w:rPr>
        <w:t> </w:t>
      </w:r>
      <w:r>
        <w:rPr>
          <w:spacing w:val="-2"/>
        </w:rPr>
        <w:t>的</w:t>
      </w:r>
      <w:r>
        <w:rPr/>
        <w:t>原股东收购了其持有的</w:t>
      </w:r>
      <w:r>
        <w:rPr>
          <w:spacing w:val="-64"/>
        </w:rPr>
        <w:t> </w:t>
      </w:r>
      <w:r>
        <w:rPr>
          <w:rFonts w:ascii="Arial" w:hAnsi="Arial" w:cs="Arial" w:eastAsia="Arial" w:hint="default"/>
        </w:rPr>
        <w:t>MO</w:t>
      </w:r>
      <w:r>
        <w:rPr>
          <w:rFonts w:ascii="Arial" w:hAnsi="Arial" w:cs="Arial" w:eastAsia="Arial" w:hint="default"/>
          <w:w w:val="99"/>
        </w:rPr>
        <w:t>DE</w:t>
      </w:r>
      <w:r>
        <w:rPr>
          <w:rFonts w:ascii="Arial" w:hAnsi="Arial" w:cs="Arial" w:eastAsia="Arial" w:hint="default"/>
          <w:spacing w:val="-8"/>
        </w:rPr>
        <w:t> </w:t>
      </w:r>
      <w:r>
        <w:rPr>
          <w:rFonts w:ascii="Arial" w:hAnsi="Arial" w:cs="Arial" w:eastAsia="Arial" w:hint="default"/>
          <w:w w:val="100"/>
        </w:rPr>
        <w:t>ET</w:t>
      </w:r>
      <w:r>
        <w:rPr>
          <w:rFonts w:ascii="Arial" w:hAnsi="Arial" w:cs="Arial" w:eastAsia="Arial" w:hint="default"/>
          <w:spacing w:val="-13"/>
        </w:rPr>
        <w:t> </w:t>
      </w:r>
      <w:r>
        <w:rPr>
          <w:rFonts w:ascii="Arial" w:hAnsi="Arial" w:cs="Arial" w:eastAsia="Arial" w:hint="default"/>
        </w:rPr>
        <w:t>JACOM</w:t>
      </w:r>
      <w:r>
        <w:rPr>
          <w:rFonts w:ascii="Arial" w:hAnsi="Arial" w:cs="Arial" w:eastAsia="Arial" w:hint="default"/>
          <w:w w:val="100"/>
        </w:rPr>
        <w:t>O</w:t>
      </w:r>
      <w:r>
        <w:rPr>
          <w:rFonts w:ascii="Arial" w:hAnsi="Arial" w:cs="Arial" w:eastAsia="Arial" w:hint="default"/>
          <w:spacing w:val="-10"/>
        </w:rPr>
        <w:t> </w:t>
      </w:r>
      <w:r>
        <w:rPr/>
        <w:t>的</w:t>
      </w:r>
      <w:r>
        <w:rPr>
          <w:spacing w:val="-64"/>
        </w:rPr>
        <w:t> </w:t>
      </w:r>
      <w:r>
        <w:rPr>
          <w:rFonts w:ascii="Arial" w:hAnsi="Arial" w:cs="Arial" w:eastAsia="Arial" w:hint="default"/>
          <w:spacing w:val="-1"/>
          <w:w w:val="99"/>
        </w:rPr>
        <w:t>100</w:t>
      </w:r>
      <w:r>
        <w:rPr>
          <w:rFonts w:ascii="Arial" w:hAnsi="Arial" w:cs="Arial" w:eastAsia="Arial" w:hint="default"/>
          <w:spacing w:val="1"/>
          <w:w w:val="99"/>
        </w:rPr>
        <w:t>%</w:t>
      </w:r>
      <w:r>
        <w:rPr/>
        <w:t>股权</w:t>
      </w:r>
      <w:r>
        <w:rPr>
          <w:rFonts w:ascii="Arial" w:hAnsi="Arial" w:cs="Arial" w:eastAsia="Arial" w:hint="default"/>
        </w:rPr>
        <w:t>(</w:t>
      </w:r>
      <w:r>
        <w:rPr>
          <w:rFonts w:ascii="Arial" w:hAnsi="Arial" w:cs="Arial" w:eastAsia="Arial" w:hint="default"/>
        </w:rPr>
        <w:t>“</w:t>
      </w:r>
      <w:r>
        <w:rPr>
          <w:rFonts w:ascii="Arial" w:hAnsi="Arial" w:cs="Arial" w:eastAsia="Arial" w:hint="default"/>
          <w:spacing w:val="-1"/>
        </w:rPr>
        <w:t>M</w:t>
      </w:r>
      <w:r>
        <w:rPr>
          <w:rFonts w:ascii="Arial" w:hAnsi="Arial" w:cs="Arial" w:eastAsia="Arial" w:hint="default"/>
        </w:rPr>
        <w:t>ODE</w:t>
      </w:r>
      <w:r>
        <w:rPr>
          <w:rFonts w:ascii="Arial" w:hAnsi="Arial" w:cs="Arial" w:eastAsia="Arial" w:hint="default"/>
          <w:spacing w:val="-8"/>
        </w:rPr>
        <w:t> </w:t>
      </w:r>
      <w:r>
        <w:rPr>
          <w:rFonts w:ascii="Arial" w:hAnsi="Arial" w:cs="Arial" w:eastAsia="Arial" w:hint="default"/>
          <w:w w:val="100"/>
        </w:rPr>
        <w:t>ET</w:t>
      </w:r>
      <w:r>
        <w:rPr>
          <w:rFonts w:ascii="Arial" w:hAnsi="Arial" w:cs="Arial" w:eastAsia="Arial" w:hint="default"/>
          <w:spacing w:val="-13"/>
        </w:rPr>
        <w:t> </w:t>
      </w:r>
      <w:r>
        <w:rPr>
          <w:rFonts w:ascii="Arial" w:hAnsi="Arial" w:cs="Arial" w:eastAsia="Arial" w:hint="default"/>
        </w:rPr>
        <w:t>J</w:t>
      </w:r>
      <w:r>
        <w:rPr>
          <w:rFonts w:ascii="Arial" w:hAnsi="Arial" w:cs="Arial" w:eastAsia="Arial" w:hint="default"/>
          <w:w w:val="99"/>
        </w:rPr>
        <w:t>A</w:t>
      </w:r>
      <w:r>
        <w:rPr>
          <w:rFonts w:ascii="Arial" w:hAnsi="Arial" w:cs="Arial" w:eastAsia="Arial" w:hint="default"/>
          <w:spacing w:val="-1"/>
          <w:w w:val="99"/>
        </w:rPr>
        <w:t>C</w:t>
      </w:r>
      <w:r>
        <w:rPr>
          <w:rFonts w:ascii="Arial" w:hAnsi="Arial" w:cs="Arial" w:eastAsia="Arial" w:hint="default"/>
          <w:spacing w:val="1"/>
          <w:w w:val="100"/>
        </w:rPr>
        <w:t>O</w:t>
      </w:r>
      <w:r>
        <w:rPr>
          <w:rFonts w:ascii="Arial" w:hAnsi="Arial" w:cs="Arial" w:eastAsia="Arial" w:hint="default"/>
          <w:w w:val="100"/>
        </w:rPr>
        <w:t>MO</w:t>
      </w:r>
    </w:p>
    <w:p>
      <w:pPr>
        <w:pStyle w:val="Heading3"/>
        <w:spacing w:line="322" w:lineRule="exact"/>
        <w:ind w:left="855" w:right="637"/>
        <w:jc w:val="left"/>
      </w:pPr>
      <w:r>
        <w:rPr/>
        <w:t>业务</w:t>
      </w:r>
      <w:r>
        <w:rPr>
          <w:rFonts w:ascii="Arial" w:hAnsi="Arial" w:cs="Arial" w:eastAsia="Arial" w:hint="default"/>
        </w:rPr>
        <w:t>”</w:t>
      </w:r>
      <w:r>
        <w:rPr>
          <w:rFonts w:ascii="Arial" w:hAnsi="Arial" w:cs="Arial" w:eastAsia="Arial" w:hint="default"/>
        </w:rPr>
        <w:t>)</w:t>
      </w:r>
      <w:r>
        <w:rPr/>
        <w:t>。本次交易的购买日为</w:t>
      </w:r>
      <w:r>
        <w:rPr>
          <w:spacing w:val="-61"/>
        </w:rPr>
        <w:t> </w:t>
      </w:r>
      <w:r>
        <w:rPr>
          <w:rFonts w:ascii="Arial" w:hAnsi="Arial" w:cs="Arial" w:eastAsia="Arial" w:hint="default"/>
        </w:rPr>
        <w:t>2015</w:t>
      </w:r>
      <w:r>
        <w:rPr>
          <w:rFonts w:ascii="Arial" w:hAnsi="Arial" w:cs="Arial" w:eastAsia="Arial" w:hint="default"/>
          <w:spacing w:val="-8"/>
        </w:rPr>
        <w:t> </w:t>
      </w:r>
      <w:r>
        <w:rPr/>
        <w:t>年</w:t>
      </w:r>
      <w:r>
        <w:rPr>
          <w:spacing w:val="-61"/>
        </w:rPr>
        <w:t> </w:t>
      </w:r>
      <w:r>
        <w:rPr>
          <w:rFonts w:ascii="Arial" w:hAnsi="Arial" w:cs="Arial" w:eastAsia="Arial" w:hint="default"/>
        </w:rPr>
        <w:t>7</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日，系本集团实际取得</w:t>
      </w:r>
      <w:r>
        <w:rPr>
          <w:spacing w:val="-61"/>
        </w:rPr>
        <w:t> </w:t>
      </w:r>
      <w:r>
        <w:rPr>
          <w:rFonts w:ascii="Arial" w:hAnsi="Arial" w:cs="Arial" w:eastAsia="Arial" w:hint="default"/>
        </w:rPr>
        <w:t>MODE</w:t>
      </w:r>
      <w:r>
        <w:rPr>
          <w:rFonts w:ascii="Arial" w:hAnsi="Arial" w:cs="Arial" w:eastAsia="Arial" w:hint="default"/>
          <w:spacing w:val="-2"/>
        </w:rPr>
        <w:t> </w:t>
      </w:r>
      <w:r>
        <w:rPr>
          <w:rFonts w:ascii="Arial" w:hAnsi="Arial" w:cs="Arial" w:eastAsia="Arial" w:hint="default"/>
        </w:rPr>
        <w:t>ET</w:t>
      </w:r>
      <w:r>
        <w:rPr>
          <w:rFonts w:ascii="Arial" w:hAnsi="Arial" w:cs="Arial" w:eastAsia="Arial" w:hint="default"/>
          <w:spacing w:val="-6"/>
        </w:rPr>
        <w:t> </w:t>
      </w:r>
      <w:r>
        <w:rPr>
          <w:rFonts w:ascii="Arial" w:hAnsi="Arial" w:cs="Arial" w:eastAsia="Arial" w:hint="default"/>
        </w:rPr>
        <w:t>JACOMO</w:t>
      </w:r>
      <w:r>
        <w:rPr>
          <w:rFonts w:ascii="Arial" w:hAnsi="Arial" w:cs="Arial" w:eastAsia="Arial" w:hint="default"/>
          <w:spacing w:val="-7"/>
        </w:rPr>
        <w:t> </w:t>
      </w:r>
      <w:r>
        <w:rPr/>
        <w:t>业务控制权的日期。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1436" w:firstLine="0"/>
        <w:jc w:val="right"/>
        <w:rPr>
          <w:rFonts w:ascii="Times New Roman" w:hAnsi="Times New Roman" w:cs="Times New Roman" w:eastAsia="Times New Roman" w:hint="default"/>
          <w:sz w:val="18"/>
          <w:szCs w:val="18"/>
        </w:rPr>
      </w:pPr>
      <w:r>
        <w:rPr/>
        <w:pict>
          <v:shape style="position:absolute;margin-left:774.47998pt;margin-top:18.402344pt;width:67.5pt;height:38.5pt;mso-position-horizontal-relative:page;mso-position-vertical-relative:paragraph;z-index:2608" type="#_x0000_t75" stroked="false">
            <v:imagedata r:id="rId23" o:title=""/>
          </v:shape>
        </w:pict>
      </w:r>
      <w:r>
        <w:rPr>
          <w:rFonts w:ascii="Times New Roman"/>
          <w:sz w:val="18"/>
        </w:rPr>
        <w:t>217</w:t>
      </w:r>
    </w:p>
    <w:p>
      <w:pPr>
        <w:spacing w:after="0"/>
        <w:jc w:val="right"/>
        <w:rPr>
          <w:rFonts w:ascii="Times New Roman" w:hAnsi="Times New Roman" w:cs="Times New Roman" w:eastAsia="Times New Roman" w:hint="default"/>
          <w:sz w:val="18"/>
          <w:szCs w:val="18"/>
        </w:rPr>
        <w:sectPr>
          <w:headerReference w:type="default" r:id="rId67"/>
          <w:footerReference w:type="default" r:id="rId68"/>
          <w:pgSz w:w="16840" w:h="11910" w:orient="landscape"/>
          <w:pgMar w:header="0" w:footer="0" w:top="660" w:bottom="0" w:left="5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711"/>
        <w:gridCol w:w="5850"/>
        <w:gridCol w:w="3001"/>
      </w:tblGrid>
      <w:tr>
        <w:trPr>
          <w:trHeight w:val="495"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五</w:t>
            </w:r>
          </w:p>
        </w:tc>
        <w:tc>
          <w:tcPr>
            <w:tcW w:w="5850"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001" w:type="dxa"/>
            <w:tcBorders>
              <w:top w:val="nil" w:sz="6" w:space="0" w:color="auto"/>
              <w:left w:val="nil" w:sz="6" w:space="0" w:color="auto"/>
              <w:bottom w:val="nil" w:sz="6" w:space="0" w:color="auto"/>
              <w:right w:val="nil" w:sz="6" w:space="0" w:color="auto"/>
            </w:tcBorders>
          </w:tcPr>
          <w:p>
            <w:pPr/>
          </w:p>
        </w:tc>
      </w:tr>
      <w:tr>
        <w:trPr>
          <w:trHeight w:val="74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5"/>
              <w:jc w:val="center"/>
              <w:rPr>
                <w:rFonts w:ascii="Arial" w:hAnsi="Arial" w:cs="Arial" w:eastAsia="Arial" w:hint="default"/>
                <w:sz w:val="24"/>
                <w:szCs w:val="24"/>
              </w:rPr>
            </w:pPr>
            <w:r>
              <w:rPr>
                <w:rFonts w:ascii="Arial"/>
                <w:sz w:val="24"/>
              </w:rPr>
              <w:t>(1)</w:t>
            </w:r>
          </w:p>
        </w:tc>
        <w:tc>
          <w:tcPr>
            <w:tcW w:w="58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7"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001" w:type="dxa"/>
            <w:tcBorders>
              <w:top w:val="nil" w:sz="6" w:space="0" w:color="auto"/>
              <w:left w:val="nil" w:sz="6" w:space="0" w:color="auto"/>
              <w:bottom w:val="nil" w:sz="6" w:space="0" w:color="auto"/>
              <w:right w:val="nil" w:sz="6" w:space="0" w:color="auto"/>
            </w:tcBorders>
          </w:tcPr>
          <w:p>
            <w:pPr/>
          </w:p>
        </w:tc>
      </w:tr>
      <w:tr>
        <w:trPr>
          <w:trHeight w:val="745"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5"/>
              <w:jc w:val="center"/>
              <w:rPr>
                <w:rFonts w:ascii="Arial" w:hAnsi="Arial" w:cs="Arial" w:eastAsia="Arial" w:hint="default"/>
                <w:sz w:val="24"/>
                <w:szCs w:val="24"/>
              </w:rPr>
            </w:pPr>
            <w:r>
              <w:rPr>
                <w:rFonts w:ascii="Arial"/>
                <w:sz w:val="24"/>
              </w:rPr>
              <w:t>(b)</w:t>
            </w:r>
          </w:p>
        </w:tc>
        <w:tc>
          <w:tcPr>
            <w:tcW w:w="58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7" w:right="0"/>
              <w:jc w:val="left"/>
              <w:rPr>
                <w:rFonts w:ascii="宋体" w:hAnsi="宋体" w:cs="宋体" w:eastAsia="宋体" w:hint="default"/>
                <w:sz w:val="24"/>
                <w:szCs w:val="24"/>
              </w:rPr>
            </w:pPr>
            <w:r>
              <w:rPr>
                <w:rFonts w:ascii="宋体" w:hAnsi="宋体" w:cs="宋体" w:eastAsia="宋体" w:hint="default"/>
                <w:sz w:val="24"/>
                <w:szCs w:val="24"/>
              </w:rPr>
              <w:t>合并成本以及商誉的确认情况如下：</w:t>
            </w:r>
          </w:p>
        </w:tc>
        <w:tc>
          <w:tcPr>
            <w:tcW w:w="3001" w:type="dxa"/>
            <w:tcBorders>
              <w:top w:val="nil" w:sz="6" w:space="0" w:color="auto"/>
              <w:left w:val="nil" w:sz="6" w:space="0" w:color="auto"/>
              <w:bottom w:val="nil" w:sz="6" w:space="0" w:color="auto"/>
              <w:right w:val="nil" w:sz="6" w:space="0" w:color="auto"/>
            </w:tcBorders>
          </w:tcPr>
          <w:p>
            <w:pPr/>
          </w:p>
        </w:tc>
      </w:tr>
      <w:tr>
        <w:trPr>
          <w:trHeight w:val="753"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PPTV</w:t>
            </w:r>
            <w:r>
              <w:rPr>
                <w:rFonts w:ascii="Arial" w:hAnsi="Arial" w:cs="Arial" w:eastAsia="Arial" w:hint="default"/>
                <w:spacing w:val="-9"/>
                <w:sz w:val="24"/>
                <w:szCs w:val="24"/>
              </w:rPr>
              <w:t> </w:t>
            </w:r>
            <w:r>
              <w:rPr>
                <w:rFonts w:ascii="宋体" w:hAnsi="宋体" w:cs="宋体" w:eastAsia="宋体" w:hint="default"/>
                <w:sz w:val="24"/>
                <w:szCs w:val="24"/>
              </w:rPr>
              <w:t>业务</w:t>
            </w:r>
          </w:p>
        </w:tc>
      </w:tr>
      <w:tr>
        <w:trPr>
          <w:trHeight w:val="569"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17" w:right="0"/>
              <w:jc w:val="left"/>
              <w:rPr>
                <w:rFonts w:ascii="Arial" w:hAnsi="Arial" w:cs="Arial" w:eastAsia="Arial" w:hint="default"/>
                <w:sz w:val="24"/>
                <w:szCs w:val="24"/>
              </w:rPr>
            </w:pPr>
            <w:r>
              <w:rPr>
                <w:rFonts w:ascii="宋体" w:hAnsi="宋体" w:cs="宋体" w:eastAsia="宋体" w:hint="default"/>
                <w:sz w:val="24"/>
                <w:szCs w:val="24"/>
              </w:rPr>
              <w:t>合并成本 </w:t>
            </w:r>
            <w:r>
              <w:rPr>
                <w:rFonts w:ascii="Arial" w:hAnsi="Arial" w:cs="Arial" w:eastAsia="Arial" w:hint="default"/>
                <w:sz w:val="24"/>
                <w:szCs w:val="24"/>
              </w:rPr>
              <w:t>-</w:t>
            </w:r>
          </w:p>
        </w:tc>
        <w:tc>
          <w:tcPr>
            <w:tcW w:w="3001" w:type="dxa"/>
            <w:tcBorders>
              <w:top w:val="nil" w:sz="6" w:space="0" w:color="auto"/>
              <w:left w:val="nil" w:sz="6" w:space="0" w:color="auto"/>
              <w:bottom w:val="nil" w:sz="6" w:space="0" w:color="auto"/>
              <w:right w:val="nil" w:sz="6" w:space="0" w:color="auto"/>
            </w:tcBorders>
          </w:tcPr>
          <w:p>
            <w:pPr/>
          </w:p>
        </w:tc>
      </w:tr>
      <w:tr>
        <w:trPr>
          <w:trHeight w:val="400"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327" w:lineRule="exact"/>
              <w:ind w:left="235" w:right="0"/>
              <w:jc w:val="left"/>
              <w:rPr>
                <w:rFonts w:ascii="宋体" w:hAnsi="宋体" w:cs="宋体" w:eastAsia="宋体" w:hint="default"/>
                <w:sz w:val="24"/>
                <w:szCs w:val="24"/>
              </w:rPr>
            </w:pPr>
            <w:r>
              <w:rPr>
                <w:rFonts w:ascii="宋体" w:hAnsi="宋体" w:cs="宋体" w:eastAsia="宋体" w:hint="default"/>
                <w:sz w:val="24"/>
                <w:szCs w:val="24"/>
              </w:rPr>
              <w:t>原持有的</w:t>
            </w:r>
            <w:r>
              <w:rPr>
                <w:rFonts w:ascii="宋体" w:hAnsi="宋体" w:cs="宋体" w:eastAsia="宋体" w:hint="default"/>
                <w:spacing w:val="-61"/>
                <w:sz w:val="24"/>
                <w:szCs w:val="24"/>
              </w:rPr>
              <w:t> </w:t>
            </w:r>
            <w:r>
              <w:rPr>
                <w:rFonts w:ascii="Arial" w:hAnsi="Arial" w:cs="Arial" w:eastAsia="Arial" w:hint="default"/>
                <w:sz w:val="24"/>
                <w:szCs w:val="24"/>
              </w:rPr>
              <w:t>46.8%</w:t>
            </w:r>
            <w:r>
              <w:rPr>
                <w:rFonts w:ascii="宋体" w:hAnsi="宋体" w:cs="宋体" w:eastAsia="宋体" w:hint="default"/>
                <w:sz w:val="24"/>
                <w:szCs w:val="24"/>
              </w:rPr>
              <w:t>的股权在收购日的股权价值</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Arial" w:hAnsi="Arial" w:cs="Arial" w:eastAsia="Arial" w:hint="default"/>
                <w:sz w:val="24"/>
                <w:szCs w:val="24"/>
              </w:rPr>
            </w:pPr>
            <w:r>
              <w:rPr>
                <w:rFonts w:ascii="Arial"/>
                <w:w w:val="95"/>
                <w:sz w:val="24"/>
              </w:rPr>
              <w:t>1,364,044</w:t>
            </w:r>
            <w:r>
              <w:rPr>
                <w:rFonts w:ascii="Arial"/>
                <w:sz w:val="24"/>
              </w:rPr>
            </w:r>
          </w:p>
        </w:tc>
      </w:tr>
      <w:tr>
        <w:trPr>
          <w:trHeight w:val="743"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318" w:lineRule="exact"/>
              <w:ind w:left="23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年度支付的预付股权收购款</w:t>
            </w:r>
          </w:p>
          <w:p>
            <w:pPr>
              <w:pStyle w:val="TableParagraph"/>
              <w:spacing w:line="240" w:lineRule="auto" w:before="19"/>
              <w:ind w:left="235"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(19)(i))</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right="106"/>
              <w:jc w:val="right"/>
              <w:rPr>
                <w:rFonts w:ascii="Arial" w:hAnsi="Arial" w:cs="Arial" w:eastAsia="Arial" w:hint="default"/>
                <w:sz w:val="24"/>
                <w:szCs w:val="24"/>
              </w:rPr>
            </w:pPr>
            <w:r>
              <w:rPr>
                <w:rFonts w:ascii="Arial"/>
                <w:spacing w:val="-1"/>
                <w:sz w:val="24"/>
              </w:rPr>
              <w:t>710,586</w:t>
            </w:r>
          </w:p>
        </w:tc>
      </w:tr>
      <w:tr>
        <w:trPr>
          <w:trHeight w:val="382"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301" w:lineRule="exact"/>
              <w:ind w:left="217" w:right="0"/>
              <w:jc w:val="left"/>
              <w:rPr>
                <w:rFonts w:ascii="宋体" w:hAnsi="宋体" w:cs="宋体" w:eastAsia="宋体" w:hint="default"/>
                <w:sz w:val="24"/>
                <w:szCs w:val="24"/>
              </w:rPr>
            </w:pPr>
            <w:r>
              <w:rPr>
                <w:rFonts w:ascii="宋体" w:hAnsi="宋体" w:cs="宋体" w:eastAsia="宋体" w:hint="default"/>
                <w:sz w:val="24"/>
                <w:szCs w:val="24"/>
              </w:rPr>
              <w:t>发生或承担负债的公允价值</w:t>
            </w:r>
          </w:p>
        </w:tc>
        <w:tc>
          <w:tcPr>
            <w:tcW w:w="300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5"/>
              <w:jc w:val="right"/>
              <w:rPr>
                <w:rFonts w:ascii="Arial" w:hAnsi="Arial" w:cs="Arial" w:eastAsia="Arial" w:hint="default"/>
                <w:sz w:val="24"/>
                <w:szCs w:val="24"/>
              </w:rPr>
            </w:pPr>
            <w:r>
              <w:rPr>
                <w:rFonts w:ascii="Arial"/>
                <w:w w:val="95"/>
                <w:sz w:val="24"/>
              </w:rPr>
              <w:t>(90,400)</w:t>
            </w:r>
            <w:r>
              <w:rPr>
                <w:rFonts w:ascii="Arial"/>
                <w:sz w:val="24"/>
              </w:rPr>
            </w:r>
          </w:p>
        </w:tc>
      </w:tr>
      <w:tr>
        <w:trPr>
          <w:trHeight w:val="411"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7" w:right="0"/>
              <w:jc w:val="left"/>
              <w:rPr>
                <w:rFonts w:ascii="宋体" w:hAnsi="宋体" w:cs="宋体" w:eastAsia="宋体" w:hint="default"/>
                <w:sz w:val="24"/>
                <w:szCs w:val="24"/>
              </w:rPr>
            </w:pPr>
            <w:r>
              <w:rPr>
                <w:rFonts w:ascii="宋体" w:hAnsi="宋体" w:cs="宋体" w:eastAsia="宋体" w:hint="default"/>
                <w:sz w:val="24"/>
                <w:szCs w:val="24"/>
              </w:rPr>
              <w:t>合并成本合计</w:t>
            </w:r>
          </w:p>
        </w:tc>
        <w:tc>
          <w:tcPr>
            <w:tcW w:w="300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Arial" w:hAnsi="Arial" w:cs="Arial" w:eastAsia="Arial" w:hint="default"/>
                <w:sz w:val="24"/>
                <w:szCs w:val="24"/>
              </w:rPr>
            </w:pPr>
            <w:r>
              <w:rPr>
                <w:rFonts w:ascii="Arial"/>
                <w:w w:val="95"/>
                <w:sz w:val="24"/>
              </w:rPr>
              <w:t>1,984,230</w:t>
            </w:r>
            <w:r>
              <w:rPr>
                <w:rFonts w:ascii="Arial"/>
                <w:sz w:val="24"/>
              </w:rPr>
            </w:r>
          </w:p>
        </w:tc>
      </w:tr>
      <w:tr>
        <w:trPr>
          <w:trHeight w:val="382"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302" w:lineRule="exact"/>
              <w:ind w:left="217" w:right="0"/>
              <w:jc w:val="left"/>
              <w:rPr>
                <w:rFonts w:ascii="宋体" w:hAnsi="宋体" w:cs="宋体" w:eastAsia="宋体" w:hint="default"/>
                <w:sz w:val="24"/>
                <w:szCs w:val="24"/>
              </w:rPr>
            </w:pPr>
            <w:r>
              <w:rPr>
                <w:rFonts w:ascii="宋体" w:hAnsi="宋体" w:cs="宋体" w:eastAsia="宋体" w:hint="default"/>
                <w:sz w:val="24"/>
                <w:szCs w:val="24"/>
              </w:rPr>
              <w:t>减：取得的可辨认净资产公允价值份额</w:t>
            </w:r>
          </w:p>
        </w:tc>
        <w:tc>
          <w:tcPr>
            <w:tcW w:w="300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5"/>
              <w:jc w:val="right"/>
              <w:rPr>
                <w:rFonts w:ascii="Arial" w:hAnsi="Arial" w:cs="Arial" w:eastAsia="Arial" w:hint="default"/>
                <w:sz w:val="24"/>
                <w:szCs w:val="24"/>
              </w:rPr>
            </w:pPr>
            <w:r>
              <w:rPr>
                <w:rFonts w:ascii="Arial"/>
                <w:w w:val="95"/>
                <w:sz w:val="24"/>
              </w:rPr>
              <w:t>(272,272)</w:t>
            </w:r>
            <w:r>
              <w:rPr>
                <w:rFonts w:ascii="Arial"/>
                <w:sz w:val="24"/>
              </w:rPr>
            </w:r>
          </w:p>
        </w:tc>
      </w:tr>
      <w:tr>
        <w:trPr>
          <w:trHeight w:val="411"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7"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3001"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06"/>
              <w:jc w:val="right"/>
              <w:rPr>
                <w:rFonts w:ascii="Arial" w:hAnsi="Arial" w:cs="Arial" w:eastAsia="Arial" w:hint="default"/>
                <w:sz w:val="24"/>
                <w:szCs w:val="24"/>
              </w:rPr>
            </w:pPr>
            <w:r>
              <w:rPr>
                <w:rFonts w:ascii="Arial"/>
                <w:spacing w:val="-3"/>
                <w:sz w:val="24"/>
              </w:rPr>
              <w:t>1,711,958</w:t>
            </w:r>
          </w:p>
        </w:tc>
      </w:tr>
      <w:tr>
        <w:trPr>
          <w:trHeight w:val="1302" w:hRule="exact"/>
        </w:trPr>
        <w:tc>
          <w:tcPr>
            <w:tcW w:w="711" w:type="dxa"/>
            <w:tcBorders>
              <w:top w:val="nil" w:sz="6" w:space="0" w:color="auto"/>
              <w:left w:val="nil" w:sz="6" w:space="0" w:color="auto"/>
              <w:bottom w:val="nil" w:sz="6" w:space="0" w:color="auto"/>
              <w:right w:val="nil" w:sz="6" w:space="0" w:color="auto"/>
            </w:tcBorders>
          </w:tcPr>
          <w:p>
            <w:pPr/>
          </w:p>
        </w:tc>
        <w:tc>
          <w:tcPr>
            <w:tcW w:w="885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6"/>
              <w:ind w:right="107"/>
              <w:jc w:val="right"/>
              <w:rPr>
                <w:rFonts w:ascii="宋体" w:hAnsi="宋体" w:cs="宋体" w:eastAsia="宋体" w:hint="default"/>
                <w:sz w:val="24"/>
                <w:szCs w:val="24"/>
              </w:rPr>
            </w:pPr>
            <w:r>
              <w:rPr>
                <w:rFonts w:ascii="Arial" w:hAnsi="Arial" w:cs="Arial" w:eastAsia="Arial" w:hint="default"/>
                <w:sz w:val="24"/>
                <w:szCs w:val="24"/>
              </w:rPr>
              <w:t>MODE ET JACOMO</w:t>
            </w:r>
            <w:r>
              <w:rPr>
                <w:rFonts w:ascii="Arial" w:hAnsi="Arial" w:cs="Arial" w:eastAsia="Arial" w:hint="default"/>
                <w:spacing w:val="-13"/>
                <w:sz w:val="24"/>
                <w:szCs w:val="24"/>
              </w:rPr>
              <w:t> </w:t>
            </w:r>
            <w:r>
              <w:rPr>
                <w:rFonts w:ascii="宋体" w:hAnsi="宋体" w:cs="宋体" w:eastAsia="宋体" w:hint="default"/>
                <w:sz w:val="24"/>
                <w:szCs w:val="24"/>
              </w:rPr>
              <w:t>业务</w:t>
            </w:r>
          </w:p>
        </w:tc>
      </w:tr>
      <w:tr>
        <w:trPr>
          <w:trHeight w:val="569"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7" w:right="0"/>
              <w:jc w:val="left"/>
              <w:rPr>
                <w:rFonts w:ascii="Arial" w:hAnsi="Arial" w:cs="Arial" w:eastAsia="Arial" w:hint="default"/>
                <w:sz w:val="24"/>
                <w:szCs w:val="24"/>
              </w:rPr>
            </w:pPr>
            <w:r>
              <w:rPr>
                <w:rFonts w:ascii="宋体" w:hAnsi="宋体" w:cs="宋体" w:eastAsia="宋体" w:hint="default"/>
                <w:sz w:val="24"/>
                <w:szCs w:val="24"/>
              </w:rPr>
              <w:t>合并成本 </w:t>
            </w:r>
            <w:r>
              <w:rPr>
                <w:rFonts w:ascii="Arial" w:hAnsi="Arial" w:cs="Arial" w:eastAsia="Arial" w:hint="default"/>
                <w:sz w:val="24"/>
                <w:szCs w:val="24"/>
              </w:rPr>
              <w:t>-</w:t>
            </w:r>
          </w:p>
        </w:tc>
        <w:tc>
          <w:tcPr>
            <w:tcW w:w="3001" w:type="dxa"/>
            <w:tcBorders>
              <w:top w:val="nil" w:sz="6" w:space="0" w:color="auto"/>
              <w:left w:val="nil" w:sz="6" w:space="0" w:color="auto"/>
              <w:bottom w:val="nil" w:sz="6" w:space="0" w:color="auto"/>
              <w:right w:val="nil" w:sz="6" w:space="0" w:color="auto"/>
            </w:tcBorders>
          </w:tcPr>
          <w:p>
            <w:pPr/>
          </w:p>
        </w:tc>
      </w:tr>
      <w:tr>
        <w:trPr>
          <w:trHeight w:val="399"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310" w:lineRule="exact"/>
              <w:ind w:left="217"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4"/>
              <w:jc w:val="right"/>
              <w:rPr>
                <w:rFonts w:ascii="Arial" w:hAnsi="Arial" w:cs="Arial" w:eastAsia="Arial" w:hint="default"/>
                <w:sz w:val="24"/>
                <w:szCs w:val="24"/>
              </w:rPr>
            </w:pPr>
            <w:r>
              <w:rPr>
                <w:rFonts w:ascii="Arial"/>
                <w:spacing w:val="-4"/>
                <w:sz w:val="24"/>
              </w:rPr>
              <w:t>21,011</w:t>
            </w:r>
          </w:p>
        </w:tc>
      </w:tr>
      <w:tr>
        <w:trPr>
          <w:trHeight w:val="382"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302" w:lineRule="exact"/>
              <w:ind w:left="217" w:right="0"/>
              <w:jc w:val="left"/>
              <w:rPr>
                <w:rFonts w:ascii="宋体" w:hAnsi="宋体" w:cs="宋体" w:eastAsia="宋体" w:hint="default"/>
                <w:sz w:val="24"/>
                <w:szCs w:val="24"/>
              </w:rPr>
            </w:pPr>
            <w:r>
              <w:rPr>
                <w:rFonts w:ascii="宋体" w:hAnsi="宋体" w:cs="宋体" w:eastAsia="宋体" w:hint="default"/>
                <w:sz w:val="24"/>
                <w:szCs w:val="24"/>
              </w:rPr>
              <w:t>减：取得的可辨认净资产公允价值份额</w:t>
            </w:r>
          </w:p>
        </w:tc>
        <w:tc>
          <w:tcPr>
            <w:tcW w:w="300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6"/>
              <w:jc w:val="right"/>
              <w:rPr>
                <w:rFonts w:ascii="Arial" w:hAnsi="Arial" w:cs="Arial" w:eastAsia="Arial" w:hint="default"/>
                <w:sz w:val="24"/>
                <w:szCs w:val="24"/>
              </w:rPr>
            </w:pPr>
            <w:r>
              <w:rPr>
                <w:rFonts w:ascii="Arial"/>
                <w:spacing w:val="-1"/>
                <w:sz w:val="24"/>
              </w:rPr>
              <w:t>(28,672)</w:t>
            </w:r>
          </w:p>
        </w:tc>
      </w:tr>
      <w:tr>
        <w:trPr>
          <w:trHeight w:val="411" w:hRule="exact"/>
        </w:trPr>
        <w:tc>
          <w:tcPr>
            <w:tcW w:w="711" w:type="dxa"/>
            <w:tcBorders>
              <w:top w:val="nil" w:sz="6" w:space="0" w:color="auto"/>
              <w:left w:val="nil" w:sz="6" w:space="0" w:color="auto"/>
              <w:bottom w:val="nil" w:sz="6" w:space="0" w:color="auto"/>
              <w:right w:val="nil" w:sz="6" w:space="0" w:color="auto"/>
            </w:tcBorders>
          </w:tcPr>
          <w:p>
            <w:pPr/>
          </w:p>
        </w:tc>
        <w:tc>
          <w:tcPr>
            <w:tcW w:w="585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7" w:right="0"/>
              <w:jc w:val="left"/>
              <w:rPr>
                <w:rFonts w:ascii="Arial" w:hAnsi="Arial" w:cs="Arial" w:eastAsia="Arial" w:hint="default"/>
                <w:sz w:val="24"/>
                <w:szCs w:val="24"/>
              </w:rPr>
            </w:pPr>
            <w:r>
              <w:rPr>
                <w:rFonts w:ascii="宋体" w:hAnsi="宋体" w:cs="宋体" w:eastAsia="宋体" w:hint="default"/>
                <w:sz w:val="24"/>
                <w:szCs w:val="24"/>
              </w:rPr>
              <w:t>商誉</w:t>
            </w:r>
            <w:r>
              <w:rPr>
                <w:rFonts w:ascii="Arial" w:hAnsi="Arial" w:cs="Arial" w:eastAsia="Arial" w:hint="default"/>
                <w:sz w:val="24"/>
                <w:szCs w:val="24"/>
              </w:rPr>
              <w:t>(i)</w:t>
            </w:r>
          </w:p>
        </w:tc>
        <w:tc>
          <w:tcPr>
            <w:tcW w:w="3001"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26"/>
              <w:jc w:val="right"/>
              <w:rPr>
                <w:rFonts w:ascii="Arial" w:hAnsi="Arial" w:cs="Arial" w:eastAsia="Arial" w:hint="default"/>
                <w:sz w:val="24"/>
                <w:szCs w:val="24"/>
              </w:rPr>
            </w:pPr>
            <w:r>
              <w:rPr>
                <w:rFonts w:ascii="Arial"/>
                <w:w w:val="95"/>
                <w:sz w:val="24"/>
              </w:rPr>
              <w:t>(7,661)</w:t>
            </w:r>
            <w:r>
              <w:rPr>
                <w:rFonts w:ascii="Arial"/>
                <w:sz w:val="24"/>
              </w:rPr>
            </w:r>
          </w:p>
        </w:tc>
      </w:tr>
      <w:tr>
        <w:trPr>
          <w:trHeight w:val="1010" w:hRule="exact"/>
        </w:trPr>
        <w:tc>
          <w:tcPr>
            <w:tcW w:w="711" w:type="dxa"/>
            <w:tcBorders>
              <w:top w:val="nil" w:sz="6" w:space="0" w:color="auto"/>
              <w:left w:val="nil" w:sz="6" w:space="0" w:color="auto"/>
              <w:bottom w:val="nil" w:sz="6" w:space="0" w:color="auto"/>
              <w:right w:val="nil" w:sz="6" w:space="0" w:color="auto"/>
            </w:tcBorders>
          </w:tcPr>
          <w:p>
            <w:pPr/>
          </w:p>
        </w:tc>
        <w:tc>
          <w:tcPr>
            <w:tcW w:w="885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35"/>
                <w:szCs w:val="35"/>
              </w:rPr>
            </w:pPr>
          </w:p>
          <w:p>
            <w:pPr>
              <w:pStyle w:val="TableParagraph"/>
              <w:spacing w:line="312" w:lineRule="exact"/>
              <w:ind w:left="217" w:right="107"/>
              <w:jc w:val="left"/>
              <w:rPr>
                <w:rFonts w:ascii="宋体" w:hAnsi="宋体" w:cs="宋体" w:eastAsia="宋体" w:hint="default"/>
                <w:sz w:val="24"/>
                <w:szCs w:val="24"/>
              </w:rPr>
            </w:pPr>
            <w:r>
              <w:rPr>
                <w:rFonts w:ascii="Arial" w:hAnsi="Arial" w:cs="Arial" w:eastAsia="Arial" w:hint="default"/>
                <w:sz w:val="24"/>
                <w:szCs w:val="24"/>
              </w:rPr>
              <w:t>(i) </w:t>
            </w:r>
            <w:r>
              <w:rPr>
                <w:rFonts w:ascii="宋体" w:hAnsi="宋体" w:cs="宋体" w:eastAsia="宋体" w:hint="default"/>
                <w:sz w:val="24"/>
                <w:szCs w:val="24"/>
              </w:rPr>
              <w:t>本集团合并成本低于取得的 </w:t>
            </w:r>
            <w:r>
              <w:rPr>
                <w:rFonts w:ascii="Arial" w:hAnsi="Arial" w:cs="Arial" w:eastAsia="Arial" w:hint="default"/>
                <w:sz w:val="24"/>
                <w:szCs w:val="24"/>
              </w:rPr>
              <w:t>MODE ET JACOMO</w:t>
            </w:r>
            <w:r>
              <w:rPr>
                <w:rFonts w:ascii="Arial" w:hAnsi="Arial" w:cs="Arial" w:eastAsia="Arial" w:hint="default"/>
                <w:spacing w:val="41"/>
                <w:sz w:val="24"/>
                <w:szCs w:val="24"/>
              </w:rPr>
              <w:t> </w:t>
            </w:r>
            <w:r>
              <w:rPr>
                <w:rFonts w:ascii="宋体" w:hAnsi="宋体" w:cs="宋体" w:eastAsia="宋体" w:hint="default"/>
                <w:sz w:val="24"/>
                <w:szCs w:val="24"/>
              </w:rPr>
              <w:t>业务可辨认净资产公允价值 份额之间的差额约人民币</w:t>
            </w:r>
            <w:r>
              <w:rPr>
                <w:rFonts w:ascii="宋体" w:hAnsi="宋体" w:cs="宋体" w:eastAsia="宋体" w:hint="default"/>
                <w:spacing w:val="-63"/>
                <w:sz w:val="24"/>
                <w:szCs w:val="24"/>
              </w:rPr>
              <w:t> </w:t>
            </w:r>
            <w:r>
              <w:rPr>
                <w:rFonts w:ascii="Arial" w:hAnsi="Arial" w:cs="Arial" w:eastAsia="Arial" w:hint="default"/>
                <w:sz w:val="24"/>
                <w:szCs w:val="24"/>
              </w:rPr>
              <w:t>766</w:t>
            </w:r>
            <w:r>
              <w:rPr>
                <w:rFonts w:ascii="Arial" w:hAnsi="Arial" w:cs="Arial" w:eastAsia="Arial" w:hint="default"/>
                <w:spacing w:val="-10"/>
                <w:sz w:val="24"/>
                <w:szCs w:val="24"/>
              </w:rPr>
              <w:t> </w:t>
            </w:r>
            <w:r>
              <w:rPr>
                <w:rFonts w:ascii="宋体" w:hAnsi="宋体" w:cs="宋体" w:eastAsia="宋体" w:hint="default"/>
                <w:sz w:val="24"/>
                <w:szCs w:val="24"/>
              </w:rPr>
              <w:t>万元账列营业外收入</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(58)(a))</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footerReference w:type="default" r:id="rId69"/>
          <w:pgSz w:w="11910" w:h="16840"/>
          <w:pgMar w:footer="914" w:header="0" w:top="1860" w:bottom="1100" w:left="1420" w:right="0"/>
          <w:pgNumType w:start="21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711"/>
        <w:gridCol w:w="3404"/>
        <w:gridCol w:w="2754"/>
        <w:gridCol w:w="228"/>
        <w:gridCol w:w="2417"/>
      </w:tblGrid>
      <w:tr>
        <w:trPr>
          <w:trHeight w:val="49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五</w:t>
            </w:r>
          </w:p>
        </w:tc>
        <w:tc>
          <w:tcPr>
            <w:tcW w:w="3404"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54"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r>
      <w:tr>
        <w:trPr>
          <w:trHeight w:val="74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5"/>
              <w:jc w:val="center"/>
              <w:rPr>
                <w:rFonts w:ascii="Arial" w:hAnsi="Arial" w:cs="Arial" w:eastAsia="Arial" w:hint="default"/>
                <w:sz w:val="24"/>
                <w:szCs w:val="24"/>
              </w:rPr>
            </w:pPr>
            <w:r>
              <w:rPr>
                <w:rFonts w:ascii="Arial"/>
                <w:sz w:val="24"/>
              </w:rPr>
              <w:t>(1)</w:t>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7"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54"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r>
      <w:tr>
        <w:trPr>
          <w:trHeight w:val="74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30"/>
              <w:jc w:val="center"/>
              <w:rPr>
                <w:rFonts w:ascii="Arial" w:hAnsi="Arial" w:cs="Arial" w:eastAsia="Arial" w:hint="default"/>
                <w:sz w:val="24"/>
                <w:szCs w:val="24"/>
              </w:rPr>
            </w:pPr>
            <w:r>
              <w:rPr>
                <w:rFonts w:ascii="Arial"/>
                <w:sz w:val="24"/>
              </w:rPr>
              <w:t>(c)</w:t>
            </w:r>
          </w:p>
        </w:tc>
        <w:tc>
          <w:tcPr>
            <w:tcW w:w="61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17"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r>
      <w:tr>
        <w:trPr>
          <w:trHeight w:val="75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5"/>
              <w:jc w:val="center"/>
              <w:rPr>
                <w:rFonts w:ascii="Arial" w:hAnsi="Arial" w:cs="Arial" w:eastAsia="Arial" w:hint="default"/>
                <w:sz w:val="24"/>
                <w:szCs w:val="24"/>
              </w:rPr>
            </w:pPr>
            <w:r>
              <w:rPr>
                <w:rFonts w:ascii="Arial"/>
                <w:sz w:val="24"/>
              </w:rPr>
              <w:t>(i)</w:t>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7" w:right="0"/>
              <w:jc w:val="left"/>
              <w:rPr>
                <w:rFonts w:ascii="宋体" w:hAnsi="宋体" w:cs="宋体" w:eastAsia="宋体" w:hint="default"/>
                <w:sz w:val="24"/>
                <w:szCs w:val="24"/>
              </w:rPr>
            </w:pPr>
            <w:r>
              <w:rPr>
                <w:rFonts w:ascii="Arial" w:hAnsi="Arial" w:cs="Arial" w:eastAsia="Arial" w:hint="default"/>
                <w:sz w:val="24"/>
                <w:szCs w:val="24"/>
              </w:rPr>
              <w:t>PPTV</w:t>
            </w:r>
            <w:r>
              <w:rPr>
                <w:rFonts w:ascii="Arial" w:hAnsi="Arial" w:cs="Arial" w:eastAsia="Arial" w:hint="default"/>
                <w:spacing w:val="-8"/>
                <w:sz w:val="24"/>
                <w:szCs w:val="24"/>
              </w:rPr>
              <w:t> </w:t>
            </w:r>
            <w:r>
              <w:rPr>
                <w:rFonts w:ascii="宋体" w:hAnsi="宋体" w:cs="宋体" w:eastAsia="宋体" w:hint="default"/>
                <w:sz w:val="24"/>
                <w:szCs w:val="24"/>
              </w:rPr>
              <w:t>业务</w:t>
            </w:r>
          </w:p>
        </w:tc>
        <w:tc>
          <w:tcPr>
            <w:tcW w:w="2754"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r>
      <w:tr>
        <w:trPr>
          <w:trHeight w:val="564"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7"/>
              <w:jc w:val="right"/>
              <w:rPr>
                <w:rFonts w:ascii="宋体" w:hAnsi="宋体" w:cs="宋体" w:eastAsia="宋体" w:hint="default"/>
                <w:sz w:val="24"/>
                <w:szCs w:val="24"/>
              </w:rPr>
            </w:pPr>
            <w:r>
              <w:rPr>
                <w:rFonts w:ascii="宋体" w:hAnsi="宋体" w:cs="宋体" w:eastAsia="宋体" w:hint="default"/>
                <w:sz w:val="24"/>
                <w:szCs w:val="24"/>
              </w:rPr>
              <w:t>购买日</w:t>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01" w:right="0"/>
              <w:jc w:val="left"/>
              <w:rPr>
                <w:rFonts w:ascii="宋体" w:hAnsi="宋体" w:cs="宋体" w:eastAsia="宋体" w:hint="default"/>
                <w:sz w:val="24"/>
                <w:szCs w:val="24"/>
              </w:rPr>
            </w:pPr>
            <w:r>
              <w:rPr>
                <w:rFonts w:ascii="宋体" w:hAnsi="宋体" w:cs="宋体" w:eastAsia="宋体" w:hint="default"/>
                <w:sz w:val="24"/>
                <w:szCs w:val="24"/>
              </w:rPr>
              <w:t>购买日</w:t>
            </w:r>
          </w:p>
        </w:tc>
      </w:tr>
      <w:tr>
        <w:trPr>
          <w:trHeight w:val="569"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公允价值</w:t>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61"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583"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7"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24"/>
                <w:szCs w:val="24"/>
              </w:rPr>
            </w:pPr>
            <w:r>
              <w:rPr>
                <w:rFonts w:ascii="Arial"/>
                <w:spacing w:val="-1"/>
                <w:sz w:val="24"/>
              </w:rPr>
              <w:t>187,717</w:t>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54" w:right="0"/>
              <w:jc w:val="left"/>
              <w:rPr>
                <w:rFonts w:ascii="Arial" w:hAnsi="Arial" w:cs="Arial" w:eastAsia="Arial" w:hint="default"/>
                <w:sz w:val="24"/>
                <w:szCs w:val="24"/>
              </w:rPr>
            </w:pPr>
            <w:r>
              <w:rPr>
                <w:rFonts w:ascii="Arial"/>
                <w:sz w:val="24"/>
              </w:rPr>
              <w:t>187,717</w:t>
            </w:r>
          </w:p>
        </w:tc>
      </w:tr>
      <w:tr>
        <w:trPr>
          <w:trHeight w:val="391"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217"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spacing w:val="-1"/>
                <w:sz w:val="24"/>
              </w:rPr>
              <w:t>442,545</w:t>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354" w:right="0"/>
              <w:jc w:val="left"/>
              <w:rPr>
                <w:rFonts w:ascii="Arial" w:hAnsi="Arial" w:cs="Arial" w:eastAsia="Arial" w:hint="default"/>
                <w:sz w:val="24"/>
                <w:szCs w:val="24"/>
              </w:rPr>
            </w:pPr>
            <w:r>
              <w:rPr>
                <w:rFonts w:ascii="Arial"/>
                <w:sz w:val="24"/>
              </w:rPr>
              <w:t>442,545</w:t>
            </w:r>
          </w:p>
        </w:tc>
      </w:tr>
      <w:tr>
        <w:trPr>
          <w:trHeight w:val="391"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217"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5"/>
              <w:jc w:val="right"/>
              <w:rPr>
                <w:rFonts w:ascii="Arial" w:hAnsi="Arial" w:cs="Arial" w:eastAsia="Arial" w:hint="default"/>
                <w:sz w:val="24"/>
                <w:szCs w:val="24"/>
              </w:rPr>
            </w:pPr>
            <w:r>
              <w:rPr>
                <w:rFonts w:ascii="Arial"/>
                <w:w w:val="95"/>
                <w:sz w:val="24"/>
              </w:rPr>
              <w:t>3,937</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3"/>
              <w:jc w:val="right"/>
              <w:rPr>
                <w:rFonts w:ascii="Arial" w:hAnsi="Arial" w:cs="Arial" w:eastAsia="Arial" w:hint="default"/>
                <w:sz w:val="24"/>
                <w:szCs w:val="24"/>
              </w:rPr>
            </w:pPr>
            <w:r>
              <w:rPr>
                <w:rFonts w:ascii="Arial"/>
                <w:w w:val="95"/>
                <w:sz w:val="24"/>
              </w:rPr>
              <w:t>3,937</w:t>
            </w:r>
            <w:r>
              <w:rPr>
                <w:rFonts w:ascii="Arial"/>
                <w:sz w:val="24"/>
              </w:rPr>
            </w:r>
          </w:p>
        </w:tc>
      </w:tr>
      <w:tr>
        <w:trPr>
          <w:trHeight w:val="391"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217"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5"/>
              <w:jc w:val="right"/>
              <w:rPr>
                <w:rFonts w:ascii="Arial" w:hAnsi="Arial" w:cs="Arial" w:eastAsia="Arial" w:hint="default"/>
                <w:sz w:val="24"/>
                <w:szCs w:val="24"/>
              </w:rPr>
            </w:pPr>
            <w:r>
              <w:rPr>
                <w:rFonts w:ascii="Arial"/>
                <w:w w:val="95"/>
                <w:sz w:val="24"/>
              </w:rPr>
              <w:t>40,914</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87" w:right="0"/>
              <w:jc w:val="left"/>
              <w:rPr>
                <w:rFonts w:ascii="Arial" w:hAnsi="Arial" w:cs="Arial" w:eastAsia="Arial" w:hint="default"/>
                <w:sz w:val="24"/>
                <w:szCs w:val="24"/>
              </w:rPr>
            </w:pPr>
            <w:r>
              <w:rPr>
                <w:rFonts w:ascii="Arial"/>
                <w:sz w:val="24"/>
              </w:rPr>
              <w:t>40,914</w:t>
            </w:r>
          </w:p>
        </w:tc>
      </w:tr>
      <w:tr>
        <w:trPr>
          <w:trHeight w:val="391"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217"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5"/>
              <w:jc w:val="right"/>
              <w:rPr>
                <w:rFonts w:ascii="Arial" w:hAnsi="Arial" w:cs="Arial" w:eastAsia="Arial" w:hint="default"/>
                <w:sz w:val="24"/>
                <w:szCs w:val="24"/>
              </w:rPr>
            </w:pPr>
            <w:r>
              <w:rPr>
                <w:rFonts w:ascii="Arial"/>
                <w:w w:val="95"/>
                <w:sz w:val="24"/>
              </w:rPr>
              <w:t>48,182</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87" w:right="0"/>
              <w:jc w:val="left"/>
              <w:rPr>
                <w:rFonts w:ascii="Arial" w:hAnsi="Arial" w:cs="Arial" w:eastAsia="Arial" w:hint="default"/>
                <w:sz w:val="24"/>
                <w:szCs w:val="24"/>
              </w:rPr>
            </w:pPr>
            <w:r>
              <w:rPr>
                <w:rFonts w:ascii="Arial"/>
                <w:sz w:val="24"/>
              </w:rPr>
              <w:t>48,182</w:t>
            </w:r>
          </w:p>
        </w:tc>
      </w:tr>
      <w:tr>
        <w:trPr>
          <w:trHeight w:val="391"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217"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w w:val="95"/>
                <w:sz w:val="24"/>
              </w:rPr>
              <w:t>1,257,841</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354" w:right="0"/>
              <w:jc w:val="left"/>
              <w:rPr>
                <w:rFonts w:ascii="Arial" w:hAnsi="Arial" w:cs="Arial" w:eastAsia="Arial" w:hint="default"/>
                <w:sz w:val="24"/>
                <w:szCs w:val="24"/>
              </w:rPr>
            </w:pPr>
            <w:r>
              <w:rPr>
                <w:rFonts w:ascii="Arial"/>
                <w:sz w:val="24"/>
              </w:rPr>
              <w:t>332,287</w:t>
            </w:r>
          </w:p>
        </w:tc>
      </w:tr>
      <w:tr>
        <w:trPr>
          <w:trHeight w:val="391"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217"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5"/>
              <w:jc w:val="right"/>
              <w:rPr>
                <w:rFonts w:ascii="Arial" w:hAnsi="Arial" w:cs="Arial" w:eastAsia="Arial" w:hint="default"/>
                <w:sz w:val="24"/>
                <w:szCs w:val="24"/>
              </w:rPr>
            </w:pPr>
            <w:r>
              <w:rPr>
                <w:rFonts w:ascii="Arial"/>
                <w:w w:val="95"/>
                <w:sz w:val="24"/>
              </w:rPr>
              <w:t>32,916</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87" w:right="0"/>
              <w:jc w:val="left"/>
              <w:rPr>
                <w:rFonts w:ascii="Arial" w:hAnsi="Arial" w:cs="Arial" w:eastAsia="Arial" w:hint="default"/>
                <w:sz w:val="24"/>
                <w:szCs w:val="24"/>
              </w:rPr>
            </w:pPr>
            <w:r>
              <w:rPr>
                <w:rFonts w:ascii="Arial"/>
                <w:sz w:val="24"/>
              </w:rPr>
              <w:t>32,916</w:t>
            </w:r>
          </w:p>
        </w:tc>
      </w:tr>
      <w:tr>
        <w:trPr>
          <w:trHeight w:val="391"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217" w:right="0"/>
              <w:jc w:val="left"/>
              <w:rPr>
                <w:rFonts w:ascii="宋体" w:hAnsi="宋体" w:cs="宋体" w:eastAsia="宋体" w:hint="default"/>
                <w:sz w:val="24"/>
                <w:szCs w:val="24"/>
              </w:rPr>
            </w:pPr>
            <w:r>
              <w:rPr>
                <w:rFonts w:ascii="宋体" w:hAnsi="宋体" w:cs="宋体" w:eastAsia="宋体" w:hint="default"/>
                <w:sz w:val="24"/>
                <w:szCs w:val="24"/>
              </w:rPr>
              <w:t>减：借款</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
              <w:jc w:val="right"/>
              <w:rPr>
                <w:rFonts w:ascii="Arial" w:hAnsi="Arial" w:cs="Arial" w:eastAsia="Arial" w:hint="default"/>
                <w:sz w:val="24"/>
                <w:szCs w:val="24"/>
              </w:rPr>
            </w:pPr>
            <w:r>
              <w:rPr>
                <w:rFonts w:ascii="Arial"/>
                <w:w w:val="95"/>
                <w:sz w:val="24"/>
              </w:rPr>
              <w:t>(695,000)</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80" w:right="0"/>
              <w:jc w:val="left"/>
              <w:rPr>
                <w:rFonts w:ascii="Arial" w:hAnsi="Arial" w:cs="Arial" w:eastAsia="Arial" w:hint="default"/>
                <w:sz w:val="24"/>
                <w:szCs w:val="24"/>
              </w:rPr>
            </w:pPr>
            <w:r>
              <w:rPr>
                <w:rFonts w:ascii="Arial"/>
                <w:sz w:val="24"/>
              </w:rPr>
              <w:t>(695,000)</w:t>
            </w:r>
          </w:p>
        </w:tc>
      </w:tr>
      <w:tr>
        <w:trPr>
          <w:trHeight w:val="391"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712" w:right="0"/>
              <w:jc w:val="left"/>
              <w:rPr>
                <w:rFonts w:ascii="宋体" w:hAnsi="宋体" w:cs="宋体" w:eastAsia="宋体" w:hint="default"/>
                <w:sz w:val="24"/>
                <w:szCs w:val="24"/>
              </w:rPr>
            </w:pPr>
            <w:r>
              <w:rPr>
                <w:rFonts w:ascii="宋体" w:hAnsi="宋体" w:cs="宋体" w:eastAsia="宋体" w:hint="default"/>
                <w:sz w:val="24"/>
                <w:szCs w:val="24"/>
              </w:rPr>
              <w:t>应付款项</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
              <w:jc w:val="right"/>
              <w:rPr>
                <w:rFonts w:ascii="Arial" w:hAnsi="Arial" w:cs="Arial" w:eastAsia="Arial" w:hint="default"/>
                <w:sz w:val="24"/>
                <w:szCs w:val="24"/>
              </w:rPr>
            </w:pPr>
            <w:r>
              <w:rPr>
                <w:rFonts w:ascii="Arial"/>
                <w:w w:val="95"/>
                <w:sz w:val="24"/>
              </w:rPr>
              <w:t>(313,909)</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80" w:right="0"/>
              <w:jc w:val="left"/>
              <w:rPr>
                <w:rFonts w:ascii="Arial" w:hAnsi="Arial" w:cs="Arial" w:eastAsia="Arial" w:hint="default"/>
                <w:sz w:val="24"/>
                <w:szCs w:val="24"/>
              </w:rPr>
            </w:pPr>
            <w:r>
              <w:rPr>
                <w:rFonts w:ascii="Arial"/>
                <w:sz w:val="24"/>
              </w:rPr>
              <w:t>(313,909)</w:t>
            </w:r>
          </w:p>
        </w:tc>
      </w:tr>
      <w:tr>
        <w:trPr>
          <w:trHeight w:val="391"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712" w:right="0"/>
              <w:jc w:val="left"/>
              <w:rPr>
                <w:rFonts w:ascii="宋体" w:hAnsi="宋体" w:cs="宋体" w:eastAsia="宋体" w:hint="default"/>
                <w:sz w:val="24"/>
                <w:szCs w:val="24"/>
              </w:rPr>
            </w:pPr>
            <w:r>
              <w:rPr>
                <w:rFonts w:ascii="宋体" w:hAnsi="宋体" w:cs="宋体" w:eastAsia="宋体" w:hint="default"/>
                <w:sz w:val="24"/>
                <w:szCs w:val="24"/>
              </w:rPr>
              <w:t>其他负债</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
              <w:jc w:val="right"/>
              <w:rPr>
                <w:rFonts w:ascii="Arial" w:hAnsi="Arial" w:cs="Arial" w:eastAsia="Arial" w:hint="default"/>
                <w:sz w:val="24"/>
                <w:szCs w:val="24"/>
              </w:rPr>
            </w:pPr>
            <w:r>
              <w:rPr>
                <w:rFonts w:ascii="Arial"/>
                <w:w w:val="95"/>
                <w:sz w:val="24"/>
              </w:rPr>
              <w:t>(373,824)</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80" w:right="0"/>
              <w:jc w:val="left"/>
              <w:rPr>
                <w:rFonts w:ascii="Arial" w:hAnsi="Arial" w:cs="Arial" w:eastAsia="Arial" w:hint="default"/>
                <w:sz w:val="24"/>
                <w:szCs w:val="24"/>
              </w:rPr>
            </w:pPr>
            <w:r>
              <w:rPr>
                <w:rFonts w:ascii="Arial"/>
                <w:sz w:val="24"/>
              </w:rPr>
              <w:t>(373,824)</w:t>
            </w:r>
          </w:p>
        </w:tc>
      </w:tr>
      <w:tr>
        <w:trPr>
          <w:trHeight w:val="382"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2" w:lineRule="exact"/>
              <w:ind w:left="712"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275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4"/>
              <w:jc w:val="right"/>
              <w:rPr>
                <w:rFonts w:ascii="Arial" w:hAnsi="Arial" w:cs="Arial" w:eastAsia="Arial" w:hint="default"/>
                <w:sz w:val="24"/>
                <w:szCs w:val="24"/>
              </w:rPr>
            </w:pPr>
            <w:r>
              <w:rPr>
                <w:rFonts w:ascii="Arial"/>
                <w:w w:val="95"/>
                <w:sz w:val="24"/>
              </w:rPr>
              <w:t>(231,389)</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97"/>
              <w:jc w:val="right"/>
              <w:rPr>
                <w:rFonts w:ascii="Arial" w:hAnsi="Arial" w:cs="Arial" w:eastAsia="Arial" w:hint="default"/>
                <w:sz w:val="24"/>
                <w:szCs w:val="24"/>
              </w:rPr>
            </w:pPr>
            <w:r>
              <w:rPr>
                <w:rFonts w:ascii="Arial"/>
                <w:w w:val="99"/>
                <w:sz w:val="24"/>
              </w:rPr>
              <w:t>-</w:t>
            </w:r>
            <w:r>
              <w:rPr>
                <w:rFonts w:ascii="Arial"/>
                <w:sz w:val="24"/>
              </w:rPr>
            </w:r>
          </w:p>
        </w:tc>
      </w:tr>
      <w:tr>
        <w:trPr>
          <w:trHeight w:val="410"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7"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275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6"/>
              <w:jc w:val="right"/>
              <w:rPr>
                <w:rFonts w:ascii="Arial" w:hAnsi="Arial" w:cs="Arial" w:eastAsia="Arial" w:hint="default"/>
                <w:sz w:val="24"/>
                <w:szCs w:val="24"/>
              </w:rPr>
            </w:pPr>
            <w:r>
              <w:rPr>
                <w:rFonts w:ascii="Arial"/>
                <w:spacing w:val="-1"/>
                <w:sz w:val="24"/>
              </w:rPr>
              <w:t>399,930</w:t>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280" w:right="0"/>
              <w:jc w:val="left"/>
              <w:rPr>
                <w:rFonts w:ascii="Arial" w:hAnsi="Arial" w:cs="Arial" w:eastAsia="Arial" w:hint="default"/>
                <w:sz w:val="24"/>
                <w:szCs w:val="24"/>
              </w:rPr>
            </w:pPr>
            <w:r>
              <w:rPr>
                <w:rFonts w:ascii="Arial"/>
                <w:sz w:val="24"/>
              </w:rPr>
              <w:t>(294,235)</w:t>
            </w:r>
          </w:p>
        </w:tc>
      </w:tr>
      <w:tr>
        <w:trPr>
          <w:trHeight w:val="382"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301" w:lineRule="exact"/>
              <w:ind w:left="217" w:right="0"/>
              <w:jc w:val="left"/>
              <w:rPr>
                <w:rFonts w:ascii="宋体" w:hAnsi="宋体" w:cs="宋体" w:eastAsia="宋体" w:hint="default"/>
                <w:sz w:val="24"/>
                <w:szCs w:val="24"/>
              </w:rPr>
            </w:pPr>
            <w:r>
              <w:rPr>
                <w:rFonts w:ascii="宋体" w:hAnsi="宋体" w:cs="宋体" w:eastAsia="宋体" w:hint="default"/>
                <w:sz w:val="24"/>
                <w:szCs w:val="24"/>
              </w:rPr>
              <w:t>减：少数股东权益</w:t>
            </w:r>
          </w:p>
        </w:tc>
        <w:tc>
          <w:tcPr>
            <w:tcW w:w="275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69"/>
              <w:jc w:val="right"/>
              <w:rPr>
                <w:rFonts w:ascii="Arial" w:hAnsi="Arial" w:cs="Arial" w:eastAsia="Arial" w:hint="default"/>
                <w:sz w:val="24"/>
                <w:szCs w:val="24"/>
              </w:rPr>
            </w:pPr>
            <w:r>
              <w:rPr>
                <w:rFonts w:ascii="Arial"/>
                <w:w w:val="95"/>
                <w:sz w:val="24"/>
              </w:rPr>
              <w:t>(127,658)</w:t>
            </w:r>
            <w:r>
              <w:rPr>
                <w:rFonts w:ascii="Arial"/>
                <w:sz w:val="24"/>
              </w:rPr>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515" w:right="0"/>
              <w:jc w:val="left"/>
              <w:rPr>
                <w:rFonts w:ascii="Arial" w:hAnsi="Arial" w:cs="Arial" w:eastAsia="Arial" w:hint="default"/>
                <w:sz w:val="24"/>
                <w:szCs w:val="24"/>
              </w:rPr>
            </w:pPr>
            <w:r>
              <w:rPr>
                <w:rFonts w:ascii="Arial"/>
                <w:sz w:val="24"/>
              </w:rPr>
              <w:t>93,920</w:t>
            </w:r>
          </w:p>
        </w:tc>
      </w:tr>
      <w:tr>
        <w:trPr>
          <w:trHeight w:val="412" w:hRule="exact"/>
        </w:trPr>
        <w:tc>
          <w:tcPr>
            <w:tcW w:w="71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17" w:right="0"/>
              <w:jc w:val="left"/>
              <w:rPr>
                <w:rFonts w:ascii="宋体" w:hAnsi="宋体" w:cs="宋体" w:eastAsia="宋体" w:hint="default"/>
                <w:sz w:val="24"/>
                <w:szCs w:val="24"/>
              </w:rPr>
            </w:pPr>
            <w:r>
              <w:rPr>
                <w:rFonts w:ascii="宋体" w:hAnsi="宋体" w:cs="宋体" w:eastAsia="宋体" w:hint="default"/>
                <w:sz w:val="24"/>
                <w:szCs w:val="24"/>
              </w:rPr>
              <w:t>取得的净资产</w:t>
            </w:r>
          </w:p>
        </w:tc>
        <w:tc>
          <w:tcPr>
            <w:tcW w:w="2754"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36"/>
              <w:jc w:val="right"/>
              <w:rPr>
                <w:rFonts w:ascii="Arial" w:hAnsi="Arial" w:cs="Arial" w:eastAsia="Arial" w:hint="default"/>
                <w:sz w:val="24"/>
                <w:szCs w:val="24"/>
              </w:rPr>
            </w:pPr>
            <w:r>
              <w:rPr>
                <w:rFonts w:ascii="Arial"/>
                <w:spacing w:val="-1"/>
                <w:sz w:val="24"/>
              </w:rPr>
              <w:t>272,272</w:t>
            </w:r>
          </w:p>
        </w:tc>
        <w:tc>
          <w:tcPr>
            <w:tcW w:w="228"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left="1280" w:right="0"/>
              <w:jc w:val="left"/>
              <w:rPr>
                <w:rFonts w:ascii="Arial" w:hAnsi="Arial" w:cs="Arial" w:eastAsia="Arial" w:hint="default"/>
                <w:sz w:val="24"/>
                <w:szCs w:val="24"/>
              </w:rPr>
            </w:pPr>
            <w:r>
              <w:rPr>
                <w:rFonts w:ascii="Arial"/>
                <w:sz w:val="24"/>
              </w:rPr>
              <w:t>(200,315)</w:t>
            </w:r>
          </w:p>
        </w:tc>
      </w:tr>
    </w:tbl>
    <w:p>
      <w:pPr>
        <w:spacing w:after="0" w:line="240" w:lineRule="auto"/>
        <w:jc w:val="left"/>
        <w:rPr>
          <w:rFonts w:ascii="Arial" w:hAnsi="Arial" w:cs="Arial" w:eastAsia="Arial" w:hint="default"/>
          <w:sz w:val="24"/>
          <w:szCs w:val="24"/>
        </w:rPr>
        <w:sectPr>
          <w:pgSz w:w="11910" w:h="16840"/>
          <w:pgMar w:header="0" w:footer="914" w:top="186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711"/>
        <w:gridCol w:w="8941"/>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五</w:t>
            </w:r>
          </w:p>
        </w:tc>
        <w:tc>
          <w:tcPr>
            <w:tcW w:w="8941"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
              <w:jc w:val="center"/>
              <w:rPr>
                <w:rFonts w:ascii="Arial" w:hAnsi="Arial" w:cs="Arial" w:eastAsia="Arial" w:hint="default"/>
                <w:sz w:val="24"/>
                <w:szCs w:val="24"/>
              </w:rPr>
            </w:pPr>
            <w:r>
              <w:rPr>
                <w:rFonts w:ascii="Arial"/>
                <w:sz w:val="24"/>
              </w:rPr>
              <w:t>(1)</w:t>
            </w:r>
          </w:p>
        </w:tc>
        <w:tc>
          <w:tcPr>
            <w:tcW w:w="894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7"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0"/>
              <w:jc w:val="center"/>
              <w:rPr>
                <w:rFonts w:ascii="Arial" w:hAnsi="Arial" w:cs="Arial" w:eastAsia="Arial" w:hint="default"/>
                <w:sz w:val="24"/>
                <w:szCs w:val="24"/>
              </w:rPr>
            </w:pPr>
            <w:r>
              <w:rPr>
                <w:rFonts w:ascii="Arial"/>
                <w:sz w:val="24"/>
              </w:rPr>
              <w:t>(c)</w:t>
            </w:r>
          </w:p>
        </w:tc>
        <w:tc>
          <w:tcPr>
            <w:tcW w:w="89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95"/>
              <w:jc w:val="center"/>
              <w:rPr>
                <w:rFonts w:ascii="Arial" w:hAnsi="Arial" w:cs="Arial" w:eastAsia="Arial" w:hint="default"/>
                <w:sz w:val="24"/>
                <w:szCs w:val="24"/>
              </w:rPr>
            </w:pPr>
            <w:r>
              <w:rPr>
                <w:rFonts w:ascii="Arial"/>
                <w:sz w:val="24"/>
              </w:rPr>
              <w:t>(i)</w:t>
            </w:r>
          </w:p>
        </w:tc>
        <w:tc>
          <w:tcPr>
            <w:tcW w:w="89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Arial" w:hAnsi="Arial" w:cs="Arial" w:eastAsia="Arial" w:hint="default"/>
                <w:sz w:val="24"/>
                <w:szCs w:val="24"/>
              </w:rPr>
              <w:t>PPTV</w:t>
            </w:r>
            <w:r>
              <w:rPr>
                <w:rFonts w:ascii="Arial" w:hAnsi="Arial" w:cs="Arial" w:eastAsia="Arial" w:hint="default"/>
                <w:spacing w:val="-7"/>
                <w:sz w:val="24"/>
                <w:szCs w:val="24"/>
              </w:rPr>
              <w:t> </w:t>
            </w:r>
            <w:r>
              <w:rPr>
                <w:rFonts w:ascii="宋体" w:hAnsi="宋体" w:cs="宋体" w:eastAsia="宋体" w:hint="default"/>
                <w:sz w:val="24"/>
                <w:szCs w:val="24"/>
              </w:rPr>
              <w:t>业务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892" w:hRule="exact"/>
        </w:trPr>
        <w:tc>
          <w:tcPr>
            <w:tcW w:w="711" w:type="dxa"/>
            <w:tcBorders>
              <w:top w:val="nil" w:sz="6" w:space="0" w:color="auto"/>
              <w:left w:val="nil" w:sz="6" w:space="0" w:color="auto"/>
              <w:bottom w:val="nil" w:sz="6" w:space="0" w:color="auto"/>
              <w:right w:val="nil" w:sz="6" w:space="0" w:color="auto"/>
            </w:tcBorders>
          </w:tcPr>
          <w:p>
            <w:pPr/>
          </w:p>
        </w:tc>
        <w:tc>
          <w:tcPr>
            <w:tcW w:w="8941" w:type="dxa"/>
            <w:tcBorders>
              <w:top w:val="nil" w:sz="6" w:space="0" w:color="auto"/>
              <w:left w:val="nil" w:sz="6" w:space="0" w:color="auto"/>
              <w:bottom w:val="nil" w:sz="6" w:space="0" w:color="auto"/>
              <w:right w:val="nil" w:sz="6" w:space="0" w:color="auto"/>
            </w:tcBorders>
          </w:tcPr>
          <w:p>
            <w:pPr>
              <w:pStyle w:val="TableParagraph"/>
              <w:spacing w:line="310" w:lineRule="exact" w:before="125"/>
              <w:ind w:left="217" w:right="198"/>
              <w:jc w:val="left"/>
              <w:rPr>
                <w:rFonts w:ascii="宋体" w:hAnsi="宋体" w:cs="宋体" w:eastAsia="宋体" w:hint="default"/>
                <w:sz w:val="24"/>
                <w:szCs w:val="24"/>
              </w:rPr>
            </w:pPr>
            <w:r>
              <w:rPr>
                <w:rFonts w:ascii="宋体" w:hAnsi="宋体" w:cs="宋体" w:eastAsia="宋体" w:hint="default"/>
                <w:sz w:val="24"/>
                <w:szCs w:val="24"/>
              </w:rPr>
              <w:t>本集团采用估值技术来确定 </w:t>
            </w:r>
            <w:r>
              <w:rPr>
                <w:rFonts w:ascii="Arial" w:hAnsi="Arial" w:cs="Arial" w:eastAsia="Arial" w:hint="default"/>
                <w:sz w:val="24"/>
                <w:szCs w:val="24"/>
              </w:rPr>
              <w:t>PPTV</w:t>
            </w:r>
            <w:r>
              <w:rPr>
                <w:rFonts w:ascii="Arial" w:hAnsi="Arial" w:cs="Arial" w:eastAsia="Arial" w:hint="default"/>
                <w:spacing w:val="27"/>
                <w:sz w:val="24"/>
                <w:szCs w:val="24"/>
              </w:rPr>
              <w:t> </w:t>
            </w:r>
            <w:r>
              <w:rPr>
                <w:rFonts w:ascii="宋体" w:hAnsi="宋体" w:cs="宋体" w:eastAsia="宋体" w:hint="default"/>
                <w:sz w:val="24"/>
                <w:szCs w:val="24"/>
              </w:rPr>
              <w:t>业务的各项可辨认资产和负债于购买日的公允</w:t>
            </w:r>
            <w:r>
              <w:rPr>
                <w:rFonts w:ascii="宋体" w:hAnsi="宋体" w:cs="宋体" w:eastAsia="宋体" w:hint="default"/>
                <w:w w:val="100"/>
                <w:sz w:val="24"/>
                <w:szCs w:val="24"/>
              </w:rPr>
              <w:t> </w:t>
            </w:r>
            <w:r>
              <w:rPr>
                <w:rFonts w:ascii="宋体" w:hAnsi="宋体" w:cs="宋体" w:eastAsia="宋体" w:hint="default"/>
                <w:sz w:val="24"/>
                <w:szCs w:val="24"/>
              </w:rPr>
              <w:t>价值。主要资产的评估方法及其关键假设列示如下：</w:t>
            </w:r>
          </w:p>
        </w:tc>
      </w:tr>
      <w:tr>
        <w:trPr>
          <w:trHeight w:val="2592" w:hRule="exact"/>
        </w:trPr>
        <w:tc>
          <w:tcPr>
            <w:tcW w:w="711" w:type="dxa"/>
            <w:tcBorders>
              <w:top w:val="nil" w:sz="6" w:space="0" w:color="auto"/>
              <w:left w:val="nil" w:sz="6" w:space="0" w:color="auto"/>
              <w:bottom w:val="nil" w:sz="6" w:space="0" w:color="auto"/>
              <w:right w:val="nil" w:sz="6" w:space="0" w:color="auto"/>
            </w:tcBorders>
          </w:tcPr>
          <w:p>
            <w:pPr/>
          </w:p>
        </w:tc>
        <w:tc>
          <w:tcPr>
            <w:tcW w:w="8941"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486" w:right="200" w:hanging="285"/>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9"/>
                <w:sz w:val="24"/>
                <w:szCs w:val="24"/>
              </w:rPr>
              <w:t></w:t>
            </w:r>
            <w:r>
              <w:rPr>
                <w:rFonts w:ascii="Times New Roman" w:hAnsi="Times New Roman" w:cs="Times New Roman" w:eastAsia="Times New Roman" w:hint="default"/>
                <w:spacing w:val="9"/>
                <w:sz w:val="24"/>
                <w:szCs w:val="24"/>
              </w:rPr>
            </w:r>
            <w:r>
              <w:rPr>
                <w:rFonts w:ascii="宋体" w:hAnsi="宋体" w:cs="宋体" w:eastAsia="宋体" w:hint="default"/>
                <w:spacing w:val="2"/>
                <w:sz w:val="24"/>
                <w:szCs w:val="24"/>
              </w:rPr>
              <w:t>采用收入法中的特许权使用费节省法对域名品牌和视频技术的公允价值进行评</w:t>
            </w:r>
            <w:r>
              <w:rPr>
                <w:rFonts w:ascii="宋体" w:hAnsi="宋体" w:cs="宋体" w:eastAsia="宋体" w:hint="default"/>
                <w:w w:val="100"/>
                <w:sz w:val="24"/>
                <w:szCs w:val="24"/>
              </w:rPr>
              <w:t> </w:t>
            </w:r>
            <w:r>
              <w:rPr>
                <w:rFonts w:ascii="宋体" w:hAnsi="宋体" w:cs="宋体" w:eastAsia="宋体" w:hint="default"/>
                <w:sz w:val="24"/>
                <w:szCs w:val="24"/>
              </w:rPr>
              <w:t>估；</w:t>
            </w:r>
          </w:p>
          <w:p>
            <w:pPr>
              <w:pStyle w:val="TableParagraph"/>
              <w:spacing w:line="291" w:lineRule="exact"/>
              <w:ind w:left="201"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采用了市场法对内容版权的公允价值进行评估；</w:t>
            </w:r>
          </w:p>
          <w:p>
            <w:pPr>
              <w:pStyle w:val="TableParagraph"/>
              <w:spacing w:line="230" w:lineRule="auto"/>
              <w:ind w:left="486" w:right="206" w:hanging="27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7"/>
                <w:sz w:val="24"/>
                <w:szCs w:val="24"/>
              </w:rPr>
              <w:t></w:t>
            </w:r>
            <w:r>
              <w:rPr>
                <w:rFonts w:ascii="Times New Roman" w:hAnsi="Times New Roman" w:cs="Times New Roman" w:eastAsia="Times New Roman" w:hint="default"/>
                <w:spacing w:val="47"/>
                <w:sz w:val="24"/>
                <w:szCs w:val="24"/>
              </w:rPr>
            </w:r>
            <w:r>
              <w:rPr>
                <w:rFonts w:ascii="宋体" w:hAnsi="宋体" w:cs="宋体" w:eastAsia="宋体" w:hint="default"/>
                <w:spacing w:val="2"/>
                <w:sz w:val="24"/>
                <w:szCs w:val="24"/>
              </w:rPr>
              <w:t>国家现行的有关法律、法规及政策，国家宏观经济形势无重大变化；本次交易</w:t>
            </w:r>
            <w:r>
              <w:rPr>
                <w:rFonts w:ascii="宋体" w:hAnsi="宋体" w:cs="宋体" w:eastAsia="宋体" w:hint="default"/>
                <w:w w:val="100"/>
                <w:sz w:val="24"/>
                <w:szCs w:val="24"/>
              </w:rPr>
              <w:t> </w:t>
            </w:r>
            <w:r>
              <w:rPr>
                <w:rFonts w:ascii="宋体" w:hAnsi="宋体" w:cs="宋体" w:eastAsia="宋体" w:hint="default"/>
                <w:spacing w:val="2"/>
                <w:sz w:val="24"/>
                <w:szCs w:val="24"/>
              </w:rPr>
              <w:t>各方所处地区的政治、经济和社会环境无重大变化；无其他不可预测和不可抗</w:t>
            </w:r>
            <w:r>
              <w:rPr>
                <w:rFonts w:ascii="宋体" w:hAnsi="宋体" w:cs="宋体" w:eastAsia="宋体" w:hint="default"/>
                <w:w w:val="100"/>
                <w:sz w:val="24"/>
                <w:szCs w:val="24"/>
              </w:rPr>
              <w:t> </w:t>
            </w:r>
            <w:r>
              <w:rPr>
                <w:rFonts w:ascii="宋体" w:hAnsi="宋体" w:cs="宋体" w:eastAsia="宋体" w:hint="default"/>
                <w:sz w:val="24"/>
                <w:szCs w:val="24"/>
              </w:rPr>
              <w:t>力因素造成的重大不利影响；</w:t>
            </w:r>
          </w:p>
          <w:p>
            <w:pPr>
              <w:pStyle w:val="TableParagraph"/>
              <w:spacing w:line="310" w:lineRule="exact" w:before="30"/>
              <w:ind w:left="486" w:right="206" w:hanging="27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7"/>
                <w:sz w:val="24"/>
                <w:szCs w:val="24"/>
              </w:rPr>
              <w:t></w:t>
            </w:r>
            <w:r>
              <w:rPr>
                <w:rFonts w:ascii="Times New Roman" w:hAnsi="Times New Roman" w:cs="Times New Roman" w:eastAsia="Times New Roman" w:hint="default"/>
                <w:spacing w:val="47"/>
                <w:sz w:val="24"/>
                <w:szCs w:val="24"/>
              </w:rPr>
            </w:r>
            <w:r>
              <w:rPr>
                <w:rFonts w:ascii="宋体" w:hAnsi="宋体" w:cs="宋体" w:eastAsia="宋体" w:hint="default"/>
                <w:spacing w:val="2"/>
                <w:sz w:val="24"/>
                <w:szCs w:val="24"/>
              </w:rPr>
              <w:t>评估以评估结果将用于在企业会计准则下对企业合并的会计处理和报告为基本</w:t>
            </w:r>
            <w:r>
              <w:rPr>
                <w:rFonts w:ascii="宋体" w:hAnsi="宋体" w:cs="宋体" w:eastAsia="宋体" w:hint="default"/>
                <w:w w:val="100"/>
                <w:sz w:val="24"/>
                <w:szCs w:val="24"/>
              </w:rPr>
              <w:t> </w:t>
            </w:r>
            <w:r>
              <w:rPr>
                <w:rFonts w:ascii="宋体" w:hAnsi="宋体" w:cs="宋体" w:eastAsia="宋体" w:hint="default"/>
                <w:sz w:val="24"/>
                <w:szCs w:val="24"/>
              </w:rPr>
              <w:t>假设前提。</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699"/>
        <w:gridCol w:w="3825"/>
        <w:gridCol w:w="3142"/>
        <w:gridCol w:w="2066"/>
      </w:tblGrid>
      <w:tr>
        <w:trPr>
          <w:trHeight w:val="427" w:hRule="exact"/>
        </w:trPr>
        <w:tc>
          <w:tcPr>
            <w:tcW w:w="69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w:t>
            </w:r>
          </w:p>
        </w:tc>
        <w:tc>
          <w:tcPr>
            <w:tcW w:w="3825" w:type="dxa"/>
            <w:tcBorders>
              <w:top w:val="nil" w:sz="6" w:space="0" w:color="auto"/>
              <w:left w:val="nil" w:sz="6" w:space="0" w:color="auto"/>
              <w:bottom w:val="nil" w:sz="6" w:space="0" w:color="auto"/>
              <w:right w:val="nil" w:sz="6" w:space="0" w:color="auto"/>
            </w:tcBorders>
          </w:tcPr>
          <w:p>
            <w:pPr>
              <w:pStyle w:val="TableParagraph"/>
              <w:spacing w:line="265" w:lineRule="exact"/>
              <w:ind w:left="233" w:right="0"/>
              <w:jc w:val="left"/>
              <w:rPr>
                <w:rFonts w:ascii="宋体" w:hAnsi="宋体" w:cs="宋体" w:eastAsia="宋体" w:hint="default"/>
                <w:sz w:val="24"/>
                <w:szCs w:val="24"/>
              </w:rPr>
            </w:pPr>
            <w:r>
              <w:rPr>
                <w:rFonts w:ascii="Arial" w:hAnsi="Arial" w:cs="Arial" w:eastAsia="Arial" w:hint="default"/>
                <w:sz w:val="24"/>
                <w:szCs w:val="24"/>
              </w:rPr>
              <w:t>MODE ET JACOMO</w:t>
            </w:r>
            <w:r>
              <w:rPr>
                <w:rFonts w:ascii="Arial" w:hAnsi="Arial" w:cs="Arial" w:eastAsia="Arial" w:hint="default"/>
                <w:spacing w:val="-12"/>
                <w:sz w:val="24"/>
                <w:szCs w:val="24"/>
              </w:rPr>
              <w:t> </w:t>
            </w:r>
            <w:r>
              <w:rPr>
                <w:rFonts w:ascii="宋体" w:hAnsi="宋体" w:cs="宋体" w:eastAsia="宋体" w:hint="default"/>
                <w:sz w:val="24"/>
                <w:szCs w:val="24"/>
              </w:rPr>
              <w:t>业务</w:t>
            </w:r>
          </w:p>
        </w:tc>
        <w:tc>
          <w:tcPr>
            <w:tcW w:w="3142"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444"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16" w:right="0"/>
              <w:jc w:val="left"/>
              <w:rPr>
                <w:rFonts w:ascii="宋体" w:hAnsi="宋体" w:cs="宋体" w:eastAsia="宋体" w:hint="default"/>
                <w:sz w:val="24"/>
                <w:szCs w:val="24"/>
              </w:rPr>
            </w:pPr>
            <w:r>
              <w:rPr>
                <w:rFonts w:ascii="宋体" w:hAnsi="宋体" w:cs="宋体" w:eastAsia="宋体" w:hint="default"/>
                <w:sz w:val="24"/>
                <w:szCs w:val="24"/>
              </w:rPr>
              <w:t>购买日</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78"/>
              <w:jc w:val="right"/>
              <w:rPr>
                <w:rFonts w:ascii="宋体" w:hAnsi="宋体" w:cs="宋体" w:eastAsia="宋体" w:hint="default"/>
                <w:sz w:val="24"/>
                <w:szCs w:val="24"/>
              </w:rPr>
            </w:pPr>
            <w:r>
              <w:rPr>
                <w:rFonts w:ascii="宋体" w:hAnsi="宋体" w:cs="宋体" w:eastAsia="宋体" w:hint="default"/>
                <w:sz w:val="24"/>
                <w:szCs w:val="24"/>
              </w:rPr>
              <w:t>购买日</w:t>
            </w:r>
          </w:p>
        </w:tc>
      </w:tr>
      <w:tr>
        <w:trPr>
          <w:trHeight w:val="449"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76" w:lineRule="exact"/>
              <w:ind w:left="1276"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066" w:type="dxa"/>
            <w:tcBorders>
              <w:top w:val="nil" w:sz="6" w:space="0" w:color="auto"/>
              <w:left w:val="nil" w:sz="6" w:space="0" w:color="auto"/>
              <w:bottom w:val="nil" w:sz="6" w:space="0" w:color="auto"/>
              <w:right w:val="nil" w:sz="6" w:space="0" w:color="auto"/>
            </w:tcBorders>
          </w:tcPr>
          <w:p>
            <w:pPr>
              <w:pStyle w:val="TableParagraph"/>
              <w:spacing w:line="276" w:lineRule="exact"/>
              <w:ind w:right="278"/>
              <w:jc w:val="right"/>
              <w:rPr>
                <w:rFonts w:ascii="宋体" w:hAnsi="宋体" w:cs="宋体" w:eastAsia="宋体" w:hint="default"/>
                <w:sz w:val="24"/>
                <w:szCs w:val="24"/>
              </w:rPr>
            </w:pPr>
            <w:r>
              <w:rPr>
                <w:rFonts w:ascii="宋体" w:hAnsi="宋体" w:cs="宋体" w:eastAsia="宋体" w:hint="default"/>
                <w:sz w:val="24"/>
                <w:szCs w:val="24"/>
              </w:rPr>
              <w:t>账面价值</w:t>
            </w:r>
          </w:p>
        </w:tc>
      </w:tr>
      <w:tr>
        <w:trPr>
          <w:trHeight w:val="462"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503" w:right="0"/>
              <w:jc w:val="left"/>
              <w:rPr>
                <w:rFonts w:ascii="Arial" w:hAnsi="Arial" w:cs="Arial" w:eastAsia="Arial" w:hint="default"/>
                <w:sz w:val="24"/>
                <w:szCs w:val="24"/>
              </w:rPr>
            </w:pPr>
            <w:r>
              <w:rPr>
                <w:rFonts w:ascii="Arial"/>
                <w:sz w:val="24"/>
              </w:rPr>
              <w:t>18,408</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77"/>
              <w:jc w:val="right"/>
              <w:rPr>
                <w:rFonts w:ascii="Arial" w:hAnsi="Arial" w:cs="Arial" w:eastAsia="Arial" w:hint="default"/>
                <w:sz w:val="24"/>
                <w:szCs w:val="24"/>
              </w:rPr>
            </w:pPr>
            <w:r>
              <w:rPr>
                <w:rFonts w:ascii="Arial"/>
                <w:w w:val="95"/>
                <w:sz w:val="24"/>
              </w:rPr>
              <w:t>18,408</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62" w:lineRule="exact"/>
              <w:ind w:left="233"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03" w:right="0"/>
              <w:jc w:val="left"/>
              <w:rPr>
                <w:rFonts w:ascii="Arial" w:hAnsi="Arial" w:cs="Arial" w:eastAsia="Arial" w:hint="default"/>
                <w:sz w:val="24"/>
                <w:szCs w:val="24"/>
              </w:rPr>
            </w:pPr>
            <w:r>
              <w:rPr>
                <w:rFonts w:ascii="Arial"/>
                <w:sz w:val="24"/>
              </w:rPr>
              <w:t>30,949</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7"/>
              <w:jc w:val="right"/>
              <w:rPr>
                <w:rFonts w:ascii="Arial" w:hAnsi="Arial" w:cs="Arial" w:eastAsia="Arial" w:hint="default"/>
                <w:sz w:val="24"/>
                <w:szCs w:val="24"/>
              </w:rPr>
            </w:pPr>
            <w:r>
              <w:rPr>
                <w:rFonts w:ascii="Arial"/>
                <w:w w:val="95"/>
                <w:sz w:val="24"/>
              </w:rPr>
              <w:t>30,949</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62" w:lineRule="exact"/>
              <w:ind w:left="23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3" w:right="0"/>
              <w:jc w:val="left"/>
              <w:rPr>
                <w:rFonts w:ascii="Arial" w:hAnsi="Arial" w:cs="Arial" w:eastAsia="Arial" w:hint="default"/>
                <w:sz w:val="24"/>
                <w:szCs w:val="24"/>
              </w:rPr>
            </w:pPr>
            <w:r>
              <w:rPr>
                <w:rFonts w:ascii="Arial"/>
                <w:sz w:val="24"/>
              </w:rPr>
              <w:t>43,819</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7"/>
              <w:jc w:val="right"/>
              <w:rPr>
                <w:rFonts w:ascii="Arial" w:hAnsi="Arial" w:cs="Arial" w:eastAsia="Arial" w:hint="default"/>
                <w:sz w:val="24"/>
                <w:szCs w:val="24"/>
              </w:rPr>
            </w:pPr>
            <w:r>
              <w:rPr>
                <w:rFonts w:ascii="Arial"/>
                <w:w w:val="95"/>
                <w:sz w:val="24"/>
              </w:rPr>
              <w:t>43,819</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62" w:lineRule="exact"/>
              <w:ind w:left="23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36" w:right="0"/>
              <w:jc w:val="left"/>
              <w:rPr>
                <w:rFonts w:ascii="Arial" w:hAnsi="Arial" w:cs="Arial" w:eastAsia="Arial" w:hint="default"/>
                <w:sz w:val="24"/>
                <w:szCs w:val="24"/>
              </w:rPr>
            </w:pPr>
            <w:r>
              <w:rPr>
                <w:rFonts w:ascii="Arial"/>
                <w:sz w:val="24"/>
              </w:rPr>
              <w:t>1,231</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7"/>
              <w:jc w:val="right"/>
              <w:rPr>
                <w:rFonts w:ascii="Arial" w:hAnsi="Arial" w:cs="Arial" w:eastAsia="Arial" w:hint="default"/>
                <w:sz w:val="24"/>
                <w:szCs w:val="24"/>
              </w:rPr>
            </w:pPr>
            <w:r>
              <w:rPr>
                <w:rFonts w:ascii="Arial"/>
                <w:w w:val="95"/>
                <w:sz w:val="24"/>
              </w:rPr>
              <w:t>1,231</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62" w:lineRule="exact"/>
              <w:ind w:left="23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03" w:right="0"/>
              <w:jc w:val="left"/>
              <w:rPr>
                <w:rFonts w:ascii="Arial" w:hAnsi="Arial" w:cs="Arial" w:eastAsia="Arial" w:hint="default"/>
                <w:sz w:val="24"/>
                <w:szCs w:val="24"/>
              </w:rPr>
            </w:pPr>
            <w:r>
              <w:rPr>
                <w:rFonts w:ascii="Arial"/>
                <w:sz w:val="24"/>
              </w:rPr>
              <w:t>15,457</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7"/>
              <w:jc w:val="right"/>
              <w:rPr>
                <w:rFonts w:ascii="Arial" w:hAnsi="Arial" w:cs="Arial" w:eastAsia="Arial" w:hint="default"/>
                <w:sz w:val="24"/>
                <w:szCs w:val="24"/>
              </w:rPr>
            </w:pPr>
            <w:r>
              <w:rPr>
                <w:rFonts w:ascii="Arial"/>
                <w:w w:val="95"/>
                <w:sz w:val="24"/>
              </w:rPr>
              <w:t>15,457</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62" w:lineRule="exact"/>
              <w:ind w:left="23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36" w:right="0"/>
              <w:jc w:val="left"/>
              <w:rPr>
                <w:rFonts w:ascii="Arial" w:hAnsi="Arial" w:cs="Arial" w:eastAsia="Arial" w:hint="default"/>
                <w:sz w:val="24"/>
                <w:szCs w:val="24"/>
              </w:rPr>
            </w:pPr>
            <w:r>
              <w:rPr>
                <w:rFonts w:ascii="Arial"/>
                <w:sz w:val="24"/>
              </w:rPr>
              <w:t>2,367</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7"/>
              <w:jc w:val="right"/>
              <w:rPr>
                <w:rFonts w:ascii="Arial" w:hAnsi="Arial" w:cs="Arial" w:eastAsia="Arial" w:hint="default"/>
                <w:sz w:val="24"/>
                <w:szCs w:val="24"/>
              </w:rPr>
            </w:pPr>
            <w:r>
              <w:rPr>
                <w:rFonts w:ascii="Arial"/>
                <w:w w:val="95"/>
                <w:sz w:val="24"/>
              </w:rPr>
              <w:t>2,367</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62" w:lineRule="exact"/>
              <w:ind w:left="23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36" w:right="0"/>
              <w:jc w:val="left"/>
              <w:rPr>
                <w:rFonts w:ascii="Arial" w:hAnsi="Arial" w:cs="Arial" w:eastAsia="Arial" w:hint="default"/>
                <w:sz w:val="24"/>
                <w:szCs w:val="24"/>
              </w:rPr>
            </w:pPr>
            <w:r>
              <w:rPr>
                <w:rFonts w:ascii="Arial"/>
                <w:sz w:val="24"/>
              </w:rPr>
              <w:t>9,042</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7"/>
              <w:jc w:val="right"/>
              <w:rPr>
                <w:rFonts w:ascii="Arial" w:hAnsi="Arial" w:cs="Arial" w:eastAsia="Arial" w:hint="default"/>
                <w:sz w:val="24"/>
                <w:szCs w:val="24"/>
              </w:rPr>
            </w:pPr>
            <w:r>
              <w:rPr>
                <w:rFonts w:ascii="Arial"/>
                <w:w w:val="95"/>
                <w:sz w:val="24"/>
              </w:rPr>
              <w:t>9,042</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61" w:lineRule="exact"/>
              <w:ind w:left="233" w:right="0"/>
              <w:jc w:val="left"/>
              <w:rPr>
                <w:rFonts w:ascii="宋体" w:hAnsi="宋体" w:cs="宋体" w:eastAsia="宋体" w:hint="default"/>
                <w:sz w:val="24"/>
                <w:szCs w:val="24"/>
              </w:rPr>
            </w:pPr>
            <w:r>
              <w:rPr>
                <w:rFonts w:ascii="宋体" w:hAnsi="宋体" w:cs="宋体" w:eastAsia="宋体" w:hint="default"/>
                <w:sz w:val="24"/>
                <w:szCs w:val="24"/>
              </w:rPr>
              <w:t>减：借款</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22" w:right="0"/>
              <w:jc w:val="left"/>
              <w:rPr>
                <w:rFonts w:ascii="Arial" w:hAnsi="Arial" w:cs="Arial" w:eastAsia="Arial" w:hint="default"/>
                <w:sz w:val="24"/>
                <w:szCs w:val="24"/>
              </w:rPr>
            </w:pPr>
            <w:r>
              <w:rPr>
                <w:rFonts w:ascii="Arial"/>
                <w:sz w:val="24"/>
              </w:rPr>
              <w:t>(53,303)</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(29,631)</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62" w:lineRule="exact"/>
              <w:ind w:left="723" w:right="0"/>
              <w:jc w:val="left"/>
              <w:rPr>
                <w:rFonts w:ascii="宋体" w:hAnsi="宋体" w:cs="宋体" w:eastAsia="宋体" w:hint="default"/>
                <w:sz w:val="24"/>
                <w:szCs w:val="24"/>
              </w:rPr>
            </w:pPr>
            <w:r>
              <w:rPr>
                <w:rFonts w:ascii="宋体" w:hAnsi="宋体" w:cs="宋体" w:eastAsia="宋体" w:hint="default"/>
                <w:sz w:val="24"/>
                <w:szCs w:val="24"/>
              </w:rPr>
              <w:t>应付款项</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22" w:right="0"/>
              <w:jc w:val="left"/>
              <w:rPr>
                <w:rFonts w:ascii="Arial" w:hAnsi="Arial" w:cs="Arial" w:eastAsia="Arial" w:hint="default"/>
                <w:sz w:val="24"/>
                <w:szCs w:val="24"/>
              </w:rPr>
            </w:pPr>
            <w:r>
              <w:rPr>
                <w:rFonts w:ascii="Arial"/>
                <w:sz w:val="24"/>
              </w:rPr>
              <w:t>(22,785)</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(22,783)</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262" w:lineRule="exact"/>
              <w:ind w:left="723" w:right="0"/>
              <w:jc w:val="left"/>
              <w:rPr>
                <w:rFonts w:ascii="宋体" w:hAnsi="宋体" w:cs="宋体" w:eastAsia="宋体" w:hint="default"/>
                <w:sz w:val="24"/>
                <w:szCs w:val="24"/>
              </w:rPr>
            </w:pPr>
            <w:r>
              <w:rPr>
                <w:rFonts w:ascii="宋体" w:hAnsi="宋体" w:cs="宋体" w:eastAsia="宋体" w:hint="default"/>
                <w:sz w:val="24"/>
                <w:szCs w:val="24"/>
              </w:rPr>
              <w:t>其他负债</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22" w:right="0"/>
              <w:jc w:val="left"/>
              <w:rPr>
                <w:rFonts w:ascii="Arial" w:hAnsi="Arial" w:cs="Arial" w:eastAsia="Arial" w:hint="default"/>
                <w:sz w:val="24"/>
                <w:szCs w:val="24"/>
              </w:rPr>
            </w:pPr>
            <w:r>
              <w:rPr>
                <w:rFonts w:ascii="Arial"/>
                <w:sz w:val="24"/>
              </w:rPr>
              <w:t>(16,141)</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spacing w:val="-1"/>
                <w:sz w:val="24"/>
              </w:rPr>
              <w:t>(39,813)</w:t>
            </w:r>
          </w:p>
        </w:tc>
      </w:tr>
      <w:tr>
        <w:trPr>
          <w:trHeight w:val="316"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tabs>
                <w:tab w:pos="3437" w:val="left" w:leader="none"/>
                <w:tab w:pos="5580" w:val="left" w:leader="none"/>
              </w:tabs>
              <w:spacing w:line="257" w:lineRule="exact"/>
              <w:ind w:left="723" w:right="-1756"/>
              <w:jc w:val="left"/>
              <w:rPr>
                <w:rFonts w:ascii="Arial" w:hAnsi="Arial" w:cs="Arial" w:eastAsia="Arial" w:hint="default"/>
                <w:sz w:val="24"/>
                <w:szCs w:val="24"/>
              </w:rPr>
            </w:pPr>
            <w:r>
              <w:rPr>
                <w:rFonts w:ascii="宋体" w:hAnsi="宋体" w:cs="宋体" w:eastAsia="宋体" w:hint="default"/>
                <w:position w:val="2"/>
                <w:sz w:val="24"/>
                <w:szCs w:val="24"/>
              </w:rPr>
              <w:t>递延所得税负债</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3142" w:type="dxa"/>
            <w:tcBorders>
              <w:top w:val="nil" w:sz="6" w:space="0" w:color="auto"/>
              <w:left w:val="nil" w:sz="6" w:space="0" w:color="auto"/>
              <w:bottom w:val="nil" w:sz="6" w:space="0" w:color="auto"/>
              <w:right w:val="nil" w:sz="6" w:space="0" w:color="auto"/>
            </w:tcBorders>
          </w:tcPr>
          <w:p>
            <w:pPr>
              <w:pStyle w:val="TableParagraph"/>
              <w:tabs>
                <w:tab w:pos="2626" w:val="left" w:leader="none"/>
                <w:tab w:pos="4448" w:val="left" w:leader="none"/>
              </w:tabs>
              <w:spacing w:line="240" w:lineRule="auto" w:before="18"/>
              <w:ind w:left="1755" w:right="-1307"/>
              <w:jc w:val="left"/>
              <w:rPr>
                <w:rFonts w:ascii="Arial" w:hAnsi="Arial" w:cs="Arial" w:eastAsia="Arial" w:hint="default"/>
                <w:sz w:val="24"/>
                <w:szCs w:val="24"/>
              </w:rPr>
            </w:pPr>
            <w:r>
              <w:rPr>
                <w:rFonts w:ascii="Arial"/>
                <w:w w:val="99"/>
                <w:sz w:val="24"/>
              </w:rPr>
            </w:r>
            <w:r>
              <w:rPr>
                <w:rFonts w:ascii="Arial"/>
                <w:sz w:val="24"/>
                <w:u w:val="single" w:color="000000"/>
              </w:rPr>
              <w:t>(372)</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r>
            <w:r>
              <w:rPr>
                <w:rFonts w:ascii="Arial"/>
                <w:w w:val="95"/>
                <w:sz w:val="24"/>
                <w:u w:val="single" w:color="000000"/>
              </w:rPr>
              <w:t>(374)</w:t>
            </w:r>
            <w:r>
              <w:rPr>
                <w:rFonts w:ascii="Arial"/>
                <w:w w:val="95"/>
                <w:sz w:val="24"/>
              </w:rPr>
            </w:r>
            <w:r>
              <w:rPr>
                <w:rFonts w:ascii="Arial"/>
                <w:sz w:val="24"/>
              </w:rPr>
            </w:r>
          </w:p>
        </w:tc>
      </w:tr>
      <w:tr>
        <w:trPr>
          <w:trHeight w:val="295" w:hRule="exact"/>
        </w:trPr>
        <w:tc>
          <w:tcPr>
            <w:tcW w:w="699"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tabs>
                <w:tab w:pos="3422" w:val="left" w:leader="none"/>
                <w:tab w:pos="5327" w:val="left" w:leader="none"/>
              </w:tabs>
              <w:spacing w:line="264" w:lineRule="exact"/>
              <w:ind w:left="233" w:right="-1503"/>
              <w:jc w:val="left"/>
              <w:rPr>
                <w:rFonts w:ascii="Arial" w:hAnsi="Arial" w:cs="Arial" w:eastAsia="Arial" w:hint="default"/>
                <w:sz w:val="24"/>
                <w:szCs w:val="24"/>
              </w:rPr>
            </w:pPr>
            <w:r>
              <w:rPr>
                <w:rFonts w:ascii="宋体" w:hAnsi="宋体" w:cs="宋体" w:eastAsia="宋体" w:hint="default"/>
                <w:position w:val="2"/>
                <w:sz w:val="24"/>
                <w:szCs w:val="24"/>
              </w:rPr>
              <w:t>取得的净资产</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3142" w:type="dxa"/>
            <w:tcBorders>
              <w:top w:val="nil" w:sz="6" w:space="0" w:color="auto"/>
              <w:left w:val="nil" w:sz="6" w:space="0" w:color="auto"/>
              <w:bottom w:val="nil" w:sz="6" w:space="0" w:color="auto"/>
              <w:right w:val="nil" w:sz="6" w:space="0" w:color="auto"/>
            </w:tcBorders>
          </w:tcPr>
          <w:p>
            <w:pPr>
              <w:pStyle w:val="TableParagraph"/>
              <w:tabs>
                <w:tab w:pos="2612" w:val="left" w:leader="none"/>
                <w:tab w:pos="4194" w:val="left" w:leader="none"/>
              </w:tabs>
              <w:spacing w:line="240" w:lineRule="auto" w:before="24"/>
              <w:ind w:left="1502" w:right="-1052"/>
              <w:jc w:val="left"/>
              <w:rPr>
                <w:rFonts w:ascii="Arial" w:hAnsi="Arial" w:cs="Arial" w:eastAsia="Arial" w:hint="default"/>
                <w:sz w:val="24"/>
                <w:szCs w:val="24"/>
              </w:rPr>
            </w:pPr>
            <w:r>
              <w:rPr>
                <w:rFonts w:ascii="Arial"/>
                <w:w w:val="99"/>
                <w:sz w:val="24"/>
              </w:rPr>
            </w:r>
            <w:r>
              <w:rPr>
                <w:rFonts w:ascii="Arial"/>
                <w:sz w:val="24"/>
                <w:u w:val="thick" w:color="000000"/>
              </w:rPr>
              <w:t>28,672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66" w:type="dxa"/>
            <w:tcBorders>
              <w:top w:val="nil" w:sz="6" w:space="0" w:color="auto"/>
              <w:left w:val="nil" w:sz="6" w:space="0" w:color="auto"/>
              <w:bottom w:val="nil" w:sz="6" w:space="0" w:color="auto"/>
              <w:right w:val="nil" w:sz="6" w:space="0" w:color="auto"/>
            </w:tcBorders>
          </w:tcPr>
          <w:p>
            <w:pPr>
              <w:pStyle w:val="TableParagraph"/>
              <w:tabs>
                <w:tab w:pos="843" w:val="left" w:leader="none"/>
              </w:tabs>
              <w:spacing w:line="240" w:lineRule="auto" w:before="24"/>
              <w:ind w:right="168"/>
              <w:jc w:val="right"/>
              <w:rPr>
                <w:rFonts w:ascii="Arial" w:hAnsi="Arial" w:cs="Arial" w:eastAsia="Arial" w:hint="default"/>
                <w:sz w:val="24"/>
                <w:szCs w:val="24"/>
              </w:rPr>
            </w:pPr>
            <w:r>
              <w:rPr>
                <w:rFonts w:ascii="Arial"/>
                <w:w w:val="99"/>
                <w:sz w:val="24"/>
              </w:rPr>
            </w:r>
            <w:r>
              <w:rPr>
                <w:rFonts w:ascii="Arial"/>
                <w:spacing w:val="-1"/>
                <w:sz w:val="24"/>
                <w:u w:val="thick" w:color="000000"/>
              </w:rPr>
              <w:t>28,672</w:t>
              <w:tab/>
            </w:r>
            <w:r>
              <w:rPr>
                <w:rFonts w:ascii="Arial"/>
                <w:spacing w:val="-1"/>
                <w:sz w:val="24"/>
              </w:rPr>
            </w:r>
          </w:p>
        </w:tc>
      </w:tr>
    </w:tbl>
    <w:p>
      <w:pPr>
        <w:spacing w:after="0" w:line="240" w:lineRule="auto"/>
        <w:jc w:val="right"/>
        <w:rPr>
          <w:rFonts w:ascii="Arial" w:hAnsi="Arial" w:cs="Arial" w:eastAsia="Arial" w:hint="default"/>
          <w:sz w:val="24"/>
          <w:szCs w:val="24"/>
        </w:rPr>
        <w:sectPr>
          <w:pgSz w:w="11910" w:h="16840"/>
          <w:pgMar w:header="0" w:footer="914" w:top="186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711"/>
        <w:gridCol w:w="8942"/>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五</w:t>
            </w:r>
          </w:p>
        </w:tc>
        <w:tc>
          <w:tcPr>
            <w:tcW w:w="8942"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
              <w:jc w:val="center"/>
              <w:rPr>
                <w:rFonts w:ascii="Arial" w:hAnsi="Arial" w:cs="Arial" w:eastAsia="Arial" w:hint="default"/>
                <w:sz w:val="24"/>
                <w:szCs w:val="24"/>
              </w:rPr>
            </w:pPr>
            <w:r>
              <w:rPr>
                <w:rFonts w:ascii="Arial"/>
                <w:sz w:val="24"/>
              </w:rPr>
              <w:t>(1)</w:t>
            </w:r>
          </w:p>
        </w:tc>
        <w:tc>
          <w:tcPr>
            <w:tcW w:w="894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7"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0"/>
              <w:jc w:val="center"/>
              <w:rPr>
                <w:rFonts w:ascii="Arial" w:hAnsi="Arial" w:cs="Arial" w:eastAsia="Arial" w:hint="default"/>
                <w:sz w:val="24"/>
                <w:szCs w:val="24"/>
              </w:rPr>
            </w:pPr>
            <w:r>
              <w:rPr>
                <w:rFonts w:ascii="Arial"/>
                <w:sz w:val="24"/>
              </w:rPr>
              <w:t>(c)</w:t>
            </w:r>
          </w:p>
        </w:tc>
        <w:tc>
          <w:tcPr>
            <w:tcW w:w="894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2"/>
              <w:jc w:val="center"/>
              <w:rPr>
                <w:rFonts w:ascii="Arial" w:hAnsi="Arial" w:cs="Arial" w:eastAsia="Arial" w:hint="default"/>
                <w:sz w:val="24"/>
                <w:szCs w:val="24"/>
              </w:rPr>
            </w:pPr>
            <w:r>
              <w:rPr>
                <w:rFonts w:ascii="Arial"/>
                <w:sz w:val="24"/>
              </w:rPr>
              <w:t>(ii)</w:t>
            </w:r>
          </w:p>
        </w:tc>
        <w:tc>
          <w:tcPr>
            <w:tcW w:w="894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Arial" w:hAnsi="Arial" w:cs="Arial" w:eastAsia="Arial" w:hint="default"/>
                <w:sz w:val="24"/>
                <w:szCs w:val="24"/>
              </w:rPr>
              <w:t>MODE ET JACOMO</w:t>
            </w:r>
            <w:r>
              <w:rPr>
                <w:rFonts w:ascii="Arial" w:hAnsi="Arial" w:cs="Arial" w:eastAsia="Arial" w:hint="default"/>
                <w:spacing w:val="-12"/>
                <w:sz w:val="24"/>
                <w:szCs w:val="24"/>
              </w:rPr>
              <w:t> </w:t>
            </w:r>
            <w:r>
              <w:rPr>
                <w:rFonts w:ascii="宋体" w:hAnsi="宋体" w:cs="宋体" w:eastAsia="宋体" w:hint="default"/>
                <w:sz w:val="24"/>
                <w:szCs w:val="24"/>
              </w:rPr>
              <w:t>业务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892" w:hRule="exact"/>
        </w:trPr>
        <w:tc>
          <w:tcPr>
            <w:tcW w:w="711" w:type="dxa"/>
            <w:tcBorders>
              <w:top w:val="nil" w:sz="6" w:space="0" w:color="auto"/>
              <w:left w:val="nil" w:sz="6" w:space="0" w:color="auto"/>
              <w:bottom w:val="nil" w:sz="6" w:space="0" w:color="auto"/>
              <w:right w:val="nil" w:sz="6" w:space="0" w:color="auto"/>
            </w:tcBorders>
          </w:tcPr>
          <w:p>
            <w:pPr/>
          </w:p>
        </w:tc>
        <w:tc>
          <w:tcPr>
            <w:tcW w:w="8942" w:type="dxa"/>
            <w:tcBorders>
              <w:top w:val="nil" w:sz="6" w:space="0" w:color="auto"/>
              <w:left w:val="nil" w:sz="6" w:space="0" w:color="auto"/>
              <w:bottom w:val="nil" w:sz="6" w:space="0" w:color="auto"/>
              <w:right w:val="nil" w:sz="6" w:space="0" w:color="auto"/>
            </w:tcBorders>
          </w:tcPr>
          <w:p>
            <w:pPr>
              <w:pStyle w:val="TableParagraph"/>
              <w:spacing w:line="310" w:lineRule="exact" w:before="125"/>
              <w:ind w:left="217" w:right="198"/>
              <w:jc w:val="left"/>
              <w:rPr>
                <w:rFonts w:ascii="宋体" w:hAnsi="宋体" w:cs="宋体" w:eastAsia="宋体" w:hint="default"/>
                <w:sz w:val="24"/>
                <w:szCs w:val="24"/>
              </w:rPr>
            </w:pPr>
            <w:r>
              <w:rPr>
                <w:rFonts w:ascii="宋体" w:hAnsi="宋体" w:cs="宋体" w:eastAsia="宋体" w:hint="default"/>
                <w:sz w:val="24"/>
                <w:szCs w:val="24"/>
              </w:rPr>
              <w:t>本集团采用估值技术来确定</w:t>
            </w:r>
            <w:r>
              <w:rPr>
                <w:rFonts w:ascii="宋体" w:hAnsi="宋体" w:cs="宋体" w:eastAsia="宋体" w:hint="default"/>
                <w:spacing w:val="-63"/>
                <w:sz w:val="24"/>
                <w:szCs w:val="24"/>
              </w:rPr>
              <w:t> </w:t>
            </w:r>
            <w:r>
              <w:rPr>
                <w:rFonts w:ascii="Arial" w:hAnsi="Arial" w:cs="Arial" w:eastAsia="Arial" w:hint="default"/>
                <w:sz w:val="24"/>
                <w:szCs w:val="24"/>
              </w:rPr>
              <w:t>MODE</w:t>
            </w:r>
            <w:r>
              <w:rPr>
                <w:rFonts w:ascii="Arial" w:hAnsi="Arial" w:cs="Arial" w:eastAsia="Arial" w:hint="default"/>
                <w:spacing w:val="-9"/>
                <w:sz w:val="24"/>
                <w:szCs w:val="24"/>
              </w:rPr>
              <w:t> </w:t>
            </w:r>
            <w:r>
              <w:rPr>
                <w:rFonts w:ascii="Arial" w:hAnsi="Arial" w:cs="Arial" w:eastAsia="Arial" w:hint="default"/>
                <w:sz w:val="24"/>
                <w:szCs w:val="24"/>
              </w:rPr>
              <w:t>ET</w:t>
            </w:r>
            <w:r>
              <w:rPr>
                <w:rFonts w:ascii="Arial" w:hAnsi="Arial" w:cs="Arial" w:eastAsia="Arial" w:hint="default"/>
                <w:spacing w:val="-14"/>
                <w:sz w:val="24"/>
                <w:szCs w:val="24"/>
              </w:rPr>
              <w:t> </w:t>
            </w:r>
            <w:r>
              <w:rPr>
                <w:rFonts w:ascii="Arial" w:hAnsi="Arial" w:cs="Arial" w:eastAsia="Arial" w:hint="default"/>
                <w:sz w:val="24"/>
                <w:szCs w:val="24"/>
              </w:rPr>
              <w:t>JACOMO</w:t>
            </w:r>
            <w:r>
              <w:rPr>
                <w:rFonts w:ascii="Arial" w:hAnsi="Arial" w:cs="Arial" w:eastAsia="Arial" w:hint="default"/>
                <w:spacing w:val="-10"/>
                <w:sz w:val="24"/>
                <w:szCs w:val="24"/>
              </w:rPr>
              <w:t> </w:t>
            </w:r>
            <w:r>
              <w:rPr>
                <w:rFonts w:ascii="宋体" w:hAnsi="宋体" w:cs="宋体" w:eastAsia="宋体" w:hint="default"/>
                <w:sz w:val="24"/>
                <w:szCs w:val="24"/>
              </w:rPr>
              <w:t>业务的各项可辨认资产和负债于 购买日的公允价值。主要资产的评估方法及其关键假设列示如下：</w:t>
            </w:r>
          </w:p>
        </w:tc>
      </w:tr>
      <w:tr>
        <w:trPr>
          <w:trHeight w:val="1658" w:hRule="exact"/>
        </w:trPr>
        <w:tc>
          <w:tcPr>
            <w:tcW w:w="711" w:type="dxa"/>
            <w:tcBorders>
              <w:top w:val="nil" w:sz="6" w:space="0" w:color="auto"/>
              <w:left w:val="nil" w:sz="6" w:space="0" w:color="auto"/>
              <w:bottom w:val="nil" w:sz="6" w:space="0" w:color="auto"/>
              <w:right w:val="nil" w:sz="6" w:space="0" w:color="auto"/>
            </w:tcBorders>
          </w:tcPr>
          <w:p>
            <w:pPr/>
          </w:p>
        </w:tc>
        <w:tc>
          <w:tcPr>
            <w:tcW w:w="8942"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486" w:right="207" w:hanging="27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7"/>
                <w:sz w:val="24"/>
                <w:szCs w:val="24"/>
              </w:rPr>
              <w:t></w:t>
            </w:r>
            <w:r>
              <w:rPr>
                <w:rFonts w:ascii="Times New Roman" w:hAnsi="Times New Roman" w:cs="Times New Roman" w:eastAsia="Times New Roman" w:hint="default"/>
                <w:spacing w:val="47"/>
                <w:sz w:val="24"/>
                <w:szCs w:val="24"/>
              </w:rPr>
            </w:r>
            <w:r>
              <w:rPr>
                <w:rFonts w:ascii="宋体" w:hAnsi="宋体" w:cs="宋体" w:eastAsia="宋体" w:hint="default"/>
                <w:spacing w:val="2"/>
                <w:sz w:val="24"/>
                <w:szCs w:val="24"/>
              </w:rPr>
              <w:t>国家现行的有关法律、法规及政策，国家宏观经济形势无重大变化；本次交易</w:t>
            </w:r>
            <w:r>
              <w:rPr>
                <w:rFonts w:ascii="宋体" w:hAnsi="宋体" w:cs="宋体" w:eastAsia="宋体" w:hint="default"/>
                <w:w w:val="100"/>
                <w:sz w:val="24"/>
                <w:szCs w:val="24"/>
              </w:rPr>
              <w:t> </w:t>
            </w:r>
            <w:r>
              <w:rPr>
                <w:rFonts w:ascii="宋体" w:hAnsi="宋体" w:cs="宋体" w:eastAsia="宋体" w:hint="default"/>
                <w:spacing w:val="2"/>
                <w:sz w:val="24"/>
                <w:szCs w:val="24"/>
              </w:rPr>
              <w:t>各方所处地区的政治、经济和社会环境无重大变化；无其他不可预测和不可抗</w:t>
            </w:r>
            <w:r>
              <w:rPr>
                <w:rFonts w:ascii="宋体" w:hAnsi="宋体" w:cs="宋体" w:eastAsia="宋体" w:hint="default"/>
                <w:w w:val="100"/>
                <w:sz w:val="24"/>
                <w:szCs w:val="24"/>
              </w:rPr>
              <w:t> </w:t>
            </w:r>
            <w:r>
              <w:rPr>
                <w:rFonts w:ascii="宋体" w:hAnsi="宋体" w:cs="宋体" w:eastAsia="宋体" w:hint="default"/>
                <w:sz w:val="24"/>
                <w:szCs w:val="24"/>
              </w:rPr>
              <w:t>力因素造成的重大不利影响；</w:t>
            </w:r>
          </w:p>
          <w:p>
            <w:pPr>
              <w:pStyle w:val="TableParagraph"/>
              <w:spacing w:line="310" w:lineRule="exact" w:before="2"/>
              <w:ind w:left="486" w:right="207" w:hanging="27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7"/>
                <w:sz w:val="24"/>
                <w:szCs w:val="24"/>
              </w:rPr>
              <w:t></w:t>
            </w:r>
            <w:r>
              <w:rPr>
                <w:rFonts w:ascii="Times New Roman" w:hAnsi="Times New Roman" w:cs="Times New Roman" w:eastAsia="Times New Roman" w:hint="default"/>
                <w:spacing w:val="47"/>
                <w:sz w:val="24"/>
                <w:szCs w:val="24"/>
              </w:rPr>
            </w:r>
            <w:r>
              <w:rPr>
                <w:rFonts w:ascii="宋体" w:hAnsi="宋体" w:cs="宋体" w:eastAsia="宋体" w:hint="default"/>
                <w:spacing w:val="2"/>
                <w:sz w:val="24"/>
                <w:szCs w:val="24"/>
              </w:rPr>
              <w:t>评估以评估结果将用于在企业会计准则下对企业合并的会计处理和报告为基本</w:t>
            </w:r>
            <w:r>
              <w:rPr>
                <w:rFonts w:ascii="宋体" w:hAnsi="宋体" w:cs="宋体" w:eastAsia="宋体" w:hint="default"/>
                <w:w w:val="100"/>
                <w:sz w:val="24"/>
                <w:szCs w:val="24"/>
              </w:rPr>
              <w:t> </w:t>
            </w:r>
            <w:r>
              <w:rPr>
                <w:rFonts w:ascii="宋体" w:hAnsi="宋体" w:cs="宋体" w:eastAsia="宋体" w:hint="default"/>
                <w:sz w:val="24"/>
                <w:szCs w:val="24"/>
              </w:rPr>
              <w:t>假设前提。</w:t>
            </w:r>
          </w:p>
        </w:tc>
      </w:tr>
    </w:tbl>
    <w:p>
      <w:pPr>
        <w:spacing w:after="0" w:line="310" w:lineRule="exact"/>
        <w:jc w:val="both"/>
        <w:rPr>
          <w:rFonts w:ascii="宋体" w:hAnsi="宋体" w:cs="宋体" w:eastAsia="宋体" w:hint="default"/>
          <w:sz w:val="24"/>
          <w:szCs w:val="24"/>
        </w:rPr>
        <w:sectPr>
          <w:pgSz w:w="11910" w:h="16840"/>
          <w:pgMar w:header="0" w:footer="914" w:top="1860" w:bottom="1100" w:left="1420" w:right="0"/>
        </w:sectPr>
      </w:pPr>
    </w:p>
    <w:p>
      <w:pPr>
        <w:pStyle w:val="Heading3"/>
        <w:spacing w:line="310" w:lineRule="exact" w:before="45"/>
        <w:ind w:left="340" w:right="13219"/>
        <w:jc w:val="left"/>
        <w:rPr>
          <w:rFonts w:ascii="黑体" w:hAnsi="黑体" w:cs="黑体" w:eastAsia="黑体" w:hint="default"/>
        </w:rPr>
      </w:pPr>
      <w:r>
        <w:rPr>
          <w:rFonts w:ascii="黑体" w:hAnsi="黑体" w:cs="黑体" w:eastAsia="黑体" w:hint="default"/>
        </w:rPr>
        <w:t>苏宁云商集团股份有限公司 财务报表附注</w:t>
      </w:r>
    </w:p>
    <w:p>
      <w:pPr>
        <w:pStyle w:val="Heading3"/>
        <w:spacing w:line="295" w:lineRule="exact"/>
        <w:ind w:left="340" w:right="13219"/>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w:t>
      </w:r>
    </w:p>
    <w:p>
      <w:pPr>
        <w:spacing w:line="243" w:lineRule="exact" w:before="0"/>
        <w:ind w:left="34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9"/>
        <w:rPr>
          <w:rFonts w:ascii="Arial" w:hAnsi="Arial" w:cs="Arial" w:eastAsia="Arial"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701"/>
        <w:gridCol w:w="1635"/>
        <w:gridCol w:w="1448"/>
        <w:gridCol w:w="1133"/>
        <w:gridCol w:w="1016"/>
        <w:gridCol w:w="1874"/>
        <w:gridCol w:w="1368"/>
        <w:gridCol w:w="3159"/>
        <w:gridCol w:w="2780"/>
      </w:tblGrid>
      <w:tr>
        <w:trPr>
          <w:trHeight w:val="41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五</w:t>
            </w:r>
          </w:p>
        </w:tc>
        <w:tc>
          <w:tcPr>
            <w:tcW w:w="308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
        </w:tc>
        <w:tc>
          <w:tcPr>
            <w:tcW w:w="2780" w:type="dxa"/>
            <w:tcBorders>
              <w:top w:val="nil" w:sz="6" w:space="0" w:color="auto"/>
              <w:left w:val="nil" w:sz="6" w:space="0" w:color="auto"/>
              <w:bottom w:val="nil" w:sz="6" w:space="0" w:color="auto"/>
              <w:right w:val="nil" w:sz="6" w:space="0" w:color="auto"/>
            </w:tcBorders>
          </w:tcPr>
          <w:p>
            <w:pPr/>
          </w:p>
        </w:tc>
      </w:tr>
      <w:tr>
        <w:trPr>
          <w:trHeight w:val="582"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
              <w:jc w:val="center"/>
              <w:rPr>
                <w:rFonts w:ascii="Arial" w:hAnsi="Arial" w:cs="Arial" w:eastAsia="Arial" w:hint="default"/>
                <w:sz w:val="24"/>
                <w:szCs w:val="24"/>
              </w:rPr>
            </w:pPr>
            <w:r>
              <w:rPr>
                <w:rFonts w:ascii="Arial"/>
                <w:sz w:val="24"/>
              </w:rPr>
              <w:t>(2)</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7" w:right="0"/>
              <w:jc w:val="left"/>
              <w:rPr>
                <w:rFonts w:ascii="黑体" w:hAnsi="黑体" w:cs="黑体" w:eastAsia="黑体" w:hint="default"/>
                <w:sz w:val="24"/>
                <w:szCs w:val="24"/>
              </w:rPr>
            </w:pPr>
            <w:r>
              <w:rPr>
                <w:rFonts w:ascii="黑体" w:hAnsi="黑体" w:cs="黑体" w:eastAsia="黑体" w:hint="default"/>
                <w:sz w:val="24"/>
                <w:szCs w:val="24"/>
              </w:rPr>
              <w:t>处置子公司</w:t>
            </w:r>
          </w:p>
        </w:tc>
        <w:tc>
          <w:tcPr>
            <w:tcW w:w="144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
        </w:tc>
        <w:tc>
          <w:tcPr>
            <w:tcW w:w="2780" w:type="dxa"/>
            <w:tcBorders>
              <w:top w:val="nil" w:sz="6" w:space="0" w:color="auto"/>
              <w:left w:val="nil" w:sz="6" w:space="0" w:color="auto"/>
              <w:bottom w:val="nil" w:sz="6" w:space="0" w:color="auto"/>
              <w:right w:val="nil" w:sz="6" w:space="0" w:color="auto"/>
            </w:tcBorders>
          </w:tcPr>
          <w:p>
            <w:pP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
              <w:jc w:val="center"/>
              <w:rPr>
                <w:rFonts w:ascii="Arial" w:hAnsi="Arial" w:cs="Arial" w:eastAsia="Arial" w:hint="default"/>
                <w:sz w:val="24"/>
                <w:szCs w:val="24"/>
              </w:rPr>
            </w:pPr>
            <w:r>
              <w:rPr>
                <w:rFonts w:ascii="Arial"/>
                <w:sz w:val="24"/>
              </w:rPr>
              <w:t>(a)</w:t>
            </w:r>
          </w:p>
        </w:tc>
        <w:tc>
          <w:tcPr>
            <w:tcW w:w="523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207" w:right="0"/>
              <w:jc w:val="left"/>
              <w:rPr>
                <w:rFonts w:ascii="宋体" w:hAnsi="宋体" w:cs="宋体" w:eastAsia="宋体" w:hint="default"/>
                <w:sz w:val="24"/>
                <w:szCs w:val="24"/>
              </w:rPr>
            </w:pPr>
            <w:r>
              <w:rPr>
                <w:rFonts w:ascii="宋体" w:hAnsi="宋体" w:cs="宋体" w:eastAsia="宋体" w:hint="default"/>
                <w:sz w:val="24"/>
                <w:szCs w:val="24"/>
              </w:rPr>
              <w:t>本年度处置子公司的相关信息汇总如下：</w:t>
            </w:r>
          </w:p>
        </w:tc>
        <w:tc>
          <w:tcPr>
            <w:tcW w:w="1874"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
        </w:tc>
        <w:tc>
          <w:tcPr>
            <w:tcW w:w="2780" w:type="dxa"/>
            <w:tcBorders>
              <w:top w:val="nil" w:sz="6" w:space="0" w:color="auto"/>
              <w:left w:val="nil" w:sz="6" w:space="0" w:color="auto"/>
              <w:bottom w:val="nil" w:sz="6" w:space="0" w:color="auto"/>
              <w:right w:val="nil" w:sz="6" w:space="0" w:color="auto"/>
            </w:tcBorders>
          </w:tcPr>
          <w:p>
            <w:pPr/>
          </w:p>
        </w:tc>
      </w:tr>
      <w:tr>
        <w:trPr>
          <w:trHeight w:val="961" w:hRule="exact"/>
        </w:trPr>
        <w:tc>
          <w:tcPr>
            <w:tcW w:w="70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54"/>
              <w:jc w:val="right"/>
              <w:rPr>
                <w:rFonts w:ascii="宋体" w:hAnsi="宋体" w:cs="宋体" w:eastAsia="宋体" w:hint="default"/>
                <w:sz w:val="18"/>
                <w:szCs w:val="18"/>
              </w:rPr>
            </w:pPr>
            <w:r>
              <w:rPr>
                <w:rFonts w:ascii="宋体" w:hAnsi="宋体" w:cs="宋体" w:eastAsia="宋体" w:hint="default"/>
                <w:sz w:val="18"/>
                <w:szCs w:val="18"/>
              </w:rPr>
              <w:t>处置价款</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54"/>
              <w:jc w:val="right"/>
              <w:rPr>
                <w:rFonts w:ascii="宋体" w:hAnsi="宋体" w:cs="宋体" w:eastAsia="宋体" w:hint="default"/>
                <w:sz w:val="18"/>
                <w:szCs w:val="18"/>
              </w:rPr>
            </w:pPr>
            <w:r>
              <w:rPr>
                <w:rFonts w:ascii="宋体" w:hAnsi="宋体" w:cs="宋体" w:eastAsia="宋体" w:hint="default"/>
                <w:sz w:val="18"/>
                <w:szCs w:val="18"/>
              </w:rPr>
              <w:t>处置比例</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7"/>
              <w:jc w:val="right"/>
              <w:rPr>
                <w:rFonts w:ascii="宋体" w:hAnsi="宋体" w:cs="宋体" w:eastAsia="宋体" w:hint="default"/>
                <w:sz w:val="18"/>
                <w:szCs w:val="18"/>
              </w:rPr>
            </w:pPr>
            <w:r>
              <w:rPr>
                <w:rFonts w:ascii="宋体" w:hAnsi="宋体" w:cs="宋体" w:eastAsia="宋体" w:hint="default"/>
                <w:sz w:val="18"/>
                <w:szCs w:val="18"/>
              </w:rPr>
              <w:t>处置方式</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7"/>
              <w:jc w:val="right"/>
              <w:rPr>
                <w:rFonts w:ascii="宋体" w:hAnsi="宋体" w:cs="宋体" w:eastAsia="宋体" w:hint="default"/>
                <w:sz w:val="18"/>
                <w:szCs w:val="18"/>
              </w:rPr>
            </w:pPr>
            <w:r>
              <w:rPr>
                <w:rFonts w:ascii="宋体" w:hAnsi="宋体" w:cs="宋体" w:eastAsia="宋体" w:hint="default"/>
                <w:sz w:val="18"/>
                <w:szCs w:val="18"/>
              </w:rPr>
              <w:t>丧失控制权时点</w:t>
            </w:r>
          </w:p>
        </w:tc>
        <w:tc>
          <w:tcPr>
            <w:tcW w:w="1368" w:type="dxa"/>
            <w:tcBorders>
              <w:top w:val="nil" w:sz="6" w:space="0" w:color="auto"/>
              <w:left w:val="nil" w:sz="6" w:space="0" w:color="auto"/>
              <w:bottom w:val="nil" w:sz="6" w:space="0" w:color="auto"/>
              <w:right w:val="nil" w:sz="6" w:space="0" w:color="auto"/>
            </w:tcBorders>
          </w:tcPr>
          <w:p>
            <w:pPr>
              <w:pStyle w:val="TableParagraph"/>
              <w:spacing w:line="232" w:lineRule="exact" w:before="143"/>
              <w:ind w:left="169" w:right="116"/>
              <w:jc w:val="left"/>
              <w:rPr>
                <w:rFonts w:ascii="宋体" w:hAnsi="宋体" w:cs="宋体" w:eastAsia="宋体" w:hint="default"/>
                <w:sz w:val="18"/>
                <w:szCs w:val="18"/>
              </w:rPr>
            </w:pPr>
            <w:r>
              <w:rPr>
                <w:rFonts w:ascii="宋体" w:hAnsi="宋体" w:cs="宋体" w:eastAsia="宋体" w:hint="default"/>
                <w:sz w:val="18"/>
                <w:szCs w:val="18"/>
              </w:rPr>
              <w:t>丧失控制权时 点的判断依据</w:t>
            </w:r>
          </w:p>
        </w:tc>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before="143"/>
              <w:ind w:left="117" w:right="159"/>
              <w:jc w:val="right"/>
              <w:rPr>
                <w:rFonts w:ascii="宋体" w:hAnsi="宋体" w:cs="宋体" w:eastAsia="宋体" w:hint="default"/>
                <w:sz w:val="18"/>
                <w:szCs w:val="18"/>
              </w:rPr>
            </w:pPr>
            <w:r>
              <w:rPr>
                <w:rFonts w:ascii="宋体" w:hAnsi="宋体" w:cs="宋体" w:eastAsia="宋体" w:hint="default"/>
                <w:sz w:val="18"/>
                <w:szCs w:val="18"/>
              </w:rPr>
              <w:t>处置价款与处置投资对应的合并财务 报表层面享有该子公司净资产份额的</w:t>
            </w:r>
          </w:p>
          <w:p>
            <w:pPr>
              <w:pStyle w:val="TableParagraph"/>
              <w:spacing w:line="213" w:lineRule="exact"/>
              <w:ind w:right="159"/>
              <w:jc w:val="right"/>
              <w:rPr>
                <w:rFonts w:ascii="宋体" w:hAnsi="宋体" w:cs="宋体" w:eastAsia="宋体" w:hint="default"/>
                <w:sz w:val="18"/>
                <w:szCs w:val="18"/>
              </w:rPr>
            </w:pPr>
            <w:r>
              <w:rPr>
                <w:rFonts w:ascii="宋体" w:hAnsi="宋体" w:cs="宋体" w:eastAsia="宋体" w:hint="default"/>
                <w:sz w:val="18"/>
                <w:szCs w:val="18"/>
              </w:rPr>
              <w:t>差额</w:t>
            </w:r>
          </w:p>
        </w:tc>
        <w:tc>
          <w:tcPr>
            <w:tcW w:w="2780" w:type="dxa"/>
            <w:tcBorders>
              <w:top w:val="nil" w:sz="6" w:space="0" w:color="auto"/>
              <w:left w:val="nil" w:sz="6" w:space="0" w:color="auto"/>
              <w:bottom w:val="nil" w:sz="6" w:space="0" w:color="auto"/>
              <w:right w:val="nil" w:sz="6" w:space="0" w:color="auto"/>
            </w:tcBorders>
          </w:tcPr>
          <w:p>
            <w:pPr>
              <w:pStyle w:val="TableParagraph"/>
              <w:spacing w:line="232" w:lineRule="exact" w:before="143"/>
              <w:ind w:left="161" w:right="636"/>
              <w:jc w:val="left"/>
              <w:rPr>
                <w:rFonts w:ascii="宋体" w:hAnsi="宋体" w:cs="宋体" w:eastAsia="宋体" w:hint="default"/>
                <w:sz w:val="18"/>
                <w:szCs w:val="18"/>
              </w:rPr>
            </w:pPr>
            <w:r>
              <w:rPr>
                <w:rFonts w:ascii="宋体" w:hAnsi="宋体" w:cs="宋体" w:eastAsia="宋体" w:hint="default"/>
                <w:sz w:val="18"/>
                <w:szCs w:val="18"/>
              </w:rPr>
              <w:t>与原子公司股权投资相关 的其他综合收益转入投资</w:t>
            </w:r>
          </w:p>
          <w:p>
            <w:pPr>
              <w:pStyle w:val="TableParagraph"/>
              <w:spacing w:line="213" w:lineRule="exact"/>
              <w:ind w:left="1241" w:right="0"/>
              <w:jc w:val="left"/>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938" w:hRule="exact"/>
        </w:trPr>
        <w:tc>
          <w:tcPr>
            <w:tcW w:w="70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7"/>
              <w:ind w:left="207" w:right="0"/>
              <w:jc w:val="left"/>
              <w:rPr>
                <w:rFonts w:ascii="Arial" w:hAnsi="Arial" w:cs="Arial" w:eastAsia="Arial" w:hint="default"/>
                <w:sz w:val="18"/>
                <w:szCs w:val="18"/>
              </w:rPr>
            </w:pPr>
            <w:r>
              <w:rPr>
                <w:rFonts w:ascii="Arial" w:hAnsi="Arial" w:cs="Arial" w:eastAsia="Arial" w:hint="default"/>
                <w:sz w:val="18"/>
                <w:szCs w:val="18"/>
              </w:rPr>
              <w:t>PPTV</w:t>
            </w:r>
            <w:r>
              <w:rPr>
                <w:rFonts w:ascii="Arial" w:hAnsi="Arial" w:cs="Arial" w:eastAsia="Arial" w:hint="default"/>
                <w:spacing w:val="-5"/>
                <w:sz w:val="18"/>
                <w:szCs w:val="18"/>
              </w:rPr>
              <w:t> </w:t>
            </w:r>
            <w:r>
              <w:rPr>
                <w:rFonts w:ascii="宋体" w:hAnsi="宋体" w:cs="宋体" w:eastAsia="宋体" w:hint="default"/>
                <w:sz w:val="18"/>
                <w:szCs w:val="18"/>
              </w:rPr>
              <w:t>业务</w:t>
            </w:r>
            <w:r>
              <w:rPr>
                <w:rFonts w:ascii="Arial" w:hAnsi="Arial" w:cs="Arial" w:eastAsia="Arial" w:hint="default"/>
                <w:sz w:val="18"/>
                <w:szCs w:val="18"/>
              </w:rPr>
              <w:t>(i)</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6"/>
                <w:szCs w:val="16"/>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2,585,483</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6"/>
                <w:szCs w:val="16"/>
              </w:rPr>
            </w:pPr>
          </w:p>
          <w:p>
            <w:pPr>
              <w:pStyle w:val="TableParagraph"/>
              <w:spacing w:line="240" w:lineRule="auto"/>
              <w:ind w:right="155"/>
              <w:jc w:val="right"/>
              <w:rPr>
                <w:rFonts w:ascii="Arial" w:hAnsi="Arial" w:cs="Arial" w:eastAsia="Arial" w:hint="default"/>
                <w:sz w:val="18"/>
                <w:szCs w:val="18"/>
              </w:rPr>
            </w:pPr>
            <w:r>
              <w:rPr>
                <w:rFonts w:ascii="Arial"/>
                <w:spacing w:val="-1"/>
                <w:sz w:val="18"/>
              </w:rPr>
              <w:t>68.08%</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7"/>
              <w:ind w:right="137"/>
              <w:jc w:val="right"/>
              <w:rPr>
                <w:rFonts w:ascii="宋体" w:hAnsi="宋体" w:cs="宋体" w:eastAsia="宋体" w:hint="default"/>
                <w:sz w:val="18"/>
                <w:szCs w:val="18"/>
              </w:rPr>
            </w:pPr>
            <w:r>
              <w:rPr>
                <w:rFonts w:ascii="宋体" w:hAnsi="宋体" w:cs="宋体" w:eastAsia="宋体" w:hint="default"/>
                <w:sz w:val="18"/>
                <w:szCs w:val="18"/>
              </w:rPr>
              <w:t>出售</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7"/>
              <w:ind w:right="168"/>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68" w:type="dxa"/>
            <w:tcBorders>
              <w:top w:val="nil" w:sz="6" w:space="0" w:color="auto"/>
              <w:left w:val="nil" w:sz="6" w:space="0" w:color="auto"/>
              <w:bottom w:val="nil" w:sz="6" w:space="0" w:color="auto"/>
              <w:right w:val="nil" w:sz="6" w:space="0" w:color="auto"/>
            </w:tcBorders>
          </w:tcPr>
          <w:p>
            <w:pPr>
              <w:pStyle w:val="TableParagraph"/>
              <w:spacing w:line="234" w:lineRule="exact" w:before="85"/>
              <w:ind w:left="529" w:right="0"/>
              <w:jc w:val="left"/>
              <w:rPr>
                <w:rFonts w:ascii="宋体" w:hAnsi="宋体" w:cs="宋体" w:eastAsia="宋体" w:hint="default"/>
                <w:sz w:val="18"/>
                <w:szCs w:val="18"/>
              </w:rPr>
            </w:pPr>
            <w:r>
              <w:rPr>
                <w:rFonts w:ascii="宋体" w:hAnsi="宋体" w:cs="宋体" w:eastAsia="宋体" w:hint="default"/>
                <w:sz w:val="18"/>
                <w:szCs w:val="18"/>
              </w:rPr>
              <w:t>实际失去</w:t>
            </w:r>
          </w:p>
          <w:p>
            <w:pPr>
              <w:pStyle w:val="TableParagraph"/>
              <w:spacing w:line="240" w:lineRule="exact"/>
              <w:ind w:left="194" w:right="0"/>
              <w:jc w:val="left"/>
              <w:rPr>
                <w:rFonts w:ascii="宋体" w:hAnsi="宋体" w:cs="宋体" w:eastAsia="宋体" w:hint="default"/>
                <w:sz w:val="18"/>
                <w:szCs w:val="18"/>
              </w:rPr>
            </w:pPr>
            <w:r>
              <w:rPr>
                <w:rFonts w:ascii="Arial" w:hAnsi="Arial" w:cs="Arial" w:eastAsia="Arial" w:hint="default"/>
                <w:sz w:val="18"/>
                <w:szCs w:val="18"/>
              </w:rPr>
              <w:t>PPTV</w:t>
            </w:r>
            <w:r>
              <w:rPr>
                <w:rFonts w:ascii="Arial" w:hAnsi="Arial" w:cs="Arial" w:eastAsia="Arial" w:hint="default"/>
                <w:spacing w:val="-5"/>
                <w:sz w:val="18"/>
                <w:szCs w:val="18"/>
              </w:rPr>
              <w:t> </w:t>
            </w:r>
            <w:r>
              <w:rPr>
                <w:rFonts w:ascii="宋体" w:hAnsi="宋体" w:cs="宋体" w:eastAsia="宋体" w:hint="default"/>
                <w:sz w:val="18"/>
                <w:szCs w:val="18"/>
              </w:rPr>
              <w:t>业务控</w:t>
            </w:r>
          </w:p>
          <w:p>
            <w:pPr>
              <w:pStyle w:val="TableParagraph"/>
              <w:spacing w:line="228" w:lineRule="exact"/>
              <w:ind w:left="889" w:right="0"/>
              <w:jc w:val="left"/>
              <w:rPr>
                <w:rFonts w:ascii="宋体" w:hAnsi="宋体" w:cs="宋体" w:eastAsia="宋体" w:hint="default"/>
                <w:sz w:val="18"/>
                <w:szCs w:val="18"/>
              </w:rPr>
            </w:pPr>
            <w:r>
              <w:rPr>
                <w:rFonts w:ascii="宋体" w:hAnsi="宋体" w:cs="宋体" w:eastAsia="宋体" w:hint="default"/>
                <w:sz w:val="18"/>
                <w:szCs w:val="18"/>
              </w:rPr>
              <w:t>制权</w:t>
            </w: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6"/>
                <w:szCs w:val="16"/>
              </w:rPr>
            </w:pPr>
          </w:p>
          <w:p>
            <w:pPr>
              <w:pStyle w:val="TableParagraph"/>
              <w:spacing w:line="240" w:lineRule="auto"/>
              <w:ind w:right="172"/>
              <w:jc w:val="right"/>
              <w:rPr>
                <w:rFonts w:ascii="Arial" w:hAnsi="Arial" w:cs="Arial" w:eastAsia="Arial" w:hint="default"/>
                <w:sz w:val="18"/>
                <w:szCs w:val="18"/>
              </w:rPr>
            </w:pPr>
            <w:r>
              <w:rPr>
                <w:rFonts w:ascii="Arial"/>
                <w:spacing w:val="-1"/>
                <w:sz w:val="18"/>
              </w:rPr>
              <w:t>1,188,241</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6"/>
                <w:szCs w:val="16"/>
              </w:rPr>
            </w:pPr>
          </w:p>
          <w:p>
            <w:pPr>
              <w:pStyle w:val="TableParagraph"/>
              <w:spacing w:line="240" w:lineRule="auto"/>
              <w:ind w:left="1554" w:right="0"/>
              <w:jc w:val="left"/>
              <w:rPr>
                <w:rFonts w:ascii="Arial" w:hAnsi="Arial" w:cs="Arial" w:eastAsia="Arial" w:hint="default"/>
                <w:sz w:val="18"/>
                <w:szCs w:val="18"/>
              </w:rPr>
            </w:pPr>
            <w:r>
              <w:rPr>
                <w:rFonts w:ascii="Arial"/>
                <w:sz w:val="18"/>
              </w:rPr>
              <w:t>32,264</w:t>
            </w:r>
          </w:p>
        </w:tc>
      </w:tr>
      <w:tr>
        <w:trPr>
          <w:trHeight w:val="691" w:hRule="exact"/>
        </w:trPr>
        <w:tc>
          <w:tcPr>
            <w:tcW w:w="701" w:type="dxa"/>
            <w:tcBorders>
              <w:top w:val="nil" w:sz="6" w:space="0" w:color="auto"/>
              <w:left w:val="nil" w:sz="6" w:space="0" w:color="auto"/>
              <w:bottom w:val="nil" w:sz="6" w:space="0" w:color="auto"/>
              <w:right w:val="nil" w:sz="6" w:space="0" w:color="auto"/>
            </w:tcBorders>
          </w:tcPr>
          <w:p>
            <w:pPr/>
          </w:p>
        </w:tc>
        <w:tc>
          <w:tcPr>
            <w:tcW w:w="14414" w:type="dxa"/>
            <w:gridSpan w:val="8"/>
            <w:tcBorders>
              <w:top w:val="nil" w:sz="6" w:space="0" w:color="auto"/>
              <w:left w:val="nil" w:sz="6" w:space="0" w:color="auto"/>
              <w:bottom w:val="nil" w:sz="6" w:space="0" w:color="auto"/>
              <w:right w:val="nil" w:sz="6" w:space="0" w:color="auto"/>
            </w:tcBorders>
          </w:tcPr>
          <w:p>
            <w:pPr>
              <w:pStyle w:val="TableParagraph"/>
              <w:spacing w:line="310" w:lineRule="exact" w:before="87"/>
              <w:ind w:left="207" w:right="198"/>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2015</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月，本集团与苏宁文化投资管理有限公司</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苏宁文化</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签订股权转让协议，将本集团持有的</w:t>
            </w:r>
            <w:r>
              <w:rPr>
                <w:rFonts w:ascii="宋体" w:hAnsi="宋体" w:cs="宋体" w:eastAsia="宋体" w:hint="default"/>
                <w:spacing w:val="-60"/>
                <w:sz w:val="24"/>
                <w:szCs w:val="24"/>
              </w:rPr>
              <w:t> </w:t>
            </w:r>
            <w:r>
              <w:rPr>
                <w:rFonts w:ascii="Arial" w:hAnsi="Arial" w:cs="Arial" w:eastAsia="Arial" w:hint="default"/>
                <w:sz w:val="24"/>
                <w:szCs w:val="24"/>
              </w:rPr>
              <w:t>PPTV</w:t>
            </w:r>
            <w:r>
              <w:rPr>
                <w:rFonts w:ascii="Arial" w:hAnsi="Arial" w:cs="Arial" w:eastAsia="Arial" w:hint="default"/>
                <w:spacing w:val="49"/>
                <w:sz w:val="24"/>
                <w:szCs w:val="24"/>
              </w:rPr>
              <w:t> </w:t>
            </w:r>
            <w:r>
              <w:rPr>
                <w:rFonts w:ascii="Arial" w:hAnsi="Arial" w:cs="Arial" w:eastAsia="Arial" w:hint="default"/>
                <w:sz w:val="24"/>
                <w:szCs w:val="24"/>
              </w:rPr>
              <w:t>68.08%</w:t>
            </w:r>
            <w:r>
              <w:rPr>
                <w:rFonts w:ascii="宋体" w:hAnsi="宋体" w:cs="宋体" w:eastAsia="宋体" w:hint="default"/>
                <w:sz w:val="24"/>
                <w:szCs w:val="24"/>
              </w:rPr>
              <w:t>的股权全部 转让至苏宁文化。本次交易的处置日为</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30</w:t>
            </w:r>
            <w:r>
              <w:rPr>
                <w:rFonts w:ascii="Arial" w:hAnsi="Arial" w:cs="Arial" w:eastAsia="Arial" w:hint="default"/>
                <w:spacing w:val="-8"/>
                <w:sz w:val="24"/>
                <w:szCs w:val="24"/>
              </w:rPr>
              <w:t> </w:t>
            </w:r>
            <w:r>
              <w:rPr>
                <w:rFonts w:ascii="宋体" w:hAnsi="宋体" w:cs="宋体" w:eastAsia="宋体" w:hint="default"/>
                <w:sz w:val="24"/>
                <w:szCs w:val="24"/>
              </w:rPr>
              <w:t>日，系本集团实际失去</w:t>
            </w:r>
            <w:r>
              <w:rPr>
                <w:rFonts w:ascii="宋体" w:hAnsi="宋体" w:cs="宋体" w:eastAsia="宋体" w:hint="default"/>
                <w:spacing w:val="-61"/>
                <w:sz w:val="24"/>
                <w:szCs w:val="24"/>
              </w:rPr>
              <w:t> </w:t>
            </w:r>
            <w:r>
              <w:rPr>
                <w:rFonts w:ascii="Arial" w:hAnsi="Arial" w:cs="Arial" w:eastAsia="Arial" w:hint="default"/>
                <w:sz w:val="24"/>
                <w:szCs w:val="24"/>
              </w:rPr>
              <w:t>PPTV</w:t>
            </w:r>
            <w:r>
              <w:rPr>
                <w:rFonts w:ascii="Arial" w:hAnsi="Arial" w:cs="Arial" w:eastAsia="Arial" w:hint="default"/>
                <w:spacing w:val="-9"/>
                <w:sz w:val="24"/>
                <w:szCs w:val="24"/>
              </w:rPr>
              <w:t> </w:t>
            </w:r>
            <w:r>
              <w:rPr>
                <w:rFonts w:ascii="宋体" w:hAnsi="宋体" w:cs="宋体" w:eastAsia="宋体" w:hint="default"/>
                <w:sz w:val="24"/>
                <w:szCs w:val="24"/>
              </w:rPr>
              <w:t>业务控制权的日期。</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7"/>
          <w:szCs w:val="17"/>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774.47998pt;margin-top:22.202343pt;width:67.5pt;height:38.5pt;mso-position-horizontal-relative:page;mso-position-vertical-relative:paragraph;z-index:2632" type="#_x0000_t75" stroked="false">
            <v:imagedata r:id="rId23" o:title=""/>
          </v:shape>
        </w:pict>
      </w:r>
      <w:r>
        <w:rPr>
          <w:rFonts w:ascii="Times New Roman"/>
          <w:sz w:val="18"/>
        </w:rPr>
        <w:t>222</w:t>
      </w:r>
    </w:p>
    <w:p>
      <w:pPr>
        <w:spacing w:after="0"/>
        <w:jc w:val="right"/>
        <w:rPr>
          <w:rFonts w:ascii="Times New Roman" w:hAnsi="Times New Roman" w:cs="Times New Roman" w:eastAsia="Times New Roman" w:hint="default"/>
          <w:sz w:val="18"/>
          <w:szCs w:val="18"/>
        </w:rPr>
        <w:sectPr>
          <w:headerReference w:type="default" r:id="rId70"/>
          <w:footerReference w:type="default" r:id="rId71"/>
          <w:pgSz w:w="16840" w:h="11910" w:orient="landscape"/>
          <w:pgMar w:header="0" w:footer="0" w:top="660" w:bottom="0" w:left="3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710"/>
        <w:gridCol w:w="6552"/>
        <w:gridCol w:w="2214"/>
      </w:tblGrid>
      <w:tr>
        <w:trPr>
          <w:trHeight w:val="416"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6552" w:type="dxa"/>
            <w:tcBorders>
              <w:top w:val="nil" w:sz="6" w:space="0" w:color="auto"/>
              <w:left w:val="nil" w:sz="6" w:space="0" w:color="auto"/>
              <w:bottom w:val="nil" w:sz="6" w:space="0" w:color="auto"/>
              <w:right w:val="nil" w:sz="6" w:space="0" w:color="auto"/>
            </w:tcBorders>
          </w:tcPr>
          <w:p>
            <w:pPr>
              <w:pStyle w:val="TableParagraph"/>
              <w:spacing w:line="257" w:lineRule="exact"/>
              <w:ind w:left="216"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14" w:type="dxa"/>
            <w:tcBorders>
              <w:top w:val="nil" w:sz="6" w:space="0" w:color="auto"/>
              <w:left w:val="nil" w:sz="6" w:space="0" w:color="auto"/>
              <w:bottom w:val="nil" w:sz="6" w:space="0" w:color="auto"/>
              <w:right w:val="nil" w:sz="6" w:space="0" w:color="auto"/>
            </w:tcBorders>
          </w:tcPr>
          <w:p>
            <w:pPr/>
          </w:p>
        </w:tc>
      </w:tr>
      <w:tr>
        <w:trPr>
          <w:trHeight w:val="588"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w:t>
            </w:r>
          </w:p>
        </w:tc>
        <w:tc>
          <w:tcPr>
            <w:tcW w:w="655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6" w:right="0"/>
              <w:jc w:val="left"/>
              <w:rPr>
                <w:rFonts w:ascii="Arial" w:hAnsi="Arial" w:cs="Arial" w:eastAsia="Arial" w:hint="default"/>
                <w:sz w:val="24"/>
                <w:szCs w:val="24"/>
              </w:rPr>
            </w:pPr>
            <w:r>
              <w:rPr>
                <w:rFonts w:ascii="黑体" w:hAnsi="黑体" w:cs="黑体" w:eastAsia="黑体" w:hint="default"/>
                <w:sz w:val="24"/>
                <w:szCs w:val="24"/>
              </w:rPr>
              <w:t>处置子公司</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14" w:type="dxa"/>
            <w:tcBorders>
              <w:top w:val="nil" w:sz="6" w:space="0" w:color="auto"/>
              <w:left w:val="nil" w:sz="6" w:space="0" w:color="auto"/>
              <w:bottom w:val="nil" w:sz="6" w:space="0" w:color="auto"/>
              <w:right w:val="nil" w:sz="6" w:space="0" w:color="auto"/>
            </w:tcBorders>
          </w:tcPr>
          <w:p>
            <w:pPr/>
          </w:p>
        </w:tc>
      </w:tr>
      <w:tr>
        <w:trPr>
          <w:trHeight w:val="585"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65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6" w:right="0"/>
              <w:jc w:val="left"/>
              <w:rPr>
                <w:rFonts w:ascii="宋体" w:hAnsi="宋体" w:cs="宋体" w:eastAsia="宋体" w:hint="default"/>
                <w:sz w:val="24"/>
                <w:szCs w:val="24"/>
              </w:rPr>
            </w:pPr>
            <w:r>
              <w:rPr>
                <w:rFonts w:ascii="宋体" w:hAnsi="宋体" w:cs="宋体" w:eastAsia="宋体" w:hint="default"/>
                <w:sz w:val="24"/>
                <w:szCs w:val="24"/>
              </w:rPr>
              <w:t>处置损益以及相关现金流量信息如下：</w:t>
            </w:r>
          </w:p>
        </w:tc>
        <w:tc>
          <w:tcPr>
            <w:tcW w:w="2214" w:type="dxa"/>
            <w:tcBorders>
              <w:top w:val="nil" w:sz="6" w:space="0" w:color="auto"/>
              <w:left w:val="nil" w:sz="6" w:space="0" w:color="auto"/>
              <w:bottom w:val="nil" w:sz="6" w:space="0" w:color="auto"/>
              <w:right w:val="nil" w:sz="6" w:space="0" w:color="auto"/>
            </w:tcBorders>
          </w:tcPr>
          <w:p>
            <w:pPr/>
          </w:p>
        </w:tc>
      </w:tr>
      <w:tr>
        <w:trPr>
          <w:trHeight w:val="455" w:hRule="exact"/>
        </w:trPr>
        <w:tc>
          <w:tcPr>
            <w:tcW w:w="710" w:type="dxa"/>
            <w:tcBorders>
              <w:top w:val="nil" w:sz="6" w:space="0" w:color="auto"/>
              <w:left w:val="nil" w:sz="6" w:space="0" w:color="auto"/>
              <w:bottom w:val="nil" w:sz="6" w:space="0" w:color="auto"/>
              <w:right w:val="nil" w:sz="6" w:space="0" w:color="auto"/>
            </w:tcBorders>
          </w:tcPr>
          <w:p>
            <w:pPr/>
          </w:p>
        </w:tc>
        <w:tc>
          <w:tcPr>
            <w:tcW w:w="655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6" w:right="0"/>
              <w:jc w:val="left"/>
              <w:rPr>
                <w:rFonts w:ascii="宋体" w:hAnsi="宋体" w:cs="宋体" w:eastAsia="宋体" w:hint="default"/>
                <w:sz w:val="24"/>
                <w:szCs w:val="24"/>
              </w:rPr>
            </w:pPr>
            <w:r>
              <w:rPr>
                <w:rFonts w:ascii="Arial" w:hAnsi="Arial" w:cs="Arial" w:eastAsia="Arial" w:hint="default"/>
                <w:sz w:val="24"/>
                <w:szCs w:val="24"/>
              </w:rPr>
              <w:t>PPTV</w:t>
            </w:r>
            <w:r>
              <w:rPr>
                <w:rFonts w:ascii="Arial" w:hAnsi="Arial" w:cs="Arial" w:eastAsia="Arial" w:hint="default"/>
                <w:spacing w:val="-8"/>
                <w:sz w:val="24"/>
                <w:szCs w:val="24"/>
              </w:rPr>
              <w:t> </w:t>
            </w:r>
            <w:r>
              <w:rPr>
                <w:rFonts w:ascii="宋体" w:hAnsi="宋体" w:cs="宋体" w:eastAsia="宋体" w:hint="default"/>
                <w:sz w:val="24"/>
                <w:szCs w:val="24"/>
              </w:rPr>
              <w:t>业务处置损益计算如下：</w:t>
            </w:r>
          </w:p>
        </w:tc>
        <w:tc>
          <w:tcPr>
            <w:tcW w:w="2214" w:type="dxa"/>
            <w:tcBorders>
              <w:top w:val="nil" w:sz="6" w:space="0" w:color="auto"/>
              <w:left w:val="nil" w:sz="6" w:space="0" w:color="auto"/>
              <w:bottom w:val="nil" w:sz="6" w:space="0" w:color="auto"/>
              <w:right w:val="nil" w:sz="6" w:space="0" w:color="auto"/>
            </w:tcBorders>
          </w:tcPr>
          <w:p>
            <w:pPr/>
          </w:p>
        </w:tc>
      </w:tr>
      <w:tr>
        <w:trPr>
          <w:trHeight w:val="439" w:hRule="exact"/>
        </w:trPr>
        <w:tc>
          <w:tcPr>
            <w:tcW w:w="710" w:type="dxa"/>
            <w:tcBorders>
              <w:top w:val="nil" w:sz="6" w:space="0" w:color="auto"/>
              <w:left w:val="nil" w:sz="6" w:space="0" w:color="auto"/>
              <w:bottom w:val="nil" w:sz="6" w:space="0" w:color="auto"/>
              <w:right w:val="nil" w:sz="6" w:space="0" w:color="auto"/>
            </w:tcBorders>
          </w:tcPr>
          <w:p>
            <w:pPr/>
          </w:p>
        </w:tc>
        <w:tc>
          <w:tcPr>
            <w:tcW w:w="6552"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70" w:lineRule="exact"/>
              <w:ind w:right="293"/>
              <w:jc w:val="right"/>
              <w:rPr>
                <w:rFonts w:ascii="宋体" w:hAnsi="宋体" w:cs="宋体" w:eastAsia="宋体" w:hint="default"/>
                <w:sz w:val="24"/>
                <w:szCs w:val="24"/>
              </w:rPr>
            </w:pPr>
            <w:r>
              <w:rPr>
                <w:rFonts w:ascii="宋体" w:hAnsi="宋体" w:cs="宋体" w:eastAsia="宋体" w:hint="default"/>
                <w:sz w:val="24"/>
                <w:szCs w:val="24"/>
              </w:rPr>
              <w:t>金额</w:t>
            </w:r>
          </w:p>
        </w:tc>
      </w:tr>
      <w:tr>
        <w:trPr>
          <w:trHeight w:val="453" w:hRule="exact"/>
        </w:trPr>
        <w:tc>
          <w:tcPr>
            <w:tcW w:w="710" w:type="dxa"/>
            <w:tcBorders>
              <w:top w:val="nil" w:sz="6" w:space="0" w:color="auto"/>
              <w:left w:val="nil" w:sz="6" w:space="0" w:color="auto"/>
              <w:bottom w:val="nil" w:sz="6" w:space="0" w:color="auto"/>
              <w:right w:val="nil" w:sz="6" w:space="0" w:color="auto"/>
            </w:tcBorders>
          </w:tcPr>
          <w:p>
            <w:pPr/>
          </w:p>
        </w:tc>
        <w:tc>
          <w:tcPr>
            <w:tcW w:w="655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6" w:right="0"/>
              <w:jc w:val="left"/>
              <w:rPr>
                <w:rFonts w:ascii="宋体" w:hAnsi="宋体" w:cs="宋体" w:eastAsia="宋体" w:hint="default"/>
                <w:sz w:val="24"/>
                <w:szCs w:val="24"/>
              </w:rPr>
            </w:pPr>
            <w:r>
              <w:rPr>
                <w:rFonts w:ascii="宋体" w:hAnsi="宋体" w:cs="宋体" w:eastAsia="宋体" w:hint="default"/>
                <w:sz w:val="24"/>
                <w:szCs w:val="24"/>
              </w:rPr>
              <w:t>处置价格</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94"/>
              <w:jc w:val="right"/>
              <w:rPr>
                <w:rFonts w:ascii="Arial" w:hAnsi="Arial" w:cs="Arial" w:eastAsia="Arial" w:hint="default"/>
                <w:sz w:val="24"/>
                <w:szCs w:val="24"/>
              </w:rPr>
            </w:pPr>
            <w:r>
              <w:rPr>
                <w:rFonts w:ascii="Arial"/>
                <w:w w:val="95"/>
                <w:sz w:val="24"/>
              </w:rPr>
              <w:t>2,585,483</w:t>
            </w:r>
            <w:r>
              <w:rPr>
                <w:rFonts w:ascii="Arial"/>
                <w:sz w:val="24"/>
              </w:rPr>
            </w:r>
          </w:p>
        </w:tc>
      </w:tr>
      <w:tr>
        <w:trPr>
          <w:trHeight w:val="330" w:hRule="exact"/>
        </w:trPr>
        <w:tc>
          <w:tcPr>
            <w:tcW w:w="710" w:type="dxa"/>
            <w:tcBorders>
              <w:top w:val="nil" w:sz="6" w:space="0" w:color="auto"/>
              <w:left w:val="nil" w:sz="6" w:space="0" w:color="auto"/>
              <w:bottom w:val="nil" w:sz="6" w:space="0" w:color="auto"/>
              <w:right w:val="nil" w:sz="6" w:space="0" w:color="auto"/>
            </w:tcBorders>
          </w:tcPr>
          <w:p>
            <w:pPr/>
          </w:p>
        </w:tc>
        <w:tc>
          <w:tcPr>
            <w:tcW w:w="6552" w:type="dxa"/>
            <w:tcBorders>
              <w:top w:val="nil" w:sz="6" w:space="0" w:color="auto"/>
              <w:left w:val="nil" w:sz="6" w:space="0" w:color="auto"/>
              <w:bottom w:val="nil" w:sz="6" w:space="0" w:color="auto"/>
              <w:right w:val="nil" w:sz="6" w:space="0" w:color="auto"/>
            </w:tcBorders>
          </w:tcPr>
          <w:p>
            <w:pPr>
              <w:pStyle w:val="TableParagraph"/>
              <w:tabs>
                <w:tab w:pos="6157" w:val="left" w:leader="none"/>
                <w:tab w:pos="7338" w:val="left" w:leader="none"/>
              </w:tabs>
              <w:spacing w:line="289" w:lineRule="exact"/>
              <w:ind w:left="216" w:right="-787"/>
              <w:jc w:val="left"/>
              <w:rPr>
                <w:rFonts w:ascii="Arial" w:hAnsi="Arial" w:cs="Arial" w:eastAsia="Arial" w:hint="default"/>
                <w:sz w:val="24"/>
                <w:szCs w:val="24"/>
              </w:rPr>
            </w:pPr>
            <w:r>
              <w:rPr>
                <w:rFonts w:ascii="宋体" w:hAnsi="宋体" w:cs="宋体" w:eastAsia="宋体" w:hint="default"/>
                <w:position w:val="2"/>
                <w:sz w:val="24"/>
                <w:szCs w:val="24"/>
              </w:rPr>
              <w:t>减：合并财务报表层面享有的</w:t>
            </w:r>
            <w:r>
              <w:rPr>
                <w:rFonts w:ascii="宋体" w:hAnsi="宋体" w:cs="宋体" w:eastAsia="宋体" w:hint="default"/>
                <w:spacing w:val="-60"/>
                <w:position w:val="2"/>
                <w:sz w:val="24"/>
                <w:szCs w:val="24"/>
              </w:rPr>
              <w:t> </w:t>
            </w:r>
            <w:r>
              <w:rPr>
                <w:rFonts w:ascii="Arial" w:hAnsi="Arial" w:cs="Arial" w:eastAsia="Arial" w:hint="default"/>
                <w:position w:val="2"/>
                <w:sz w:val="24"/>
                <w:szCs w:val="24"/>
              </w:rPr>
              <w:t>PPTV</w:t>
            </w:r>
            <w:r>
              <w:rPr>
                <w:rFonts w:ascii="Arial" w:hAnsi="Arial" w:cs="Arial" w:eastAsia="Arial" w:hint="default"/>
                <w:spacing w:val="-8"/>
                <w:position w:val="2"/>
                <w:sz w:val="24"/>
                <w:szCs w:val="24"/>
              </w:rPr>
              <w:t> </w:t>
            </w:r>
            <w:r>
              <w:rPr>
                <w:rFonts w:ascii="宋体" w:hAnsi="宋体" w:cs="宋体" w:eastAsia="宋体" w:hint="default"/>
                <w:position w:val="2"/>
                <w:sz w:val="24"/>
                <w:szCs w:val="24"/>
              </w:rPr>
              <w:t>业务净资产份额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8"/>
              <w:jc w:val="right"/>
              <w:rPr>
                <w:rFonts w:ascii="Arial" w:hAnsi="Arial" w:cs="Arial" w:eastAsia="Arial" w:hint="default"/>
                <w:sz w:val="24"/>
                <w:szCs w:val="24"/>
              </w:rPr>
            </w:pPr>
            <w:r>
              <w:rPr>
                <w:rFonts w:ascii="Arial"/>
                <w:w w:val="99"/>
                <w:sz w:val="24"/>
              </w:rPr>
            </w:r>
            <w:r>
              <w:rPr>
                <w:rFonts w:ascii="Arial"/>
                <w:w w:val="95"/>
                <w:sz w:val="24"/>
                <w:u w:val="single" w:color="000000"/>
              </w:rPr>
              <w:t>(1,188,241)</w:t>
            </w:r>
            <w:r>
              <w:rPr>
                <w:rFonts w:ascii="Arial"/>
                <w:w w:val="95"/>
                <w:sz w:val="24"/>
              </w:rPr>
            </w:r>
            <w:r>
              <w:rPr>
                <w:rFonts w:ascii="Arial"/>
                <w:sz w:val="24"/>
              </w:rPr>
            </w:r>
          </w:p>
        </w:tc>
      </w:tr>
      <w:tr>
        <w:trPr>
          <w:trHeight w:val="466" w:hRule="exact"/>
        </w:trPr>
        <w:tc>
          <w:tcPr>
            <w:tcW w:w="710" w:type="dxa"/>
            <w:tcBorders>
              <w:top w:val="nil" w:sz="6" w:space="0" w:color="auto"/>
              <w:left w:val="nil" w:sz="6" w:space="0" w:color="auto"/>
              <w:bottom w:val="nil" w:sz="6" w:space="0" w:color="auto"/>
              <w:right w:val="nil" w:sz="6" w:space="0" w:color="auto"/>
            </w:tcBorders>
          </w:tcPr>
          <w:p>
            <w:pPr/>
          </w:p>
        </w:tc>
        <w:tc>
          <w:tcPr>
            <w:tcW w:w="6552" w:type="dxa"/>
            <w:tcBorders>
              <w:top w:val="nil" w:sz="6" w:space="0" w:color="auto"/>
              <w:left w:val="nil" w:sz="6" w:space="0" w:color="auto"/>
              <w:bottom w:val="nil" w:sz="6" w:space="0" w:color="auto"/>
              <w:right w:val="nil" w:sz="6" w:space="0" w:color="auto"/>
            </w:tcBorders>
          </w:tcPr>
          <w:p>
            <w:pPr>
              <w:pStyle w:val="TableParagraph"/>
              <w:tabs>
                <w:tab w:pos="6157" w:val="left" w:leader="none"/>
                <w:tab w:pos="7401" w:val="left" w:leader="none"/>
              </w:tabs>
              <w:spacing w:line="280" w:lineRule="exact"/>
              <w:ind w:left="216" w:right="-851"/>
              <w:jc w:val="left"/>
              <w:rPr>
                <w:rFonts w:ascii="Arial" w:hAnsi="Arial" w:cs="Arial" w:eastAsia="Arial" w:hint="default"/>
                <w:sz w:val="24"/>
                <w:szCs w:val="24"/>
              </w:rPr>
            </w:pPr>
            <w:r>
              <w:rPr>
                <w:rFonts w:ascii="宋体" w:hAnsi="宋体" w:cs="宋体" w:eastAsia="宋体" w:hint="default"/>
                <w:position w:val="2"/>
                <w:sz w:val="24"/>
                <w:szCs w:val="24"/>
              </w:rPr>
              <w:t>处置产生的投资收益</w:t>
            </w:r>
            <w:r>
              <w:rPr>
                <w:rFonts w:ascii="Arial" w:hAnsi="Arial" w:cs="Arial" w:eastAsia="Arial" w:hint="default"/>
                <w:position w:val="2"/>
                <w:sz w:val="24"/>
                <w:szCs w:val="24"/>
              </w:rPr>
              <w:t>(</w:t>
            </w:r>
            <w:r>
              <w:rPr>
                <w:rFonts w:ascii="宋体" w:hAnsi="宋体" w:cs="宋体" w:eastAsia="宋体" w:hint="default"/>
                <w:position w:val="2"/>
                <w:sz w:val="24"/>
                <w:szCs w:val="24"/>
              </w:rPr>
              <w:t>附注四</w:t>
            </w:r>
            <w:r>
              <w:rPr>
                <w:rFonts w:ascii="Arial" w:hAnsi="Arial" w:cs="Arial" w:eastAsia="Arial" w:hint="default"/>
                <w:position w:val="2"/>
                <w:sz w:val="24"/>
                <w:szCs w:val="24"/>
              </w:rPr>
              <w:t>(51))</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214" w:type="dxa"/>
            <w:tcBorders>
              <w:top w:val="nil" w:sz="6" w:space="0" w:color="auto"/>
              <w:left w:val="nil" w:sz="6" w:space="0" w:color="auto"/>
              <w:bottom w:val="nil" w:sz="6" w:space="0" w:color="auto"/>
              <w:right w:val="nil" w:sz="6" w:space="0" w:color="auto"/>
            </w:tcBorders>
          </w:tcPr>
          <w:p>
            <w:pPr>
              <w:pStyle w:val="TableParagraph"/>
              <w:tabs>
                <w:tab w:pos="1177" w:val="left" w:leader="none"/>
              </w:tabs>
              <w:spacing w:line="240" w:lineRule="auto" w:before="24"/>
              <w:ind w:right="184"/>
              <w:jc w:val="right"/>
              <w:rPr>
                <w:rFonts w:ascii="Arial" w:hAnsi="Arial" w:cs="Arial" w:eastAsia="Arial" w:hint="default"/>
                <w:sz w:val="24"/>
                <w:szCs w:val="24"/>
              </w:rPr>
            </w:pPr>
            <w:r>
              <w:rPr>
                <w:rFonts w:ascii="Arial"/>
                <w:w w:val="99"/>
                <w:sz w:val="24"/>
              </w:rPr>
            </w:r>
            <w:r>
              <w:rPr>
                <w:rFonts w:ascii="Arial"/>
                <w:w w:val="95"/>
                <w:sz w:val="24"/>
                <w:u w:val="thick" w:color="000000"/>
              </w:rPr>
              <w:t>1,397,242</w:t>
            </w:r>
            <w:r>
              <w:rPr>
                <w:rFonts w:ascii="Arial"/>
                <w:sz w:val="24"/>
                <w:u w:val="thick" w:color="000000"/>
              </w:rPr>
              <w:tab/>
            </w:r>
            <w:r>
              <w:rPr>
                <w:rFonts w:ascii="Arial"/>
                <w:sz w:val="24"/>
              </w:rPr>
            </w:r>
          </w:p>
        </w:tc>
      </w:tr>
      <w:tr>
        <w:trPr>
          <w:trHeight w:val="592"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(3)</w:t>
            </w:r>
          </w:p>
        </w:tc>
        <w:tc>
          <w:tcPr>
            <w:tcW w:w="655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6" w:right="0"/>
              <w:jc w:val="left"/>
              <w:rPr>
                <w:rFonts w:ascii="宋体" w:hAnsi="宋体" w:cs="宋体" w:eastAsia="宋体" w:hint="default"/>
                <w:sz w:val="24"/>
                <w:szCs w:val="24"/>
              </w:rPr>
            </w:pPr>
            <w:r>
              <w:rPr>
                <w:rFonts w:ascii="宋体" w:hAnsi="宋体" w:cs="宋体" w:eastAsia="宋体" w:hint="default"/>
                <w:sz w:val="24"/>
                <w:szCs w:val="24"/>
              </w:rPr>
              <w:t>其他原因的合并范围变动</w:t>
            </w:r>
          </w:p>
        </w:tc>
        <w:tc>
          <w:tcPr>
            <w:tcW w:w="2214" w:type="dxa"/>
            <w:tcBorders>
              <w:top w:val="nil" w:sz="6" w:space="0" w:color="auto"/>
              <w:left w:val="nil" w:sz="6" w:space="0" w:color="auto"/>
              <w:bottom w:val="nil" w:sz="6" w:space="0" w:color="auto"/>
              <w:right w:val="nil" w:sz="6" w:space="0" w:color="auto"/>
            </w:tcBorders>
          </w:tcPr>
          <w:p>
            <w:pPr/>
          </w:p>
        </w:tc>
      </w:tr>
      <w:tr>
        <w:trPr>
          <w:trHeight w:val="1036" w:hRule="exact"/>
        </w:trPr>
        <w:tc>
          <w:tcPr>
            <w:tcW w:w="710" w:type="dxa"/>
            <w:tcBorders>
              <w:top w:val="nil" w:sz="6" w:space="0" w:color="auto"/>
              <w:left w:val="nil" w:sz="6" w:space="0" w:color="auto"/>
              <w:bottom w:val="nil" w:sz="6" w:space="0" w:color="auto"/>
              <w:right w:val="nil" w:sz="6" w:space="0" w:color="auto"/>
            </w:tcBorders>
          </w:tcPr>
          <w:p>
            <w:pPr/>
          </w:p>
        </w:tc>
        <w:tc>
          <w:tcPr>
            <w:tcW w:w="8766" w:type="dxa"/>
            <w:gridSpan w:val="2"/>
            <w:tcBorders>
              <w:top w:val="nil" w:sz="6" w:space="0" w:color="auto"/>
              <w:left w:val="nil" w:sz="6" w:space="0" w:color="auto"/>
              <w:bottom w:val="nil" w:sz="6" w:space="0" w:color="auto"/>
              <w:right w:val="nil" w:sz="6" w:space="0" w:color="auto"/>
            </w:tcBorders>
          </w:tcPr>
          <w:p>
            <w:pPr>
              <w:pStyle w:val="TableParagraph"/>
              <w:spacing w:line="321" w:lineRule="exact" w:before="99"/>
              <w:ind w:left="216"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年度，本集团新设子公司</w:t>
            </w:r>
            <w:r>
              <w:rPr>
                <w:rFonts w:ascii="宋体" w:hAnsi="宋体" w:cs="宋体" w:eastAsia="宋体" w:hint="default"/>
                <w:spacing w:val="-62"/>
                <w:sz w:val="24"/>
                <w:szCs w:val="24"/>
              </w:rPr>
              <w:t> </w:t>
            </w:r>
            <w:r>
              <w:rPr>
                <w:rFonts w:ascii="Arial" w:hAnsi="Arial" w:cs="Arial" w:eastAsia="Arial" w:hint="default"/>
                <w:sz w:val="24"/>
                <w:szCs w:val="24"/>
              </w:rPr>
              <w:t>26</w:t>
            </w:r>
            <w:r>
              <w:rPr>
                <w:rFonts w:ascii="Arial" w:hAnsi="Arial" w:cs="Arial" w:eastAsia="Arial" w:hint="default"/>
                <w:spacing w:val="-9"/>
                <w:sz w:val="24"/>
                <w:szCs w:val="24"/>
              </w:rPr>
              <w:t> </w:t>
            </w:r>
            <w:r>
              <w:rPr>
                <w:rFonts w:ascii="宋体" w:hAnsi="宋体" w:cs="宋体" w:eastAsia="宋体" w:hint="default"/>
                <w:sz w:val="24"/>
                <w:szCs w:val="24"/>
              </w:rPr>
              <w:t>家，包括江苏苏宁征信服务有限公司、江</w:t>
            </w:r>
          </w:p>
          <w:p>
            <w:pPr>
              <w:pStyle w:val="TableParagraph"/>
              <w:spacing w:line="312" w:lineRule="exact" w:before="20"/>
              <w:ind w:left="216" w:right="307"/>
              <w:jc w:val="left"/>
              <w:rPr>
                <w:rFonts w:ascii="宋体" w:hAnsi="宋体" w:cs="宋体" w:eastAsia="宋体" w:hint="default"/>
                <w:sz w:val="24"/>
                <w:szCs w:val="24"/>
              </w:rPr>
            </w:pPr>
            <w:r>
              <w:rPr>
                <w:rFonts w:ascii="宋体" w:hAnsi="宋体" w:cs="宋体" w:eastAsia="宋体" w:hint="default"/>
                <w:sz w:val="24"/>
                <w:szCs w:val="24"/>
              </w:rPr>
              <w:t>苏苏宁股权众筹服务有限公司等，纳入合并范围；注销子公司</w:t>
            </w:r>
            <w:r>
              <w:rPr>
                <w:rFonts w:ascii="宋体" w:hAnsi="宋体" w:cs="宋体" w:eastAsia="宋体" w:hint="default"/>
                <w:spacing w:val="-82"/>
                <w:sz w:val="24"/>
                <w:szCs w:val="24"/>
              </w:rPr>
              <w:t> </w:t>
            </w:r>
            <w:r>
              <w:rPr>
                <w:rFonts w:ascii="Arial" w:hAnsi="Arial" w:cs="Arial" w:eastAsia="Arial" w:hint="default"/>
                <w:sz w:val="24"/>
                <w:szCs w:val="24"/>
              </w:rPr>
              <w:t>13</w:t>
            </w:r>
            <w:r>
              <w:rPr>
                <w:rFonts w:ascii="Arial" w:hAnsi="Arial" w:cs="Arial" w:eastAsia="Arial" w:hint="default"/>
                <w:spacing w:val="-29"/>
                <w:sz w:val="24"/>
                <w:szCs w:val="24"/>
              </w:rPr>
              <w:t> </w:t>
            </w:r>
            <w:r>
              <w:rPr>
                <w:rFonts w:ascii="宋体" w:hAnsi="宋体" w:cs="宋体" w:eastAsia="宋体" w:hint="default"/>
                <w:spacing w:val="-4"/>
                <w:sz w:val="24"/>
                <w:szCs w:val="24"/>
              </w:rPr>
              <w:t>家，包括太原</w:t>
            </w:r>
            <w:r>
              <w:rPr>
                <w:rFonts w:ascii="宋体" w:hAnsi="宋体" w:cs="宋体" w:eastAsia="宋体" w:hint="default"/>
                <w:sz w:val="24"/>
                <w:szCs w:val="24"/>
              </w:rPr>
              <w:t> 苏宁售后服务、石家庄苏宁易购电子商务有限公司等，不再纳入合并范围。</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4"/>
          <w:szCs w:val="24"/>
        </w:rPr>
      </w:pPr>
    </w:p>
    <w:p>
      <w:pPr>
        <w:spacing w:before="76"/>
        <w:ind w:left="0" w:right="1726" w:firstLine="0"/>
        <w:jc w:val="right"/>
        <w:rPr>
          <w:rFonts w:ascii="Times New Roman" w:hAnsi="Times New Roman" w:cs="Times New Roman" w:eastAsia="Times New Roman" w:hint="default"/>
          <w:sz w:val="18"/>
          <w:szCs w:val="18"/>
        </w:rPr>
      </w:pPr>
      <w:r>
        <w:rPr/>
        <w:pict>
          <v:shape style="position:absolute;margin-left:527.880005pt;margin-top:22.182343pt;width:67.5pt;height:38.5pt;mso-position-horizontal-relative:page;mso-position-vertical-relative:paragraph;z-index:2656" type="#_x0000_t75" stroked="false">
            <v:imagedata r:id="rId23" o:title=""/>
          </v:shape>
        </w:pict>
      </w:r>
      <w:r>
        <w:rPr>
          <w:rFonts w:ascii="Times New Roman"/>
          <w:sz w:val="18"/>
        </w:rPr>
        <w:t>223</w:t>
      </w:r>
    </w:p>
    <w:p>
      <w:pPr>
        <w:spacing w:after="0"/>
        <w:jc w:val="right"/>
        <w:rPr>
          <w:rFonts w:ascii="Times New Roman" w:hAnsi="Times New Roman" w:cs="Times New Roman" w:eastAsia="Times New Roman" w:hint="default"/>
          <w:sz w:val="18"/>
          <w:szCs w:val="18"/>
        </w:rPr>
        <w:sectPr>
          <w:headerReference w:type="default" r:id="rId72"/>
          <w:footerReference w:type="default" r:id="rId73"/>
          <w:pgSz w:w="11910" w:h="16840"/>
          <w:pgMar w:header="755" w:footer="0" w:top="1860" w:bottom="0" w:left="11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708"/>
        <w:gridCol w:w="3161"/>
        <w:gridCol w:w="1623"/>
        <w:gridCol w:w="1156"/>
        <w:gridCol w:w="2766"/>
        <w:gridCol w:w="1810"/>
        <w:gridCol w:w="743"/>
        <w:gridCol w:w="2219"/>
      </w:tblGrid>
      <w:tr>
        <w:trPr>
          <w:trHeight w:val="410"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exact"/>
              <w:ind w:left="215" w:right="0"/>
              <w:jc w:val="left"/>
              <w:rPr>
                <w:rFonts w:ascii="黑体" w:hAnsi="黑体" w:cs="黑体" w:eastAsia="黑体" w:hint="default"/>
                <w:sz w:val="24"/>
                <w:szCs w:val="24"/>
              </w:rPr>
            </w:pPr>
            <w:r>
              <w:rPr>
                <w:rFonts w:ascii="黑体" w:hAnsi="黑体" w:cs="黑体" w:eastAsia="黑体" w:hint="default"/>
                <w:sz w:val="24"/>
                <w:szCs w:val="24"/>
              </w:rPr>
              <w:t>在其他主体中的权益</w:t>
            </w:r>
          </w:p>
        </w:tc>
        <w:tc>
          <w:tcPr>
            <w:tcW w:w="162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76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588"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(1)</w:t>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5" w:right="0"/>
              <w:jc w:val="left"/>
              <w:rPr>
                <w:rFonts w:ascii="黑体" w:hAnsi="黑体" w:cs="黑体" w:eastAsia="黑体" w:hint="default"/>
                <w:sz w:val="24"/>
                <w:szCs w:val="24"/>
              </w:rPr>
            </w:pPr>
            <w:r>
              <w:rPr>
                <w:rFonts w:ascii="黑体" w:hAnsi="黑体" w:cs="黑体" w:eastAsia="黑体" w:hint="default"/>
                <w:sz w:val="24"/>
                <w:szCs w:val="24"/>
              </w:rPr>
              <w:t>在子公司中的权益</w:t>
            </w:r>
          </w:p>
        </w:tc>
        <w:tc>
          <w:tcPr>
            <w:tcW w:w="162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76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604"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5" w:right="0"/>
              <w:jc w:val="left"/>
              <w:rPr>
                <w:rFonts w:ascii="宋体" w:hAnsi="宋体" w:cs="宋体" w:eastAsia="宋体" w:hint="default"/>
                <w:sz w:val="24"/>
                <w:szCs w:val="24"/>
              </w:rPr>
            </w:pPr>
            <w:r>
              <w:rPr>
                <w:rFonts w:ascii="宋体" w:hAnsi="宋体" w:cs="宋体" w:eastAsia="宋体" w:hint="default"/>
                <w:sz w:val="24"/>
                <w:szCs w:val="24"/>
              </w:rPr>
              <w:t>企业集团的构成</w:t>
            </w:r>
          </w:p>
        </w:tc>
        <w:tc>
          <w:tcPr>
            <w:tcW w:w="162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76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399"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15" w:right="0"/>
              <w:jc w:val="left"/>
              <w:rPr>
                <w:rFonts w:ascii="宋体" w:hAnsi="宋体" w:cs="宋体" w:eastAsia="宋体" w:hint="default"/>
                <w:sz w:val="18"/>
                <w:szCs w:val="18"/>
              </w:rPr>
            </w:pPr>
            <w:r>
              <w:rPr>
                <w:rFonts w:ascii="宋体" w:hAnsi="宋体" w:cs="宋体" w:eastAsia="宋体" w:hint="default"/>
                <w:sz w:val="18"/>
                <w:szCs w:val="18"/>
              </w:rPr>
              <w:t>主要子公司名称</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96"/>
              <w:jc w:val="right"/>
              <w:rPr>
                <w:rFonts w:ascii="宋体" w:hAnsi="宋体" w:cs="宋体" w:eastAsia="宋体" w:hint="default"/>
                <w:sz w:val="18"/>
                <w:szCs w:val="18"/>
              </w:rPr>
            </w:pPr>
            <w:r>
              <w:rPr>
                <w:rFonts w:ascii="宋体" w:hAnsi="宋体" w:cs="宋体" w:eastAsia="宋体" w:hint="default"/>
                <w:sz w:val="18"/>
                <w:szCs w:val="18"/>
              </w:rPr>
              <w:t>主要经营地</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4"/>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9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43" w:type="dxa"/>
            <w:tcBorders>
              <w:top w:val="nil" w:sz="6" w:space="0" w:color="auto"/>
              <w:left w:val="nil" w:sz="6" w:space="0" w:color="auto"/>
              <w:bottom w:val="single" w:sz="4" w:space="0" w:color="000000"/>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8"/>
              <w:jc w:val="righ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39"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766" w:type="dxa"/>
            <w:tcBorders>
              <w:top w:val="nil" w:sz="6" w:space="0" w:color="auto"/>
              <w:left w:val="nil" w:sz="6" w:space="0" w:color="auto"/>
              <w:bottom w:val="nil" w:sz="6" w:space="0" w:color="auto"/>
              <w:right w:val="nil" w:sz="6" w:space="0" w:color="auto"/>
            </w:tcBorders>
          </w:tcPr>
          <w:p>
            <w:pPr/>
          </w:p>
        </w:tc>
        <w:tc>
          <w:tcPr>
            <w:tcW w:w="1810" w:type="dxa"/>
            <w:tcBorders>
              <w:top w:val="single" w:sz="4" w:space="0" w:color="000000"/>
              <w:left w:val="nil" w:sz="6" w:space="0" w:color="auto"/>
              <w:bottom w:val="nil" w:sz="6" w:space="0" w:color="auto"/>
              <w:right w:val="nil" w:sz="6" w:space="0" w:color="auto"/>
            </w:tcBorders>
          </w:tcPr>
          <w:p>
            <w:pPr>
              <w:pStyle w:val="TableParagraph"/>
              <w:spacing w:line="207" w:lineRule="exact"/>
              <w:ind w:left="16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43"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间接</w:t>
            </w:r>
          </w:p>
        </w:tc>
        <w:tc>
          <w:tcPr>
            <w:tcW w:w="2219" w:type="dxa"/>
            <w:tcBorders>
              <w:top w:val="nil" w:sz="6" w:space="0" w:color="auto"/>
              <w:left w:val="nil" w:sz="6" w:space="0" w:color="auto"/>
              <w:bottom w:val="nil" w:sz="6" w:space="0" w:color="auto"/>
              <w:right w:val="nil" w:sz="6" w:space="0" w:color="auto"/>
            </w:tcBorders>
          </w:tcPr>
          <w:p>
            <w:pPr/>
          </w:p>
        </w:tc>
      </w:tr>
      <w:tr>
        <w:trPr>
          <w:trHeight w:val="337"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15" w:right="0"/>
              <w:jc w:val="left"/>
              <w:rPr>
                <w:rFonts w:ascii="宋体" w:hAnsi="宋体" w:cs="宋体" w:eastAsia="宋体" w:hint="default"/>
                <w:sz w:val="18"/>
                <w:szCs w:val="18"/>
              </w:rPr>
            </w:pPr>
            <w:r>
              <w:rPr>
                <w:rFonts w:ascii="宋体" w:hAnsi="宋体" w:cs="宋体" w:eastAsia="宋体" w:hint="default"/>
                <w:sz w:val="18"/>
                <w:szCs w:val="18"/>
              </w:rPr>
              <w:t>北京苏宁云商销售有限公司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96"/>
              <w:jc w:val="right"/>
              <w:rPr>
                <w:rFonts w:ascii="宋体" w:hAnsi="宋体" w:cs="宋体" w:eastAsia="宋体" w:hint="default"/>
                <w:sz w:val="18"/>
                <w:szCs w:val="18"/>
              </w:rPr>
            </w:pPr>
            <w:r>
              <w:rPr>
                <w:rFonts w:ascii="宋体" w:hAnsi="宋体" w:cs="宋体" w:eastAsia="宋体" w:hint="default"/>
                <w:sz w:val="18"/>
                <w:szCs w:val="18"/>
              </w:rPr>
              <w:t>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64" w:right="0"/>
              <w:jc w:val="center"/>
              <w:rPr>
                <w:rFonts w:ascii="Arial" w:hAnsi="Arial" w:cs="Arial" w:eastAsia="Arial" w:hint="default"/>
                <w:sz w:val="18"/>
                <w:szCs w:val="18"/>
              </w:rPr>
            </w:pPr>
            <w:r>
              <w:rPr>
                <w:rFonts w:ascii="Arial"/>
                <w:sz w:val="18"/>
              </w:rPr>
              <w:t>89%</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6"/>
              <w:jc w:val="right"/>
              <w:rPr>
                <w:rFonts w:ascii="Arial" w:hAnsi="Arial" w:cs="Arial" w:eastAsia="Arial" w:hint="default"/>
                <w:sz w:val="18"/>
                <w:szCs w:val="18"/>
              </w:rPr>
            </w:pPr>
            <w:r>
              <w:rPr>
                <w:rFonts w:ascii="Arial"/>
                <w:spacing w:val="-5"/>
                <w:sz w:val="18"/>
              </w:rPr>
              <w:t>11%</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上海苏宁云商销售有限公司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上海市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
              <w:ind w:left="706" w:right="0"/>
              <w:jc w:val="left"/>
              <w:rPr>
                <w:rFonts w:ascii="Arial" w:hAnsi="Arial" w:cs="Arial" w:eastAsia="Arial" w:hint="default"/>
                <w:sz w:val="18"/>
                <w:szCs w:val="18"/>
              </w:rPr>
            </w:pPr>
            <w:r>
              <w:rPr>
                <w:rFonts w:ascii="Arial"/>
                <w:sz w:val="18"/>
              </w:rPr>
              <w:t>100%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重庆苏宁云商销售有限公司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重庆市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重庆市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06" w:right="0"/>
              <w:jc w:val="left"/>
              <w:rPr>
                <w:rFonts w:ascii="Arial" w:hAnsi="Arial" w:cs="Arial" w:eastAsia="Arial" w:hint="default"/>
                <w:sz w:val="18"/>
                <w:szCs w:val="18"/>
              </w:rPr>
            </w:pPr>
            <w:r>
              <w:rPr>
                <w:rFonts w:ascii="Arial"/>
                <w:sz w:val="18"/>
              </w:rPr>
              <w:t>100%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四川苏宁云商销售有限公司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成都市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成都市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
              <w:ind w:left="706" w:right="0"/>
              <w:jc w:val="left"/>
              <w:rPr>
                <w:rFonts w:ascii="Arial" w:hAnsi="Arial" w:cs="Arial" w:eastAsia="Arial" w:hint="default"/>
                <w:sz w:val="18"/>
                <w:szCs w:val="18"/>
              </w:rPr>
            </w:pPr>
            <w:r>
              <w:rPr>
                <w:rFonts w:ascii="Arial"/>
                <w:sz w:val="18"/>
              </w:rPr>
              <w:t>100%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上海长宁苏宁云商销售有限公司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上海市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4" w:right="0"/>
              <w:jc w:val="center"/>
              <w:rPr>
                <w:rFonts w:ascii="Arial" w:hAnsi="Arial" w:cs="Arial" w:eastAsia="Arial" w:hint="default"/>
                <w:sz w:val="18"/>
                <w:szCs w:val="18"/>
              </w:rPr>
            </w:pPr>
            <w:r>
              <w:rPr>
                <w:rFonts w:ascii="Arial"/>
                <w:sz w:val="18"/>
              </w:rPr>
              <w:t>90%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广东苏宁云商销售有限公司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广州市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4" w:right="0"/>
              <w:jc w:val="center"/>
              <w:rPr>
                <w:rFonts w:ascii="Arial" w:hAnsi="Arial" w:cs="Arial" w:eastAsia="Arial" w:hint="default"/>
                <w:sz w:val="18"/>
                <w:szCs w:val="18"/>
              </w:rPr>
            </w:pPr>
            <w:r>
              <w:rPr>
                <w:rFonts w:ascii="Arial"/>
                <w:sz w:val="18"/>
              </w:rPr>
              <w:t>90%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4"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福建苏宁云商商贸有限公司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福州市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4" w:right="0"/>
              <w:jc w:val="center"/>
              <w:rPr>
                <w:rFonts w:ascii="Arial" w:hAnsi="Arial" w:cs="Arial" w:eastAsia="Arial" w:hint="default"/>
                <w:sz w:val="18"/>
                <w:szCs w:val="18"/>
              </w:rPr>
            </w:pPr>
            <w:r>
              <w:rPr>
                <w:rFonts w:ascii="Arial"/>
                <w:sz w:val="18"/>
              </w:rPr>
              <w:t>90%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沈阳苏宁云商销售有限公司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沈阳市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沈阳市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4" w:right="0"/>
              <w:jc w:val="center"/>
              <w:rPr>
                <w:rFonts w:ascii="Arial" w:hAnsi="Arial" w:cs="Arial" w:eastAsia="Arial" w:hint="default"/>
                <w:sz w:val="18"/>
                <w:szCs w:val="18"/>
              </w:rPr>
            </w:pPr>
            <w:r>
              <w:rPr>
                <w:rFonts w:ascii="Arial"/>
                <w:sz w:val="18"/>
              </w:rPr>
              <w:t>90%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陕西苏宁云商销售有限公司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西安市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4" w:right="0"/>
              <w:jc w:val="center"/>
              <w:rPr>
                <w:rFonts w:ascii="Arial" w:hAnsi="Arial" w:cs="Arial" w:eastAsia="Arial" w:hint="default"/>
                <w:sz w:val="18"/>
                <w:szCs w:val="18"/>
              </w:rPr>
            </w:pPr>
            <w:r>
              <w:rPr>
                <w:rFonts w:ascii="Arial"/>
                <w:sz w:val="18"/>
              </w:rPr>
              <w:t>90%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浙江苏宁云商商贸有限公司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杭州市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4" w:right="0"/>
              <w:jc w:val="center"/>
              <w:rPr>
                <w:rFonts w:ascii="Arial" w:hAnsi="Arial" w:cs="Arial" w:eastAsia="Arial" w:hint="default"/>
                <w:sz w:val="18"/>
                <w:szCs w:val="18"/>
              </w:rPr>
            </w:pPr>
            <w:r>
              <w:rPr>
                <w:rFonts w:ascii="Arial"/>
                <w:sz w:val="18"/>
              </w:rPr>
              <w:t>89%</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18"/>
                <w:szCs w:val="18"/>
              </w:rPr>
            </w:pPr>
            <w:r>
              <w:rPr>
                <w:rFonts w:ascii="Arial"/>
                <w:spacing w:val="-5"/>
                <w:sz w:val="18"/>
              </w:rPr>
              <w:t>11%</w:t>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深圳市苏宁云商销售有限公司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深圳市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4" w:right="0"/>
              <w:jc w:val="center"/>
              <w:rPr>
                <w:rFonts w:ascii="Arial" w:hAnsi="Arial" w:cs="Arial" w:eastAsia="Arial" w:hint="default"/>
                <w:sz w:val="18"/>
                <w:szCs w:val="18"/>
              </w:rPr>
            </w:pPr>
            <w:r>
              <w:rPr>
                <w:rFonts w:ascii="Arial"/>
                <w:sz w:val="18"/>
              </w:rPr>
              <w:t>90%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4"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武汉苏宁云商销售有限公司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武汉市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4" w:right="0"/>
              <w:jc w:val="center"/>
              <w:rPr>
                <w:rFonts w:ascii="Arial" w:hAnsi="Arial" w:cs="Arial" w:eastAsia="Arial" w:hint="default"/>
                <w:sz w:val="18"/>
                <w:szCs w:val="18"/>
              </w:rPr>
            </w:pPr>
            <w:r>
              <w:rPr>
                <w:rFonts w:ascii="Arial"/>
                <w:sz w:val="18"/>
              </w:rPr>
              <w:t>90%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4"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厦门苏宁云商销售有限公司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厦门市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厦门市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4" w:right="0"/>
              <w:jc w:val="center"/>
              <w:rPr>
                <w:rFonts w:ascii="Arial" w:hAnsi="Arial" w:cs="Arial" w:eastAsia="Arial" w:hint="default"/>
                <w:sz w:val="18"/>
                <w:szCs w:val="18"/>
              </w:rPr>
            </w:pPr>
            <w:r>
              <w:rPr>
                <w:rFonts w:ascii="Arial"/>
                <w:sz w:val="18"/>
              </w:rPr>
              <w:t>90%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云南苏宁云商销售有限公司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昆明市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昆明市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06" w:right="0"/>
              <w:jc w:val="left"/>
              <w:rPr>
                <w:rFonts w:ascii="Arial" w:hAnsi="Arial" w:cs="Arial" w:eastAsia="Arial" w:hint="default"/>
                <w:sz w:val="18"/>
                <w:szCs w:val="18"/>
              </w:rPr>
            </w:pPr>
            <w:r>
              <w:rPr>
                <w:rFonts w:ascii="Arial"/>
                <w:sz w:val="18"/>
              </w:rPr>
              <w:t>100%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54"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苏宁商业保理有限公司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296"/>
              <w:jc w:val="right"/>
              <w:rPr>
                <w:rFonts w:ascii="宋体" w:hAnsi="宋体" w:cs="宋体" w:eastAsia="宋体" w:hint="default"/>
                <w:sz w:val="18"/>
                <w:szCs w:val="18"/>
              </w:rPr>
            </w:pPr>
            <w:r>
              <w:rPr>
                <w:rFonts w:ascii="宋体" w:hAnsi="宋体" w:cs="宋体" w:eastAsia="宋体" w:hint="default"/>
                <w:sz w:val="18"/>
                <w:szCs w:val="18"/>
              </w:rPr>
              <w:t>天津市</w:t>
            </w:r>
          </w:p>
        </w:tc>
        <w:tc>
          <w:tcPr>
            <w:tcW w:w="1156" w:type="dxa"/>
            <w:tcBorders>
              <w:top w:val="nil" w:sz="6" w:space="0" w:color="auto"/>
              <w:left w:val="nil" w:sz="6" w:space="0" w:color="auto"/>
              <w:bottom w:val="nil" w:sz="6" w:space="0" w:color="auto"/>
              <w:right w:val="nil" w:sz="6" w:space="0" w:color="auto"/>
            </w:tcBorders>
          </w:tcPr>
          <w:p>
            <w:pPr>
              <w:pStyle w:val="TableParagraph"/>
              <w:spacing w:line="209" w:lineRule="exact"/>
              <w:ind w:right="2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2766"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z w:val="18"/>
                <w:szCs w:val="18"/>
              </w:rPr>
              <w:t>商业保理</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4" w:right="0"/>
              <w:jc w:val="center"/>
              <w:rPr>
                <w:rFonts w:ascii="Arial" w:hAnsi="Arial" w:cs="Arial" w:eastAsia="Arial" w:hint="default"/>
                <w:sz w:val="18"/>
                <w:szCs w:val="18"/>
              </w:rPr>
            </w:pPr>
            <w:r>
              <w:rPr>
                <w:rFonts w:ascii="Arial"/>
                <w:sz w:val="18"/>
              </w:rPr>
              <w:t>25%</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Arial" w:hAnsi="Arial" w:cs="Arial" w:eastAsia="Arial" w:hint="default"/>
                <w:sz w:val="18"/>
                <w:szCs w:val="18"/>
              </w:rPr>
            </w:pPr>
            <w:r>
              <w:rPr>
                <w:rFonts w:ascii="Arial"/>
                <w:spacing w:val="-1"/>
                <w:w w:val="95"/>
                <w:sz w:val="18"/>
              </w:rPr>
              <w:t>75%</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76"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30" w:lineRule="exact"/>
              <w:ind w:left="215" w:right="0"/>
              <w:jc w:val="left"/>
              <w:rPr>
                <w:rFonts w:ascii="宋体" w:hAnsi="宋体" w:cs="宋体" w:eastAsia="宋体" w:hint="default"/>
                <w:sz w:val="18"/>
                <w:szCs w:val="18"/>
              </w:rPr>
            </w:pPr>
            <w:r>
              <w:rPr>
                <w:rFonts w:ascii="宋体" w:hAnsi="宋体" w:cs="宋体" w:eastAsia="宋体" w:hint="default"/>
                <w:sz w:val="18"/>
                <w:szCs w:val="18"/>
              </w:rPr>
              <w:t>重庆苏宁小额贷款有限公司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right="296"/>
              <w:jc w:val="right"/>
              <w:rPr>
                <w:rFonts w:ascii="宋体" w:hAnsi="宋体" w:cs="宋体" w:eastAsia="宋体" w:hint="default"/>
                <w:sz w:val="18"/>
                <w:szCs w:val="18"/>
              </w:rPr>
            </w:pPr>
            <w:r>
              <w:rPr>
                <w:rFonts w:ascii="宋体" w:hAnsi="宋体" w:cs="宋体" w:eastAsia="宋体" w:hint="default"/>
                <w:sz w:val="18"/>
                <w:szCs w:val="18"/>
              </w:rPr>
              <w:t>重庆市</w:t>
            </w:r>
          </w:p>
        </w:tc>
        <w:tc>
          <w:tcPr>
            <w:tcW w:w="1156" w:type="dxa"/>
            <w:tcBorders>
              <w:top w:val="nil" w:sz="6" w:space="0" w:color="auto"/>
              <w:left w:val="nil" w:sz="6" w:space="0" w:color="auto"/>
              <w:bottom w:val="nil" w:sz="6" w:space="0" w:color="auto"/>
              <w:right w:val="nil" w:sz="6" w:space="0" w:color="auto"/>
            </w:tcBorders>
          </w:tcPr>
          <w:p>
            <w:pPr>
              <w:pStyle w:val="TableParagraph"/>
              <w:spacing w:line="230" w:lineRule="exact"/>
              <w:ind w:right="20"/>
              <w:jc w:val="center"/>
              <w:rPr>
                <w:rFonts w:ascii="宋体" w:hAnsi="宋体" w:cs="宋体" w:eastAsia="宋体" w:hint="default"/>
                <w:sz w:val="18"/>
                <w:szCs w:val="18"/>
              </w:rPr>
            </w:pPr>
            <w:r>
              <w:rPr>
                <w:rFonts w:ascii="宋体" w:hAnsi="宋体" w:cs="宋体" w:eastAsia="宋体" w:hint="default"/>
                <w:sz w:val="18"/>
                <w:szCs w:val="18"/>
              </w:rPr>
              <w:t>重庆市</w:t>
            </w:r>
          </w:p>
        </w:tc>
        <w:tc>
          <w:tcPr>
            <w:tcW w:w="2766" w:type="dxa"/>
            <w:tcBorders>
              <w:top w:val="nil" w:sz="6" w:space="0" w:color="auto"/>
              <w:left w:val="nil" w:sz="6" w:space="0" w:color="auto"/>
              <w:bottom w:val="nil" w:sz="6" w:space="0" w:color="auto"/>
              <w:right w:val="nil" w:sz="6" w:space="0" w:color="auto"/>
            </w:tcBorders>
          </w:tcPr>
          <w:p>
            <w:pPr>
              <w:pStyle w:val="TableParagraph"/>
              <w:spacing w:line="230" w:lineRule="exact"/>
              <w:ind w:right="104"/>
              <w:jc w:val="right"/>
              <w:rPr>
                <w:rFonts w:ascii="宋体" w:hAnsi="宋体" w:cs="宋体" w:eastAsia="宋体" w:hint="default"/>
                <w:sz w:val="18"/>
                <w:szCs w:val="18"/>
              </w:rPr>
            </w:pPr>
            <w:r>
              <w:rPr>
                <w:rFonts w:ascii="宋体" w:hAnsi="宋体" w:cs="宋体" w:eastAsia="宋体" w:hint="default"/>
                <w:sz w:val="18"/>
                <w:szCs w:val="18"/>
              </w:rPr>
              <w:t>小额贷款</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64" w:right="0"/>
              <w:jc w:val="center"/>
              <w:rPr>
                <w:rFonts w:ascii="Arial" w:hAnsi="Arial" w:cs="Arial" w:eastAsia="Arial" w:hint="default"/>
                <w:sz w:val="18"/>
                <w:szCs w:val="18"/>
              </w:rPr>
            </w:pPr>
            <w:r>
              <w:rPr>
                <w:rFonts w:ascii="Arial"/>
                <w:sz w:val="18"/>
              </w:rPr>
              <w:t>25%</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Arial" w:hAnsi="Arial" w:cs="Arial" w:eastAsia="Arial" w:hint="default"/>
                <w:sz w:val="18"/>
                <w:szCs w:val="18"/>
              </w:rPr>
            </w:pPr>
            <w:r>
              <w:rPr>
                <w:rFonts w:ascii="Arial"/>
                <w:spacing w:val="-1"/>
                <w:sz w:val="18"/>
              </w:rPr>
              <w:t>75%</w:t>
            </w:r>
          </w:p>
        </w:tc>
        <w:tc>
          <w:tcPr>
            <w:tcW w:w="2219"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0"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30" w:lineRule="exact"/>
              <w:ind w:left="215" w:right="0"/>
              <w:jc w:val="left"/>
              <w:rPr>
                <w:rFonts w:ascii="宋体" w:hAnsi="宋体" w:cs="宋体" w:eastAsia="宋体" w:hint="default"/>
                <w:sz w:val="18"/>
                <w:szCs w:val="18"/>
              </w:rPr>
            </w:pPr>
            <w:r>
              <w:rPr>
                <w:rFonts w:ascii="宋体" w:hAnsi="宋体" w:cs="宋体" w:eastAsia="宋体" w:hint="default"/>
                <w:sz w:val="18"/>
                <w:szCs w:val="18"/>
              </w:rPr>
              <w:t>北京苏宁云团科技有限公司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right="296"/>
              <w:jc w:val="right"/>
              <w:rPr>
                <w:rFonts w:ascii="宋体" w:hAnsi="宋体" w:cs="宋体" w:eastAsia="宋体" w:hint="default"/>
                <w:sz w:val="18"/>
                <w:szCs w:val="18"/>
              </w:rPr>
            </w:pPr>
            <w:r>
              <w:rPr>
                <w:rFonts w:ascii="宋体" w:hAnsi="宋体" w:cs="宋体" w:eastAsia="宋体" w:hint="default"/>
                <w:sz w:val="18"/>
                <w:szCs w:val="18"/>
              </w:rPr>
              <w:t>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230" w:lineRule="exact"/>
              <w:ind w:right="2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2766" w:type="dxa"/>
            <w:tcBorders>
              <w:top w:val="nil" w:sz="6" w:space="0" w:color="auto"/>
              <w:left w:val="nil" w:sz="6" w:space="0" w:color="auto"/>
              <w:bottom w:val="nil" w:sz="6" w:space="0" w:color="auto"/>
              <w:right w:val="nil" w:sz="6" w:space="0" w:color="auto"/>
            </w:tcBorders>
          </w:tcPr>
          <w:p>
            <w:pPr>
              <w:pStyle w:val="TableParagraph"/>
              <w:spacing w:line="230" w:lineRule="exact"/>
              <w:ind w:right="104"/>
              <w:jc w:val="right"/>
              <w:rPr>
                <w:rFonts w:ascii="宋体" w:hAnsi="宋体" w:cs="宋体" w:eastAsia="宋体" w:hint="default"/>
                <w:sz w:val="18"/>
                <w:szCs w:val="18"/>
              </w:rPr>
            </w:pPr>
            <w:r>
              <w:rPr>
                <w:rFonts w:ascii="宋体" w:hAnsi="宋体" w:cs="宋体" w:eastAsia="宋体" w:hint="default"/>
                <w:sz w:val="18"/>
                <w:szCs w:val="18"/>
              </w:rPr>
              <w:t>本地生活服务</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65" w:right="0"/>
              <w:jc w:val="center"/>
              <w:rPr>
                <w:rFonts w:ascii="Arial" w:hAnsi="Arial" w:cs="Arial" w:eastAsia="Arial" w:hint="default"/>
                <w:sz w:val="18"/>
                <w:szCs w:val="18"/>
              </w:rPr>
            </w:pPr>
            <w:r>
              <w:rPr>
                <w:rFonts w:ascii="Arial"/>
                <w:w w:val="99"/>
                <w:sz w:val="18"/>
              </w:rPr>
              <w:t>-</w:t>
            </w:r>
            <w:r>
              <w:rPr>
                <w:rFonts w:ascii="Arial"/>
                <w:sz w:val="18"/>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Arial" w:hAnsi="Arial" w:cs="Arial" w:eastAsia="Arial" w:hint="default"/>
                <w:sz w:val="18"/>
                <w:szCs w:val="18"/>
              </w:rPr>
            </w:pPr>
            <w:r>
              <w:rPr>
                <w:rFonts w:ascii="Arial"/>
                <w:spacing w:val="-1"/>
                <w:sz w:val="18"/>
              </w:rPr>
              <w:t>100%</w:t>
            </w:r>
          </w:p>
        </w:tc>
        <w:tc>
          <w:tcPr>
            <w:tcW w:w="2219"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30" w:lineRule="exact"/>
        <w:jc w:val="right"/>
        <w:rPr>
          <w:rFonts w:ascii="宋体" w:hAnsi="宋体" w:cs="宋体" w:eastAsia="宋体" w:hint="default"/>
          <w:sz w:val="18"/>
          <w:szCs w:val="18"/>
        </w:rPr>
        <w:sectPr>
          <w:headerReference w:type="default" r:id="rId74"/>
          <w:footerReference w:type="default" r:id="rId75"/>
          <w:pgSz w:w="16840" w:h="11910" w:orient="landscape"/>
          <w:pgMar w:header="755" w:footer="915" w:top="1860" w:bottom="1100" w:left="1120" w:right="0"/>
          <w:pgNumType w:start="224"/>
        </w:sectPr>
      </w:pPr>
    </w:p>
    <w:p>
      <w:pPr>
        <w:spacing w:line="240" w:lineRule="auto" w:before="2"/>
        <w:rPr>
          <w:rFonts w:ascii="Times New Roman" w:hAnsi="Times New Roman" w:cs="Times New Roman" w:eastAsia="Times New Roman"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768"/>
        <w:gridCol w:w="3222"/>
        <w:gridCol w:w="1716"/>
        <w:gridCol w:w="1156"/>
        <w:gridCol w:w="442"/>
        <w:gridCol w:w="2254"/>
        <w:gridCol w:w="1628"/>
        <w:gridCol w:w="782"/>
        <w:gridCol w:w="2234"/>
      </w:tblGrid>
      <w:tr>
        <w:trPr>
          <w:trHeight w:val="416"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222" w:type="dxa"/>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
        </w:tc>
      </w:tr>
      <w:tr>
        <w:trPr>
          <w:trHeight w:val="588"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5" w:right="0"/>
              <w:jc w:val="left"/>
              <w:rPr>
                <w:rFonts w:ascii="Arial" w:hAnsi="Arial" w:cs="Arial" w:eastAsia="Arial" w:hint="default"/>
                <w:sz w:val="24"/>
                <w:szCs w:val="24"/>
              </w:rPr>
            </w:pPr>
            <w:r>
              <w:rPr>
                <w:rFonts w:ascii="黑体" w:hAnsi="黑体" w:cs="黑体" w:eastAsia="黑体" w:hint="default"/>
                <w:sz w:val="24"/>
                <w:szCs w:val="24"/>
              </w:rPr>
              <w:t>在子公司中的权益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
        </w:tc>
      </w:tr>
      <w:tr>
        <w:trPr>
          <w:trHeight w:val="604"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5" w:right="0"/>
              <w:jc w:val="left"/>
              <w:rPr>
                <w:rFonts w:ascii="Arial" w:hAnsi="Arial" w:cs="Arial" w:eastAsia="Arial" w:hint="default"/>
                <w:sz w:val="24"/>
                <w:szCs w:val="24"/>
              </w:rPr>
            </w:pPr>
            <w:r>
              <w:rPr>
                <w:rFonts w:ascii="宋体" w:hAnsi="宋体" w:cs="宋体" w:eastAsia="宋体" w:hint="default"/>
                <w:sz w:val="24"/>
                <w:szCs w:val="24"/>
              </w:rPr>
              <w:t>企业集团的构成</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
        </w:tc>
      </w:tr>
      <w:tr>
        <w:trPr>
          <w:trHeight w:val="393"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主要子公司名称</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6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注册地</w:t>
            </w:r>
          </w:p>
        </w:tc>
        <w:tc>
          <w:tcPr>
            <w:tcW w:w="442"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84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2" w:type="dxa"/>
            <w:tcBorders>
              <w:top w:val="nil" w:sz="6" w:space="0" w:color="auto"/>
              <w:left w:val="nil" w:sz="6" w:space="0" w:color="auto"/>
              <w:bottom w:val="single" w:sz="4" w:space="0" w:color="000000"/>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13"/>
              <w:jc w:val="righ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2"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07" w:lineRule="exact"/>
              <w:ind w:left="80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82"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间接</w:t>
            </w:r>
          </w:p>
        </w:tc>
        <w:tc>
          <w:tcPr>
            <w:tcW w:w="2234" w:type="dxa"/>
            <w:tcBorders>
              <w:top w:val="nil" w:sz="6" w:space="0" w:color="auto"/>
              <w:left w:val="nil" w:sz="6" w:space="0" w:color="auto"/>
              <w:bottom w:val="nil" w:sz="6" w:space="0" w:color="auto"/>
              <w:right w:val="nil" w:sz="6" w:space="0" w:color="auto"/>
            </w:tcBorders>
          </w:tcPr>
          <w:p>
            <w:pPr/>
          </w:p>
        </w:tc>
      </w:tr>
      <w:tr>
        <w:trPr>
          <w:trHeight w:val="348"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5" w:right="0"/>
              <w:jc w:val="left"/>
              <w:rPr>
                <w:rFonts w:ascii="宋体" w:hAnsi="宋体" w:cs="宋体" w:eastAsia="宋体" w:hint="default"/>
                <w:sz w:val="18"/>
                <w:szCs w:val="18"/>
              </w:rPr>
            </w:pPr>
            <w:r>
              <w:rPr>
                <w:rFonts w:ascii="宋体" w:hAnsi="宋体" w:cs="宋体" w:eastAsia="宋体" w:hint="default"/>
                <w:sz w:val="18"/>
                <w:szCs w:val="18"/>
              </w:rPr>
              <w:t>江苏苏宁易达物流投资有限公司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6"/>
              <w:jc w:val="right"/>
              <w:rPr>
                <w:rFonts w:ascii="宋体" w:hAnsi="宋体" w:cs="宋体" w:eastAsia="宋体" w:hint="default"/>
                <w:sz w:val="18"/>
                <w:szCs w:val="18"/>
              </w:rPr>
            </w:pPr>
            <w:r>
              <w:rPr>
                <w:rFonts w:ascii="宋体" w:hAnsi="宋体" w:cs="宋体" w:eastAsia="宋体" w:hint="default"/>
                <w:sz w:val="18"/>
                <w:szCs w:val="18"/>
              </w:rPr>
              <w:t>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5"/>
              <w:jc w:val="right"/>
              <w:rPr>
                <w:rFonts w:ascii="宋体" w:hAnsi="宋体" w:cs="宋体" w:eastAsia="宋体" w:hint="default"/>
                <w:sz w:val="18"/>
                <w:szCs w:val="18"/>
              </w:rPr>
            </w:pPr>
            <w:r>
              <w:rPr>
                <w:rFonts w:ascii="宋体" w:hAnsi="宋体" w:cs="宋体" w:eastAsia="宋体" w:hint="default"/>
                <w:sz w:val="18"/>
                <w:szCs w:val="18"/>
              </w:rPr>
              <w:t>南京市</w:t>
            </w:r>
          </w:p>
        </w:tc>
        <w:tc>
          <w:tcPr>
            <w:tcW w:w="442"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hAnsi="宋体" w:cs="宋体" w:eastAsia="宋体" w:hint="default"/>
                <w:sz w:val="18"/>
                <w:szCs w:val="18"/>
              </w:rPr>
              <w:t>物流业投资</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06" w:right="0"/>
              <w:jc w:val="left"/>
              <w:rPr>
                <w:rFonts w:ascii="Arial" w:hAnsi="Arial" w:cs="Arial" w:eastAsia="Arial" w:hint="default"/>
                <w:sz w:val="18"/>
                <w:szCs w:val="18"/>
              </w:rPr>
            </w:pPr>
            <w:r>
              <w:rPr>
                <w:rFonts w:ascii="Arial"/>
                <w:sz w:val="18"/>
              </w:rPr>
              <w:t>100%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3"/>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195" w:lineRule="exact"/>
              <w:ind w:left="155" w:right="0"/>
              <w:jc w:val="left"/>
              <w:rPr>
                <w:rFonts w:ascii="宋体" w:hAnsi="宋体" w:cs="宋体" w:eastAsia="宋体" w:hint="default"/>
                <w:sz w:val="18"/>
                <w:szCs w:val="18"/>
              </w:rPr>
            </w:pPr>
            <w:r>
              <w:rPr>
                <w:rFonts w:ascii="宋体" w:hAnsi="宋体" w:cs="宋体" w:eastAsia="宋体" w:hint="default"/>
                <w:sz w:val="18"/>
                <w:szCs w:val="18"/>
              </w:rPr>
              <w:t>江苏昌祺贸易有限公司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195" w:lineRule="exact"/>
              <w:ind w:right="366"/>
              <w:jc w:val="right"/>
              <w:rPr>
                <w:rFonts w:ascii="宋体" w:hAnsi="宋体" w:cs="宋体" w:eastAsia="宋体" w:hint="default"/>
                <w:sz w:val="18"/>
                <w:szCs w:val="18"/>
              </w:rPr>
            </w:pPr>
            <w:r>
              <w:rPr>
                <w:rFonts w:ascii="宋体" w:hAnsi="宋体" w:cs="宋体" w:eastAsia="宋体" w:hint="default"/>
                <w:sz w:val="18"/>
                <w:szCs w:val="18"/>
              </w:rPr>
              <w:t>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right="245"/>
              <w:jc w:val="right"/>
              <w:rPr>
                <w:rFonts w:ascii="宋体" w:hAnsi="宋体" w:cs="宋体" w:eastAsia="宋体" w:hint="default"/>
                <w:sz w:val="18"/>
                <w:szCs w:val="18"/>
              </w:rPr>
            </w:pPr>
            <w:r>
              <w:rPr>
                <w:rFonts w:ascii="宋体" w:hAnsi="宋体" w:cs="宋体" w:eastAsia="宋体" w:hint="default"/>
                <w:sz w:val="18"/>
                <w:szCs w:val="18"/>
              </w:rPr>
              <w:t>南京市</w:t>
            </w:r>
          </w:p>
        </w:tc>
        <w:tc>
          <w:tcPr>
            <w:tcW w:w="442"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spacing w:line="195" w:lineRule="exact"/>
              <w:ind w:right="107"/>
              <w:jc w:val="right"/>
              <w:rPr>
                <w:rFonts w:ascii="宋体" w:hAnsi="宋体" w:cs="宋体" w:eastAsia="宋体" w:hint="default"/>
                <w:sz w:val="18"/>
                <w:szCs w:val="18"/>
              </w:rPr>
            </w:pPr>
            <w:r>
              <w:rPr>
                <w:rFonts w:ascii="宋体" w:hAnsi="宋体" w:cs="宋体" w:eastAsia="宋体" w:hint="default"/>
                <w:sz w:val="18"/>
                <w:szCs w:val="18"/>
              </w:rPr>
              <w:t>工程项目开发</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6" w:right="0"/>
              <w:jc w:val="left"/>
              <w:rPr>
                <w:rFonts w:ascii="Arial" w:hAnsi="Arial" w:cs="Arial" w:eastAsia="Arial" w:hint="default"/>
                <w:sz w:val="18"/>
                <w:szCs w:val="18"/>
              </w:rPr>
            </w:pPr>
            <w:r>
              <w:rPr>
                <w:rFonts w:ascii="Arial"/>
                <w:sz w:val="18"/>
              </w:rPr>
              <w:t>100%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195" w:lineRule="exact"/>
              <w:ind w:right="213"/>
              <w:jc w:val="right"/>
              <w:rPr>
                <w:rFonts w:ascii="宋体" w:hAnsi="宋体" w:cs="宋体" w:eastAsia="宋体" w:hint="default"/>
                <w:sz w:val="18"/>
                <w:szCs w:val="18"/>
              </w:rPr>
            </w:pPr>
            <w:r>
              <w:rPr>
                <w:rFonts w:ascii="宋体" w:hAnsi="宋体" w:cs="宋体" w:eastAsia="宋体" w:hint="default"/>
                <w:sz w:val="18"/>
                <w:szCs w:val="18"/>
              </w:rPr>
              <w:t>同一控制企业合并</w:t>
            </w:r>
          </w:p>
        </w:tc>
      </w:tr>
      <w:tr>
        <w:trPr>
          <w:trHeight w:val="233"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09" w:lineRule="exact"/>
              <w:ind w:left="155"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716" w:type="dxa"/>
            <w:tcBorders>
              <w:top w:val="nil" w:sz="6" w:space="0" w:color="auto"/>
              <w:left w:val="nil" w:sz="6" w:space="0" w:color="auto"/>
              <w:bottom w:val="nil" w:sz="6" w:space="0" w:color="auto"/>
              <w:right w:val="nil" w:sz="6" w:space="0" w:color="auto"/>
            </w:tcBorders>
          </w:tcPr>
          <w:p>
            <w:pPr>
              <w:pStyle w:val="TableParagraph"/>
              <w:spacing w:line="196" w:lineRule="exact"/>
              <w:ind w:right="366"/>
              <w:jc w:val="right"/>
              <w:rPr>
                <w:rFonts w:ascii="宋体" w:hAnsi="宋体" w:cs="宋体" w:eastAsia="宋体" w:hint="default"/>
                <w:sz w:val="18"/>
                <w:szCs w:val="18"/>
              </w:rPr>
            </w:pPr>
            <w:r>
              <w:rPr>
                <w:rFonts w:ascii="宋体" w:hAnsi="宋体" w:cs="宋体" w:eastAsia="宋体" w:hint="default"/>
                <w:sz w:val="18"/>
                <w:szCs w:val="18"/>
              </w:rPr>
              <w:t>日本</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45"/>
              <w:jc w:val="right"/>
              <w:rPr>
                <w:rFonts w:ascii="宋体" w:hAnsi="宋体" w:cs="宋体" w:eastAsia="宋体" w:hint="default"/>
                <w:sz w:val="18"/>
                <w:szCs w:val="18"/>
              </w:rPr>
            </w:pPr>
            <w:r>
              <w:rPr>
                <w:rFonts w:ascii="宋体" w:hAnsi="宋体" w:cs="宋体" w:eastAsia="宋体" w:hint="default"/>
                <w:sz w:val="18"/>
                <w:szCs w:val="18"/>
              </w:rPr>
              <w:t>日本</w:t>
            </w:r>
          </w:p>
        </w:tc>
        <w:tc>
          <w:tcPr>
            <w:tcW w:w="2697" w:type="dxa"/>
            <w:gridSpan w:val="2"/>
            <w:tcBorders>
              <w:top w:val="nil" w:sz="6" w:space="0" w:color="auto"/>
              <w:left w:val="nil" w:sz="6" w:space="0" w:color="auto"/>
              <w:bottom w:val="nil" w:sz="6" w:space="0" w:color="auto"/>
              <w:right w:val="nil" w:sz="6" w:space="0" w:color="auto"/>
            </w:tcBorders>
          </w:tcPr>
          <w:p>
            <w:pPr>
              <w:pStyle w:val="TableParagraph"/>
              <w:spacing w:line="196" w:lineRule="exact"/>
              <w:ind w:left="247" w:right="0"/>
              <w:jc w:val="lef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58"/>
              <w:jc w:val="right"/>
              <w:rPr>
                <w:rFonts w:ascii="Arial" w:hAnsi="Arial" w:cs="Arial" w:eastAsia="Arial" w:hint="default"/>
                <w:sz w:val="18"/>
                <w:szCs w:val="18"/>
              </w:rPr>
            </w:pPr>
            <w:r>
              <w:rPr>
                <w:rFonts w:ascii="Arial"/>
                <w:w w:val="99"/>
                <w:sz w:val="18"/>
              </w:rPr>
              <w:t>-</w:t>
            </w:r>
            <w:r>
              <w:rPr>
                <w:rFonts w:ascii="Arial"/>
                <w:sz w:val="18"/>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pacing w:val="-1"/>
                <w:sz w:val="18"/>
              </w:rPr>
              <w:t>41.85%</w:t>
            </w:r>
          </w:p>
        </w:tc>
        <w:tc>
          <w:tcPr>
            <w:tcW w:w="2234" w:type="dxa"/>
            <w:tcBorders>
              <w:top w:val="nil" w:sz="6" w:space="0" w:color="auto"/>
              <w:left w:val="nil" w:sz="6" w:space="0" w:color="auto"/>
              <w:bottom w:val="nil" w:sz="6" w:space="0" w:color="auto"/>
              <w:right w:val="nil" w:sz="6" w:space="0" w:color="auto"/>
            </w:tcBorders>
          </w:tcPr>
          <w:p>
            <w:pPr>
              <w:pStyle w:val="TableParagraph"/>
              <w:spacing w:line="196" w:lineRule="exact"/>
              <w:ind w:left="398" w:right="0"/>
              <w:jc w:val="lef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233"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195" w:lineRule="exact"/>
              <w:ind w:left="155" w:right="0"/>
              <w:jc w:val="left"/>
              <w:rPr>
                <w:rFonts w:ascii="宋体" w:hAnsi="宋体" w:cs="宋体" w:eastAsia="宋体" w:hint="default"/>
                <w:sz w:val="18"/>
                <w:szCs w:val="18"/>
              </w:rPr>
            </w:pPr>
            <w:r>
              <w:rPr>
                <w:rFonts w:ascii="宋体" w:hAnsi="宋体" w:cs="宋体" w:eastAsia="宋体" w:hint="default"/>
                <w:sz w:val="18"/>
                <w:szCs w:val="18"/>
              </w:rPr>
              <w:t>无锡胜利门苏宁云商销售有限公司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195" w:lineRule="exact"/>
              <w:ind w:right="366"/>
              <w:jc w:val="right"/>
              <w:rPr>
                <w:rFonts w:ascii="宋体" w:hAnsi="宋体" w:cs="宋体" w:eastAsia="宋体" w:hint="default"/>
                <w:sz w:val="18"/>
                <w:szCs w:val="18"/>
              </w:rPr>
            </w:pPr>
            <w:r>
              <w:rPr>
                <w:rFonts w:ascii="宋体" w:hAnsi="宋体" w:cs="宋体" w:eastAsia="宋体" w:hint="default"/>
                <w:sz w:val="18"/>
                <w:szCs w:val="18"/>
              </w:rPr>
              <w:t>无锡市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right="245"/>
              <w:jc w:val="right"/>
              <w:rPr>
                <w:rFonts w:ascii="宋体" w:hAnsi="宋体" w:cs="宋体" w:eastAsia="宋体" w:hint="default"/>
                <w:sz w:val="18"/>
                <w:szCs w:val="18"/>
              </w:rPr>
            </w:pPr>
            <w:r>
              <w:rPr>
                <w:rFonts w:ascii="宋体" w:hAnsi="宋体" w:cs="宋体" w:eastAsia="宋体" w:hint="default"/>
                <w:sz w:val="18"/>
                <w:szCs w:val="18"/>
              </w:rPr>
              <w:t>无锡市</w:t>
            </w:r>
          </w:p>
        </w:tc>
        <w:tc>
          <w:tcPr>
            <w:tcW w:w="2697"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47" w:right="0"/>
              <w:jc w:val="lef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6" w:right="0"/>
              <w:jc w:val="left"/>
              <w:rPr>
                <w:rFonts w:ascii="Arial" w:hAnsi="Arial" w:cs="Arial" w:eastAsia="Arial" w:hint="default"/>
                <w:sz w:val="18"/>
                <w:szCs w:val="18"/>
              </w:rPr>
            </w:pPr>
            <w:r>
              <w:rPr>
                <w:rFonts w:ascii="Arial"/>
                <w:sz w:val="18"/>
              </w:rPr>
              <w:t>100%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195" w:lineRule="exact"/>
              <w:ind w:left="398" w:right="0"/>
              <w:jc w:val="lef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233"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196" w:lineRule="exact"/>
              <w:ind w:left="155" w:right="0"/>
              <w:jc w:val="left"/>
              <w:rPr>
                <w:rFonts w:ascii="宋体" w:hAnsi="宋体" w:cs="宋体" w:eastAsia="宋体" w:hint="default"/>
                <w:sz w:val="18"/>
                <w:szCs w:val="18"/>
              </w:rPr>
            </w:pPr>
            <w:r>
              <w:rPr>
                <w:rFonts w:ascii="宋体" w:hAnsi="宋体" w:cs="宋体" w:eastAsia="宋体" w:hint="default"/>
                <w:sz w:val="18"/>
                <w:szCs w:val="18"/>
              </w:rPr>
              <w:t>南京红孩子企业管理有限公司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196" w:lineRule="exact"/>
              <w:ind w:right="366"/>
              <w:jc w:val="right"/>
              <w:rPr>
                <w:rFonts w:ascii="宋体" w:hAnsi="宋体" w:cs="宋体" w:eastAsia="宋体" w:hint="default"/>
                <w:sz w:val="18"/>
                <w:szCs w:val="18"/>
              </w:rPr>
            </w:pPr>
            <w:r>
              <w:rPr>
                <w:rFonts w:ascii="宋体" w:hAnsi="宋体" w:cs="宋体" w:eastAsia="宋体" w:hint="default"/>
                <w:sz w:val="18"/>
                <w:szCs w:val="18"/>
              </w:rPr>
              <w:t>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45"/>
              <w:jc w:val="right"/>
              <w:rPr>
                <w:rFonts w:ascii="宋体" w:hAnsi="宋体" w:cs="宋体" w:eastAsia="宋体" w:hint="default"/>
                <w:sz w:val="18"/>
                <w:szCs w:val="18"/>
              </w:rPr>
            </w:pPr>
            <w:r>
              <w:rPr>
                <w:rFonts w:ascii="宋体" w:hAnsi="宋体" w:cs="宋体" w:eastAsia="宋体" w:hint="default"/>
                <w:sz w:val="18"/>
                <w:szCs w:val="18"/>
              </w:rPr>
              <w:t>南京市</w:t>
            </w:r>
          </w:p>
        </w:tc>
        <w:tc>
          <w:tcPr>
            <w:tcW w:w="2697" w:type="dxa"/>
            <w:gridSpan w:val="2"/>
            <w:tcBorders>
              <w:top w:val="nil" w:sz="6" w:space="0" w:color="auto"/>
              <w:left w:val="nil" w:sz="6" w:space="0" w:color="auto"/>
              <w:bottom w:val="nil" w:sz="6" w:space="0" w:color="auto"/>
              <w:right w:val="nil" w:sz="6" w:space="0" w:color="auto"/>
            </w:tcBorders>
          </w:tcPr>
          <w:p>
            <w:pPr>
              <w:pStyle w:val="TableParagraph"/>
              <w:spacing w:line="196" w:lineRule="exact"/>
              <w:ind w:left="247" w:right="0"/>
              <w:jc w:val="left"/>
              <w:rPr>
                <w:rFonts w:ascii="宋体" w:hAnsi="宋体" w:cs="宋体" w:eastAsia="宋体" w:hint="default"/>
                <w:sz w:val="18"/>
                <w:szCs w:val="18"/>
              </w:rPr>
            </w:pPr>
            <w:r>
              <w:rPr>
                <w:rFonts w:ascii="宋体" w:hAnsi="宋体" w:cs="宋体" w:eastAsia="宋体" w:hint="default"/>
                <w:sz w:val="18"/>
                <w:szCs w:val="18"/>
              </w:rPr>
              <w:t>企业管理服务及信息咨询服务</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06" w:right="0"/>
              <w:jc w:val="left"/>
              <w:rPr>
                <w:rFonts w:ascii="Arial" w:hAnsi="Arial" w:cs="Arial" w:eastAsia="Arial" w:hint="default"/>
                <w:sz w:val="18"/>
                <w:szCs w:val="18"/>
              </w:rPr>
            </w:pPr>
            <w:r>
              <w:rPr>
                <w:rFonts w:ascii="Arial"/>
                <w:sz w:val="18"/>
              </w:rPr>
              <w:t>100%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196" w:lineRule="exact"/>
              <w:ind w:left="398" w:right="0"/>
              <w:jc w:val="lef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338"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195" w:lineRule="exact"/>
              <w:ind w:left="155" w:right="0"/>
              <w:jc w:val="left"/>
              <w:rPr>
                <w:rFonts w:ascii="宋体" w:hAnsi="宋体" w:cs="宋体" w:eastAsia="宋体" w:hint="default"/>
                <w:sz w:val="18"/>
                <w:szCs w:val="18"/>
              </w:rPr>
            </w:pPr>
            <w:r>
              <w:rPr>
                <w:rFonts w:ascii="宋体" w:hAnsi="宋体" w:cs="宋体" w:eastAsia="宋体" w:hint="default"/>
                <w:sz w:val="18"/>
                <w:szCs w:val="18"/>
              </w:rPr>
              <w:t>北京红孩子互联科技有限公司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195" w:lineRule="exact"/>
              <w:ind w:right="366"/>
              <w:jc w:val="right"/>
              <w:rPr>
                <w:rFonts w:ascii="宋体" w:hAnsi="宋体" w:cs="宋体" w:eastAsia="宋体" w:hint="default"/>
                <w:sz w:val="18"/>
                <w:szCs w:val="18"/>
              </w:rPr>
            </w:pPr>
            <w:r>
              <w:rPr>
                <w:rFonts w:ascii="宋体" w:hAnsi="宋体" w:cs="宋体" w:eastAsia="宋体" w:hint="default"/>
                <w:sz w:val="18"/>
                <w:szCs w:val="18"/>
              </w:rPr>
              <w:t>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right="245"/>
              <w:jc w:val="right"/>
              <w:rPr>
                <w:rFonts w:ascii="宋体" w:hAnsi="宋体" w:cs="宋体" w:eastAsia="宋体" w:hint="default"/>
                <w:sz w:val="18"/>
                <w:szCs w:val="18"/>
              </w:rPr>
            </w:pPr>
            <w:r>
              <w:rPr>
                <w:rFonts w:ascii="宋体" w:hAnsi="宋体" w:cs="宋体" w:eastAsia="宋体" w:hint="default"/>
                <w:sz w:val="18"/>
                <w:szCs w:val="18"/>
              </w:rPr>
              <w:t>北京市</w:t>
            </w:r>
          </w:p>
        </w:tc>
        <w:tc>
          <w:tcPr>
            <w:tcW w:w="2697"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47" w:right="0"/>
              <w:jc w:val="left"/>
              <w:rPr>
                <w:rFonts w:ascii="宋体" w:hAnsi="宋体" w:cs="宋体" w:eastAsia="宋体" w:hint="default"/>
                <w:sz w:val="18"/>
                <w:szCs w:val="18"/>
              </w:rPr>
            </w:pPr>
            <w:r>
              <w:rPr>
                <w:rFonts w:ascii="宋体" w:hAnsi="宋体" w:cs="宋体" w:eastAsia="宋体" w:hint="default"/>
                <w:sz w:val="18"/>
                <w:szCs w:val="18"/>
              </w:rPr>
              <w:t>企业管理服务及信息咨询服务</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58"/>
              <w:jc w:val="right"/>
              <w:rPr>
                <w:rFonts w:ascii="Arial" w:hAnsi="Arial" w:cs="Arial" w:eastAsia="Arial" w:hint="default"/>
                <w:sz w:val="18"/>
                <w:szCs w:val="18"/>
              </w:rPr>
            </w:pPr>
            <w:r>
              <w:rPr>
                <w:rFonts w:ascii="Arial"/>
                <w:w w:val="99"/>
                <w:sz w:val="18"/>
              </w:rPr>
              <w:t>-</w:t>
            </w:r>
            <w:r>
              <w:rPr>
                <w:rFonts w:ascii="Arial"/>
                <w:sz w:val="18"/>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pacing w:val="-1"/>
                <w:sz w:val="18"/>
              </w:rPr>
              <w:t>100%</w:t>
            </w:r>
          </w:p>
        </w:tc>
        <w:tc>
          <w:tcPr>
            <w:tcW w:w="2234" w:type="dxa"/>
            <w:tcBorders>
              <w:top w:val="nil" w:sz="6" w:space="0" w:color="auto"/>
              <w:left w:val="nil" w:sz="6" w:space="0" w:color="auto"/>
              <w:bottom w:val="nil" w:sz="6" w:space="0" w:color="auto"/>
              <w:right w:val="nil" w:sz="6" w:space="0" w:color="auto"/>
            </w:tcBorders>
          </w:tcPr>
          <w:p>
            <w:pPr>
              <w:pStyle w:val="TableParagraph"/>
              <w:spacing w:line="195" w:lineRule="exact"/>
              <w:ind w:left="398" w:right="0"/>
              <w:jc w:val="lef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536"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20" w:right="0"/>
              <w:jc w:val="left"/>
              <w:rPr>
                <w:rFonts w:ascii="Arial" w:hAnsi="Arial" w:cs="Arial" w:eastAsia="Arial" w:hint="default"/>
                <w:sz w:val="24"/>
                <w:szCs w:val="24"/>
              </w:rPr>
            </w:pPr>
            <w:r>
              <w:rPr>
                <w:rFonts w:ascii="Arial"/>
                <w:sz w:val="24"/>
              </w:rPr>
              <w:t>(b)</w:t>
            </w:r>
          </w:p>
        </w:tc>
        <w:tc>
          <w:tcPr>
            <w:tcW w:w="4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55" w:right="0"/>
              <w:jc w:val="left"/>
              <w:rPr>
                <w:rFonts w:ascii="宋体" w:hAnsi="宋体" w:cs="宋体" w:eastAsia="宋体" w:hint="default"/>
                <w:sz w:val="24"/>
                <w:szCs w:val="24"/>
              </w:rPr>
            </w:pPr>
            <w:r>
              <w:rPr>
                <w:rFonts w:ascii="宋体" w:hAnsi="宋体" w:cs="宋体" w:eastAsia="宋体" w:hint="default"/>
                <w:sz w:val="24"/>
                <w:szCs w:val="24"/>
              </w:rPr>
              <w:t>存在重要少数股东权益的子公司</w:t>
            </w: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
        </w:tc>
      </w:tr>
      <w:tr>
        <w:trPr>
          <w:trHeight w:val="712"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5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16" w:type="dxa"/>
            <w:tcBorders>
              <w:top w:val="nil" w:sz="6" w:space="0" w:color="auto"/>
              <w:left w:val="nil" w:sz="6" w:space="0" w:color="auto"/>
              <w:bottom w:val="nil" w:sz="6" w:space="0" w:color="auto"/>
              <w:right w:val="nil" w:sz="6" w:space="0" w:color="auto"/>
            </w:tcBorders>
          </w:tcPr>
          <w:p>
            <w:pPr/>
          </w:p>
        </w:tc>
        <w:tc>
          <w:tcPr>
            <w:tcW w:w="1598"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138"/>
              <w:ind w:left="754" w:right="121" w:hanging="180"/>
              <w:jc w:val="left"/>
              <w:rPr>
                <w:rFonts w:ascii="宋体" w:hAnsi="宋体" w:cs="宋体" w:eastAsia="宋体" w:hint="default"/>
                <w:sz w:val="18"/>
                <w:szCs w:val="18"/>
              </w:rPr>
            </w:pPr>
            <w:r>
              <w:rPr>
                <w:rFonts w:ascii="宋体" w:hAnsi="宋体" w:cs="宋体" w:eastAsia="宋体" w:hint="default"/>
                <w:sz w:val="18"/>
                <w:szCs w:val="18"/>
              </w:rPr>
              <w:t>少数股东的 持股比例</w:t>
            </w:r>
          </w:p>
        </w:tc>
        <w:tc>
          <w:tcPr>
            <w:tcW w:w="2254"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119"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年度归属于少数股</w:t>
            </w:r>
          </w:p>
          <w:p>
            <w:pPr>
              <w:pStyle w:val="TableParagraph"/>
              <w:spacing w:line="228" w:lineRule="exact"/>
              <w:ind w:left="1284" w:right="0"/>
              <w:jc w:val="left"/>
              <w:rPr>
                <w:rFonts w:ascii="宋体" w:hAnsi="宋体" w:cs="宋体" w:eastAsia="宋体" w:hint="default"/>
                <w:sz w:val="18"/>
                <w:szCs w:val="18"/>
              </w:rPr>
            </w:pPr>
            <w:r>
              <w:rPr>
                <w:rFonts w:ascii="宋体" w:hAnsi="宋体" w:cs="宋体" w:eastAsia="宋体" w:hint="default"/>
                <w:sz w:val="18"/>
                <w:szCs w:val="18"/>
              </w:rPr>
              <w:t>东的损益</w:t>
            </w:r>
          </w:p>
        </w:tc>
        <w:tc>
          <w:tcPr>
            <w:tcW w:w="2410" w:type="dxa"/>
            <w:gridSpan w:val="2"/>
            <w:tcBorders>
              <w:top w:val="nil" w:sz="6" w:space="0" w:color="auto"/>
              <w:left w:val="nil" w:sz="6" w:space="0" w:color="auto"/>
              <w:bottom w:val="nil" w:sz="6" w:space="0" w:color="auto"/>
              <w:right w:val="nil" w:sz="6" w:space="0" w:color="auto"/>
            </w:tcBorders>
          </w:tcPr>
          <w:p>
            <w:pPr>
              <w:pStyle w:val="TableParagraph"/>
              <w:spacing w:line="241" w:lineRule="exact" w:before="113"/>
              <w:ind w:right="248"/>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年度向少数股东分</w:t>
            </w:r>
          </w:p>
          <w:p>
            <w:pPr>
              <w:pStyle w:val="TableParagraph"/>
              <w:spacing w:line="228" w:lineRule="exact"/>
              <w:ind w:right="248"/>
              <w:jc w:val="right"/>
              <w:rPr>
                <w:rFonts w:ascii="宋体" w:hAnsi="宋体" w:cs="宋体" w:eastAsia="宋体" w:hint="default"/>
                <w:sz w:val="18"/>
                <w:szCs w:val="18"/>
              </w:rPr>
            </w:pPr>
            <w:r>
              <w:rPr>
                <w:rFonts w:ascii="宋体" w:hAnsi="宋体" w:cs="宋体" w:eastAsia="宋体" w:hint="default"/>
                <w:sz w:val="18"/>
                <w:szCs w:val="18"/>
              </w:rPr>
              <w:t>派股利</w:t>
            </w:r>
          </w:p>
        </w:tc>
        <w:tc>
          <w:tcPr>
            <w:tcW w:w="2234"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225"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日少</w:t>
            </w:r>
          </w:p>
          <w:p>
            <w:pPr>
              <w:pStyle w:val="TableParagraph"/>
              <w:spacing w:line="228" w:lineRule="exact"/>
              <w:ind w:left="1070" w:right="0"/>
              <w:jc w:val="left"/>
              <w:rPr>
                <w:rFonts w:ascii="宋体" w:hAnsi="宋体" w:cs="宋体" w:eastAsia="宋体" w:hint="default"/>
                <w:sz w:val="18"/>
                <w:szCs w:val="18"/>
              </w:rPr>
            </w:pPr>
            <w:r>
              <w:rPr>
                <w:rFonts w:ascii="宋体" w:hAnsi="宋体" w:cs="宋体" w:eastAsia="宋体" w:hint="default"/>
                <w:sz w:val="18"/>
                <w:szCs w:val="18"/>
              </w:rPr>
              <w:t>数股东权益</w:t>
            </w:r>
          </w:p>
        </w:tc>
      </w:tr>
      <w:tr>
        <w:trPr>
          <w:trHeight w:val="348"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55"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716" w:type="dxa"/>
            <w:tcBorders>
              <w:top w:val="nil" w:sz="6" w:space="0" w:color="auto"/>
              <w:left w:val="nil" w:sz="6" w:space="0" w:color="auto"/>
              <w:bottom w:val="nil" w:sz="6" w:space="0" w:color="auto"/>
              <w:right w:val="nil" w:sz="6" w:space="0" w:color="auto"/>
            </w:tcBorders>
          </w:tcPr>
          <w:p>
            <w:pPr/>
          </w:p>
        </w:tc>
        <w:tc>
          <w:tcPr>
            <w:tcW w:w="15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left="863" w:right="0"/>
              <w:jc w:val="left"/>
              <w:rPr>
                <w:rFonts w:ascii="Arial" w:hAnsi="Arial" w:cs="Arial" w:eastAsia="Arial" w:hint="default"/>
                <w:sz w:val="18"/>
                <w:szCs w:val="18"/>
              </w:rPr>
            </w:pPr>
            <w:r>
              <w:rPr>
                <w:rFonts w:ascii="Arial"/>
                <w:sz w:val="18"/>
              </w:rPr>
              <w:t>58.15%</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48"/>
              <w:jc w:val="right"/>
              <w:rPr>
                <w:rFonts w:ascii="Arial" w:hAnsi="Arial" w:cs="Arial" w:eastAsia="Arial" w:hint="default"/>
                <w:sz w:val="18"/>
                <w:szCs w:val="18"/>
              </w:rPr>
            </w:pPr>
            <w:r>
              <w:rPr>
                <w:rFonts w:ascii="Arial"/>
                <w:spacing w:val="-1"/>
                <w:sz w:val="18"/>
              </w:rPr>
              <w:t>256,061</w:t>
            </w: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70" w:right="0"/>
              <w:jc w:val="left"/>
              <w:rPr>
                <w:rFonts w:ascii="Arial" w:hAnsi="Arial" w:cs="Arial" w:eastAsia="Arial" w:hint="default"/>
                <w:sz w:val="18"/>
                <w:szCs w:val="18"/>
              </w:rPr>
            </w:pPr>
            <w:r>
              <w:rPr>
                <w:rFonts w:ascii="Arial"/>
                <w:w w:val="99"/>
                <w:sz w:val="18"/>
              </w:rPr>
              <w:t>-</w:t>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61"/>
              <w:jc w:val="right"/>
              <w:rPr>
                <w:rFonts w:ascii="Arial" w:hAnsi="Arial" w:cs="Arial" w:eastAsia="Arial" w:hint="default"/>
                <w:sz w:val="18"/>
                <w:szCs w:val="18"/>
              </w:rPr>
            </w:pPr>
            <w:r>
              <w:rPr>
                <w:rFonts w:ascii="Arial"/>
                <w:spacing w:val="-2"/>
                <w:sz w:val="18"/>
              </w:rPr>
              <w:t>1,611,088</w:t>
            </w:r>
          </w:p>
        </w:tc>
      </w:tr>
      <w:tr>
        <w:trPr>
          <w:trHeight w:val="255"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196" w:lineRule="exact"/>
              <w:ind w:left="155" w:right="0"/>
              <w:jc w:val="left"/>
              <w:rPr>
                <w:rFonts w:ascii="宋体" w:hAnsi="宋体" w:cs="宋体" w:eastAsia="宋体" w:hint="default"/>
                <w:sz w:val="18"/>
                <w:szCs w:val="18"/>
              </w:rPr>
            </w:pPr>
            <w:r>
              <w:rPr>
                <w:rFonts w:ascii="宋体" w:hAnsi="宋体" w:cs="宋体" w:eastAsia="宋体" w:hint="default"/>
                <w:sz w:val="18"/>
                <w:szCs w:val="18"/>
              </w:rPr>
              <w:t>江苏苏宁易购有限公司</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1" w:right="0"/>
              <w:jc w:val="left"/>
              <w:rPr>
                <w:rFonts w:ascii="Arial" w:hAnsi="Arial" w:cs="Arial" w:eastAsia="Arial" w:hint="default"/>
                <w:sz w:val="18"/>
                <w:szCs w:val="18"/>
              </w:rPr>
            </w:pPr>
            <w:r>
              <w:rPr>
                <w:rFonts w:ascii="Arial"/>
                <w:sz w:val="18"/>
              </w:rPr>
              <w:t>30%</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spacing w:val="-1"/>
                <w:sz w:val="18"/>
              </w:rPr>
              <w:t>(13,251)</w:t>
            </w: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0" w:right="0"/>
              <w:jc w:val="left"/>
              <w:rPr>
                <w:rFonts w:ascii="Arial" w:hAnsi="Arial" w:cs="Arial" w:eastAsia="Arial" w:hint="default"/>
                <w:sz w:val="18"/>
                <w:szCs w:val="18"/>
              </w:rPr>
            </w:pPr>
            <w:r>
              <w:rPr>
                <w:rFonts w:ascii="Arial"/>
                <w:w w:val="99"/>
                <w:sz w:val="18"/>
              </w:rPr>
              <w:t>-</w:t>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spacing w:val="-1"/>
                <w:sz w:val="18"/>
              </w:rPr>
              <w:t>(264,827)</w:t>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1" w:right="0"/>
              <w:jc w:val="left"/>
              <w:rPr>
                <w:rFonts w:ascii="Arial" w:hAnsi="Arial" w:cs="Arial" w:eastAsia="Arial" w:hint="default"/>
                <w:sz w:val="18"/>
                <w:szCs w:val="18"/>
              </w:rPr>
            </w:pPr>
            <w:r>
              <w:rPr>
                <w:rFonts w:ascii="Arial"/>
                <w:sz w:val="18"/>
              </w:rPr>
              <w:t>10%</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7"/>
              <w:jc w:val="right"/>
              <w:rPr>
                <w:rFonts w:ascii="Arial" w:hAnsi="Arial" w:cs="Arial" w:eastAsia="Arial" w:hint="default"/>
                <w:sz w:val="18"/>
                <w:szCs w:val="18"/>
              </w:rPr>
            </w:pPr>
            <w:r>
              <w:rPr>
                <w:rFonts w:ascii="Arial"/>
                <w:spacing w:val="-1"/>
                <w:sz w:val="18"/>
              </w:rPr>
              <w:t>1,409</w:t>
            </w: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0" w:right="0"/>
              <w:jc w:val="left"/>
              <w:rPr>
                <w:rFonts w:ascii="Arial" w:hAnsi="Arial" w:cs="Arial" w:eastAsia="Arial" w:hint="default"/>
                <w:sz w:val="18"/>
                <w:szCs w:val="18"/>
              </w:rPr>
            </w:pPr>
            <w:r>
              <w:rPr>
                <w:rFonts w:ascii="Arial"/>
                <w:w w:val="99"/>
                <w:sz w:val="18"/>
              </w:rPr>
              <w:t>-</w:t>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1"/>
              <w:jc w:val="right"/>
              <w:rPr>
                <w:rFonts w:ascii="Arial" w:hAnsi="Arial" w:cs="Arial" w:eastAsia="Arial" w:hint="default"/>
                <w:sz w:val="18"/>
                <w:szCs w:val="18"/>
              </w:rPr>
            </w:pPr>
            <w:r>
              <w:rPr>
                <w:rFonts w:ascii="Arial"/>
                <w:spacing w:val="-1"/>
                <w:sz w:val="18"/>
              </w:rPr>
              <w:t>18,254</w:t>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苏宁保险销售有限公司</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1" w:right="0"/>
              <w:jc w:val="left"/>
              <w:rPr>
                <w:rFonts w:ascii="Arial" w:hAnsi="Arial" w:cs="Arial" w:eastAsia="Arial" w:hint="default"/>
                <w:sz w:val="18"/>
                <w:szCs w:val="18"/>
              </w:rPr>
            </w:pPr>
            <w:r>
              <w:rPr>
                <w:rFonts w:ascii="Arial"/>
                <w:sz w:val="18"/>
              </w:rPr>
              <w:t>25%</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6"/>
              <w:jc w:val="right"/>
              <w:rPr>
                <w:rFonts w:ascii="Arial" w:hAnsi="Arial" w:cs="Arial" w:eastAsia="Arial" w:hint="default"/>
                <w:sz w:val="18"/>
                <w:szCs w:val="18"/>
              </w:rPr>
            </w:pPr>
            <w:r>
              <w:rPr>
                <w:rFonts w:ascii="Arial"/>
                <w:spacing w:val="-1"/>
                <w:sz w:val="18"/>
              </w:rPr>
              <w:t>1,176</w:t>
            </w: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0" w:right="0"/>
              <w:jc w:val="left"/>
              <w:rPr>
                <w:rFonts w:ascii="Arial" w:hAnsi="Arial" w:cs="Arial" w:eastAsia="Arial" w:hint="default"/>
                <w:sz w:val="18"/>
                <w:szCs w:val="18"/>
              </w:rPr>
            </w:pPr>
            <w:r>
              <w:rPr>
                <w:rFonts w:ascii="Arial"/>
                <w:w w:val="99"/>
                <w:sz w:val="18"/>
              </w:rPr>
              <w:t>-</w:t>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1"/>
              <w:jc w:val="right"/>
              <w:rPr>
                <w:rFonts w:ascii="Arial" w:hAnsi="Arial" w:cs="Arial" w:eastAsia="Arial" w:hint="default"/>
                <w:sz w:val="18"/>
                <w:szCs w:val="18"/>
              </w:rPr>
            </w:pPr>
            <w:r>
              <w:rPr>
                <w:rFonts w:ascii="Arial"/>
                <w:spacing w:val="-1"/>
                <w:sz w:val="18"/>
              </w:rPr>
              <w:t>31,813</w:t>
            </w:r>
          </w:p>
        </w:tc>
      </w:tr>
      <w:tr>
        <w:trPr>
          <w:trHeight w:val="254"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江苏苏宁贸易有限公司</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6" w:right="0"/>
              <w:jc w:val="left"/>
              <w:rPr>
                <w:rFonts w:ascii="Arial" w:hAnsi="Arial" w:cs="Arial" w:eastAsia="Arial" w:hint="default"/>
                <w:sz w:val="18"/>
                <w:szCs w:val="18"/>
              </w:rPr>
            </w:pPr>
            <w:r>
              <w:rPr>
                <w:rFonts w:ascii="Arial"/>
                <w:sz w:val="18"/>
              </w:rPr>
              <w:t>40%</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0"/>
              <w:jc w:val="right"/>
              <w:rPr>
                <w:rFonts w:ascii="Arial" w:hAnsi="Arial" w:cs="Arial" w:eastAsia="Arial" w:hint="default"/>
                <w:sz w:val="18"/>
                <w:szCs w:val="18"/>
              </w:rPr>
            </w:pPr>
            <w:r>
              <w:rPr>
                <w:rFonts w:ascii="Arial"/>
                <w:spacing w:val="-1"/>
                <w:w w:val="95"/>
                <w:sz w:val="18"/>
              </w:rPr>
              <w:t>66</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0" w:right="0"/>
              <w:jc w:val="left"/>
              <w:rPr>
                <w:rFonts w:ascii="Arial" w:hAnsi="Arial" w:cs="Arial" w:eastAsia="Arial" w:hint="default"/>
                <w:sz w:val="18"/>
                <w:szCs w:val="18"/>
              </w:rPr>
            </w:pPr>
            <w:r>
              <w:rPr>
                <w:rFonts w:ascii="Arial"/>
                <w:w w:val="99"/>
                <w:sz w:val="18"/>
              </w:rPr>
              <w:t>-</w:t>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spacing w:val="-1"/>
                <w:sz w:val="18"/>
              </w:rPr>
              <w:t>(2,783)</w:t>
            </w:r>
          </w:p>
        </w:tc>
      </w:tr>
      <w:tr>
        <w:trPr>
          <w:trHeight w:val="281" w:hRule="exact"/>
        </w:trPr>
        <w:tc>
          <w:tcPr>
            <w:tcW w:w="768" w:type="dxa"/>
            <w:tcBorders>
              <w:top w:val="nil" w:sz="6" w:space="0" w:color="auto"/>
              <w:left w:val="nil" w:sz="6" w:space="0" w:color="auto"/>
              <w:bottom w:val="nil" w:sz="6" w:space="0" w:color="auto"/>
              <w:right w:val="nil" w:sz="6" w:space="0" w:color="auto"/>
            </w:tcBorders>
          </w:tcPr>
          <w:p>
            <w:pPr/>
          </w:p>
        </w:tc>
        <w:tc>
          <w:tcPr>
            <w:tcW w:w="4938"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155"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w:t>
            </w:r>
            <w:r>
              <w:rPr>
                <w:rFonts w:ascii="宋体" w:hAnsi="宋体" w:cs="宋体" w:eastAsia="宋体" w:hint="default"/>
                <w:sz w:val="18"/>
                <w:szCs w:val="18"/>
              </w:rPr>
              <w:t>单个子公司少数股东权益小于人民币</w:t>
            </w:r>
            <w:r>
              <w:rPr>
                <w:rFonts w:ascii="宋体" w:hAnsi="宋体" w:cs="宋体" w:eastAsia="宋体" w:hint="default"/>
                <w:spacing w:val="-47"/>
                <w:sz w:val="18"/>
                <w:szCs w:val="18"/>
              </w:rPr>
              <w:t> </w:t>
            </w:r>
            <w:r>
              <w:rPr>
                <w:rFonts w:ascii="Arial" w:hAnsi="Arial" w:cs="Arial" w:eastAsia="Arial" w:hint="default"/>
                <w:sz w:val="18"/>
                <w:szCs w:val="18"/>
              </w:rPr>
              <w:t>1,000</w:t>
            </w:r>
            <w:r>
              <w:rPr>
                <w:rFonts w:ascii="Arial" w:hAnsi="Arial" w:cs="Arial" w:eastAsia="Arial" w:hint="default"/>
                <w:spacing w:val="-7"/>
                <w:sz w:val="18"/>
                <w:szCs w:val="18"/>
              </w:rPr>
              <w:t> </w:t>
            </w:r>
            <w:r>
              <w:rPr>
                <w:rFonts w:ascii="宋体" w:hAnsi="宋体" w:cs="宋体" w:eastAsia="宋体" w:hint="default"/>
                <w:sz w:val="18"/>
                <w:szCs w:val="18"/>
              </w:rPr>
              <w:t>万元</w:t>
            </w:r>
            <w:r>
              <w:rPr>
                <w:rFonts w:ascii="Arial" w:hAnsi="Arial" w:cs="Arial" w:eastAsia="Arial" w:hint="default"/>
                <w:sz w:val="18"/>
                <w:szCs w:val="18"/>
              </w:rPr>
              <w:t>)</w:t>
            </w:r>
          </w:p>
        </w:tc>
        <w:tc>
          <w:tcPr>
            <w:tcW w:w="115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tabs>
                <w:tab w:pos="1292" w:val="left" w:leader="none"/>
                <w:tab w:pos="2111" w:val="left" w:leader="none"/>
              </w:tabs>
              <w:spacing w:line="240" w:lineRule="auto" w:before="57"/>
              <w:ind w:left="-14" w:right="1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(360,233)</w:t>
              <w:tab/>
            </w:r>
            <w:r>
              <w:rPr>
                <w:rFonts w:ascii="Arial"/>
                <w:spacing w:val="-1"/>
                <w:sz w:val="18"/>
              </w:rPr>
            </w:r>
          </w:p>
        </w:tc>
        <w:tc>
          <w:tcPr>
            <w:tcW w:w="2410" w:type="dxa"/>
            <w:gridSpan w:val="2"/>
            <w:tcBorders>
              <w:top w:val="nil" w:sz="6" w:space="0" w:color="auto"/>
              <w:left w:val="nil" w:sz="6" w:space="0" w:color="auto"/>
              <w:bottom w:val="nil" w:sz="6" w:space="0" w:color="auto"/>
              <w:right w:val="nil" w:sz="6" w:space="0" w:color="auto"/>
            </w:tcBorders>
          </w:tcPr>
          <w:p>
            <w:pPr>
              <w:pStyle w:val="TableParagraph"/>
              <w:tabs>
                <w:tab w:pos="1708" w:val="left" w:leader="none"/>
                <w:tab w:pos="2267" w:val="left" w:leader="none"/>
              </w:tabs>
              <w:spacing w:line="240" w:lineRule="auto" w:before="57"/>
              <w:ind w:left="9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3,638</w:t>
              <w:tab/>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tabs>
                <w:tab w:pos="1325" w:val="left" w:leader="none"/>
                <w:tab w:pos="1985" w:val="left" w:leader="none"/>
              </w:tabs>
              <w:spacing w:line="240" w:lineRule="auto" w:before="57"/>
              <w:ind w:right="15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48,965</w:t>
              <w:tab/>
            </w:r>
            <w:r>
              <w:rPr>
                <w:rFonts w:ascii="Arial"/>
                <w:spacing w:val="-1"/>
                <w:sz w:val="18"/>
              </w:rPr>
            </w:r>
          </w:p>
        </w:tc>
      </w:tr>
      <w:tr>
        <w:trPr>
          <w:trHeight w:val="265"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01" w:lineRule="exact"/>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697" w:type="dxa"/>
            <w:gridSpan w:val="2"/>
            <w:tcBorders>
              <w:top w:val="nil" w:sz="6" w:space="0" w:color="auto"/>
              <w:left w:val="nil" w:sz="6" w:space="0" w:color="auto"/>
              <w:bottom w:val="nil" w:sz="6" w:space="0" w:color="auto"/>
              <w:right w:val="nil" w:sz="6" w:space="0" w:color="auto"/>
            </w:tcBorders>
          </w:tcPr>
          <w:p>
            <w:pPr>
              <w:pStyle w:val="TableParagraph"/>
              <w:tabs>
                <w:tab w:pos="1766" w:val="left" w:leader="none"/>
              </w:tabs>
              <w:spacing w:line="240" w:lineRule="auto" w:before="62"/>
              <w:ind w:left="414"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(114,772)</w:t>
            </w:r>
            <w:r>
              <w:rPr>
                <w:rFonts w:ascii="Arial"/>
                <w:sz w:val="18"/>
              </w:rPr>
            </w:r>
          </w:p>
        </w:tc>
        <w:tc>
          <w:tcPr>
            <w:tcW w:w="2410" w:type="dxa"/>
            <w:gridSpan w:val="2"/>
            <w:tcBorders>
              <w:top w:val="nil" w:sz="6" w:space="0" w:color="auto"/>
              <w:left w:val="nil" w:sz="6" w:space="0" w:color="auto"/>
              <w:bottom w:val="nil" w:sz="6" w:space="0" w:color="auto"/>
              <w:right w:val="nil" w:sz="6" w:space="0" w:color="auto"/>
            </w:tcBorders>
          </w:tcPr>
          <w:p>
            <w:pPr>
              <w:pStyle w:val="TableParagraph"/>
              <w:tabs>
                <w:tab w:pos="1708" w:val="left" w:leader="none"/>
                <w:tab w:pos="2267" w:val="left" w:leader="none"/>
              </w:tabs>
              <w:spacing w:line="240" w:lineRule="auto" w:before="62"/>
              <w:ind w:left="82"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3,638</w:t>
              <w:tab/>
            </w:r>
            <w:r>
              <w:rPr>
                <w:rFonts w:ascii="Arial"/>
                <w:sz w:val="18"/>
              </w:rPr>
            </w:r>
          </w:p>
        </w:tc>
        <w:tc>
          <w:tcPr>
            <w:tcW w:w="2234" w:type="dxa"/>
            <w:tcBorders>
              <w:top w:val="nil" w:sz="6" w:space="0" w:color="auto"/>
              <w:left w:val="nil" w:sz="6" w:space="0" w:color="auto"/>
              <w:bottom w:val="nil" w:sz="6" w:space="0" w:color="auto"/>
              <w:right w:val="nil" w:sz="6" w:space="0" w:color="auto"/>
            </w:tcBorders>
          </w:tcPr>
          <w:p>
            <w:pPr>
              <w:pStyle w:val="TableParagraph"/>
              <w:tabs>
                <w:tab w:pos="1104" w:val="left" w:leader="none"/>
                <w:tab w:pos="2000" w:val="left" w:leader="none"/>
              </w:tabs>
              <w:spacing w:line="240" w:lineRule="auto" w:before="62"/>
              <w:ind w:right="152"/>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r>
            <w:r>
              <w:rPr>
                <w:rFonts w:ascii="Arial"/>
                <w:spacing w:val="-1"/>
                <w:sz w:val="18"/>
                <w:u w:val="thick" w:color="000000"/>
              </w:rPr>
              <w:t>1,442,510</w:t>
              <w:tab/>
            </w:r>
            <w:r>
              <w:rPr>
                <w:rFonts w:ascii="Arial"/>
                <w:spacing w:val="-1"/>
                <w:sz w:val="18"/>
              </w:rPr>
            </w:r>
          </w:p>
        </w:tc>
      </w:tr>
    </w:tbl>
    <w:p>
      <w:pPr>
        <w:spacing w:after="0" w:line="240" w:lineRule="auto"/>
        <w:jc w:val="right"/>
        <w:rPr>
          <w:rFonts w:ascii="Arial" w:hAnsi="Arial" w:cs="Arial" w:eastAsia="Arial" w:hint="default"/>
          <w:sz w:val="18"/>
          <w:szCs w:val="18"/>
        </w:rPr>
        <w:sectPr>
          <w:pgSz w:w="16840" w:h="11910" w:orient="landscape"/>
          <w:pgMar w:header="755" w:footer="915" w:top="1860" w:bottom="1100" w:left="11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01"/>
        <w:gridCol w:w="876"/>
        <w:gridCol w:w="1043"/>
        <w:gridCol w:w="1183"/>
        <w:gridCol w:w="1139"/>
        <w:gridCol w:w="1079"/>
        <w:gridCol w:w="1184"/>
        <w:gridCol w:w="1075"/>
        <w:gridCol w:w="236"/>
        <w:gridCol w:w="1050"/>
        <w:gridCol w:w="1143"/>
        <w:gridCol w:w="1036"/>
        <w:gridCol w:w="1021"/>
        <w:gridCol w:w="1135"/>
        <w:gridCol w:w="1034"/>
      </w:tblGrid>
      <w:tr>
        <w:trPr>
          <w:trHeight w:val="41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102"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207"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9"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r>
      <w:tr>
        <w:trPr>
          <w:trHeight w:val="58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w:t>
            </w:r>
          </w:p>
        </w:tc>
        <w:tc>
          <w:tcPr>
            <w:tcW w:w="31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8"/>
              <w:ind w:left="207" w:right="0"/>
              <w:jc w:val="left"/>
              <w:rPr>
                <w:rFonts w:ascii="Arial" w:hAnsi="Arial" w:cs="Arial" w:eastAsia="Arial" w:hint="default"/>
                <w:sz w:val="24"/>
                <w:szCs w:val="24"/>
              </w:rPr>
            </w:pPr>
            <w:r>
              <w:rPr>
                <w:rFonts w:ascii="黑体" w:hAnsi="黑体" w:cs="黑体" w:eastAsia="黑体" w:hint="default"/>
                <w:sz w:val="24"/>
                <w:szCs w:val="24"/>
              </w:rPr>
              <w:t>在子公司中的权益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9"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42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7"/>
              <w:ind w:left="207" w:right="0"/>
              <w:jc w:val="left"/>
              <w:rPr>
                <w:rFonts w:ascii="Arial" w:hAnsi="Arial" w:cs="Arial" w:eastAsia="Arial" w:hint="default"/>
                <w:sz w:val="24"/>
                <w:szCs w:val="24"/>
              </w:rPr>
            </w:pPr>
            <w:r>
              <w:rPr>
                <w:rFonts w:ascii="宋体" w:hAnsi="宋体" w:cs="宋体" w:eastAsia="宋体" w:hint="default"/>
                <w:sz w:val="24"/>
                <w:szCs w:val="24"/>
              </w:rPr>
              <w:t>存在重要少数股东权益的子公司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07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r>
      <w:tr>
        <w:trPr>
          <w:trHeight w:val="577" w:hRule="exact"/>
        </w:trPr>
        <w:tc>
          <w:tcPr>
            <w:tcW w:w="14935"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94"/>
              <w:ind w:left="909" w:right="0"/>
              <w:jc w:val="left"/>
              <w:rPr>
                <w:rFonts w:ascii="宋体" w:hAnsi="宋体" w:cs="宋体" w:eastAsia="宋体" w:hint="default"/>
                <w:sz w:val="24"/>
                <w:szCs w:val="24"/>
              </w:rPr>
            </w:pPr>
            <w:r>
              <w:rPr>
                <w:rFonts w:ascii="宋体" w:hAnsi="宋体" w:cs="宋体" w:eastAsia="宋体" w:hint="default"/>
                <w:sz w:val="24"/>
                <w:szCs w:val="24"/>
              </w:rPr>
              <w:t>上述重要非全资子公司的主要财务信息列示如下：</w:t>
            </w:r>
          </w:p>
        </w:tc>
      </w:tr>
      <w:tr>
        <w:trPr>
          <w:trHeight w:val="404" w:hRule="exact"/>
        </w:trPr>
        <w:tc>
          <w:tcPr>
            <w:tcW w:w="701"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single" w:sz="4" w:space="0" w:color="000000"/>
              <w:right w:val="nil" w:sz="6" w:space="0" w:color="auto"/>
            </w:tcBorders>
          </w:tcPr>
          <w:p>
            <w:pPr/>
          </w:p>
        </w:tc>
        <w:tc>
          <w:tcPr>
            <w:tcW w:w="1183" w:type="dxa"/>
            <w:tcBorders>
              <w:top w:val="nil" w:sz="6" w:space="0" w:color="auto"/>
              <w:left w:val="nil" w:sz="6" w:space="0" w:color="auto"/>
              <w:bottom w:val="single" w:sz="4" w:space="0" w:color="000000"/>
              <w:right w:val="nil" w:sz="6" w:space="0" w:color="auto"/>
            </w:tcBorders>
          </w:tcPr>
          <w:p>
            <w:pPr/>
          </w:p>
        </w:tc>
        <w:tc>
          <w:tcPr>
            <w:tcW w:w="221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3"/>
              <w:ind w:left="34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84" w:type="dxa"/>
            <w:tcBorders>
              <w:top w:val="nil" w:sz="6" w:space="0" w:color="auto"/>
              <w:left w:val="nil" w:sz="6" w:space="0" w:color="auto"/>
              <w:bottom w:val="single" w:sz="4" w:space="0" w:color="000000"/>
              <w:right w:val="nil" w:sz="6" w:space="0" w:color="auto"/>
            </w:tcBorders>
          </w:tcPr>
          <w:p>
            <w:pPr/>
          </w:p>
        </w:tc>
        <w:tc>
          <w:tcPr>
            <w:tcW w:w="1075"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
        </w:tc>
        <w:tc>
          <w:tcPr>
            <w:tcW w:w="205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3"/>
              <w:ind w:left="23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5" w:type="dxa"/>
            <w:tcBorders>
              <w:top w:val="nil" w:sz="6" w:space="0" w:color="auto"/>
              <w:left w:val="nil" w:sz="6" w:space="0" w:color="auto"/>
              <w:bottom w:val="single" w:sz="4" w:space="0" w:color="000000"/>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
        </w:tc>
      </w:tr>
      <w:tr>
        <w:trPr>
          <w:trHeight w:val="391" w:hRule="exact"/>
        </w:trPr>
        <w:tc>
          <w:tcPr>
            <w:tcW w:w="701"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0"/>
              <w:left w:val="nil" w:sz="6" w:space="0" w:color="auto"/>
              <w:bottom w:val="nil" w:sz="6" w:space="0" w:color="auto"/>
              <w:right w:val="nil" w:sz="6" w:space="0" w:color="auto"/>
            </w:tcBorders>
          </w:tcPr>
          <w:p>
            <w:pPr>
              <w:pStyle w:val="TableParagraph"/>
              <w:spacing w:line="207" w:lineRule="exact"/>
              <w:ind w:right="114"/>
              <w:jc w:val="right"/>
              <w:rPr>
                <w:rFonts w:ascii="宋体" w:hAnsi="宋体" w:cs="宋体" w:eastAsia="宋体" w:hint="default"/>
                <w:sz w:val="18"/>
                <w:szCs w:val="18"/>
              </w:rPr>
            </w:pPr>
            <w:r>
              <w:rPr>
                <w:rFonts w:ascii="宋体" w:hAnsi="宋体" w:cs="宋体" w:eastAsia="宋体" w:hint="default"/>
                <w:sz w:val="18"/>
                <w:szCs w:val="18"/>
              </w:rPr>
              <w:t>流动资产</w:t>
            </w:r>
          </w:p>
        </w:tc>
        <w:tc>
          <w:tcPr>
            <w:tcW w:w="1183" w:type="dxa"/>
            <w:tcBorders>
              <w:top w:val="single" w:sz="4" w:space="0" w:color="000000"/>
              <w:left w:val="nil" w:sz="6" w:space="0" w:color="auto"/>
              <w:bottom w:val="nil" w:sz="6" w:space="0" w:color="auto"/>
              <w:right w:val="nil" w:sz="6" w:space="0" w:color="auto"/>
            </w:tcBorders>
          </w:tcPr>
          <w:p>
            <w:pPr>
              <w:pStyle w:val="TableParagraph"/>
              <w:spacing w:line="207" w:lineRule="exact"/>
              <w:ind w:right="165"/>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139" w:type="dxa"/>
            <w:tcBorders>
              <w:top w:val="single" w:sz="4" w:space="0" w:color="000000"/>
              <w:left w:val="nil" w:sz="6" w:space="0" w:color="auto"/>
              <w:bottom w:val="nil" w:sz="6" w:space="0" w:color="auto"/>
              <w:right w:val="nil" w:sz="6" w:space="0" w:color="auto"/>
            </w:tcBorders>
          </w:tcPr>
          <w:p>
            <w:pPr>
              <w:pStyle w:val="TableParagraph"/>
              <w:spacing w:line="207" w:lineRule="exact"/>
              <w:ind w:right="158"/>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07" w:lineRule="exact"/>
              <w:ind w:right="115"/>
              <w:jc w:val="right"/>
              <w:rPr>
                <w:rFonts w:ascii="宋体" w:hAnsi="宋体" w:cs="宋体" w:eastAsia="宋体" w:hint="default"/>
                <w:sz w:val="18"/>
                <w:szCs w:val="18"/>
              </w:rPr>
            </w:pPr>
            <w:r>
              <w:rPr>
                <w:rFonts w:ascii="宋体" w:hAnsi="宋体" w:cs="宋体" w:eastAsia="宋体" w:hint="default"/>
                <w:sz w:val="18"/>
                <w:szCs w:val="18"/>
              </w:rPr>
              <w:t>流动负债</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07" w:lineRule="exact"/>
              <w:ind w:right="165"/>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75"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负债合计</w:t>
            </w: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07" w:lineRule="exact"/>
              <w:ind w:right="115"/>
              <w:jc w:val="right"/>
              <w:rPr>
                <w:rFonts w:ascii="宋体" w:hAnsi="宋体" w:cs="宋体" w:eastAsia="宋体" w:hint="default"/>
                <w:sz w:val="18"/>
                <w:szCs w:val="18"/>
              </w:rPr>
            </w:pPr>
            <w:r>
              <w:rPr>
                <w:rFonts w:ascii="宋体" w:hAnsi="宋体" w:cs="宋体" w:eastAsia="宋体" w:hint="default"/>
                <w:sz w:val="18"/>
                <w:szCs w:val="18"/>
              </w:rPr>
              <w:t>流动资产</w:t>
            </w:r>
          </w:p>
        </w:tc>
        <w:tc>
          <w:tcPr>
            <w:tcW w:w="1143" w:type="dxa"/>
            <w:tcBorders>
              <w:top w:val="single" w:sz="4" w:space="0" w:color="000000"/>
              <w:left w:val="nil" w:sz="6" w:space="0" w:color="auto"/>
              <w:bottom w:val="nil" w:sz="6" w:space="0" w:color="auto"/>
              <w:right w:val="nil" w:sz="6" w:space="0" w:color="auto"/>
            </w:tcBorders>
          </w:tcPr>
          <w:p>
            <w:pPr>
              <w:pStyle w:val="TableParagraph"/>
              <w:spacing w:line="207" w:lineRule="exact"/>
              <w:ind w:right="123"/>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036" w:type="dxa"/>
            <w:tcBorders>
              <w:top w:val="single" w:sz="4" w:space="0" w:color="000000"/>
              <w:left w:val="nil" w:sz="6" w:space="0" w:color="auto"/>
              <w:bottom w:val="nil" w:sz="6" w:space="0" w:color="auto"/>
              <w:right w:val="nil" w:sz="6" w:space="0" w:color="auto"/>
            </w:tcBorders>
          </w:tcPr>
          <w:p>
            <w:pPr>
              <w:pStyle w:val="TableParagraph"/>
              <w:spacing w:line="207" w:lineRule="exact"/>
              <w:ind w:right="108"/>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1021" w:type="dxa"/>
            <w:tcBorders>
              <w:top w:val="single" w:sz="4" w:space="0" w:color="000000"/>
              <w:left w:val="nil" w:sz="6" w:space="0" w:color="auto"/>
              <w:bottom w:val="nil" w:sz="6" w:space="0" w:color="auto"/>
              <w:right w:val="nil" w:sz="6" w:space="0" w:color="auto"/>
            </w:tcBorders>
          </w:tcPr>
          <w:p>
            <w:pPr>
              <w:pStyle w:val="TableParagraph"/>
              <w:spacing w:line="207" w:lineRule="exact"/>
              <w:ind w:right="108"/>
              <w:jc w:val="right"/>
              <w:rPr>
                <w:rFonts w:ascii="宋体" w:hAnsi="宋体" w:cs="宋体" w:eastAsia="宋体" w:hint="default"/>
                <w:sz w:val="18"/>
                <w:szCs w:val="18"/>
              </w:rPr>
            </w:pPr>
            <w:r>
              <w:rPr>
                <w:rFonts w:ascii="宋体" w:hAnsi="宋体" w:cs="宋体" w:eastAsia="宋体" w:hint="default"/>
                <w:sz w:val="18"/>
                <w:szCs w:val="18"/>
              </w:rPr>
              <w:t>流动负债</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07" w:lineRule="exact"/>
              <w:ind w:right="123"/>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34"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负债合计</w:t>
            </w:r>
          </w:p>
        </w:tc>
      </w:tr>
      <w:tr>
        <w:trPr>
          <w:trHeight w:val="397"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200"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Arial" w:hAnsi="Arial" w:cs="Arial" w:eastAsia="Arial" w:hint="default"/>
                <w:sz w:val="18"/>
                <w:szCs w:val="18"/>
              </w:rPr>
            </w:pPr>
            <w:r>
              <w:rPr>
                <w:rFonts w:ascii="Arial"/>
                <w:spacing w:val="-1"/>
                <w:sz w:val="18"/>
              </w:rPr>
              <w:t>2,628,585</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4"/>
              <w:jc w:val="right"/>
              <w:rPr>
                <w:rFonts w:ascii="Arial" w:hAnsi="Arial" w:cs="Arial" w:eastAsia="Arial" w:hint="default"/>
                <w:sz w:val="18"/>
                <w:szCs w:val="18"/>
              </w:rPr>
            </w:pPr>
            <w:r>
              <w:rPr>
                <w:rFonts w:ascii="Arial"/>
                <w:spacing w:val="-1"/>
                <w:sz w:val="18"/>
              </w:rPr>
              <w:t>821,207</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Arial" w:hAnsi="Arial" w:cs="Arial" w:eastAsia="Arial" w:hint="default"/>
                <w:sz w:val="18"/>
                <w:szCs w:val="18"/>
              </w:rPr>
            </w:pPr>
            <w:r>
              <w:rPr>
                <w:rFonts w:ascii="Arial"/>
                <w:spacing w:val="-1"/>
                <w:sz w:val="18"/>
              </w:rPr>
              <w:t>3,449,792</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14"/>
              <w:jc w:val="right"/>
              <w:rPr>
                <w:rFonts w:ascii="Arial" w:hAnsi="Arial" w:cs="Arial" w:eastAsia="Arial" w:hint="default"/>
                <w:sz w:val="18"/>
                <w:szCs w:val="18"/>
              </w:rPr>
            </w:pPr>
            <w:r>
              <w:rPr>
                <w:rFonts w:ascii="Arial"/>
                <w:spacing w:val="-1"/>
                <w:sz w:val="18"/>
              </w:rPr>
              <w:t>483,298</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5"/>
              <w:jc w:val="right"/>
              <w:rPr>
                <w:rFonts w:ascii="Arial" w:hAnsi="Arial" w:cs="Arial" w:eastAsia="Arial" w:hint="default"/>
                <w:sz w:val="18"/>
                <w:szCs w:val="18"/>
              </w:rPr>
            </w:pPr>
            <w:r>
              <w:rPr>
                <w:rFonts w:ascii="Arial"/>
                <w:spacing w:val="-1"/>
                <w:sz w:val="18"/>
              </w:rPr>
              <w:t>195,921</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679,219</w:t>
            </w: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15"/>
              <w:jc w:val="right"/>
              <w:rPr>
                <w:rFonts w:ascii="Arial" w:hAnsi="Arial" w:cs="Arial" w:eastAsia="Arial" w:hint="default"/>
                <w:sz w:val="18"/>
                <w:szCs w:val="18"/>
              </w:rPr>
            </w:pPr>
            <w:r>
              <w:rPr>
                <w:rFonts w:ascii="Arial"/>
                <w:spacing w:val="-1"/>
                <w:sz w:val="18"/>
              </w:rPr>
              <w:t>673,242</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24"/>
              <w:jc w:val="right"/>
              <w:rPr>
                <w:rFonts w:ascii="Arial" w:hAnsi="Arial" w:cs="Arial" w:eastAsia="Arial" w:hint="default"/>
                <w:sz w:val="18"/>
                <w:szCs w:val="18"/>
              </w:rPr>
            </w:pPr>
            <w:r>
              <w:rPr>
                <w:rFonts w:ascii="Arial"/>
                <w:spacing w:val="-1"/>
                <w:sz w:val="18"/>
              </w:rPr>
              <w:t>614,547</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9"/>
              <w:jc w:val="right"/>
              <w:rPr>
                <w:rFonts w:ascii="Arial" w:hAnsi="Arial" w:cs="Arial" w:eastAsia="Arial" w:hint="default"/>
                <w:sz w:val="18"/>
                <w:szCs w:val="18"/>
              </w:rPr>
            </w:pPr>
            <w:r>
              <w:rPr>
                <w:rFonts w:ascii="Arial"/>
                <w:spacing w:val="-1"/>
                <w:sz w:val="18"/>
              </w:rPr>
              <w:t>1,287,789</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Arial" w:hAnsi="Arial" w:cs="Arial" w:eastAsia="Arial" w:hint="default"/>
                <w:sz w:val="18"/>
                <w:szCs w:val="18"/>
              </w:rPr>
            </w:pPr>
            <w:r>
              <w:rPr>
                <w:rFonts w:ascii="Arial"/>
                <w:spacing w:val="-1"/>
                <w:sz w:val="18"/>
              </w:rPr>
              <w:t>396,364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23"/>
              <w:jc w:val="right"/>
              <w:rPr>
                <w:rFonts w:ascii="Arial" w:hAnsi="Arial" w:cs="Arial" w:eastAsia="Arial" w:hint="default"/>
                <w:sz w:val="18"/>
                <w:szCs w:val="18"/>
              </w:rPr>
            </w:pPr>
            <w:r>
              <w:rPr>
                <w:rFonts w:ascii="Arial"/>
                <w:spacing w:val="-1"/>
                <w:sz w:val="18"/>
              </w:rPr>
              <w:t>184,428</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580,792</w:t>
            </w:r>
          </w:p>
        </w:tc>
      </w:tr>
      <w:tr>
        <w:trPr>
          <w:trHeight w:val="467"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江苏苏宁易购有</w:t>
            </w:r>
          </w:p>
          <w:p>
            <w:pPr>
              <w:pStyle w:val="TableParagraph"/>
              <w:spacing w:line="235" w:lineRule="exact"/>
              <w:ind w:left="38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5"/>
              <w:jc w:val="right"/>
              <w:rPr>
                <w:rFonts w:ascii="Arial" w:hAnsi="Arial" w:cs="Arial" w:eastAsia="Arial" w:hint="default"/>
                <w:sz w:val="18"/>
                <w:szCs w:val="18"/>
              </w:rPr>
            </w:pPr>
            <w:r>
              <w:rPr>
                <w:rFonts w:ascii="Arial"/>
                <w:spacing w:val="-1"/>
                <w:sz w:val="18"/>
              </w:rPr>
              <w:t>3,243,964</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5"/>
              <w:jc w:val="right"/>
              <w:rPr>
                <w:rFonts w:ascii="Arial" w:hAnsi="Arial" w:cs="Arial" w:eastAsia="Arial" w:hint="default"/>
                <w:sz w:val="18"/>
                <w:szCs w:val="18"/>
              </w:rPr>
            </w:pPr>
            <w:r>
              <w:rPr>
                <w:rFonts w:ascii="Arial"/>
                <w:spacing w:val="-1"/>
                <w:sz w:val="18"/>
              </w:rPr>
              <w:t>700,918</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1"/>
              <w:jc w:val="right"/>
              <w:rPr>
                <w:rFonts w:ascii="Arial" w:hAnsi="Arial" w:cs="Arial" w:eastAsia="Arial" w:hint="default"/>
                <w:sz w:val="18"/>
                <w:szCs w:val="18"/>
              </w:rPr>
            </w:pPr>
            <w:r>
              <w:rPr>
                <w:rFonts w:ascii="Arial"/>
                <w:spacing w:val="-1"/>
                <w:sz w:val="18"/>
              </w:rPr>
              <w:t>3,944,882</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5"/>
              <w:jc w:val="right"/>
              <w:rPr>
                <w:rFonts w:ascii="Arial" w:hAnsi="Arial" w:cs="Arial" w:eastAsia="Arial" w:hint="default"/>
                <w:sz w:val="18"/>
                <w:szCs w:val="18"/>
              </w:rPr>
            </w:pPr>
            <w:r>
              <w:rPr>
                <w:rFonts w:ascii="Arial"/>
                <w:spacing w:val="-1"/>
                <w:sz w:val="18"/>
              </w:rPr>
              <w:t>4,098,375</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5"/>
              <w:jc w:val="right"/>
              <w:rPr>
                <w:rFonts w:ascii="Arial" w:hAnsi="Arial" w:cs="Arial" w:eastAsia="Arial" w:hint="default"/>
                <w:sz w:val="18"/>
                <w:szCs w:val="18"/>
              </w:rPr>
            </w:pPr>
            <w:r>
              <w:rPr>
                <w:rFonts w:ascii="Arial"/>
                <w:spacing w:val="-1"/>
                <w:w w:val="95"/>
                <w:sz w:val="18"/>
              </w:rPr>
              <w:t>427</w:t>
            </w:r>
            <w:r>
              <w:rPr>
                <w:rFonts w:ascii="Arial"/>
                <w:sz w:val="18"/>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4,098,802</w:t>
            </w: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5"/>
              <w:jc w:val="right"/>
              <w:rPr>
                <w:rFonts w:ascii="Arial" w:hAnsi="Arial" w:cs="Arial" w:eastAsia="Arial" w:hint="default"/>
                <w:sz w:val="18"/>
                <w:szCs w:val="18"/>
              </w:rPr>
            </w:pPr>
            <w:r>
              <w:rPr>
                <w:rFonts w:ascii="Arial"/>
                <w:spacing w:val="-1"/>
                <w:sz w:val="18"/>
              </w:rPr>
              <w:t>1,374,054</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4"/>
              <w:jc w:val="right"/>
              <w:rPr>
                <w:rFonts w:ascii="Arial" w:hAnsi="Arial" w:cs="Arial" w:eastAsia="Arial" w:hint="default"/>
                <w:sz w:val="18"/>
                <w:szCs w:val="18"/>
              </w:rPr>
            </w:pPr>
            <w:r>
              <w:rPr>
                <w:rFonts w:ascii="Arial"/>
                <w:spacing w:val="-1"/>
                <w:sz w:val="18"/>
              </w:rPr>
              <w:t>360,250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9"/>
              <w:jc w:val="right"/>
              <w:rPr>
                <w:rFonts w:ascii="Arial" w:hAnsi="Arial" w:cs="Arial" w:eastAsia="Arial" w:hint="default"/>
                <w:sz w:val="18"/>
                <w:szCs w:val="18"/>
              </w:rPr>
            </w:pPr>
            <w:r>
              <w:rPr>
                <w:rFonts w:ascii="Arial"/>
                <w:spacing w:val="-1"/>
                <w:sz w:val="18"/>
              </w:rPr>
              <w:t>1,734,304</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18"/>
                <w:szCs w:val="18"/>
              </w:rPr>
            </w:pPr>
            <w:r>
              <w:rPr>
                <w:rFonts w:ascii="Arial"/>
                <w:spacing w:val="-1"/>
                <w:sz w:val="18"/>
              </w:rPr>
              <w:t>2,181,237</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2"/>
              <w:jc w:val="right"/>
              <w:rPr>
                <w:rFonts w:ascii="Arial" w:hAnsi="Arial" w:cs="Arial" w:eastAsia="Arial" w:hint="default"/>
                <w:sz w:val="18"/>
                <w:szCs w:val="18"/>
              </w:rPr>
            </w:pPr>
            <w:r>
              <w:rPr>
                <w:rFonts w:ascii="Arial"/>
                <w:spacing w:val="-1"/>
                <w:sz w:val="18"/>
              </w:rPr>
              <w:t>391,653</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2,572,890</w:t>
            </w:r>
          </w:p>
        </w:tc>
      </w:tr>
      <w:tr>
        <w:trPr>
          <w:trHeight w:val="467"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83" w:right="0"/>
              <w:jc w:val="center"/>
              <w:rPr>
                <w:rFonts w:ascii="宋体" w:hAnsi="宋体" w:cs="宋体" w:eastAsia="宋体" w:hint="default"/>
                <w:sz w:val="18"/>
                <w:szCs w:val="18"/>
              </w:rPr>
            </w:pPr>
            <w:r>
              <w:rPr>
                <w:rFonts w:ascii="宋体" w:hAnsi="宋体" w:cs="宋体" w:eastAsia="宋体" w:hint="default"/>
                <w:sz w:val="18"/>
                <w:szCs w:val="18"/>
              </w:rPr>
              <w:t>湖南苏宁先锋电</w:t>
            </w:r>
          </w:p>
          <w:p>
            <w:pPr>
              <w:pStyle w:val="TableParagraph"/>
              <w:spacing w:line="234" w:lineRule="exact"/>
              <w:ind w:left="83" w:right="0"/>
              <w:jc w:val="center"/>
              <w:rPr>
                <w:rFonts w:ascii="宋体" w:hAnsi="宋体" w:cs="宋体" w:eastAsia="宋体" w:hint="default"/>
                <w:sz w:val="18"/>
                <w:szCs w:val="18"/>
              </w:rPr>
            </w:pPr>
            <w:r>
              <w:rPr>
                <w:rFonts w:ascii="宋体" w:hAnsi="宋体" w:cs="宋体" w:eastAsia="宋体" w:hint="default"/>
                <w:sz w:val="18"/>
                <w:szCs w:val="18"/>
              </w:rPr>
              <w:t>子有限公司</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3"/>
              <w:jc w:val="right"/>
              <w:rPr>
                <w:rFonts w:ascii="Arial" w:hAnsi="Arial" w:cs="Arial" w:eastAsia="Arial" w:hint="default"/>
                <w:sz w:val="18"/>
                <w:szCs w:val="18"/>
              </w:rPr>
            </w:pPr>
            <w:r>
              <w:rPr>
                <w:rFonts w:ascii="Arial"/>
                <w:spacing w:val="-1"/>
                <w:sz w:val="18"/>
              </w:rPr>
              <w:t>1,397,664</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4"/>
              <w:jc w:val="right"/>
              <w:rPr>
                <w:rFonts w:ascii="Arial" w:hAnsi="Arial" w:cs="Arial" w:eastAsia="Arial" w:hint="default"/>
                <w:sz w:val="18"/>
                <w:szCs w:val="18"/>
              </w:rPr>
            </w:pPr>
            <w:r>
              <w:rPr>
                <w:rFonts w:ascii="Arial"/>
                <w:spacing w:val="-1"/>
                <w:sz w:val="18"/>
              </w:rPr>
              <w:t>3,046</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Arial" w:hAnsi="Arial" w:cs="Arial" w:eastAsia="Arial" w:hint="default"/>
                <w:sz w:val="18"/>
                <w:szCs w:val="18"/>
              </w:rPr>
            </w:pPr>
            <w:r>
              <w:rPr>
                <w:rFonts w:ascii="Arial"/>
                <w:spacing w:val="-1"/>
                <w:sz w:val="18"/>
              </w:rPr>
              <w:t>1,400,710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1,218,168</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5"/>
              <w:jc w:val="right"/>
              <w:rPr>
                <w:rFonts w:ascii="Arial" w:hAnsi="Arial" w:cs="Arial" w:eastAsia="Arial" w:hint="default"/>
                <w:sz w:val="18"/>
                <w:szCs w:val="18"/>
              </w:rPr>
            </w:pPr>
            <w:r>
              <w:rPr>
                <w:rFonts w:ascii="Arial"/>
                <w:w w:val="99"/>
                <w:sz w:val="18"/>
              </w:rPr>
              <w:t>-</w:t>
            </w:r>
            <w:r>
              <w:rPr>
                <w:rFonts w:ascii="Arial"/>
                <w:sz w:val="18"/>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1,218,168</w:t>
            </w: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646,040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2"/>
              <w:jc w:val="right"/>
              <w:rPr>
                <w:rFonts w:ascii="Arial" w:hAnsi="Arial" w:cs="Arial" w:eastAsia="Arial" w:hint="default"/>
                <w:sz w:val="18"/>
                <w:szCs w:val="18"/>
              </w:rPr>
            </w:pPr>
            <w:r>
              <w:rPr>
                <w:rFonts w:ascii="Arial"/>
                <w:spacing w:val="-1"/>
                <w:sz w:val="18"/>
              </w:rPr>
              <w:t>1,090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18"/>
                <w:szCs w:val="18"/>
              </w:rPr>
            </w:pPr>
            <w:r>
              <w:rPr>
                <w:rFonts w:ascii="Arial"/>
                <w:spacing w:val="-1"/>
                <w:sz w:val="18"/>
              </w:rPr>
              <w:t>647,130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spacing w:val="-1"/>
                <w:sz w:val="18"/>
              </w:rPr>
              <w:t>478,678</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3"/>
              <w:jc w:val="right"/>
              <w:rPr>
                <w:rFonts w:ascii="Arial" w:hAnsi="Arial" w:cs="Arial" w:eastAsia="Arial" w:hint="default"/>
                <w:sz w:val="18"/>
                <w:szCs w:val="18"/>
              </w:rPr>
            </w:pPr>
            <w:r>
              <w:rPr>
                <w:rFonts w:ascii="Arial"/>
                <w:w w:val="99"/>
                <w:sz w:val="18"/>
              </w:rPr>
              <w:t>-</w:t>
            </w:r>
            <w:r>
              <w:rPr>
                <w:rFonts w:ascii="Arial"/>
                <w:sz w:val="18"/>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478,678</w:t>
            </w:r>
          </w:p>
        </w:tc>
      </w:tr>
      <w:tr>
        <w:trPr>
          <w:trHeight w:val="467"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苏宁保险销售有</w:t>
            </w:r>
          </w:p>
          <w:p>
            <w:pPr>
              <w:pStyle w:val="TableParagraph"/>
              <w:spacing w:line="234" w:lineRule="exact"/>
              <w:ind w:left="38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124,909</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4"/>
              <w:jc w:val="right"/>
              <w:rPr>
                <w:rFonts w:ascii="Arial" w:hAnsi="Arial" w:cs="Arial" w:eastAsia="Arial" w:hint="default"/>
                <w:sz w:val="18"/>
                <w:szCs w:val="18"/>
              </w:rPr>
            </w:pPr>
            <w:r>
              <w:rPr>
                <w:rFonts w:ascii="Arial"/>
                <w:spacing w:val="-1"/>
                <w:sz w:val="18"/>
              </w:rPr>
              <w:t>5,013</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0"/>
              <w:jc w:val="right"/>
              <w:rPr>
                <w:rFonts w:ascii="Arial" w:hAnsi="Arial" w:cs="Arial" w:eastAsia="Arial" w:hint="default"/>
                <w:sz w:val="18"/>
                <w:szCs w:val="18"/>
              </w:rPr>
            </w:pPr>
            <w:r>
              <w:rPr>
                <w:rFonts w:ascii="Arial"/>
                <w:spacing w:val="-1"/>
                <w:sz w:val="18"/>
              </w:rPr>
              <w:t>129,922</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2,670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4"/>
              <w:jc w:val="right"/>
              <w:rPr>
                <w:rFonts w:ascii="Arial" w:hAnsi="Arial" w:cs="Arial" w:eastAsia="Arial" w:hint="default"/>
                <w:sz w:val="18"/>
                <w:szCs w:val="18"/>
              </w:rPr>
            </w:pPr>
            <w:r>
              <w:rPr>
                <w:rFonts w:ascii="Arial"/>
                <w:w w:val="99"/>
                <w:sz w:val="18"/>
              </w:rPr>
              <w:t>1</w:t>
            </w:r>
            <w:r>
              <w:rPr>
                <w:rFonts w:ascii="Arial"/>
                <w:sz w:val="18"/>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2,671</w:t>
            </w: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6"/>
              <w:jc w:val="right"/>
              <w:rPr>
                <w:rFonts w:ascii="Arial" w:hAnsi="Arial" w:cs="Arial" w:eastAsia="Arial" w:hint="default"/>
                <w:sz w:val="18"/>
                <w:szCs w:val="18"/>
              </w:rPr>
            </w:pPr>
            <w:r>
              <w:rPr>
                <w:rFonts w:ascii="Arial"/>
                <w:spacing w:val="-1"/>
                <w:sz w:val="18"/>
              </w:rPr>
              <w:t>53,756</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4"/>
              <w:jc w:val="right"/>
              <w:rPr>
                <w:rFonts w:ascii="Arial" w:hAnsi="Arial" w:cs="Arial" w:eastAsia="Arial" w:hint="default"/>
                <w:sz w:val="18"/>
                <w:szCs w:val="18"/>
              </w:rPr>
            </w:pPr>
            <w:r>
              <w:rPr>
                <w:rFonts w:ascii="Arial"/>
                <w:spacing w:val="-1"/>
                <w:sz w:val="18"/>
              </w:rPr>
              <w:t>70,022</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9"/>
              <w:jc w:val="right"/>
              <w:rPr>
                <w:rFonts w:ascii="Arial" w:hAnsi="Arial" w:cs="Arial" w:eastAsia="Arial" w:hint="default"/>
                <w:sz w:val="18"/>
                <w:szCs w:val="18"/>
              </w:rPr>
            </w:pPr>
            <w:r>
              <w:rPr>
                <w:rFonts w:ascii="Arial"/>
                <w:spacing w:val="-1"/>
                <w:sz w:val="18"/>
              </w:rPr>
              <w:t>123,778</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9"/>
              <w:jc w:val="right"/>
              <w:rPr>
                <w:rFonts w:ascii="Arial" w:hAnsi="Arial" w:cs="Arial" w:eastAsia="Arial" w:hint="default"/>
                <w:sz w:val="18"/>
                <w:szCs w:val="18"/>
              </w:rPr>
            </w:pPr>
            <w:r>
              <w:rPr>
                <w:rFonts w:ascii="Arial"/>
                <w:spacing w:val="-1"/>
                <w:w w:val="95"/>
                <w:sz w:val="18"/>
              </w:rPr>
              <w:t>668</w:t>
            </w:r>
            <w:r>
              <w:rPr>
                <w:rFonts w:ascii="Arial"/>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4"/>
              <w:jc w:val="right"/>
              <w:rPr>
                <w:rFonts w:ascii="Arial" w:hAnsi="Arial" w:cs="Arial" w:eastAsia="Arial" w:hint="default"/>
                <w:sz w:val="18"/>
                <w:szCs w:val="18"/>
              </w:rPr>
            </w:pPr>
            <w:r>
              <w:rPr>
                <w:rFonts w:ascii="Arial"/>
                <w:spacing w:val="-1"/>
                <w:w w:val="95"/>
                <w:sz w:val="18"/>
              </w:rPr>
              <w:t>141</w:t>
            </w:r>
            <w:r>
              <w:rPr>
                <w:rFonts w:ascii="Arial"/>
                <w:sz w:val="18"/>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18"/>
                <w:szCs w:val="18"/>
              </w:rPr>
            </w:pPr>
            <w:r>
              <w:rPr>
                <w:rFonts w:ascii="Arial"/>
                <w:spacing w:val="-1"/>
                <w:w w:val="95"/>
                <w:sz w:val="18"/>
              </w:rPr>
              <w:t>809</w:t>
            </w:r>
            <w:r>
              <w:rPr>
                <w:rFonts w:ascii="Arial"/>
                <w:sz w:val="18"/>
              </w:rPr>
            </w:r>
          </w:p>
        </w:tc>
      </w:tr>
      <w:tr>
        <w:trPr>
          <w:trHeight w:val="451"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江苏苏宁贸易有</w:t>
            </w:r>
          </w:p>
          <w:p>
            <w:pPr>
              <w:pStyle w:val="TableParagraph"/>
              <w:spacing w:line="234" w:lineRule="exact"/>
              <w:ind w:left="38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213,296</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4"/>
              <w:jc w:val="right"/>
              <w:rPr>
                <w:rFonts w:ascii="Arial" w:hAnsi="Arial" w:cs="Arial" w:eastAsia="Arial" w:hint="default"/>
                <w:sz w:val="18"/>
                <w:szCs w:val="18"/>
              </w:rPr>
            </w:pPr>
            <w:r>
              <w:rPr>
                <w:rFonts w:ascii="Arial"/>
                <w:spacing w:val="-1"/>
                <w:sz w:val="18"/>
              </w:rPr>
              <w:t>1,951</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0"/>
              <w:jc w:val="right"/>
              <w:rPr>
                <w:rFonts w:ascii="Arial" w:hAnsi="Arial" w:cs="Arial" w:eastAsia="Arial" w:hint="default"/>
                <w:sz w:val="18"/>
                <w:szCs w:val="18"/>
              </w:rPr>
            </w:pPr>
            <w:r>
              <w:rPr>
                <w:rFonts w:ascii="Arial"/>
                <w:spacing w:val="-1"/>
                <w:sz w:val="18"/>
              </w:rPr>
              <w:t>215,247</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222,204</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5"/>
              <w:jc w:val="right"/>
              <w:rPr>
                <w:rFonts w:ascii="Arial" w:hAnsi="Arial" w:cs="Arial" w:eastAsia="Arial" w:hint="default"/>
                <w:sz w:val="18"/>
                <w:szCs w:val="18"/>
              </w:rPr>
            </w:pPr>
            <w:r>
              <w:rPr>
                <w:rFonts w:ascii="Arial"/>
                <w:w w:val="99"/>
                <w:sz w:val="18"/>
              </w:rPr>
              <w:t>-</w:t>
            </w:r>
            <w:r>
              <w:rPr>
                <w:rFonts w:ascii="Arial"/>
                <w:sz w:val="18"/>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222,204</w:t>
            </w:r>
          </w:p>
        </w:tc>
        <w:tc>
          <w:tcPr>
            <w:tcW w:w="23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228,782</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2"/>
              <w:jc w:val="right"/>
              <w:rPr>
                <w:rFonts w:ascii="Arial" w:hAnsi="Arial" w:cs="Arial" w:eastAsia="Arial" w:hint="default"/>
                <w:sz w:val="18"/>
                <w:szCs w:val="18"/>
              </w:rPr>
            </w:pPr>
            <w:r>
              <w:rPr>
                <w:rFonts w:ascii="Arial"/>
                <w:spacing w:val="-1"/>
                <w:sz w:val="18"/>
              </w:rPr>
              <w:t>2,005</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18"/>
                <w:szCs w:val="18"/>
              </w:rPr>
            </w:pPr>
            <w:r>
              <w:rPr>
                <w:rFonts w:ascii="Arial"/>
                <w:spacing w:val="-1"/>
                <w:sz w:val="18"/>
              </w:rPr>
              <w:t>230,787</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237,909</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3"/>
              <w:jc w:val="right"/>
              <w:rPr>
                <w:rFonts w:ascii="Arial" w:hAnsi="Arial" w:cs="Arial" w:eastAsia="Arial" w:hint="default"/>
                <w:sz w:val="18"/>
                <w:szCs w:val="18"/>
              </w:rPr>
            </w:pPr>
            <w:r>
              <w:rPr>
                <w:rFonts w:ascii="Arial"/>
                <w:w w:val="99"/>
                <w:sz w:val="18"/>
              </w:rPr>
              <w:t>-</w:t>
            </w:r>
            <w:r>
              <w:rPr>
                <w:rFonts w:ascii="Arial"/>
                <w:sz w:val="18"/>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237,909</w:t>
            </w:r>
          </w:p>
        </w:tc>
      </w:tr>
    </w:tbl>
    <w:p>
      <w:pPr>
        <w:spacing w:after="0" w:line="240" w:lineRule="auto"/>
        <w:jc w:val="right"/>
        <w:rPr>
          <w:rFonts w:ascii="Arial" w:hAnsi="Arial" w:cs="Arial" w:eastAsia="Arial" w:hint="default"/>
          <w:sz w:val="18"/>
          <w:szCs w:val="18"/>
        </w:rPr>
        <w:sectPr>
          <w:pgSz w:w="16840" w:h="11910" w:orient="landscape"/>
          <w:pgMar w:header="755" w:footer="915" w:top="1860" w:bottom="1100" w:left="12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704"/>
        <w:gridCol w:w="4171"/>
      </w:tblGrid>
      <w:tr>
        <w:trPr>
          <w:trHeight w:val="461"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4171" w:type="dxa"/>
            <w:tcBorders>
              <w:top w:val="nil" w:sz="6" w:space="0" w:color="auto"/>
              <w:left w:val="nil" w:sz="6" w:space="0" w:color="auto"/>
              <w:bottom w:val="nil" w:sz="6" w:space="0" w:color="auto"/>
              <w:right w:val="nil" w:sz="6" w:space="0" w:color="auto"/>
            </w:tcBorders>
          </w:tcPr>
          <w:p>
            <w:pPr>
              <w:pStyle w:val="TableParagraph"/>
              <w:spacing w:line="257" w:lineRule="exact"/>
              <w:ind w:left="237"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78"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Arial" w:hAnsi="Arial" w:cs="Arial" w:eastAsia="Arial" w:hint="default"/>
                <w:sz w:val="24"/>
                <w:szCs w:val="24"/>
              </w:rPr>
            </w:pPr>
            <w:r>
              <w:rPr>
                <w:rFonts w:ascii="Arial"/>
                <w:sz w:val="24"/>
              </w:rPr>
              <w:t>(1)</w:t>
            </w:r>
          </w:p>
        </w:tc>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10" w:right="0"/>
              <w:jc w:val="left"/>
              <w:rPr>
                <w:rFonts w:ascii="Arial" w:hAnsi="Arial" w:cs="Arial" w:eastAsia="Arial" w:hint="default"/>
                <w:sz w:val="24"/>
                <w:szCs w:val="24"/>
              </w:rPr>
            </w:pPr>
            <w:r>
              <w:rPr>
                <w:rFonts w:ascii="黑体" w:hAnsi="黑体" w:cs="黑体" w:eastAsia="黑体" w:hint="default"/>
                <w:sz w:val="24"/>
                <w:szCs w:val="24"/>
              </w:rPr>
              <w:t>在子公司中的权益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69"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Arial" w:hAnsi="Arial" w:cs="Arial" w:eastAsia="Arial" w:hint="default"/>
                <w:sz w:val="24"/>
                <w:szCs w:val="24"/>
              </w:rPr>
            </w:pPr>
            <w:r>
              <w:rPr>
                <w:rFonts w:ascii="Arial"/>
                <w:sz w:val="24"/>
              </w:rPr>
              <w:t>(b)</w:t>
            </w:r>
          </w:p>
        </w:tc>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10" w:right="0"/>
              <w:jc w:val="left"/>
              <w:rPr>
                <w:rFonts w:ascii="Arial" w:hAnsi="Arial" w:cs="Arial" w:eastAsia="Arial" w:hint="default"/>
                <w:sz w:val="24"/>
                <w:szCs w:val="24"/>
              </w:rPr>
            </w:pPr>
            <w:r>
              <w:rPr>
                <w:rFonts w:ascii="宋体" w:hAnsi="宋体" w:cs="宋体" w:eastAsia="宋体" w:hint="default"/>
                <w:sz w:val="24"/>
                <w:szCs w:val="24"/>
              </w:rPr>
              <w:t>存在重要少数股东权益的子公司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tbl>
      <w:tblPr>
        <w:tblW w:w="0" w:type="auto"/>
        <w:jc w:val="left"/>
        <w:tblInd w:w="817" w:type="dxa"/>
        <w:tblLayout w:type="fixed"/>
        <w:tblCellMar>
          <w:top w:w="0" w:type="dxa"/>
          <w:left w:w="0" w:type="dxa"/>
          <w:bottom w:w="0" w:type="dxa"/>
          <w:right w:w="0" w:type="dxa"/>
        </w:tblCellMar>
        <w:tblLook w:val="01E0"/>
      </w:tblPr>
      <w:tblGrid>
        <w:gridCol w:w="2502"/>
        <w:gridCol w:w="1532"/>
        <w:gridCol w:w="1042"/>
        <w:gridCol w:w="1476"/>
        <w:gridCol w:w="1621"/>
        <w:gridCol w:w="283"/>
        <w:gridCol w:w="1584"/>
        <w:gridCol w:w="1189"/>
        <w:gridCol w:w="1375"/>
        <w:gridCol w:w="1633"/>
      </w:tblGrid>
      <w:tr>
        <w:trPr>
          <w:trHeight w:val="454" w:hRule="exact"/>
        </w:trPr>
        <w:tc>
          <w:tcPr>
            <w:tcW w:w="14236" w:type="dxa"/>
            <w:gridSpan w:val="10"/>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上述重要非全资子公司的主要财务信息列示如下：</w:t>
            </w:r>
          </w:p>
        </w:tc>
      </w:tr>
      <w:tr>
        <w:trPr>
          <w:trHeight w:val="467" w:hRule="exact"/>
        </w:trPr>
        <w:tc>
          <w:tcPr>
            <w:tcW w:w="2502"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single" w:sz="4" w:space="0" w:color="000000"/>
              <w:right w:val="nil" w:sz="6" w:space="0" w:color="auto"/>
            </w:tcBorders>
          </w:tcPr>
          <w:p>
            <w:pPr/>
          </w:p>
        </w:tc>
        <w:tc>
          <w:tcPr>
            <w:tcW w:w="251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8"/>
              <w:ind w:left="90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621"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
        </w:tc>
        <w:tc>
          <w:tcPr>
            <w:tcW w:w="256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8"/>
              <w:ind w:left="48"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年度</w:t>
            </w:r>
          </w:p>
        </w:tc>
        <w:tc>
          <w:tcPr>
            <w:tcW w:w="1633" w:type="dxa"/>
            <w:tcBorders>
              <w:top w:val="nil" w:sz="6" w:space="0" w:color="auto"/>
              <w:left w:val="nil" w:sz="6" w:space="0" w:color="auto"/>
              <w:bottom w:val="single" w:sz="4" w:space="0" w:color="000000"/>
              <w:right w:val="nil" w:sz="6" w:space="0" w:color="auto"/>
            </w:tcBorders>
          </w:tcPr>
          <w:p>
            <w:pPr/>
          </w:p>
        </w:tc>
      </w:tr>
      <w:tr>
        <w:trPr>
          <w:trHeight w:val="461" w:hRule="exact"/>
        </w:trPr>
        <w:tc>
          <w:tcPr>
            <w:tcW w:w="2502" w:type="dxa"/>
            <w:tcBorders>
              <w:top w:val="nil" w:sz="6" w:space="0" w:color="auto"/>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20"/>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68"/>
              <w:jc w:val="right"/>
              <w:rPr>
                <w:rFonts w:ascii="宋体" w:hAnsi="宋体" w:cs="宋体" w:eastAsia="宋体" w:hint="default"/>
                <w:sz w:val="18"/>
                <w:szCs w:val="18"/>
              </w:rPr>
            </w:pPr>
            <w:r>
              <w:rPr>
                <w:rFonts w:ascii="宋体" w:hAnsi="宋体" w:cs="宋体" w:eastAsia="宋体" w:hint="default"/>
                <w:sz w:val="18"/>
                <w:szCs w:val="18"/>
              </w:rPr>
              <w:t>净利润</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0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7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18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3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83"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68"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54"/>
              <w:jc w:val="right"/>
              <w:rPr>
                <w:rFonts w:ascii="Arial" w:hAnsi="Arial" w:cs="Arial" w:eastAsia="Arial" w:hint="default"/>
                <w:sz w:val="18"/>
                <w:szCs w:val="18"/>
              </w:rPr>
            </w:pPr>
            <w:r>
              <w:rPr>
                <w:rFonts w:ascii="Arial"/>
                <w:spacing w:val="-1"/>
                <w:sz w:val="18"/>
              </w:rPr>
              <w:t>4,877,558</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33"/>
              <w:jc w:val="right"/>
              <w:rPr>
                <w:rFonts w:ascii="Arial" w:hAnsi="Arial" w:cs="Arial" w:eastAsia="Arial" w:hint="default"/>
                <w:sz w:val="18"/>
                <w:szCs w:val="18"/>
              </w:rPr>
            </w:pPr>
            <w:r>
              <w:rPr>
                <w:rFonts w:ascii="Arial"/>
                <w:spacing w:val="-1"/>
                <w:sz w:val="18"/>
              </w:rPr>
              <w:t>440,345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9"/>
              <w:jc w:val="right"/>
              <w:rPr>
                <w:rFonts w:ascii="Arial" w:hAnsi="Arial" w:cs="Arial" w:eastAsia="Arial" w:hint="default"/>
                <w:sz w:val="18"/>
                <w:szCs w:val="18"/>
              </w:rPr>
            </w:pPr>
            <w:r>
              <w:rPr>
                <w:rFonts w:ascii="Arial"/>
                <w:spacing w:val="-1"/>
                <w:sz w:val="18"/>
              </w:rPr>
              <w:t>543,777</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spacing w:val="-1"/>
                <w:sz w:val="18"/>
              </w:rPr>
              <w:t>(49,123)</w:t>
            </w: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71"/>
              <w:jc w:val="right"/>
              <w:rPr>
                <w:rFonts w:ascii="Arial" w:hAnsi="Arial" w:cs="Arial" w:eastAsia="Arial" w:hint="default"/>
                <w:sz w:val="18"/>
                <w:szCs w:val="18"/>
              </w:rPr>
            </w:pPr>
            <w:r>
              <w:rPr>
                <w:rFonts w:ascii="Arial"/>
                <w:spacing w:val="-1"/>
                <w:sz w:val="18"/>
              </w:rPr>
              <w:t>2,730,480</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31" w:right="0"/>
              <w:jc w:val="left"/>
              <w:rPr>
                <w:rFonts w:ascii="Arial" w:hAnsi="Arial" w:cs="Arial" w:eastAsia="Arial" w:hint="default"/>
                <w:sz w:val="18"/>
                <w:szCs w:val="18"/>
              </w:rPr>
            </w:pPr>
            <w:r>
              <w:rPr>
                <w:rFonts w:ascii="Arial"/>
                <w:sz w:val="18"/>
              </w:rPr>
              <w:t>52,214</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Arial" w:hAnsi="Arial" w:cs="Arial" w:eastAsia="Arial" w:hint="default"/>
                <w:sz w:val="18"/>
                <w:szCs w:val="18"/>
              </w:rPr>
            </w:pPr>
            <w:r>
              <w:rPr>
                <w:rFonts w:ascii="Arial"/>
                <w:spacing w:val="-1"/>
                <w:sz w:val="18"/>
              </w:rPr>
              <w:t>(15,340)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79,866</w:t>
            </w:r>
          </w:p>
        </w:tc>
      </w:tr>
      <w:tr>
        <w:trPr>
          <w:trHeight w:val="314"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江苏苏宁易购有限公司</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6"/>
              <w:jc w:val="right"/>
              <w:rPr>
                <w:rFonts w:ascii="Arial" w:hAnsi="Arial" w:cs="Arial" w:eastAsia="Arial" w:hint="default"/>
                <w:sz w:val="18"/>
                <w:szCs w:val="18"/>
              </w:rPr>
            </w:pPr>
            <w:r>
              <w:rPr>
                <w:rFonts w:ascii="Arial"/>
                <w:spacing w:val="-1"/>
                <w:sz w:val="18"/>
              </w:rPr>
              <w:t>3,335,544</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4"/>
              <w:jc w:val="right"/>
              <w:rPr>
                <w:rFonts w:ascii="Arial" w:hAnsi="Arial" w:cs="Arial" w:eastAsia="Arial" w:hint="default"/>
                <w:sz w:val="18"/>
                <w:szCs w:val="18"/>
              </w:rPr>
            </w:pPr>
            <w:r>
              <w:rPr>
                <w:rFonts w:ascii="Arial"/>
                <w:spacing w:val="-1"/>
                <w:sz w:val="18"/>
              </w:rPr>
              <w:t>(44,169)</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3"/>
              <w:jc w:val="right"/>
              <w:rPr>
                <w:rFonts w:ascii="Arial" w:hAnsi="Arial" w:cs="Arial" w:eastAsia="Arial" w:hint="default"/>
                <w:sz w:val="18"/>
                <w:szCs w:val="18"/>
              </w:rPr>
            </w:pPr>
            <w:r>
              <w:rPr>
                <w:rFonts w:ascii="Arial"/>
                <w:spacing w:val="-1"/>
                <w:sz w:val="18"/>
              </w:rPr>
              <w:t>(42,888)</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1"/>
              <w:jc w:val="right"/>
              <w:rPr>
                <w:rFonts w:ascii="Arial" w:hAnsi="Arial" w:cs="Arial" w:eastAsia="Arial" w:hint="default"/>
                <w:sz w:val="18"/>
                <w:szCs w:val="18"/>
              </w:rPr>
            </w:pPr>
            <w:r>
              <w:rPr>
                <w:rFonts w:ascii="Arial"/>
                <w:spacing w:val="-1"/>
                <w:sz w:val="18"/>
              </w:rPr>
              <w:t>1,398,984</w:t>
            </w: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1"/>
              <w:jc w:val="right"/>
              <w:rPr>
                <w:rFonts w:ascii="Arial" w:hAnsi="Arial" w:cs="Arial" w:eastAsia="Arial" w:hint="default"/>
                <w:sz w:val="18"/>
                <w:szCs w:val="18"/>
              </w:rPr>
            </w:pPr>
            <w:r>
              <w:rPr>
                <w:rFonts w:ascii="Arial"/>
                <w:spacing w:val="-1"/>
                <w:sz w:val="18"/>
              </w:rPr>
              <w:t>821,483</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5"/>
              <w:jc w:val="right"/>
              <w:rPr>
                <w:rFonts w:ascii="Arial" w:hAnsi="Arial" w:cs="Arial" w:eastAsia="Arial" w:hint="default"/>
                <w:sz w:val="18"/>
                <w:szCs w:val="18"/>
              </w:rPr>
            </w:pPr>
            <w:r>
              <w:rPr>
                <w:rFonts w:ascii="Arial"/>
                <w:spacing w:val="-1"/>
                <w:sz w:val="18"/>
              </w:rPr>
              <w:t>(245,771)</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4"/>
              <w:jc w:val="right"/>
              <w:rPr>
                <w:rFonts w:ascii="Arial" w:hAnsi="Arial" w:cs="Arial" w:eastAsia="Arial" w:hint="default"/>
                <w:sz w:val="18"/>
                <w:szCs w:val="18"/>
              </w:rPr>
            </w:pPr>
            <w:r>
              <w:rPr>
                <w:rFonts w:ascii="Arial"/>
                <w:spacing w:val="-1"/>
                <w:sz w:val="18"/>
              </w:rPr>
              <w:t>(245,766)</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2"/>
              <w:jc w:val="right"/>
              <w:rPr>
                <w:rFonts w:ascii="Arial" w:hAnsi="Arial" w:cs="Arial" w:eastAsia="Arial" w:hint="default"/>
                <w:sz w:val="18"/>
                <w:szCs w:val="18"/>
              </w:rPr>
            </w:pPr>
            <w:r>
              <w:rPr>
                <w:rFonts w:ascii="Arial"/>
                <w:spacing w:val="-1"/>
                <w:sz w:val="18"/>
              </w:rPr>
              <w:t>(320,778)</w:t>
            </w:r>
          </w:p>
        </w:tc>
      </w:tr>
      <w:tr>
        <w:trPr>
          <w:trHeight w:val="313"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4"/>
              <w:jc w:val="right"/>
              <w:rPr>
                <w:rFonts w:ascii="Arial" w:hAnsi="Arial" w:cs="Arial" w:eastAsia="Arial" w:hint="default"/>
                <w:sz w:val="18"/>
                <w:szCs w:val="18"/>
              </w:rPr>
            </w:pPr>
            <w:r>
              <w:rPr>
                <w:rFonts w:ascii="Arial"/>
                <w:spacing w:val="-1"/>
                <w:sz w:val="18"/>
              </w:rPr>
              <w:t>874,393</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2"/>
              <w:jc w:val="right"/>
              <w:rPr>
                <w:rFonts w:ascii="Arial" w:hAnsi="Arial" w:cs="Arial" w:eastAsia="Arial" w:hint="default"/>
                <w:sz w:val="18"/>
                <w:szCs w:val="18"/>
              </w:rPr>
            </w:pPr>
            <w:r>
              <w:rPr>
                <w:rFonts w:ascii="Arial"/>
                <w:spacing w:val="-1"/>
                <w:sz w:val="18"/>
              </w:rPr>
              <w:t>14,089</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9"/>
              <w:jc w:val="right"/>
              <w:rPr>
                <w:rFonts w:ascii="Arial" w:hAnsi="Arial" w:cs="Arial" w:eastAsia="Arial" w:hint="default"/>
                <w:sz w:val="18"/>
                <w:szCs w:val="18"/>
              </w:rPr>
            </w:pPr>
            <w:r>
              <w:rPr>
                <w:rFonts w:ascii="Arial"/>
                <w:spacing w:val="-1"/>
                <w:sz w:val="18"/>
              </w:rPr>
              <w:t>14,089</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right"/>
              <w:rPr>
                <w:rFonts w:ascii="Arial" w:hAnsi="Arial" w:cs="Arial" w:eastAsia="Arial" w:hint="default"/>
                <w:sz w:val="18"/>
                <w:szCs w:val="18"/>
              </w:rPr>
            </w:pPr>
            <w:r>
              <w:rPr>
                <w:rFonts w:ascii="Arial"/>
                <w:spacing w:val="-1"/>
                <w:sz w:val="18"/>
              </w:rPr>
              <w:t>(1,727)</w:t>
            </w: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1"/>
              <w:jc w:val="right"/>
              <w:rPr>
                <w:rFonts w:ascii="Arial" w:hAnsi="Arial" w:cs="Arial" w:eastAsia="Arial" w:hint="default"/>
                <w:sz w:val="18"/>
                <w:szCs w:val="18"/>
              </w:rPr>
            </w:pPr>
            <w:r>
              <w:rPr>
                <w:rFonts w:ascii="Arial"/>
                <w:spacing w:val="-1"/>
                <w:sz w:val="18"/>
              </w:rPr>
              <w:t>949,422</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31" w:right="0"/>
              <w:jc w:val="left"/>
              <w:rPr>
                <w:rFonts w:ascii="Arial" w:hAnsi="Arial" w:cs="Arial" w:eastAsia="Arial" w:hint="default"/>
                <w:sz w:val="18"/>
                <w:szCs w:val="18"/>
              </w:rPr>
            </w:pPr>
            <w:r>
              <w:rPr>
                <w:rFonts w:ascii="Arial"/>
                <w:sz w:val="18"/>
              </w:rPr>
              <w:t>31,169</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w:hAnsi="Arial" w:cs="Arial" w:eastAsia="Arial" w:hint="default"/>
                <w:sz w:val="18"/>
                <w:szCs w:val="18"/>
              </w:rPr>
            </w:pPr>
            <w:r>
              <w:rPr>
                <w:rFonts w:ascii="Arial"/>
                <w:spacing w:val="-1"/>
                <w:sz w:val="18"/>
              </w:rPr>
              <w:t>31,169</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
              <w:jc w:val="right"/>
              <w:rPr>
                <w:rFonts w:ascii="Arial" w:hAnsi="Arial" w:cs="Arial" w:eastAsia="Arial" w:hint="default"/>
                <w:sz w:val="18"/>
                <w:szCs w:val="18"/>
              </w:rPr>
            </w:pPr>
            <w:r>
              <w:rPr>
                <w:rFonts w:ascii="Arial"/>
                <w:spacing w:val="-1"/>
                <w:sz w:val="18"/>
              </w:rPr>
              <w:t>(1,214)</w:t>
            </w:r>
          </w:p>
        </w:tc>
      </w:tr>
      <w:tr>
        <w:trPr>
          <w:trHeight w:val="313"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苏宁保险销售有限公司</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4"/>
              <w:jc w:val="right"/>
              <w:rPr>
                <w:rFonts w:ascii="Arial" w:hAnsi="Arial" w:cs="Arial" w:eastAsia="Arial" w:hint="default"/>
                <w:sz w:val="18"/>
                <w:szCs w:val="18"/>
              </w:rPr>
            </w:pPr>
            <w:r>
              <w:rPr>
                <w:rFonts w:ascii="Arial"/>
                <w:spacing w:val="-1"/>
                <w:sz w:val="18"/>
              </w:rPr>
              <w:t>7,415</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1"/>
              <w:jc w:val="right"/>
              <w:rPr>
                <w:rFonts w:ascii="Arial" w:hAnsi="Arial" w:cs="Arial" w:eastAsia="Arial" w:hint="default"/>
                <w:sz w:val="18"/>
                <w:szCs w:val="18"/>
              </w:rPr>
            </w:pPr>
            <w:r>
              <w:rPr>
                <w:rFonts w:ascii="Arial"/>
                <w:spacing w:val="-1"/>
                <w:sz w:val="18"/>
              </w:rPr>
              <w:t>4,705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9"/>
              <w:jc w:val="right"/>
              <w:rPr>
                <w:rFonts w:ascii="Arial" w:hAnsi="Arial" w:cs="Arial" w:eastAsia="Arial" w:hint="default"/>
                <w:sz w:val="18"/>
                <w:szCs w:val="18"/>
              </w:rPr>
            </w:pPr>
            <w:r>
              <w:rPr>
                <w:rFonts w:ascii="Arial"/>
                <w:spacing w:val="-1"/>
                <w:sz w:val="18"/>
              </w:rPr>
              <w:t>4,283</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right"/>
              <w:rPr>
                <w:rFonts w:ascii="Arial" w:hAnsi="Arial" w:cs="Arial" w:eastAsia="Arial" w:hint="default"/>
                <w:sz w:val="18"/>
                <w:szCs w:val="18"/>
              </w:rPr>
            </w:pPr>
            <w:r>
              <w:rPr>
                <w:rFonts w:ascii="Arial"/>
                <w:spacing w:val="-2"/>
                <w:sz w:val="18"/>
              </w:rPr>
              <w:t>(119,481)</w:t>
            </w: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2"/>
              <w:jc w:val="right"/>
              <w:rPr>
                <w:rFonts w:ascii="Arial" w:hAnsi="Arial" w:cs="Arial" w:eastAsia="Arial" w:hint="default"/>
                <w:sz w:val="18"/>
                <w:szCs w:val="18"/>
              </w:rPr>
            </w:pPr>
            <w:r>
              <w:rPr>
                <w:rFonts w:ascii="Arial"/>
                <w:spacing w:val="-1"/>
                <w:w w:val="95"/>
                <w:sz w:val="18"/>
              </w:rPr>
              <w:t>424</w:t>
            </w:r>
            <w:r>
              <w:rPr>
                <w:rFonts w:ascii="Arial"/>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31" w:right="0"/>
              <w:jc w:val="left"/>
              <w:rPr>
                <w:rFonts w:ascii="Arial" w:hAnsi="Arial" w:cs="Arial" w:eastAsia="Arial" w:hint="default"/>
                <w:sz w:val="18"/>
                <w:szCs w:val="18"/>
              </w:rPr>
            </w:pPr>
            <w:r>
              <w:rPr>
                <w:rFonts w:ascii="Arial"/>
                <w:sz w:val="18"/>
              </w:rPr>
              <w:t>2,372</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3"/>
              <w:jc w:val="right"/>
              <w:rPr>
                <w:rFonts w:ascii="Arial" w:hAnsi="Arial" w:cs="Arial" w:eastAsia="Arial" w:hint="default"/>
                <w:sz w:val="18"/>
                <w:szCs w:val="18"/>
              </w:rPr>
            </w:pPr>
            <w:r>
              <w:rPr>
                <w:rFonts w:ascii="Arial"/>
                <w:spacing w:val="-1"/>
                <w:sz w:val="18"/>
              </w:rPr>
              <w:t>2,796</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3"/>
              <w:jc w:val="right"/>
              <w:rPr>
                <w:rFonts w:ascii="Arial" w:hAnsi="Arial" w:cs="Arial" w:eastAsia="Arial" w:hint="default"/>
                <w:sz w:val="18"/>
                <w:szCs w:val="18"/>
              </w:rPr>
            </w:pPr>
            <w:r>
              <w:rPr>
                <w:rFonts w:ascii="Arial"/>
                <w:spacing w:val="-1"/>
                <w:w w:val="95"/>
                <w:sz w:val="18"/>
              </w:rPr>
              <w:t>194</w:t>
            </w:r>
            <w:r>
              <w:rPr>
                <w:rFonts w:ascii="Arial"/>
                <w:sz w:val="18"/>
              </w:rPr>
            </w:r>
          </w:p>
        </w:tc>
      </w:tr>
      <w:tr>
        <w:trPr>
          <w:trHeight w:val="258"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江苏苏宁贸易有限公司</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4"/>
              <w:jc w:val="right"/>
              <w:rPr>
                <w:rFonts w:ascii="Arial" w:hAnsi="Arial" w:cs="Arial" w:eastAsia="Arial" w:hint="default"/>
                <w:sz w:val="18"/>
                <w:szCs w:val="18"/>
              </w:rPr>
            </w:pPr>
            <w:r>
              <w:rPr>
                <w:rFonts w:ascii="Arial"/>
                <w:spacing w:val="-1"/>
                <w:sz w:val="18"/>
              </w:rPr>
              <w:t>264,039</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2"/>
              <w:jc w:val="right"/>
              <w:rPr>
                <w:rFonts w:ascii="Arial" w:hAnsi="Arial" w:cs="Arial" w:eastAsia="Arial" w:hint="default"/>
                <w:sz w:val="18"/>
                <w:szCs w:val="18"/>
              </w:rPr>
            </w:pPr>
            <w:r>
              <w:rPr>
                <w:rFonts w:ascii="Arial"/>
                <w:spacing w:val="-1"/>
                <w:w w:val="95"/>
                <w:sz w:val="18"/>
              </w:rPr>
              <w:t>164</w:t>
            </w:r>
            <w:r>
              <w:rPr>
                <w:rFonts w:ascii="Arial"/>
                <w:sz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9"/>
              <w:jc w:val="right"/>
              <w:rPr>
                <w:rFonts w:ascii="Arial" w:hAnsi="Arial" w:cs="Arial" w:eastAsia="Arial" w:hint="default"/>
                <w:sz w:val="18"/>
                <w:szCs w:val="18"/>
              </w:rPr>
            </w:pPr>
            <w:r>
              <w:rPr>
                <w:rFonts w:ascii="Arial"/>
                <w:spacing w:val="-1"/>
                <w:w w:val="95"/>
                <w:sz w:val="18"/>
              </w:rPr>
              <w:t>164</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0"/>
              <w:jc w:val="right"/>
              <w:rPr>
                <w:rFonts w:ascii="Arial" w:hAnsi="Arial" w:cs="Arial" w:eastAsia="Arial" w:hint="default"/>
                <w:sz w:val="18"/>
                <w:szCs w:val="18"/>
              </w:rPr>
            </w:pPr>
            <w:r>
              <w:rPr>
                <w:rFonts w:ascii="Arial"/>
                <w:spacing w:val="-1"/>
                <w:w w:val="95"/>
                <w:sz w:val="18"/>
              </w:rPr>
              <w:t>208</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0"/>
              <w:jc w:val="right"/>
              <w:rPr>
                <w:rFonts w:ascii="Arial" w:hAnsi="Arial" w:cs="Arial" w:eastAsia="Arial" w:hint="default"/>
                <w:sz w:val="18"/>
                <w:szCs w:val="18"/>
              </w:rPr>
            </w:pPr>
            <w:r>
              <w:rPr>
                <w:rFonts w:ascii="Arial"/>
                <w:spacing w:val="-1"/>
                <w:sz w:val="18"/>
              </w:rPr>
              <w:t>324,140</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5"/>
              <w:jc w:val="right"/>
              <w:rPr>
                <w:rFonts w:ascii="Arial" w:hAnsi="Arial" w:cs="Arial" w:eastAsia="Arial" w:hint="default"/>
                <w:sz w:val="18"/>
                <w:szCs w:val="18"/>
              </w:rPr>
            </w:pPr>
            <w:r>
              <w:rPr>
                <w:rFonts w:ascii="Arial"/>
                <w:spacing w:val="-1"/>
                <w:sz w:val="18"/>
              </w:rPr>
              <w:t>(5,718)</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18"/>
                <w:szCs w:val="18"/>
              </w:rPr>
            </w:pPr>
            <w:r>
              <w:rPr>
                <w:rFonts w:ascii="Arial"/>
                <w:spacing w:val="-1"/>
                <w:sz w:val="18"/>
              </w:rPr>
              <w:t>(5,718)</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
              <w:jc w:val="right"/>
              <w:rPr>
                <w:rFonts w:ascii="Arial" w:hAnsi="Arial" w:cs="Arial" w:eastAsia="Arial" w:hint="default"/>
                <w:sz w:val="18"/>
                <w:szCs w:val="18"/>
              </w:rPr>
            </w:pPr>
            <w:r>
              <w:rPr>
                <w:rFonts w:ascii="Arial"/>
                <w:spacing w:val="-1"/>
                <w:sz w:val="18"/>
              </w:rPr>
              <w:t>(1,527)</w:t>
            </w:r>
          </w:p>
        </w:tc>
      </w:tr>
    </w:tbl>
    <w:p>
      <w:pPr>
        <w:spacing w:after="0" w:line="240" w:lineRule="auto"/>
        <w:jc w:val="right"/>
        <w:rPr>
          <w:rFonts w:ascii="Arial" w:hAnsi="Arial" w:cs="Arial" w:eastAsia="Arial" w:hint="default"/>
          <w:sz w:val="18"/>
          <w:szCs w:val="18"/>
        </w:rPr>
        <w:sectPr>
          <w:pgSz w:w="16840" w:h="11910" w:orient="landscape"/>
          <w:pgMar w:header="755" w:footer="915" w:top="1860" w:bottom="1100" w:left="124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719"/>
        <w:gridCol w:w="2303"/>
        <w:gridCol w:w="1359"/>
        <w:gridCol w:w="721"/>
        <w:gridCol w:w="1273"/>
        <w:gridCol w:w="1295"/>
        <w:gridCol w:w="957"/>
        <w:gridCol w:w="872"/>
      </w:tblGrid>
      <w:tr>
        <w:trPr>
          <w:trHeight w:val="416" w:hRule="exact"/>
        </w:trPr>
        <w:tc>
          <w:tcPr>
            <w:tcW w:w="71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66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67"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582" w:hRule="exact"/>
        </w:trPr>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w:t>
            </w:r>
          </w:p>
        </w:tc>
        <w:tc>
          <w:tcPr>
            <w:tcW w:w="3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167" w:right="0"/>
              <w:jc w:val="left"/>
              <w:rPr>
                <w:rFonts w:ascii="黑体" w:hAnsi="黑体" w:cs="黑体" w:eastAsia="黑体" w:hint="default"/>
                <w:sz w:val="24"/>
                <w:szCs w:val="24"/>
              </w:rPr>
            </w:pPr>
            <w:r>
              <w:rPr>
                <w:rFonts w:ascii="黑体" w:hAnsi="黑体" w:cs="黑体" w:eastAsia="黑体" w:hint="default"/>
                <w:sz w:val="24"/>
                <w:szCs w:val="24"/>
              </w:rPr>
              <w:t>在合营企业和联营企业中的权益</w:t>
            </w: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681" w:hRule="exact"/>
        </w:trPr>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43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67" w:right="0"/>
              <w:jc w:val="left"/>
              <w:rPr>
                <w:rFonts w:ascii="宋体" w:hAnsi="宋体" w:cs="宋体" w:eastAsia="宋体" w:hint="default"/>
                <w:sz w:val="24"/>
                <w:szCs w:val="24"/>
              </w:rPr>
            </w:pPr>
            <w:r>
              <w:rPr>
                <w:rFonts w:ascii="宋体" w:hAnsi="宋体" w:cs="宋体" w:eastAsia="宋体" w:hint="default"/>
                <w:sz w:val="24"/>
                <w:szCs w:val="24"/>
              </w:rPr>
              <w:t>重要合营企业和联营企业的基础信息</w:t>
            </w: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710"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主要经营地</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注册地</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6" w:right="116"/>
              <w:jc w:val="left"/>
              <w:rPr>
                <w:rFonts w:ascii="宋体" w:hAnsi="宋体" w:cs="宋体" w:eastAsia="宋体" w:hint="default"/>
                <w:sz w:val="18"/>
                <w:szCs w:val="18"/>
              </w:rPr>
            </w:pPr>
            <w:r>
              <w:rPr>
                <w:rFonts w:ascii="宋体" w:hAnsi="宋体" w:cs="宋体" w:eastAsia="宋体" w:hint="default"/>
                <w:sz w:val="18"/>
                <w:szCs w:val="18"/>
              </w:rPr>
              <w:t>对集团活动是 否具有战略性</w:t>
            </w:r>
          </w:p>
        </w:tc>
        <w:tc>
          <w:tcPr>
            <w:tcW w:w="182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237"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single" w:sz="4" w:space="0" w:color="000000"/>
              <w:left w:val="nil" w:sz="6" w:space="0" w:color="auto"/>
              <w:bottom w:val="nil" w:sz="6" w:space="0" w:color="auto"/>
              <w:right w:val="nil" w:sz="6" w:space="0" w:color="auto"/>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72" w:type="dxa"/>
            <w:tcBorders>
              <w:top w:val="single" w:sz="4" w:space="0" w:color="000000"/>
              <w:left w:val="nil" w:sz="6" w:space="0" w:color="auto"/>
              <w:bottom w:val="nil" w:sz="6" w:space="0" w:color="auto"/>
              <w:right w:val="nil" w:sz="6" w:space="0" w:color="auto"/>
            </w:tcBorders>
          </w:tcPr>
          <w:p>
            <w:pPr>
              <w:pStyle w:val="TableParagraph"/>
              <w:spacing w:line="205" w:lineRule="exact"/>
              <w:ind w:left="221"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238"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20" w:lineRule="exact"/>
              <w:ind w:left="138" w:right="0"/>
              <w:jc w:val="left"/>
              <w:rPr>
                <w:rFonts w:ascii="Arial" w:hAnsi="Arial" w:cs="Arial" w:eastAsia="Arial" w:hint="default"/>
                <w:sz w:val="18"/>
                <w:szCs w:val="18"/>
              </w:rPr>
            </w:pPr>
            <w:r>
              <w:rPr>
                <w:rFonts w:ascii="宋体" w:hAnsi="宋体" w:cs="宋体" w:eastAsia="宋体" w:hint="default"/>
                <w:sz w:val="18"/>
                <w:szCs w:val="18"/>
              </w:rPr>
              <w:t>合营企业</w:t>
            </w:r>
            <w:r>
              <w:rPr>
                <w:rFonts w:ascii="宋体" w:hAnsi="宋体" w:cs="宋体" w:eastAsia="宋体" w:hint="default"/>
                <w:spacing w:val="-1"/>
                <w:sz w:val="18"/>
                <w:szCs w:val="18"/>
              </w:rPr>
              <w:t> </w:t>
            </w:r>
            <w:r>
              <w:rPr>
                <w:rFonts w:ascii="Arial" w:hAnsi="Arial" w:cs="Arial" w:eastAsia="Arial" w:hint="default"/>
                <w:sz w:val="18"/>
                <w:szCs w:val="18"/>
              </w:rPr>
              <w:t>–</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577"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苏宁金石</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sz w:val="18"/>
                <w:szCs w:val="18"/>
              </w:rPr>
              <w:t>天津</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天津</w:t>
            </w:r>
          </w:p>
        </w:tc>
        <w:tc>
          <w:tcPr>
            <w:tcW w:w="1273" w:type="dxa"/>
            <w:tcBorders>
              <w:top w:val="nil" w:sz="6" w:space="0" w:color="auto"/>
              <w:left w:val="nil" w:sz="6" w:space="0" w:color="auto"/>
              <w:bottom w:val="nil" w:sz="6" w:space="0" w:color="auto"/>
              <w:right w:val="nil" w:sz="6" w:space="0" w:color="auto"/>
            </w:tcBorders>
          </w:tcPr>
          <w:p>
            <w:pPr>
              <w:pStyle w:val="TableParagraph"/>
              <w:spacing w:line="201" w:lineRule="exact"/>
              <w:ind w:left="637" w:right="0" w:hanging="180"/>
              <w:jc w:val="left"/>
              <w:rPr>
                <w:rFonts w:ascii="宋体" w:hAnsi="宋体" w:cs="宋体" w:eastAsia="宋体" w:hint="default"/>
                <w:sz w:val="18"/>
                <w:szCs w:val="18"/>
              </w:rPr>
            </w:pPr>
            <w:r>
              <w:rPr>
                <w:rFonts w:ascii="宋体" w:hAnsi="宋体" w:cs="宋体" w:eastAsia="宋体" w:hint="default"/>
                <w:sz w:val="18"/>
                <w:szCs w:val="18"/>
              </w:rPr>
              <w:t>投资管理</w:t>
            </w:r>
          </w:p>
          <w:p>
            <w:pPr>
              <w:pStyle w:val="TableParagraph"/>
              <w:spacing w:line="235" w:lineRule="exact"/>
              <w:ind w:left="637" w:right="0"/>
              <w:jc w:val="left"/>
              <w:rPr>
                <w:rFonts w:ascii="宋体" w:hAnsi="宋体" w:cs="宋体" w:eastAsia="宋体" w:hint="default"/>
                <w:sz w:val="18"/>
                <w:szCs w:val="18"/>
              </w:rPr>
            </w:pPr>
            <w:r>
              <w:rPr>
                <w:rFonts w:ascii="宋体" w:hAnsi="宋体" w:cs="宋体" w:eastAsia="宋体" w:hint="default"/>
                <w:sz w:val="18"/>
                <w:szCs w:val="18"/>
              </w:rPr>
              <w:t>及咨询</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是</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0"/>
              <w:jc w:val="right"/>
              <w:rPr>
                <w:rFonts w:ascii="Arial" w:hAnsi="Arial" w:cs="Arial" w:eastAsia="Arial" w:hint="default"/>
                <w:sz w:val="18"/>
                <w:szCs w:val="18"/>
              </w:rPr>
            </w:pPr>
            <w:r>
              <w:rPr>
                <w:rFonts w:ascii="Arial"/>
                <w:spacing w:val="-1"/>
                <w:sz w:val="18"/>
              </w:rPr>
              <w:t>40%</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43"/>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8" w:right="0"/>
              <w:jc w:val="left"/>
              <w:rPr>
                <w:rFonts w:ascii="Arial" w:hAnsi="Arial" w:cs="Arial" w:eastAsia="Arial" w:hint="default"/>
                <w:sz w:val="18"/>
                <w:szCs w:val="18"/>
              </w:rPr>
            </w:pPr>
            <w:r>
              <w:rPr>
                <w:rFonts w:ascii="宋体" w:hAnsi="宋体" w:cs="宋体" w:eastAsia="宋体" w:hint="default"/>
                <w:sz w:val="18"/>
                <w:szCs w:val="18"/>
              </w:rPr>
              <w:t>联营企业</w:t>
            </w:r>
            <w:r>
              <w:rPr>
                <w:rFonts w:ascii="宋体" w:hAnsi="宋体" w:cs="宋体" w:eastAsia="宋体" w:hint="default"/>
                <w:spacing w:val="-1"/>
                <w:sz w:val="18"/>
                <w:szCs w:val="18"/>
              </w:rPr>
              <w:t> </w:t>
            </w:r>
            <w:r>
              <w:rPr>
                <w:rFonts w:ascii="Arial" w:hAnsi="Arial" w:cs="Arial" w:eastAsia="Arial" w:hint="default"/>
                <w:sz w:val="18"/>
                <w:szCs w:val="18"/>
              </w:rPr>
              <w:t>–</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240"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03" w:lineRule="exact"/>
              <w:ind w:left="138" w:right="0"/>
              <w:jc w:val="left"/>
              <w:rPr>
                <w:rFonts w:ascii="宋体" w:hAnsi="宋体" w:cs="宋体" w:eastAsia="宋体" w:hint="default"/>
                <w:sz w:val="18"/>
                <w:szCs w:val="18"/>
              </w:rPr>
            </w:pPr>
            <w:r>
              <w:rPr>
                <w:rFonts w:ascii="宋体" w:hAnsi="宋体" w:cs="宋体" w:eastAsia="宋体" w:hint="default"/>
                <w:sz w:val="18"/>
                <w:szCs w:val="18"/>
              </w:rPr>
              <w:t>丸悦</w:t>
            </w:r>
          </w:p>
        </w:tc>
        <w:tc>
          <w:tcPr>
            <w:tcW w:w="1359" w:type="dxa"/>
            <w:tcBorders>
              <w:top w:val="nil" w:sz="6" w:space="0" w:color="auto"/>
              <w:left w:val="nil" w:sz="6" w:space="0" w:color="auto"/>
              <w:bottom w:val="nil" w:sz="6" w:space="0" w:color="auto"/>
              <w:right w:val="nil" w:sz="6" w:space="0" w:color="auto"/>
            </w:tcBorders>
          </w:tcPr>
          <w:p>
            <w:pPr>
              <w:pStyle w:val="TableParagraph"/>
              <w:spacing w:line="203" w:lineRule="exact"/>
              <w:ind w:right="82"/>
              <w:jc w:val="right"/>
              <w:rPr>
                <w:rFonts w:ascii="宋体" w:hAnsi="宋体" w:cs="宋体" w:eastAsia="宋体" w:hint="default"/>
                <w:sz w:val="18"/>
                <w:szCs w:val="18"/>
              </w:rPr>
            </w:pPr>
            <w:r>
              <w:rPr>
                <w:rFonts w:ascii="宋体" w:hAnsi="宋体" w:cs="宋体" w:eastAsia="宋体" w:hint="default"/>
                <w:sz w:val="18"/>
                <w:szCs w:val="18"/>
              </w:rPr>
              <w:t>香港</w:t>
            </w:r>
          </w:p>
        </w:tc>
        <w:tc>
          <w:tcPr>
            <w:tcW w:w="721" w:type="dxa"/>
            <w:tcBorders>
              <w:top w:val="nil" w:sz="6" w:space="0" w:color="auto"/>
              <w:left w:val="nil" w:sz="6" w:space="0" w:color="auto"/>
              <w:bottom w:val="nil" w:sz="6" w:space="0" w:color="auto"/>
              <w:right w:val="nil" w:sz="6" w:space="0" w:color="auto"/>
            </w:tcBorders>
          </w:tcPr>
          <w:p>
            <w:pPr>
              <w:pStyle w:val="TableParagraph"/>
              <w:spacing w:line="203" w:lineRule="exact"/>
              <w:ind w:right="95"/>
              <w:jc w:val="right"/>
              <w:rPr>
                <w:rFonts w:ascii="宋体" w:hAnsi="宋体" w:cs="宋体" w:eastAsia="宋体" w:hint="default"/>
                <w:sz w:val="18"/>
                <w:szCs w:val="18"/>
              </w:rPr>
            </w:pPr>
            <w:r>
              <w:rPr>
                <w:rFonts w:ascii="宋体" w:hAnsi="宋体" w:cs="宋体" w:eastAsia="宋体" w:hint="default"/>
                <w:sz w:val="18"/>
                <w:szCs w:val="18"/>
              </w:rPr>
              <w:t>香港</w:t>
            </w:r>
          </w:p>
        </w:tc>
        <w:tc>
          <w:tcPr>
            <w:tcW w:w="1273" w:type="dxa"/>
            <w:tcBorders>
              <w:top w:val="nil" w:sz="6" w:space="0" w:color="auto"/>
              <w:left w:val="nil" w:sz="6" w:space="0" w:color="auto"/>
              <w:bottom w:val="nil" w:sz="6" w:space="0" w:color="auto"/>
              <w:right w:val="nil" w:sz="6" w:space="0" w:color="auto"/>
            </w:tcBorders>
          </w:tcPr>
          <w:p>
            <w:pPr>
              <w:pStyle w:val="TableParagraph"/>
              <w:spacing w:line="203" w:lineRule="exact"/>
              <w:ind w:right="94"/>
              <w:jc w:val="right"/>
              <w:rPr>
                <w:rFonts w:ascii="宋体" w:hAnsi="宋体" w:cs="宋体" w:eastAsia="宋体" w:hint="default"/>
                <w:sz w:val="18"/>
                <w:szCs w:val="18"/>
              </w:rPr>
            </w:pPr>
            <w:r>
              <w:rPr>
                <w:rFonts w:ascii="宋体" w:hAnsi="宋体" w:cs="宋体" w:eastAsia="宋体" w:hint="default"/>
                <w:sz w:val="18"/>
                <w:szCs w:val="18"/>
              </w:rPr>
              <w:t>食品连锁</w:t>
            </w:r>
          </w:p>
        </w:tc>
        <w:tc>
          <w:tcPr>
            <w:tcW w:w="1295" w:type="dxa"/>
            <w:tcBorders>
              <w:top w:val="nil" w:sz="6" w:space="0" w:color="auto"/>
              <w:left w:val="nil" w:sz="6" w:space="0" w:color="auto"/>
              <w:bottom w:val="nil" w:sz="6" w:space="0" w:color="auto"/>
              <w:right w:val="nil" w:sz="6" w:space="0" w:color="auto"/>
            </w:tcBorders>
          </w:tcPr>
          <w:p>
            <w:pPr>
              <w:pStyle w:val="TableParagraph"/>
              <w:spacing w:line="203" w:lineRule="exact"/>
              <w:ind w:right="116"/>
              <w:jc w:val="right"/>
              <w:rPr>
                <w:rFonts w:ascii="宋体" w:hAnsi="宋体" w:cs="宋体" w:eastAsia="宋体" w:hint="default"/>
                <w:sz w:val="18"/>
                <w:szCs w:val="18"/>
              </w:rPr>
            </w:pPr>
            <w:r>
              <w:rPr>
                <w:rFonts w:ascii="宋体" w:hAnsi="宋体" w:cs="宋体" w:eastAsia="宋体" w:hint="default"/>
                <w:sz w:val="18"/>
                <w:szCs w:val="18"/>
              </w:rPr>
              <w:t>是</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9"/>
              <w:jc w:val="right"/>
              <w:rPr>
                <w:rFonts w:ascii="Arial" w:hAnsi="Arial" w:cs="Arial" w:eastAsia="Arial" w:hint="default"/>
                <w:sz w:val="18"/>
                <w:szCs w:val="18"/>
              </w:rPr>
            </w:pPr>
            <w:r>
              <w:rPr>
                <w:rFonts w:ascii="Arial"/>
                <w:w w:val="99"/>
                <w:sz w:val="18"/>
              </w:rPr>
              <w:t>-</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4"/>
              <w:jc w:val="right"/>
              <w:rPr>
                <w:rFonts w:ascii="Arial" w:hAnsi="Arial" w:cs="Arial" w:eastAsia="Arial" w:hint="default"/>
                <w:sz w:val="18"/>
                <w:szCs w:val="18"/>
              </w:rPr>
            </w:pPr>
            <w:r>
              <w:rPr>
                <w:rFonts w:ascii="Arial"/>
                <w:spacing w:val="-1"/>
                <w:sz w:val="18"/>
              </w:rPr>
              <w:t>30%</w:t>
            </w:r>
          </w:p>
        </w:tc>
      </w:tr>
      <w:tr>
        <w:trPr>
          <w:trHeight w:val="376"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195" w:lineRule="exact"/>
              <w:ind w:left="138" w:right="0"/>
              <w:jc w:val="left"/>
              <w:rPr>
                <w:rFonts w:ascii="宋体" w:hAnsi="宋体" w:cs="宋体" w:eastAsia="宋体" w:hint="default"/>
                <w:sz w:val="18"/>
                <w:szCs w:val="18"/>
              </w:rPr>
            </w:pPr>
            <w:r>
              <w:rPr>
                <w:rFonts w:ascii="宋体" w:hAnsi="宋体" w:cs="宋体" w:eastAsia="宋体" w:hint="default"/>
                <w:sz w:val="18"/>
                <w:szCs w:val="18"/>
              </w:rPr>
              <w:t>苏宁消费金融</w:t>
            </w:r>
          </w:p>
        </w:tc>
        <w:tc>
          <w:tcPr>
            <w:tcW w:w="1359" w:type="dxa"/>
            <w:tcBorders>
              <w:top w:val="nil" w:sz="6" w:space="0" w:color="auto"/>
              <w:left w:val="nil" w:sz="6" w:space="0" w:color="auto"/>
              <w:bottom w:val="nil" w:sz="6" w:space="0" w:color="auto"/>
              <w:right w:val="nil" w:sz="6" w:space="0" w:color="auto"/>
            </w:tcBorders>
          </w:tcPr>
          <w:p>
            <w:pPr>
              <w:pStyle w:val="TableParagraph"/>
              <w:spacing w:line="195" w:lineRule="exact"/>
              <w:ind w:right="82"/>
              <w:jc w:val="right"/>
              <w:rPr>
                <w:rFonts w:ascii="宋体" w:hAnsi="宋体" w:cs="宋体" w:eastAsia="宋体" w:hint="default"/>
                <w:sz w:val="18"/>
                <w:szCs w:val="18"/>
              </w:rPr>
            </w:pPr>
            <w:r>
              <w:rPr>
                <w:rFonts w:ascii="宋体" w:hAnsi="宋体" w:cs="宋体" w:eastAsia="宋体" w:hint="default"/>
                <w:sz w:val="18"/>
                <w:szCs w:val="18"/>
              </w:rPr>
              <w:t>南京</w:t>
            </w:r>
          </w:p>
        </w:tc>
        <w:tc>
          <w:tcPr>
            <w:tcW w:w="721" w:type="dxa"/>
            <w:tcBorders>
              <w:top w:val="nil" w:sz="6" w:space="0" w:color="auto"/>
              <w:left w:val="nil" w:sz="6" w:space="0" w:color="auto"/>
              <w:bottom w:val="nil" w:sz="6" w:space="0" w:color="auto"/>
              <w:right w:val="nil" w:sz="6" w:space="0" w:color="auto"/>
            </w:tcBorders>
          </w:tcPr>
          <w:p>
            <w:pPr>
              <w:pStyle w:val="TableParagraph"/>
              <w:spacing w:line="195" w:lineRule="exact"/>
              <w:ind w:right="95"/>
              <w:jc w:val="right"/>
              <w:rPr>
                <w:rFonts w:ascii="宋体" w:hAnsi="宋体" w:cs="宋体" w:eastAsia="宋体" w:hint="default"/>
                <w:sz w:val="18"/>
                <w:szCs w:val="18"/>
              </w:rPr>
            </w:pPr>
            <w:r>
              <w:rPr>
                <w:rFonts w:ascii="宋体" w:hAnsi="宋体" w:cs="宋体" w:eastAsia="宋体" w:hint="default"/>
                <w:sz w:val="18"/>
                <w:szCs w:val="18"/>
              </w:rPr>
              <w:t>南京</w:t>
            </w:r>
          </w:p>
        </w:tc>
        <w:tc>
          <w:tcPr>
            <w:tcW w:w="1273" w:type="dxa"/>
            <w:tcBorders>
              <w:top w:val="nil" w:sz="6" w:space="0" w:color="auto"/>
              <w:left w:val="nil" w:sz="6" w:space="0" w:color="auto"/>
              <w:bottom w:val="nil" w:sz="6" w:space="0" w:color="auto"/>
              <w:right w:val="nil" w:sz="6" w:space="0" w:color="auto"/>
            </w:tcBorders>
          </w:tcPr>
          <w:p>
            <w:pPr>
              <w:pStyle w:val="TableParagraph"/>
              <w:spacing w:line="195" w:lineRule="exact"/>
              <w:ind w:right="94"/>
              <w:jc w:val="right"/>
              <w:rPr>
                <w:rFonts w:ascii="宋体" w:hAnsi="宋体" w:cs="宋体" w:eastAsia="宋体" w:hint="default"/>
                <w:sz w:val="18"/>
                <w:szCs w:val="18"/>
              </w:rPr>
            </w:pPr>
            <w:r>
              <w:rPr>
                <w:rFonts w:ascii="宋体" w:hAnsi="宋体" w:cs="宋体" w:eastAsia="宋体" w:hint="default"/>
                <w:sz w:val="18"/>
                <w:szCs w:val="18"/>
              </w:rPr>
              <w:t>发放消费贷款</w:t>
            </w:r>
          </w:p>
        </w:tc>
        <w:tc>
          <w:tcPr>
            <w:tcW w:w="1295"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是</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0"/>
              <w:jc w:val="right"/>
              <w:rPr>
                <w:rFonts w:ascii="Arial" w:hAnsi="Arial" w:cs="Arial" w:eastAsia="Arial" w:hint="default"/>
                <w:sz w:val="18"/>
                <w:szCs w:val="18"/>
              </w:rPr>
            </w:pPr>
            <w:r>
              <w:rPr>
                <w:rFonts w:ascii="Arial"/>
                <w:spacing w:val="-1"/>
                <w:w w:val="95"/>
                <w:sz w:val="18"/>
              </w:rPr>
              <w:t>49%</w:t>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9498"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84"/>
              <w:ind w:left="886" w:right="0"/>
              <w:jc w:val="left"/>
              <w:rPr>
                <w:rFonts w:ascii="宋体" w:hAnsi="宋体" w:cs="宋体" w:eastAsia="宋体" w:hint="default"/>
                <w:sz w:val="24"/>
                <w:szCs w:val="24"/>
              </w:rPr>
            </w:pPr>
            <w:r>
              <w:rPr>
                <w:rFonts w:ascii="宋体" w:hAnsi="宋体" w:cs="宋体" w:eastAsia="宋体" w:hint="default"/>
                <w:sz w:val="24"/>
                <w:szCs w:val="24"/>
              </w:rPr>
              <w:t>本集团对上述股权投资采用权益法核算。</w:t>
            </w:r>
          </w:p>
        </w:tc>
      </w:tr>
      <w:tr>
        <w:trPr>
          <w:trHeight w:val="581" w:hRule="exact"/>
        </w:trPr>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57" w:right="0"/>
              <w:jc w:val="left"/>
              <w:rPr>
                <w:rFonts w:ascii="Arial" w:hAnsi="Arial" w:cs="Arial" w:eastAsia="Arial" w:hint="default"/>
                <w:sz w:val="24"/>
                <w:szCs w:val="24"/>
              </w:rPr>
            </w:pPr>
            <w:r>
              <w:rPr>
                <w:rFonts w:ascii="Arial"/>
                <w:sz w:val="24"/>
              </w:rPr>
              <w:t>(b)</w:t>
            </w:r>
          </w:p>
        </w:tc>
        <w:tc>
          <w:tcPr>
            <w:tcW w:w="3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67" w:right="0"/>
              <w:jc w:val="left"/>
              <w:rPr>
                <w:rFonts w:ascii="宋体" w:hAnsi="宋体" w:cs="宋体" w:eastAsia="宋体" w:hint="default"/>
                <w:sz w:val="24"/>
                <w:szCs w:val="24"/>
              </w:rPr>
            </w:pPr>
            <w:r>
              <w:rPr>
                <w:rFonts w:ascii="宋体" w:hAnsi="宋体" w:cs="宋体" w:eastAsia="宋体" w:hint="default"/>
                <w:sz w:val="24"/>
                <w:szCs w:val="24"/>
              </w:rPr>
              <w:t>重要合营企业的主要财务信息</w:t>
            </w: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444"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31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left="970"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4"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single" w:sz="4" w:space="0" w:color="000000"/>
              <w:left w:val="nil" w:sz="6" w:space="0" w:color="auto"/>
              <w:bottom w:val="nil" w:sz="6" w:space="0" w:color="auto"/>
              <w:right w:val="nil" w:sz="6" w:space="0" w:color="auto"/>
            </w:tcBorders>
          </w:tcPr>
          <w:p>
            <w:pPr/>
          </w:p>
        </w:tc>
        <w:tc>
          <w:tcPr>
            <w:tcW w:w="1829" w:type="dxa"/>
            <w:gridSpan w:val="2"/>
            <w:tcBorders>
              <w:top w:val="single" w:sz="4" w:space="0" w:color="000000"/>
              <w:left w:val="nil" w:sz="6" w:space="0" w:color="auto"/>
              <w:bottom w:val="nil" w:sz="6" w:space="0" w:color="auto"/>
              <w:right w:val="nil" w:sz="6" w:space="0" w:color="auto"/>
            </w:tcBorders>
          </w:tcPr>
          <w:p>
            <w:pPr>
              <w:pStyle w:val="TableParagraph"/>
              <w:spacing w:line="276" w:lineRule="exact"/>
              <w:ind w:left="766" w:right="0"/>
              <w:jc w:val="left"/>
              <w:rPr>
                <w:rFonts w:ascii="宋体" w:hAnsi="宋体" w:cs="宋体" w:eastAsia="宋体" w:hint="default"/>
                <w:sz w:val="24"/>
                <w:szCs w:val="24"/>
              </w:rPr>
            </w:pPr>
            <w:r>
              <w:rPr>
                <w:rFonts w:ascii="宋体" w:hAnsi="宋体" w:cs="宋体" w:eastAsia="宋体" w:hint="default"/>
                <w:sz w:val="24"/>
                <w:szCs w:val="24"/>
              </w:rPr>
              <w:t>苏宁金石</w:t>
            </w:r>
          </w:p>
        </w:tc>
      </w:tr>
      <w:tr>
        <w:trPr>
          <w:trHeight w:val="462"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9"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23" w:right="0"/>
              <w:jc w:val="left"/>
              <w:rPr>
                <w:rFonts w:ascii="Arial" w:hAnsi="Arial" w:cs="Arial" w:eastAsia="Arial" w:hint="default"/>
                <w:sz w:val="24"/>
                <w:szCs w:val="24"/>
              </w:rPr>
            </w:pPr>
            <w:r>
              <w:rPr>
                <w:rFonts w:ascii="Arial"/>
                <w:sz w:val="24"/>
              </w:rPr>
              <w:t>39,291</w:t>
            </w:r>
          </w:p>
        </w:tc>
      </w:tr>
      <w:tr>
        <w:trPr>
          <w:trHeight w:val="317"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3124" w:type="dxa"/>
            <w:gridSpan w:val="3"/>
            <w:tcBorders>
              <w:top w:val="nil" w:sz="6" w:space="0" w:color="auto"/>
              <w:left w:val="nil" w:sz="6" w:space="0" w:color="auto"/>
              <w:bottom w:val="nil" w:sz="6" w:space="0" w:color="auto"/>
              <w:right w:val="nil" w:sz="6" w:space="0" w:color="auto"/>
            </w:tcBorders>
          </w:tcPr>
          <w:p>
            <w:pPr>
              <w:pStyle w:val="TableParagraph"/>
              <w:tabs>
                <w:tab w:pos="2614" w:val="left" w:leader="none"/>
                <w:tab w:pos="3123" w:val="left" w:leader="none"/>
              </w:tabs>
              <w:spacing w:line="240" w:lineRule="auto" w:before="19"/>
              <w:ind w:left="796"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795</w:t>
              <w:tab/>
            </w:r>
            <w:r>
              <w:rPr>
                <w:rFonts w:ascii="Arial"/>
                <w:sz w:val="24"/>
              </w:rPr>
            </w:r>
          </w:p>
        </w:tc>
      </w:tr>
      <w:tr>
        <w:trPr>
          <w:trHeight w:val="469"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67" w:lineRule="exact"/>
              <w:ind w:left="167"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3124" w:type="dxa"/>
            <w:gridSpan w:val="3"/>
            <w:tcBorders>
              <w:top w:val="nil" w:sz="6" w:space="0" w:color="auto"/>
              <w:left w:val="nil" w:sz="6" w:space="0" w:color="auto"/>
              <w:bottom w:val="nil" w:sz="6" w:space="0" w:color="auto"/>
              <w:right w:val="nil" w:sz="6" w:space="0" w:color="auto"/>
            </w:tcBorders>
          </w:tcPr>
          <w:p>
            <w:pPr>
              <w:pStyle w:val="TableParagraph"/>
              <w:tabs>
                <w:tab w:pos="2288" w:val="left" w:leader="none"/>
                <w:tab w:pos="3123" w:val="left" w:leader="none"/>
              </w:tabs>
              <w:spacing w:line="240" w:lineRule="auto" w:before="23"/>
              <w:ind w:left="79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40,086</w:t>
              <w:tab/>
            </w:r>
            <w:r>
              <w:rPr>
                <w:rFonts w:ascii="Arial"/>
                <w:sz w:val="24"/>
              </w:rPr>
            </w:r>
          </w:p>
        </w:tc>
      </w:tr>
      <w:tr>
        <w:trPr>
          <w:trHeight w:val="465"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76"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44"/>
              <w:jc w:val="right"/>
              <w:rPr>
                <w:rFonts w:ascii="Arial" w:hAnsi="Arial" w:cs="Arial" w:eastAsia="Arial" w:hint="default"/>
                <w:sz w:val="24"/>
                <w:szCs w:val="24"/>
              </w:rPr>
            </w:pPr>
            <w:r>
              <w:rPr>
                <w:rFonts w:ascii="Arial"/>
                <w:spacing w:val="-1"/>
                <w:sz w:val="24"/>
              </w:rPr>
              <w:t>(514)</w:t>
            </w:r>
          </w:p>
        </w:tc>
      </w:tr>
      <w:tr>
        <w:trPr>
          <w:trHeight w:val="316"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3124" w:type="dxa"/>
            <w:gridSpan w:val="3"/>
            <w:tcBorders>
              <w:top w:val="nil" w:sz="6" w:space="0" w:color="auto"/>
              <w:left w:val="nil" w:sz="6" w:space="0" w:color="auto"/>
              <w:bottom w:val="nil" w:sz="6" w:space="0" w:color="auto"/>
              <w:right w:val="nil" w:sz="6" w:space="0" w:color="auto"/>
            </w:tcBorders>
          </w:tcPr>
          <w:p>
            <w:pPr>
              <w:pStyle w:val="TableParagraph"/>
              <w:tabs>
                <w:tab w:pos="2996" w:val="left" w:leader="none"/>
              </w:tabs>
              <w:spacing w:line="240" w:lineRule="auto" w:before="18"/>
              <w:ind w:left="796"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r>
      <w:tr>
        <w:trPr>
          <w:trHeight w:val="470"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67" w:lineRule="exact"/>
              <w:ind w:left="167"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3124" w:type="dxa"/>
            <w:gridSpan w:val="3"/>
            <w:tcBorders>
              <w:top w:val="nil" w:sz="6" w:space="0" w:color="auto"/>
              <w:left w:val="nil" w:sz="6" w:space="0" w:color="auto"/>
              <w:bottom w:val="nil" w:sz="6" w:space="0" w:color="auto"/>
              <w:right w:val="nil" w:sz="6" w:space="0" w:color="auto"/>
            </w:tcBorders>
          </w:tcPr>
          <w:p>
            <w:pPr>
              <w:pStyle w:val="TableParagraph"/>
              <w:tabs>
                <w:tab w:pos="2517" w:val="left" w:leader="none"/>
              </w:tabs>
              <w:spacing w:line="240" w:lineRule="auto" w:before="24"/>
              <w:ind w:left="79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(514)</w:t>
            </w:r>
            <w:r>
              <w:rPr>
                <w:rFonts w:ascii="Arial"/>
                <w:sz w:val="24"/>
              </w:rPr>
            </w:r>
          </w:p>
        </w:tc>
      </w:tr>
      <w:tr>
        <w:trPr>
          <w:trHeight w:val="617"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76" w:right="0"/>
              <w:jc w:val="left"/>
              <w:rPr>
                <w:rFonts w:ascii="宋体" w:hAnsi="宋体" w:cs="宋体" w:eastAsia="宋体" w:hint="default"/>
                <w:sz w:val="24"/>
                <w:szCs w:val="24"/>
              </w:rPr>
            </w:pPr>
            <w:r>
              <w:rPr>
                <w:rFonts w:ascii="宋体" w:hAnsi="宋体" w:cs="宋体" w:eastAsia="宋体" w:hint="default"/>
                <w:sz w:val="24"/>
                <w:szCs w:val="24"/>
              </w:rPr>
              <w:t>股东权益</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3124" w:type="dxa"/>
            <w:gridSpan w:val="3"/>
            <w:tcBorders>
              <w:top w:val="nil" w:sz="6" w:space="0" w:color="auto"/>
              <w:left w:val="nil" w:sz="6" w:space="0" w:color="auto"/>
              <w:bottom w:val="nil" w:sz="6" w:space="0" w:color="auto"/>
              <w:right w:val="nil" w:sz="6" w:space="0" w:color="auto"/>
            </w:tcBorders>
          </w:tcPr>
          <w:p>
            <w:pPr>
              <w:pStyle w:val="TableParagraph"/>
              <w:tabs>
                <w:tab w:pos="2290" w:val="left" w:leader="none"/>
                <w:tab w:pos="3123" w:val="left" w:leader="none"/>
              </w:tabs>
              <w:spacing w:line="240" w:lineRule="auto" w:before="171"/>
              <w:ind w:left="79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39,572</w:t>
              <w:tab/>
            </w:r>
            <w:r>
              <w:rPr>
                <w:rFonts w:ascii="Arial"/>
                <w:sz w:val="24"/>
              </w:rPr>
            </w:r>
          </w:p>
        </w:tc>
      </w:tr>
      <w:tr>
        <w:trPr>
          <w:trHeight w:val="470" w:hRule="exact"/>
        </w:trPr>
        <w:tc>
          <w:tcPr>
            <w:tcW w:w="719" w:type="dxa"/>
            <w:tcBorders>
              <w:top w:val="nil" w:sz="6" w:space="0" w:color="auto"/>
              <w:left w:val="nil" w:sz="6" w:space="0" w:color="auto"/>
              <w:bottom w:val="nil" w:sz="6" w:space="0" w:color="auto"/>
              <w:right w:val="nil" w:sz="6" w:space="0" w:color="auto"/>
            </w:tcBorders>
          </w:tcPr>
          <w:p>
            <w:pPr/>
          </w:p>
        </w:tc>
        <w:tc>
          <w:tcPr>
            <w:tcW w:w="3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89" w:right="0"/>
              <w:jc w:val="left"/>
              <w:rPr>
                <w:rFonts w:ascii="Arial" w:hAnsi="Arial" w:cs="Arial" w:eastAsia="Arial" w:hint="default"/>
                <w:sz w:val="24"/>
                <w:szCs w:val="24"/>
              </w:rPr>
            </w:pPr>
            <w:r>
              <w:rPr>
                <w:rFonts w:ascii="宋体" w:hAnsi="宋体" w:cs="宋体" w:eastAsia="宋体" w:hint="default"/>
                <w:sz w:val="24"/>
                <w:szCs w:val="24"/>
              </w:rPr>
              <w:t>按持股比例计算的净资产份额</w:t>
            </w:r>
            <w:r>
              <w:rPr>
                <w:rFonts w:ascii="Arial" w:hAnsi="Arial" w:cs="Arial" w:eastAsia="Arial" w:hint="default"/>
                <w:sz w:val="24"/>
                <w:szCs w:val="24"/>
              </w:rPr>
              <w:t>(i)</w:t>
            </w: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49" w:right="0"/>
              <w:jc w:val="left"/>
              <w:rPr>
                <w:rFonts w:ascii="Arial" w:hAnsi="Arial" w:cs="Arial" w:eastAsia="Arial" w:hint="default"/>
                <w:sz w:val="24"/>
                <w:szCs w:val="24"/>
              </w:rPr>
            </w:pPr>
            <w:r>
              <w:rPr>
                <w:rFonts w:ascii="Arial"/>
                <w:sz w:val="24"/>
              </w:rPr>
              <w:t>15,829</w:t>
            </w:r>
          </w:p>
        </w:tc>
      </w:tr>
      <w:tr>
        <w:trPr>
          <w:trHeight w:val="304"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68" w:lineRule="exact"/>
              <w:ind w:left="203"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593" w:hRule="exact"/>
        </w:trPr>
        <w:tc>
          <w:tcPr>
            <w:tcW w:w="719"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93" w:lineRule="exact"/>
              <w:ind w:left="454" w:right="0"/>
              <w:jc w:val="left"/>
              <w:rPr>
                <w:rFonts w:ascii="Arial" w:hAnsi="Arial" w:cs="Arial" w:eastAsia="Arial" w:hint="default"/>
                <w:sz w:val="24"/>
                <w:szCs w:val="24"/>
              </w:rPr>
            </w:pPr>
            <w:r>
              <w:rPr>
                <w:rFonts w:ascii="宋体" w:hAnsi="宋体" w:cs="宋体" w:eastAsia="宋体" w:hint="default"/>
                <w:sz w:val="24"/>
                <w:szCs w:val="24"/>
              </w:rPr>
              <w:t>—其他</w:t>
            </w:r>
            <w:r>
              <w:rPr>
                <w:rFonts w:ascii="Arial" w:hAnsi="Arial" w:cs="Arial" w:eastAsia="Arial" w:hint="default"/>
                <w:sz w:val="24"/>
                <w:szCs w:val="24"/>
              </w:rPr>
              <w:t>(i)</w:t>
            </w:r>
          </w:p>
        </w:tc>
        <w:tc>
          <w:tcPr>
            <w:tcW w:w="1359"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single" w:sz="4" w:space="0" w:color="000000"/>
              <w:right w:val="nil" w:sz="6" w:space="0" w:color="auto"/>
            </w:tcBorders>
          </w:tcPr>
          <w:p>
            <w:pPr/>
          </w:p>
        </w:tc>
        <w:tc>
          <w:tcPr>
            <w:tcW w:w="957" w:type="dxa"/>
            <w:tcBorders>
              <w:top w:val="nil" w:sz="6" w:space="0" w:color="auto"/>
              <w:left w:val="nil" w:sz="6" w:space="0" w:color="auto"/>
              <w:bottom w:val="single" w:sz="4" w:space="0" w:color="000000"/>
              <w:right w:val="nil" w:sz="6" w:space="0" w:color="auto"/>
            </w:tcBorders>
          </w:tcPr>
          <w:p>
            <w:pPr/>
          </w:p>
        </w:tc>
        <w:tc>
          <w:tcPr>
            <w:tcW w:w="87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73" w:right="0"/>
              <w:jc w:val="left"/>
              <w:rPr>
                <w:rFonts w:ascii="Arial" w:hAnsi="Arial" w:cs="Arial" w:eastAsia="Arial" w:hint="default"/>
                <w:sz w:val="24"/>
                <w:szCs w:val="24"/>
              </w:rPr>
            </w:pPr>
            <w:r>
              <w:rPr>
                <w:rFonts w:ascii="Arial"/>
                <w:sz w:val="24"/>
              </w:rPr>
              <w:t>4,000</w:t>
            </w:r>
          </w:p>
        </w:tc>
      </w:tr>
      <w:tr>
        <w:trPr>
          <w:trHeight w:val="332" w:hRule="exact"/>
        </w:trPr>
        <w:tc>
          <w:tcPr>
            <w:tcW w:w="719" w:type="dxa"/>
            <w:tcBorders>
              <w:top w:val="nil" w:sz="6" w:space="0" w:color="auto"/>
              <w:left w:val="nil" w:sz="6" w:space="0" w:color="auto"/>
              <w:bottom w:val="nil" w:sz="6" w:space="0" w:color="auto"/>
              <w:right w:val="nil" w:sz="6" w:space="0" w:color="auto"/>
            </w:tcBorders>
          </w:tcPr>
          <w:p>
            <w:pPr/>
          </w:p>
        </w:tc>
        <w:tc>
          <w:tcPr>
            <w:tcW w:w="3661" w:type="dxa"/>
            <w:gridSpan w:val="2"/>
            <w:tcBorders>
              <w:top w:val="nil" w:sz="6" w:space="0" w:color="auto"/>
              <w:left w:val="nil" w:sz="6" w:space="0" w:color="auto"/>
              <w:bottom w:val="nil" w:sz="6" w:space="0" w:color="auto"/>
              <w:right w:val="nil" w:sz="6" w:space="0" w:color="auto"/>
            </w:tcBorders>
          </w:tcPr>
          <w:p>
            <w:pPr>
              <w:pStyle w:val="TableParagraph"/>
              <w:spacing w:line="280" w:lineRule="exact"/>
              <w:ind w:left="215" w:right="0"/>
              <w:jc w:val="left"/>
              <w:rPr>
                <w:rFonts w:ascii="宋体" w:hAnsi="宋体" w:cs="宋体" w:eastAsia="宋体" w:hint="default"/>
                <w:sz w:val="24"/>
                <w:szCs w:val="24"/>
              </w:rPr>
            </w:pPr>
            <w:r>
              <w:rPr>
                <w:rFonts w:ascii="宋体" w:hAnsi="宋体" w:cs="宋体" w:eastAsia="宋体" w:hint="default"/>
                <w:sz w:val="24"/>
                <w:szCs w:val="24"/>
              </w:rPr>
              <w:t>对合营企业权益投资的账面价值</w:t>
            </w:r>
          </w:p>
        </w:tc>
        <w:tc>
          <w:tcPr>
            <w:tcW w:w="7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95" w:type="dxa"/>
            <w:tcBorders>
              <w:top w:val="single" w:sz="4" w:space="0" w:color="000000"/>
              <w:left w:val="nil" w:sz="6" w:space="0" w:color="auto"/>
              <w:bottom w:val="single" w:sz="12" w:space="0" w:color="000000"/>
              <w:right w:val="nil" w:sz="6" w:space="0" w:color="auto"/>
            </w:tcBorders>
          </w:tcPr>
          <w:p>
            <w:pPr/>
          </w:p>
        </w:tc>
        <w:tc>
          <w:tcPr>
            <w:tcW w:w="957" w:type="dxa"/>
            <w:tcBorders>
              <w:top w:val="single" w:sz="4" w:space="0" w:color="000000"/>
              <w:left w:val="nil" w:sz="6" w:space="0" w:color="auto"/>
              <w:bottom w:val="single" w:sz="12" w:space="0" w:color="000000"/>
              <w:right w:val="nil" w:sz="6" w:space="0" w:color="auto"/>
            </w:tcBorders>
          </w:tcPr>
          <w:p>
            <w:pPr/>
          </w:p>
        </w:tc>
        <w:tc>
          <w:tcPr>
            <w:tcW w:w="8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39" w:right="0"/>
              <w:jc w:val="left"/>
              <w:rPr>
                <w:rFonts w:ascii="Arial" w:hAnsi="Arial" w:cs="Arial" w:eastAsia="Arial" w:hint="default"/>
                <w:sz w:val="24"/>
                <w:szCs w:val="24"/>
              </w:rPr>
            </w:pPr>
            <w:r>
              <w:rPr>
                <w:rFonts w:ascii="Arial"/>
                <w:sz w:val="24"/>
              </w:rPr>
              <w:t>19,829</w:t>
            </w:r>
          </w:p>
        </w:tc>
      </w:tr>
      <w:tr>
        <w:trPr>
          <w:trHeight w:val="877" w:hRule="exact"/>
        </w:trPr>
        <w:tc>
          <w:tcPr>
            <w:tcW w:w="719" w:type="dxa"/>
            <w:tcBorders>
              <w:top w:val="nil" w:sz="6" w:space="0" w:color="auto"/>
              <w:left w:val="nil" w:sz="6" w:space="0" w:color="auto"/>
              <w:bottom w:val="nil" w:sz="6" w:space="0" w:color="auto"/>
              <w:right w:val="nil" w:sz="6" w:space="0" w:color="auto"/>
            </w:tcBorders>
          </w:tcPr>
          <w:p>
            <w:pPr/>
          </w:p>
        </w:tc>
        <w:tc>
          <w:tcPr>
            <w:tcW w:w="878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0" w:lineRule="exact"/>
              <w:ind w:left="167" w:right="96"/>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3"/>
                <w:sz w:val="24"/>
                <w:szCs w:val="24"/>
              </w:rPr>
              <w:t> </w:t>
            </w: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z w:val="24"/>
                <w:szCs w:val="24"/>
              </w:rPr>
              <w:t>2015</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日，苏宁金石的其他股东认缴资本尚未注入，导致本集团 对苏宁金石的长期股权账面价值高于按持股比例计算的净资产份额。</w:t>
            </w:r>
          </w:p>
        </w:tc>
      </w:tr>
    </w:tbl>
    <w:p>
      <w:pPr>
        <w:spacing w:after="0" w:line="310" w:lineRule="exact"/>
        <w:jc w:val="left"/>
        <w:rPr>
          <w:rFonts w:ascii="宋体" w:hAnsi="宋体" w:cs="宋体" w:eastAsia="宋体" w:hint="default"/>
          <w:sz w:val="24"/>
          <w:szCs w:val="24"/>
        </w:rPr>
        <w:sectPr>
          <w:headerReference w:type="default" r:id="rId76"/>
          <w:footerReference w:type="default" r:id="rId77"/>
          <w:pgSz w:w="11910" w:h="16840"/>
          <w:pgMar w:header="755" w:footer="648" w:top="1860" w:bottom="840" w:left="1400" w:right="0"/>
          <w:pgNumType w:start="228"/>
        </w:sectPr>
      </w:pPr>
    </w:p>
    <w:p>
      <w:pPr>
        <w:spacing w:line="240" w:lineRule="auto" w:before="2"/>
        <w:rPr>
          <w:rFonts w:ascii="Times New Roman" w:hAnsi="Times New Roman" w:cs="Times New Roman" w:eastAsia="Times New Roman"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695"/>
        <w:gridCol w:w="4580"/>
        <w:gridCol w:w="2442"/>
        <w:gridCol w:w="1861"/>
      </w:tblGrid>
      <w:tr>
        <w:trPr>
          <w:trHeight w:val="434"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4580" w:type="dxa"/>
            <w:tcBorders>
              <w:top w:val="nil" w:sz="6" w:space="0" w:color="auto"/>
              <w:left w:val="nil" w:sz="6" w:space="0" w:color="auto"/>
              <w:bottom w:val="nil" w:sz="6" w:space="0" w:color="auto"/>
              <w:right w:val="nil" w:sz="6" w:space="0" w:color="auto"/>
            </w:tcBorders>
          </w:tcPr>
          <w:p>
            <w:pPr>
              <w:pStyle w:val="TableParagraph"/>
              <w:spacing w:line="257" w:lineRule="exact"/>
              <w:ind w:left="201"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
        </w:tc>
      </w:tr>
      <w:tr>
        <w:trPr>
          <w:trHeight w:val="606"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0" w:right="0"/>
              <w:jc w:val="left"/>
              <w:rPr>
                <w:rFonts w:ascii="Arial" w:hAnsi="Arial" w:cs="Arial" w:eastAsia="Arial" w:hint="default"/>
                <w:sz w:val="24"/>
                <w:szCs w:val="24"/>
              </w:rPr>
            </w:pPr>
            <w:r>
              <w:rPr>
                <w:rFonts w:ascii="Arial"/>
                <w:sz w:val="24"/>
              </w:rPr>
              <w:t>(2)</w:t>
            </w: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1" w:right="0"/>
              <w:jc w:val="left"/>
              <w:rPr>
                <w:rFonts w:ascii="Arial" w:hAnsi="Arial" w:cs="Arial" w:eastAsia="Arial" w:hint="default"/>
                <w:sz w:val="24"/>
                <w:szCs w:val="24"/>
              </w:rPr>
            </w:pPr>
            <w:r>
              <w:rPr>
                <w:rFonts w:ascii="黑体" w:hAnsi="黑体" w:cs="黑体" w:eastAsia="黑体" w:hint="default"/>
                <w:sz w:val="24"/>
                <w:szCs w:val="24"/>
              </w:rPr>
              <w:t>在合营企业和联营企业中的权益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
        </w:tc>
      </w:tr>
      <w:tr>
        <w:trPr>
          <w:trHeight w:val="588"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1" w:right="0"/>
              <w:jc w:val="left"/>
              <w:rPr>
                <w:rFonts w:ascii="Arial" w:hAnsi="Arial" w:cs="Arial" w:eastAsia="Arial" w:hint="default"/>
                <w:sz w:val="24"/>
                <w:szCs w:val="24"/>
              </w:rPr>
            </w:pPr>
            <w:r>
              <w:rPr>
                <w:rFonts w:ascii="宋体" w:hAnsi="宋体" w:cs="宋体" w:eastAsia="宋体" w:hint="default"/>
                <w:sz w:val="24"/>
                <w:szCs w:val="24"/>
              </w:rPr>
              <w:t>重要合营企业的主要财务信息</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
        </w:tc>
      </w:tr>
      <w:tr>
        <w:trPr>
          <w:trHeight w:val="445"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55"/>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4"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single" w:sz="4" w:space="0" w:color="000000"/>
              <w:left w:val="nil" w:sz="6" w:space="0" w:color="auto"/>
              <w:bottom w:val="nil" w:sz="6" w:space="0" w:color="auto"/>
              <w:right w:val="nil" w:sz="6" w:space="0" w:color="auto"/>
            </w:tcBorders>
          </w:tcPr>
          <w:p>
            <w:pPr>
              <w:pStyle w:val="TableParagraph"/>
              <w:spacing w:line="276" w:lineRule="exact"/>
              <w:ind w:right="96"/>
              <w:jc w:val="right"/>
              <w:rPr>
                <w:rFonts w:ascii="宋体" w:hAnsi="宋体" w:cs="宋体" w:eastAsia="宋体" w:hint="default"/>
                <w:sz w:val="24"/>
                <w:szCs w:val="24"/>
              </w:rPr>
            </w:pPr>
            <w:r>
              <w:rPr>
                <w:rFonts w:ascii="宋体" w:hAnsi="宋体" w:cs="宋体" w:eastAsia="宋体" w:hint="default"/>
                <w:sz w:val="24"/>
                <w:szCs w:val="24"/>
              </w:rPr>
              <w:t>苏宁金石</w:t>
            </w:r>
          </w:p>
        </w:tc>
      </w:tr>
      <w:tr>
        <w:trPr>
          <w:trHeight w:val="462"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9"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52"/>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62" w:lineRule="exact"/>
              <w:ind w:left="259" w:right="0"/>
              <w:jc w:val="left"/>
              <w:rPr>
                <w:rFonts w:ascii="宋体" w:hAnsi="宋体" w:cs="宋体" w:eastAsia="宋体" w:hint="default"/>
                <w:sz w:val="24"/>
                <w:szCs w:val="24"/>
              </w:rPr>
            </w:pPr>
            <w:r>
              <w:rPr>
                <w:rFonts w:ascii="宋体" w:hAnsi="宋体" w:cs="宋体" w:eastAsia="宋体" w:hint="default"/>
                <w:sz w:val="24"/>
                <w:szCs w:val="24"/>
              </w:rPr>
              <w:t>净亏损</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5"/>
              <w:jc w:val="right"/>
              <w:rPr>
                <w:rFonts w:ascii="Arial" w:hAnsi="Arial" w:cs="Arial" w:eastAsia="Arial" w:hint="default"/>
                <w:sz w:val="24"/>
                <w:szCs w:val="24"/>
              </w:rPr>
            </w:pPr>
            <w:r>
              <w:rPr>
                <w:rFonts w:ascii="Arial"/>
                <w:spacing w:val="-1"/>
                <w:w w:val="95"/>
                <w:sz w:val="24"/>
              </w:rPr>
              <w:t>427</w:t>
            </w:r>
            <w:r>
              <w:rPr>
                <w:rFonts w:ascii="Arial"/>
                <w:sz w:val="24"/>
              </w:rPr>
            </w:r>
          </w:p>
        </w:tc>
      </w:tr>
      <w:tr>
        <w:trPr>
          <w:trHeight w:val="311"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62" w:lineRule="exact"/>
              <w:ind w:left="259"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449"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62" w:lineRule="exact"/>
              <w:ind w:left="259"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5"/>
              <w:jc w:val="right"/>
              <w:rPr>
                <w:rFonts w:ascii="Arial" w:hAnsi="Arial" w:cs="Arial" w:eastAsia="Arial" w:hint="default"/>
                <w:sz w:val="24"/>
                <w:szCs w:val="24"/>
              </w:rPr>
            </w:pPr>
            <w:r>
              <w:rPr>
                <w:rFonts w:ascii="Arial"/>
                <w:spacing w:val="-1"/>
                <w:w w:val="95"/>
                <w:sz w:val="24"/>
              </w:rPr>
              <w:t>427</w:t>
            </w:r>
            <w:r>
              <w:rPr>
                <w:rFonts w:ascii="Arial"/>
                <w:sz w:val="24"/>
              </w:rPr>
            </w:r>
          </w:p>
        </w:tc>
      </w:tr>
      <w:tr>
        <w:trPr>
          <w:trHeight w:val="584"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59" w:right="0"/>
              <w:jc w:val="left"/>
              <w:rPr>
                <w:rFonts w:ascii="宋体" w:hAnsi="宋体" w:cs="宋体" w:eastAsia="宋体" w:hint="default"/>
                <w:sz w:val="24"/>
                <w:szCs w:val="24"/>
              </w:rPr>
            </w:pPr>
            <w:r>
              <w:rPr>
                <w:rFonts w:ascii="宋体" w:hAnsi="宋体" w:cs="宋体" w:eastAsia="宋体" w:hint="default"/>
                <w:sz w:val="24"/>
                <w:szCs w:val="24"/>
              </w:rPr>
              <w:t>本集团本年度收到的来自合营企业的股利</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567"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0" w:right="0"/>
              <w:jc w:val="left"/>
              <w:rPr>
                <w:rFonts w:ascii="Arial" w:hAnsi="Arial" w:cs="Arial" w:eastAsia="Arial" w:hint="default"/>
                <w:sz w:val="24"/>
                <w:szCs w:val="24"/>
              </w:rPr>
            </w:pPr>
            <w:r>
              <w:rPr>
                <w:rFonts w:ascii="Arial"/>
                <w:sz w:val="24"/>
              </w:rPr>
              <w:t>(c)</w:t>
            </w: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1" w:right="0"/>
              <w:jc w:val="left"/>
              <w:rPr>
                <w:rFonts w:ascii="宋体" w:hAnsi="宋体" w:cs="宋体" w:eastAsia="宋体" w:hint="default"/>
                <w:sz w:val="24"/>
                <w:szCs w:val="24"/>
              </w:rPr>
            </w:pPr>
            <w:r>
              <w:rPr>
                <w:rFonts w:ascii="宋体" w:hAnsi="宋体" w:cs="宋体" w:eastAsia="宋体" w:hint="default"/>
                <w:sz w:val="24"/>
                <w:szCs w:val="24"/>
              </w:rPr>
              <w:t>重要联营企业的主要财务信息</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
        </w:tc>
      </w:tr>
      <w:tr>
        <w:trPr>
          <w:trHeight w:val="387"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
        </w:tc>
        <w:tc>
          <w:tcPr>
            <w:tcW w:w="430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8"/>
              <w:ind w:left="115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55"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
        </w:tc>
        <w:tc>
          <w:tcPr>
            <w:tcW w:w="2442" w:type="dxa"/>
            <w:tcBorders>
              <w:top w:val="single" w:sz="4" w:space="0" w:color="000000"/>
              <w:left w:val="nil" w:sz="6" w:space="0" w:color="auto"/>
              <w:bottom w:val="nil" w:sz="6" w:space="0" w:color="auto"/>
              <w:right w:val="nil" w:sz="6" w:space="0" w:color="auto"/>
            </w:tcBorders>
          </w:tcPr>
          <w:p>
            <w:pPr>
              <w:pStyle w:val="TableParagraph"/>
              <w:spacing w:line="277" w:lineRule="exact"/>
              <w:ind w:left="1513" w:right="0"/>
              <w:jc w:val="left"/>
              <w:rPr>
                <w:rFonts w:ascii="宋体" w:hAnsi="宋体" w:cs="宋体" w:eastAsia="宋体" w:hint="default"/>
                <w:sz w:val="24"/>
                <w:szCs w:val="24"/>
              </w:rPr>
            </w:pPr>
            <w:r>
              <w:rPr>
                <w:rFonts w:ascii="宋体" w:hAnsi="宋体" w:cs="宋体" w:eastAsia="宋体" w:hint="default"/>
                <w:sz w:val="24"/>
                <w:szCs w:val="24"/>
              </w:rPr>
              <w:t>丸悦</w:t>
            </w:r>
          </w:p>
        </w:tc>
        <w:tc>
          <w:tcPr>
            <w:tcW w:w="1861" w:type="dxa"/>
            <w:tcBorders>
              <w:top w:val="single" w:sz="4" w:space="0" w:color="000000"/>
              <w:left w:val="nil" w:sz="6" w:space="0" w:color="auto"/>
              <w:bottom w:val="nil" w:sz="6" w:space="0" w:color="auto"/>
              <w:right w:val="nil" w:sz="6" w:space="0" w:color="auto"/>
            </w:tcBorders>
          </w:tcPr>
          <w:p>
            <w:pPr>
              <w:pStyle w:val="TableParagraph"/>
              <w:spacing w:line="277" w:lineRule="exact"/>
              <w:ind w:left="364" w:right="0"/>
              <w:jc w:val="left"/>
              <w:rPr>
                <w:rFonts w:ascii="宋体" w:hAnsi="宋体" w:cs="宋体" w:eastAsia="宋体" w:hint="default"/>
                <w:sz w:val="24"/>
                <w:szCs w:val="24"/>
              </w:rPr>
            </w:pPr>
            <w:r>
              <w:rPr>
                <w:rFonts w:ascii="宋体" w:hAnsi="宋体" w:cs="宋体" w:eastAsia="宋体" w:hint="default"/>
                <w:sz w:val="24"/>
                <w:szCs w:val="24"/>
              </w:rPr>
              <w:t>苏宁消费金融</w:t>
            </w:r>
          </w:p>
        </w:tc>
      </w:tr>
      <w:tr>
        <w:trPr>
          <w:trHeight w:val="462"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77"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253" w:right="0"/>
              <w:jc w:val="left"/>
              <w:rPr>
                <w:rFonts w:ascii="Arial" w:hAnsi="Arial" w:cs="Arial" w:eastAsia="Arial" w:hint="default"/>
                <w:sz w:val="24"/>
                <w:szCs w:val="24"/>
              </w:rPr>
            </w:pPr>
            <w:r>
              <w:rPr>
                <w:rFonts w:ascii="Arial"/>
                <w:sz w:val="24"/>
              </w:rPr>
              <w:t>93,513</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70"/>
              <w:jc w:val="right"/>
              <w:rPr>
                <w:rFonts w:ascii="Arial" w:hAnsi="Arial" w:cs="Arial" w:eastAsia="Arial" w:hint="default"/>
                <w:sz w:val="24"/>
                <w:szCs w:val="24"/>
              </w:rPr>
            </w:pPr>
            <w:r>
              <w:rPr>
                <w:rFonts w:ascii="Arial"/>
                <w:w w:val="95"/>
                <w:sz w:val="24"/>
              </w:rPr>
              <w:t>1,734,188</w:t>
            </w:r>
            <w:r>
              <w:rPr>
                <w:rFonts w:ascii="Arial"/>
                <w:sz w:val="24"/>
              </w:rPr>
            </w:r>
          </w:p>
        </w:tc>
      </w:tr>
      <w:tr>
        <w:trPr>
          <w:trHeight w:val="317"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442" w:type="dxa"/>
            <w:tcBorders>
              <w:top w:val="nil" w:sz="6" w:space="0" w:color="auto"/>
              <w:left w:val="nil" w:sz="6" w:space="0" w:color="auto"/>
              <w:bottom w:val="nil" w:sz="6" w:space="0" w:color="auto"/>
              <w:right w:val="nil" w:sz="6" w:space="0" w:color="auto"/>
            </w:tcBorders>
          </w:tcPr>
          <w:p>
            <w:pPr>
              <w:pStyle w:val="TableParagraph"/>
              <w:tabs>
                <w:tab w:pos="1253" w:val="left" w:leader="none"/>
                <w:tab w:pos="2371" w:val="left" w:leader="none"/>
                <w:tab w:pos="3498" w:val="left" w:leader="none"/>
              </w:tabs>
              <w:spacing w:line="240" w:lineRule="auto" w:before="19"/>
              <w:ind w:left="-37" w:right="-1057"/>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24,258 </w:t>
            </w:r>
            <w:r>
              <w:rPr>
                <w:rFonts w:ascii="Arial"/>
                <w:spacing w:val="-29"/>
                <w:sz w:val="24"/>
                <w:u w:val="single" w:color="000000"/>
              </w:rPr>
              <w:t> </w:t>
            </w:r>
            <w:r>
              <w:rPr>
                <w:rFonts w:ascii="Arial"/>
                <w:spacing w:val="-29"/>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861" w:type="dxa"/>
            <w:tcBorders>
              <w:top w:val="nil" w:sz="6" w:space="0" w:color="auto"/>
              <w:left w:val="nil" w:sz="6" w:space="0" w:color="auto"/>
              <w:bottom w:val="nil" w:sz="6" w:space="0" w:color="auto"/>
              <w:right w:val="nil" w:sz="6" w:space="0" w:color="auto"/>
            </w:tcBorders>
          </w:tcPr>
          <w:p>
            <w:pPr>
              <w:pStyle w:val="TableParagraph"/>
              <w:tabs>
                <w:tab w:pos="805" w:val="left" w:leader="none"/>
              </w:tabs>
              <w:spacing w:line="240" w:lineRule="auto" w:before="19"/>
              <w:ind w:right="0"/>
              <w:jc w:val="right"/>
              <w:rPr>
                <w:rFonts w:ascii="Arial" w:hAnsi="Arial" w:cs="Arial" w:eastAsia="Arial" w:hint="default"/>
                <w:sz w:val="24"/>
                <w:szCs w:val="24"/>
              </w:rPr>
            </w:pPr>
            <w:r>
              <w:rPr>
                <w:rFonts w:ascii="Arial"/>
                <w:w w:val="99"/>
                <w:sz w:val="24"/>
              </w:rPr>
            </w:r>
            <w:r>
              <w:rPr>
                <w:rFonts w:ascii="Arial"/>
                <w:w w:val="95"/>
                <w:sz w:val="24"/>
                <w:u w:val="single" w:color="000000"/>
              </w:rPr>
              <w:t>14,461</w:t>
            </w:r>
            <w:r>
              <w:rPr>
                <w:rFonts w:ascii="Arial"/>
                <w:sz w:val="24"/>
                <w:u w:val="single" w:color="000000"/>
              </w:rPr>
              <w:tab/>
            </w:r>
            <w:r>
              <w:rPr>
                <w:rFonts w:ascii="Arial"/>
                <w:sz w:val="24"/>
              </w:rPr>
            </w:r>
          </w:p>
        </w:tc>
      </w:tr>
      <w:tr>
        <w:trPr>
          <w:trHeight w:val="469"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67" w:lineRule="exact"/>
              <w:ind w:left="177"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2442" w:type="dxa"/>
            <w:tcBorders>
              <w:top w:val="nil" w:sz="6" w:space="0" w:color="auto"/>
              <w:left w:val="nil" w:sz="6" w:space="0" w:color="auto"/>
              <w:bottom w:val="nil" w:sz="6" w:space="0" w:color="auto"/>
              <w:right w:val="nil" w:sz="6" w:space="0" w:color="auto"/>
            </w:tcBorders>
          </w:tcPr>
          <w:p>
            <w:pPr>
              <w:pStyle w:val="TableParagraph"/>
              <w:tabs>
                <w:tab w:pos="1137" w:val="left" w:leader="none"/>
                <w:tab w:pos="2371" w:val="left" w:leader="none"/>
                <w:tab w:pos="3163" w:val="left" w:leader="none"/>
              </w:tabs>
              <w:spacing w:line="240" w:lineRule="auto" w:before="23"/>
              <w:ind w:left="-37" w:right="-72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117,771 </w:t>
            </w:r>
            <w:r>
              <w:rPr>
                <w:rFonts w:ascii="Arial"/>
                <w:spacing w:val="-29"/>
                <w:sz w:val="24"/>
                <w:u w:val="thick" w:color="000000"/>
              </w:rPr>
              <w:t> </w:t>
            </w:r>
            <w:r>
              <w:rPr>
                <w:rFonts w:ascii="Arial"/>
                <w:spacing w:val="-29"/>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861" w:type="dxa"/>
            <w:tcBorders>
              <w:top w:val="nil" w:sz="6" w:space="0" w:color="auto"/>
              <w:left w:val="nil" w:sz="6" w:space="0" w:color="auto"/>
              <w:bottom w:val="nil" w:sz="6" w:space="0" w:color="auto"/>
              <w:right w:val="nil" w:sz="6" w:space="0" w:color="auto"/>
            </w:tcBorders>
          </w:tcPr>
          <w:p>
            <w:pPr>
              <w:pStyle w:val="TableParagraph"/>
              <w:tabs>
                <w:tab w:pos="1139" w:val="left" w:leader="none"/>
              </w:tabs>
              <w:spacing w:line="240" w:lineRule="auto" w:before="23"/>
              <w:ind w:right="0"/>
              <w:jc w:val="right"/>
              <w:rPr>
                <w:rFonts w:ascii="Arial" w:hAnsi="Arial" w:cs="Arial" w:eastAsia="Arial" w:hint="default"/>
                <w:sz w:val="24"/>
                <w:szCs w:val="24"/>
              </w:rPr>
            </w:pPr>
            <w:r>
              <w:rPr>
                <w:rFonts w:ascii="Arial"/>
                <w:w w:val="99"/>
                <w:sz w:val="24"/>
              </w:rPr>
            </w:r>
            <w:r>
              <w:rPr>
                <w:rFonts w:ascii="Arial"/>
                <w:w w:val="95"/>
                <w:sz w:val="24"/>
                <w:u w:val="thick" w:color="000000"/>
              </w:rPr>
              <w:t>1,748,649</w:t>
            </w:r>
            <w:r>
              <w:rPr>
                <w:rFonts w:ascii="Arial"/>
                <w:sz w:val="24"/>
                <w:u w:val="thick" w:color="000000"/>
              </w:rPr>
              <w:tab/>
            </w:r>
            <w:r>
              <w:rPr>
                <w:rFonts w:ascii="Arial"/>
                <w:sz w:val="24"/>
              </w:rPr>
            </w:r>
          </w:p>
        </w:tc>
      </w:tr>
      <w:tr>
        <w:trPr>
          <w:trHeight w:val="465"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77"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1140" w:right="0"/>
              <w:jc w:val="left"/>
              <w:rPr>
                <w:rFonts w:ascii="Arial" w:hAnsi="Arial" w:cs="Arial" w:eastAsia="Arial" w:hint="default"/>
                <w:sz w:val="24"/>
                <w:szCs w:val="24"/>
              </w:rPr>
            </w:pPr>
            <w:r>
              <w:rPr>
                <w:rFonts w:ascii="Arial"/>
                <w:sz w:val="24"/>
              </w:rPr>
              <w:t>(24,090)</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18"/>
              <w:jc w:val="right"/>
              <w:rPr>
                <w:rFonts w:ascii="Arial" w:hAnsi="Arial" w:cs="Arial" w:eastAsia="Arial" w:hint="default"/>
                <w:sz w:val="24"/>
                <w:szCs w:val="24"/>
              </w:rPr>
            </w:pPr>
            <w:r>
              <w:rPr>
                <w:rFonts w:ascii="Arial"/>
                <w:w w:val="95"/>
                <w:sz w:val="24"/>
              </w:rPr>
              <w:t>(1,510,336)</w:t>
            </w:r>
            <w:r>
              <w:rPr>
                <w:rFonts w:ascii="Arial"/>
                <w:sz w:val="24"/>
              </w:rPr>
            </w:r>
          </w:p>
        </w:tc>
      </w:tr>
      <w:tr>
        <w:trPr>
          <w:trHeight w:val="316"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62" w:lineRule="exact"/>
              <w:ind w:left="177"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442" w:type="dxa"/>
            <w:tcBorders>
              <w:top w:val="nil" w:sz="6" w:space="0" w:color="auto"/>
              <w:left w:val="nil" w:sz="6" w:space="0" w:color="auto"/>
              <w:bottom w:val="nil" w:sz="6" w:space="0" w:color="auto"/>
              <w:right w:val="nil" w:sz="6" w:space="0" w:color="auto"/>
            </w:tcBorders>
          </w:tcPr>
          <w:p>
            <w:pPr>
              <w:pStyle w:val="TableParagraph"/>
              <w:tabs>
                <w:tab w:pos="1905" w:val="left" w:leader="none"/>
                <w:tab w:pos="2371" w:val="left" w:leader="none"/>
                <w:tab w:pos="4151" w:val="left" w:leader="none"/>
              </w:tabs>
              <w:spacing w:line="240" w:lineRule="auto" w:before="18"/>
              <w:ind w:left="-37" w:right="-1709"/>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 </w:t>
            </w:r>
            <w:r>
              <w:rPr>
                <w:rFonts w:ascii="Arial"/>
                <w:spacing w:val="-28"/>
                <w:sz w:val="24"/>
                <w:u w:val="single" w:color="000000"/>
              </w:rPr>
              <w:t> </w:t>
            </w:r>
            <w:r>
              <w:rPr>
                <w:rFonts w:ascii="Arial"/>
                <w:spacing w:val="-28"/>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861" w:type="dxa"/>
            <w:tcBorders>
              <w:top w:val="nil" w:sz="6" w:space="0" w:color="auto"/>
              <w:left w:val="nil" w:sz="6" w:space="0" w:color="auto"/>
              <w:bottom w:val="nil" w:sz="6" w:space="0" w:color="auto"/>
              <w:right w:val="nil" w:sz="6" w:space="0" w:color="auto"/>
            </w:tcBorders>
          </w:tcPr>
          <w:p>
            <w:pPr>
              <w:pStyle w:val="TableParagraph"/>
              <w:tabs>
                <w:tab w:pos="152" w:val="left" w:leader="none"/>
              </w:tabs>
              <w:spacing w:line="240" w:lineRule="auto" w:before="18"/>
              <w:ind w:right="0"/>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r>
      <w:tr>
        <w:trPr>
          <w:trHeight w:val="470"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67" w:lineRule="exact"/>
              <w:ind w:left="177"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2442" w:type="dxa"/>
            <w:tcBorders>
              <w:top w:val="nil" w:sz="6" w:space="0" w:color="auto"/>
              <w:left w:val="nil" w:sz="6" w:space="0" w:color="auto"/>
              <w:bottom w:val="nil" w:sz="6" w:space="0" w:color="auto"/>
              <w:right w:val="nil" w:sz="6" w:space="0" w:color="auto"/>
            </w:tcBorders>
          </w:tcPr>
          <w:p>
            <w:pPr>
              <w:pStyle w:val="TableParagraph"/>
              <w:tabs>
                <w:tab w:pos="1140" w:val="left" w:leader="none"/>
                <w:tab w:pos="2371" w:val="left" w:leader="none"/>
                <w:tab w:pos="3053" w:val="left" w:leader="none"/>
              </w:tabs>
              <w:spacing w:line="240" w:lineRule="auto" w:before="24"/>
              <w:ind w:left="-37" w:right="-61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(24,090)</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
              <w:jc w:val="right"/>
              <w:rPr>
                <w:rFonts w:ascii="Arial" w:hAnsi="Arial" w:cs="Arial" w:eastAsia="Arial" w:hint="default"/>
                <w:sz w:val="24"/>
                <w:szCs w:val="24"/>
              </w:rPr>
            </w:pPr>
            <w:r>
              <w:rPr>
                <w:rFonts w:ascii="Arial"/>
                <w:w w:val="99"/>
                <w:sz w:val="24"/>
              </w:rPr>
            </w:r>
            <w:r>
              <w:rPr>
                <w:rFonts w:ascii="Arial"/>
                <w:w w:val="95"/>
                <w:sz w:val="24"/>
                <w:u w:val="thick" w:color="000000"/>
              </w:rPr>
              <w:t>(1,510,336)</w:t>
            </w:r>
            <w:r>
              <w:rPr>
                <w:rFonts w:ascii="Arial"/>
                <w:w w:val="95"/>
                <w:sz w:val="24"/>
              </w:rPr>
            </w:r>
            <w:r>
              <w:rPr>
                <w:rFonts w:ascii="Arial"/>
                <w:sz w:val="24"/>
              </w:rPr>
            </w:r>
          </w:p>
        </w:tc>
      </w:tr>
      <w:tr>
        <w:trPr>
          <w:trHeight w:val="617"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6" w:right="0"/>
              <w:jc w:val="left"/>
              <w:rPr>
                <w:rFonts w:ascii="宋体" w:hAnsi="宋体" w:cs="宋体" w:eastAsia="宋体" w:hint="default"/>
                <w:sz w:val="24"/>
                <w:szCs w:val="24"/>
              </w:rPr>
            </w:pPr>
            <w:r>
              <w:rPr>
                <w:rFonts w:ascii="宋体" w:hAnsi="宋体" w:cs="宋体" w:eastAsia="宋体" w:hint="default"/>
                <w:sz w:val="24"/>
                <w:szCs w:val="24"/>
              </w:rPr>
              <w:t>股东权益</w:t>
            </w:r>
          </w:p>
        </w:tc>
        <w:tc>
          <w:tcPr>
            <w:tcW w:w="2442" w:type="dxa"/>
            <w:tcBorders>
              <w:top w:val="nil" w:sz="6" w:space="0" w:color="auto"/>
              <w:left w:val="nil" w:sz="6" w:space="0" w:color="auto"/>
              <w:bottom w:val="nil" w:sz="6" w:space="0" w:color="auto"/>
              <w:right w:val="nil" w:sz="6" w:space="0" w:color="auto"/>
            </w:tcBorders>
          </w:tcPr>
          <w:p>
            <w:pPr>
              <w:pStyle w:val="TableParagraph"/>
              <w:tabs>
                <w:tab w:pos="1253" w:val="left" w:leader="none"/>
                <w:tab w:pos="2371" w:val="left" w:leader="none"/>
                <w:tab w:pos="3363" w:val="left" w:leader="none"/>
              </w:tabs>
              <w:spacing w:line="240" w:lineRule="auto" w:before="171"/>
              <w:ind w:left="-37" w:right="-92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93,681 </w:t>
            </w:r>
            <w:r>
              <w:rPr>
                <w:rFonts w:ascii="Arial"/>
                <w:spacing w:val="-29"/>
                <w:sz w:val="24"/>
                <w:u w:val="thick" w:color="000000"/>
              </w:rPr>
              <w:t> </w:t>
            </w:r>
            <w:r>
              <w:rPr>
                <w:rFonts w:ascii="Arial"/>
                <w:spacing w:val="-29"/>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861" w:type="dxa"/>
            <w:tcBorders>
              <w:top w:val="nil" w:sz="6" w:space="0" w:color="auto"/>
              <w:left w:val="nil" w:sz="6" w:space="0" w:color="auto"/>
              <w:bottom w:val="nil" w:sz="6" w:space="0" w:color="auto"/>
              <w:right w:val="nil" w:sz="6" w:space="0" w:color="auto"/>
            </w:tcBorders>
          </w:tcPr>
          <w:p>
            <w:pPr>
              <w:pStyle w:val="TableParagraph"/>
              <w:tabs>
                <w:tab w:pos="939" w:val="left" w:leader="none"/>
              </w:tabs>
              <w:spacing w:line="240" w:lineRule="auto" w:before="171"/>
              <w:ind w:right="0"/>
              <w:jc w:val="right"/>
              <w:rPr>
                <w:rFonts w:ascii="Arial" w:hAnsi="Arial" w:cs="Arial" w:eastAsia="Arial" w:hint="default"/>
                <w:sz w:val="24"/>
                <w:szCs w:val="24"/>
              </w:rPr>
            </w:pPr>
            <w:r>
              <w:rPr>
                <w:rFonts w:ascii="Arial"/>
                <w:w w:val="99"/>
                <w:sz w:val="24"/>
              </w:rPr>
            </w:r>
            <w:r>
              <w:rPr>
                <w:rFonts w:ascii="Arial"/>
                <w:spacing w:val="-1"/>
                <w:sz w:val="24"/>
                <w:u w:val="thick" w:color="000000"/>
              </w:rPr>
              <w:t>238,313</w:t>
              <w:tab/>
            </w:r>
            <w:r>
              <w:rPr>
                <w:rFonts w:ascii="Arial"/>
                <w:spacing w:val="-1"/>
                <w:sz w:val="24"/>
              </w:rPr>
            </w:r>
          </w:p>
        </w:tc>
      </w:tr>
      <w:tr>
        <w:trPr>
          <w:trHeight w:val="618"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6" w:right="0"/>
              <w:jc w:val="left"/>
              <w:rPr>
                <w:rFonts w:ascii="Arial" w:hAnsi="Arial" w:cs="Arial" w:eastAsia="Arial" w:hint="default"/>
                <w:sz w:val="24"/>
                <w:szCs w:val="24"/>
              </w:rPr>
            </w:pPr>
            <w:r>
              <w:rPr>
                <w:rFonts w:ascii="宋体" w:hAnsi="宋体" w:cs="宋体" w:eastAsia="宋体" w:hint="default"/>
                <w:sz w:val="24"/>
                <w:szCs w:val="24"/>
              </w:rPr>
              <w:t>按持股比例计算的净资产份额</w:t>
            </w:r>
            <w:r>
              <w:rPr>
                <w:rFonts w:ascii="Arial" w:hAnsi="Arial" w:cs="Arial" w:eastAsia="Arial" w:hint="default"/>
                <w:sz w:val="24"/>
                <w:szCs w:val="24"/>
              </w:rPr>
              <w:t>(i)</w:t>
            </w:r>
          </w:p>
        </w:tc>
        <w:tc>
          <w:tcPr>
            <w:tcW w:w="2442" w:type="dxa"/>
            <w:tcBorders>
              <w:top w:val="nil" w:sz="6" w:space="0" w:color="auto"/>
              <w:left w:val="nil" w:sz="6" w:space="0" w:color="auto"/>
              <w:bottom w:val="nil" w:sz="6" w:space="0" w:color="auto"/>
              <w:right w:val="nil" w:sz="6" w:space="0" w:color="auto"/>
            </w:tcBorders>
          </w:tcPr>
          <w:p>
            <w:pPr>
              <w:pStyle w:val="TableParagraph"/>
              <w:tabs>
                <w:tab w:pos="1253" w:val="left" w:leader="none"/>
                <w:tab w:pos="2371" w:val="left" w:leader="none"/>
                <w:tab w:pos="3381" w:val="left" w:leader="none"/>
              </w:tabs>
              <w:spacing w:line="240" w:lineRule="auto" w:before="172"/>
              <w:ind w:left="-37" w:right="-94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28,104 </w:t>
            </w:r>
            <w:r>
              <w:rPr>
                <w:rFonts w:ascii="Arial"/>
                <w:spacing w:val="-29"/>
                <w:sz w:val="24"/>
                <w:u w:val="thick" w:color="000000"/>
              </w:rPr>
              <w:t> </w:t>
            </w:r>
            <w:r>
              <w:rPr>
                <w:rFonts w:ascii="Arial"/>
                <w:spacing w:val="-29"/>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861" w:type="dxa"/>
            <w:tcBorders>
              <w:top w:val="nil" w:sz="6" w:space="0" w:color="auto"/>
              <w:left w:val="nil" w:sz="6" w:space="0" w:color="auto"/>
              <w:bottom w:val="nil" w:sz="6" w:space="0" w:color="auto"/>
              <w:right w:val="nil" w:sz="6" w:space="0" w:color="auto"/>
            </w:tcBorders>
          </w:tcPr>
          <w:p>
            <w:pPr>
              <w:pStyle w:val="TableParagraph"/>
              <w:tabs>
                <w:tab w:pos="921" w:val="left" w:leader="none"/>
              </w:tabs>
              <w:spacing w:line="240" w:lineRule="auto" w:before="172"/>
              <w:ind w:right="0"/>
              <w:jc w:val="right"/>
              <w:rPr>
                <w:rFonts w:ascii="Arial" w:hAnsi="Arial" w:cs="Arial" w:eastAsia="Arial" w:hint="default"/>
                <w:sz w:val="24"/>
                <w:szCs w:val="24"/>
              </w:rPr>
            </w:pPr>
            <w:r>
              <w:rPr>
                <w:rFonts w:ascii="Arial"/>
                <w:w w:val="99"/>
                <w:sz w:val="24"/>
              </w:rPr>
            </w:r>
            <w:r>
              <w:rPr>
                <w:rFonts w:ascii="Arial"/>
                <w:spacing w:val="-3"/>
                <w:sz w:val="24"/>
                <w:u w:val="thick" w:color="000000"/>
              </w:rPr>
              <w:t>116,773</w:t>
              <w:tab/>
            </w:r>
            <w:r>
              <w:rPr>
                <w:rFonts w:ascii="Arial"/>
                <w:spacing w:val="-3"/>
                <w:sz w:val="24"/>
              </w:rPr>
            </w:r>
          </w:p>
        </w:tc>
      </w:tr>
      <w:tr>
        <w:trPr>
          <w:trHeight w:val="450"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77"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244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
        </w:tc>
      </w:tr>
      <w:tr>
        <w:trPr>
          <w:trHeight w:val="477"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75" w:lineRule="exact"/>
              <w:ind w:left="463"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2442" w:type="dxa"/>
            <w:tcBorders>
              <w:top w:val="nil" w:sz="6" w:space="0" w:color="auto"/>
              <w:left w:val="nil" w:sz="6" w:space="0" w:color="auto"/>
              <w:bottom w:val="nil" w:sz="6" w:space="0" w:color="auto"/>
              <w:right w:val="nil" w:sz="6" w:space="0" w:color="auto"/>
            </w:tcBorders>
          </w:tcPr>
          <w:p>
            <w:pPr>
              <w:pStyle w:val="TableParagraph"/>
              <w:tabs>
                <w:tab w:pos="1884" w:val="left" w:leader="none"/>
                <w:tab w:pos="2371" w:val="left" w:leader="none"/>
                <w:tab w:pos="4083" w:val="left" w:leader="none"/>
              </w:tabs>
              <w:spacing w:line="240" w:lineRule="auto" w:before="32"/>
              <w:ind w:left="-37" w:right="-164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 </w:t>
            </w:r>
            <w:r>
              <w:rPr>
                <w:rFonts w:ascii="Arial"/>
                <w:spacing w:val="-6"/>
                <w:sz w:val="24"/>
                <w:u w:val="thick" w:color="000000"/>
              </w:rPr>
              <w:t> </w:t>
            </w:r>
            <w:r>
              <w:rPr>
                <w:rFonts w:ascii="Arial"/>
                <w:spacing w:val="-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861" w:type="dxa"/>
            <w:tcBorders>
              <w:top w:val="nil" w:sz="6" w:space="0" w:color="auto"/>
              <w:left w:val="nil" w:sz="6" w:space="0" w:color="auto"/>
              <w:bottom w:val="nil" w:sz="6" w:space="0" w:color="auto"/>
              <w:right w:val="nil" w:sz="6" w:space="0" w:color="auto"/>
            </w:tcBorders>
          </w:tcPr>
          <w:p>
            <w:pPr>
              <w:pStyle w:val="TableParagraph"/>
              <w:tabs>
                <w:tab w:pos="219" w:val="left" w:leader="none"/>
              </w:tabs>
              <w:spacing w:line="240" w:lineRule="auto" w:before="32"/>
              <w:ind w:right="0"/>
              <w:jc w:val="right"/>
              <w:rPr>
                <w:rFonts w:ascii="Arial" w:hAnsi="Arial" w:cs="Arial" w:eastAsia="Arial" w:hint="default"/>
                <w:sz w:val="24"/>
                <w:szCs w:val="24"/>
              </w:rPr>
            </w:pPr>
            <w:r>
              <w:rPr>
                <w:rFonts w:ascii="Arial"/>
                <w:w w:val="99"/>
                <w:sz w:val="24"/>
              </w:rPr>
            </w:r>
            <w:r>
              <w:rPr>
                <w:rFonts w:ascii="Arial"/>
                <w:sz w:val="24"/>
                <w:u w:val="thick" w:color="000000"/>
              </w:rPr>
              <w:t>-</w:t>
              <w:tab/>
            </w:r>
            <w:r>
              <w:rPr>
                <w:rFonts w:ascii="Arial"/>
                <w:sz w:val="24"/>
              </w:rPr>
            </w:r>
          </w:p>
        </w:tc>
      </w:tr>
      <w:tr>
        <w:trPr>
          <w:trHeight w:val="443" w:hRule="exact"/>
        </w:trPr>
        <w:tc>
          <w:tcPr>
            <w:tcW w:w="695" w:type="dxa"/>
            <w:tcBorders>
              <w:top w:val="nil" w:sz="6" w:space="0" w:color="auto"/>
              <w:left w:val="nil" w:sz="6" w:space="0" w:color="auto"/>
              <w:bottom w:val="nil" w:sz="6" w:space="0" w:color="auto"/>
              <w:right w:val="nil" w:sz="6" w:space="0" w:color="auto"/>
            </w:tcBorders>
          </w:tcPr>
          <w:p>
            <w:pP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77" w:right="0"/>
              <w:jc w:val="left"/>
              <w:rPr>
                <w:rFonts w:ascii="宋体" w:hAnsi="宋体" w:cs="宋体" w:eastAsia="宋体" w:hint="default"/>
                <w:sz w:val="24"/>
                <w:szCs w:val="24"/>
              </w:rPr>
            </w:pPr>
            <w:r>
              <w:rPr>
                <w:rFonts w:ascii="宋体" w:hAnsi="宋体" w:cs="宋体" w:eastAsia="宋体" w:hint="default"/>
                <w:sz w:val="24"/>
                <w:szCs w:val="24"/>
              </w:rPr>
              <w:t>对联营企业权益投资的账面价值</w:t>
            </w:r>
          </w:p>
        </w:tc>
        <w:tc>
          <w:tcPr>
            <w:tcW w:w="2442" w:type="dxa"/>
            <w:tcBorders>
              <w:top w:val="nil" w:sz="6" w:space="0" w:color="auto"/>
              <w:left w:val="nil" w:sz="6" w:space="0" w:color="auto"/>
              <w:bottom w:val="nil" w:sz="6" w:space="0" w:color="auto"/>
              <w:right w:val="nil" w:sz="6" w:space="0" w:color="auto"/>
            </w:tcBorders>
          </w:tcPr>
          <w:p>
            <w:pPr>
              <w:pStyle w:val="TableParagraph"/>
              <w:tabs>
                <w:tab w:pos="1245" w:val="left" w:leader="none"/>
                <w:tab w:pos="2371" w:val="left" w:leader="none"/>
                <w:tab w:pos="3381" w:val="left" w:leader="none"/>
              </w:tabs>
              <w:spacing w:line="240" w:lineRule="auto" w:before="172"/>
              <w:ind w:left="-37" w:right="-94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28,104 </w:t>
            </w:r>
            <w:r>
              <w:rPr>
                <w:rFonts w:ascii="Arial"/>
                <w:spacing w:val="-22"/>
                <w:sz w:val="24"/>
                <w:u w:val="thick" w:color="000000"/>
              </w:rPr>
              <w:t> </w:t>
            </w:r>
            <w:r>
              <w:rPr>
                <w:rFonts w:ascii="Arial"/>
                <w:spacing w:val="-22"/>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861" w:type="dxa"/>
            <w:tcBorders>
              <w:top w:val="nil" w:sz="6" w:space="0" w:color="auto"/>
              <w:left w:val="nil" w:sz="6" w:space="0" w:color="auto"/>
              <w:bottom w:val="nil" w:sz="6" w:space="0" w:color="auto"/>
              <w:right w:val="nil" w:sz="6" w:space="0" w:color="auto"/>
            </w:tcBorders>
          </w:tcPr>
          <w:p>
            <w:pPr>
              <w:pStyle w:val="TableParagraph"/>
              <w:tabs>
                <w:tab w:pos="921" w:val="left" w:leader="none"/>
              </w:tabs>
              <w:spacing w:line="240" w:lineRule="auto" w:before="172"/>
              <w:ind w:right="0"/>
              <w:jc w:val="right"/>
              <w:rPr>
                <w:rFonts w:ascii="Arial" w:hAnsi="Arial" w:cs="Arial" w:eastAsia="Arial" w:hint="default"/>
                <w:sz w:val="24"/>
                <w:szCs w:val="24"/>
              </w:rPr>
            </w:pPr>
            <w:r>
              <w:rPr>
                <w:rFonts w:ascii="Arial"/>
                <w:w w:val="99"/>
                <w:sz w:val="24"/>
              </w:rPr>
            </w:r>
            <w:r>
              <w:rPr>
                <w:rFonts w:ascii="Arial"/>
                <w:spacing w:val="-3"/>
                <w:sz w:val="24"/>
                <w:u w:val="thick" w:color="000000"/>
              </w:rPr>
              <w:t>116,773</w:t>
              <w:tab/>
            </w:r>
            <w:r>
              <w:rPr>
                <w:rFonts w:ascii="Arial"/>
                <w:spacing w:val="-3"/>
                <w:sz w:val="24"/>
              </w:rPr>
            </w:r>
          </w:p>
        </w:tc>
      </w:tr>
    </w:tbl>
    <w:p>
      <w:pPr>
        <w:spacing w:after="0" w:line="240" w:lineRule="auto"/>
        <w:jc w:val="right"/>
        <w:rPr>
          <w:rFonts w:ascii="Arial" w:hAnsi="Arial" w:cs="Arial" w:eastAsia="Arial" w:hint="default"/>
          <w:sz w:val="24"/>
          <w:szCs w:val="24"/>
        </w:rPr>
        <w:sectPr>
          <w:pgSz w:w="11910" w:h="16840"/>
          <w:pgMar w:header="755" w:footer="648" w:top="1860" w:bottom="840" w:left="140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692"/>
        <w:gridCol w:w="4160"/>
      </w:tblGrid>
      <w:tr>
        <w:trPr>
          <w:trHeight w:val="514"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4160" w:type="dxa"/>
            <w:tcBorders>
              <w:top w:val="nil" w:sz="6" w:space="0" w:color="auto"/>
              <w:left w:val="nil" w:sz="6" w:space="0" w:color="auto"/>
              <w:bottom w:val="nil" w:sz="6" w:space="0" w:color="auto"/>
              <w:right w:val="nil" w:sz="6" w:space="0" w:color="auto"/>
            </w:tcBorders>
          </w:tcPr>
          <w:p>
            <w:pPr>
              <w:pStyle w:val="TableParagraph"/>
              <w:spacing w:line="257" w:lineRule="exact"/>
              <w:ind w:left="198"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5"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(2)</w:t>
            </w: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98" w:right="0"/>
              <w:jc w:val="left"/>
              <w:rPr>
                <w:rFonts w:ascii="Arial" w:hAnsi="Arial" w:cs="Arial" w:eastAsia="Arial" w:hint="default"/>
                <w:sz w:val="24"/>
                <w:szCs w:val="24"/>
              </w:rPr>
            </w:pPr>
            <w:r>
              <w:rPr>
                <w:rFonts w:ascii="黑体" w:hAnsi="黑体" w:cs="黑体" w:eastAsia="黑体" w:hint="default"/>
                <w:sz w:val="24"/>
                <w:szCs w:val="24"/>
              </w:rPr>
              <w:t>在合营企业和联营企业中的权益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8" w:right="0"/>
              <w:jc w:val="left"/>
              <w:rPr>
                <w:rFonts w:ascii="Arial" w:hAnsi="Arial" w:cs="Arial" w:eastAsia="Arial" w:hint="default"/>
                <w:sz w:val="24"/>
                <w:szCs w:val="24"/>
              </w:rPr>
            </w:pPr>
            <w:r>
              <w:rPr>
                <w:rFonts w:ascii="宋体" w:hAnsi="宋体" w:cs="宋体" w:eastAsia="宋体" w:hint="default"/>
                <w:sz w:val="24"/>
                <w:szCs w:val="24"/>
              </w:rPr>
              <w:t>重要联营企业的主要财务信息</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tbl>
      <w:tblPr>
        <w:tblW w:w="0" w:type="auto"/>
        <w:jc w:val="left"/>
        <w:tblInd w:w="791" w:type="dxa"/>
        <w:tblLayout w:type="fixed"/>
        <w:tblCellMar>
          <w:top w:w="0" w:type="dxa"/>
          <w:left w:w="0" w:type="dxa"/>
          <w:bottom w:w="0" w:type="dxa"/>
          <w:right w:w="0" w:type="dxa"/>
        </w:tblCellMar>
        <w:tblLook w:val="01E0"/>
      </w:tblPr>
      <w:tblGrid>
        <w:gridCol w:w="4357"/>
        <w:gridCol w:w="2126"/>
        <w:gridCol w:w="284"/>
        <w:gridCol w:w="2054"/>
      </w:tblGrid>
      <w:tr>
        <w:trPr>
          <w:trHeight w:val="320" w:hRule="exact"/>
        </w:trPr>
        <w:tc>
          <w:tcPr>
            <w:tcW w:w="8822" w:type="dxa"/>
            <w:gridSpan w:val="4"/>
            <w:tcBorders>
              <w:top w:val="nil" w:sz="6" w:space="0" w:color="auto"/>
              <w:left w:val="nil" w:sz="6" w:space="0" w:color="auto"/>
              <w:bottom w:val="nil" w:sz="6" w:space="0" w:color="auto"/>
              <w:right w:val="nil" w:sz="6" w:space="0" w:color="auto"/>
            </w:tcBorders>
          </w:tcPr>
          <w:p>
            <w:pPr>
              <w:pStyle w:val="TableParagraph"/>
              <w:spacing w:line="257" w:lineRule="exact"/>
              <w:ind w:left="553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89" w:hRule="exact"/>
        </w:trPr>
        <w:tc>
          <w:tcPr>
            <w:tcW w:w="4357"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54"/>
              <w:jc w:val="right"/>
              <w:rPr>
                <w:rFonts w:ascii="宋体" w:hAnsi="宋体" w:cs="宋体" w:eastAsia="宋体" w:hint="default"/>
                <w:sz w:val="24"/>
                <w:szCs w:val="24"/>
              </w:rPr>
            </w:pPr>
            <w:r>
              <w:rPr>
                <w:rFonts w:ascii="宋体" w:hAnsi="宋体" w:cs="宋体" w:eastAsia="宋体" w:hint="default"/>
                <w:sz w:val="24"/>
                <w:szCs w:val="24"/>
              </w:rPr>
              <w:t>丸悦</w:t>
            </w:r>
          </w:p>
        </w:tc>
        <w:tc>
          <w:tcPr>
            <w:tcW w:w="284" w:type="dxa"/>
            <w:tcBorders>
              <w:top w:val="single" w:sz="4" w:space="0" w:color="000000"/>
              <w:left w:val="nil" w:sz="6" w:space="0" w:color="auto"/>
              <w:bottom w:val="nil" w:sz="6" w:space="0" w:color="auto"/>
              <w:right w:val="nil" w:sz="6" w:space="0" w:color="auto"/>
            </w:tcBorders>
          </w:tcPr>
          <w:p>
            <w:pPr/>
          </w:p>
        </w:tc>
        <w:tc>
          <w:tcPr>
            <w:tcW w:w="205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9"/>
              <w:jc w:val="right"/>
              <w:rPr>
                <w:rFonts w:ascii="Arial" w:hAnsi="Arial" w:cs="Arial" w:eastAsia="Arial" w:hint="default"/>
                <w:sz w:val="24"/>
                <w:szCs w:val="24"/>
              </w:rPr>
            </w:pPr>
            <w:r>
              <w:rPr>
                <w:rFonts w:ascii="Arial"/>
                <w:spacing w:val="-1"/>
                <w:sz w:val="24"/>
              </w:rPr>
              <w:t>PPTV</w:t>
            </w:r>
          </w:p>
        </w:tc>
      </w:tr>
      <w:tr>
        <w:trPr>
          <w:trHeight w:val="569"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12"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5"/>
              <w:jc w:val="right"/>
              <w:rPr>
                <w:rFonts w:ascii="Arial" w:hAnsi="Arial" w:cs="Arial" w:eastAsia="Arial" w:hint="default"/>
                <w:sz w:val="24"/>
                <w:szCs w:val="24"/>
              </w:rPr>
            </w:pPr>
            <w:r>
              <w:rPr>
                <w:rFonts w:ascii="Arial"/>
                <w:spacing w:val="-1"/>
                <w:sz w:val="24"/>
              </w:rPr>
              <w:t>101,350</w:t>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13"/>
              <w:jc w:val="right"/>
              <w:rPr>
                <w:rFonts w:ascii="Arial" w:hAnsi="Arial" w:cs="Arial" w:eastAsia="Arial" w:hint="default"/>
                <w:sz w:val="24"/>
                <w:szCs w:val="24"/>
              </w:rPr>
            </w:pPr>
            <w:r>
              <w:rPr>
                <w:rFonts w:ascii="Arial"/>
                <w:spacing w:val="-3"/>
                <w:sz w:val="24"/>
              </w:rPr>
              <w:t>675,113</w:t>
            </w:r>
          </w:p>
        </w:tc>
      </w:tr>
      <w:tr>
        <w:trPr>
          <w:trHeight w:val="382"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302" w:lineRule="exact"/>
              <w:ind w:left="200"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5"/>
              <w:jc w:val="right"/>
              <w:rPr>
                <w:rFonts w:ascii="Arial" w:hAnsi="Arial" w:cs="Arial" w:eastAsia="Arial" w:hint="default"/>
                <w:sz w:val="24"/>
                <w:szCs w:val="24"/>
              </w:rPr>
            </w:pPr>
            <w:r>
              <w:rPr>
                <w:rFonts w:ascii="Arial"/>
                <w:w w:val="95"/>
                <w:sz w:val="24"/>
              </w:rPr>
              <w:t>30,006</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1,275,832</w:t>
            </w:r>
            <w:r>
              <w:rPr>
                <w:rFonts w:ascii="Arial"/>
                <w:sz w:val="24"/>
              </w:rPr>
            </w:r>
          </w:p>
        </w:tc>
      </w:tr>
      <w:tr>
        <w:trPr>
          <w:trHeight w:val="411"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66"/>
              <w:jc w:val="right"/>
              <w:rPr>
                <w:rFonts w:ascii="Arial" w:hAnsi="Arial" w:cs="Arial" w:eastAsia="Arial" w:hint="default"/>
                <w:sz w:val="24"/>
                <w:szCs w:val="24"/>
              </w:rPr>
            </w:pPr>
            <w:r>
              <w:rPr>
                <w:rFonts w:ascii="Arial"/>
                <w:spacing w:val="-1"/>
                <w:sz w:val="24"/>
              </w:rPr>
              <w:t>131,356</w:t>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99"/>
              <w:jc w:val="right"/>
              <w:rPr>
                <w:rFonts w:ascii="Arial" w:hAnsi="Arial" w:cs="Arial" w:eastAsia="Arial" w:hint="default"/>
                <w:sz w:val="24"/>
                <w:szCs w:val="24"/>
              </w:rPr>
            </w:pPr>
            <w:r>
              <w:rPr>
                <w:rFonts w:ascii="Arial"/>
                <w:w w:val="95"/>
                <w:sz w:val="24"/>
              </w:rPr>
              <w:t>1,950,945</w:t>
            </w:r>
            <w:r>
              <w:rPr>
                <w:rFonts w:ascii="Arial"/>
                <w:sz w:val="24"/>
              </w:rPr>
            </w:r>
          </w:p>
        </w:tc>
      </w:tr>
      <w:tr>
        <w:trPr>
          <w:trHeight w:val="776"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08"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12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41"/>
              <w:jc w:val="right"/>
              <w:rPr>
                <w:rFonts w:ascii="Arial" w:hAnsi="Arial" w:cs="Arial" w:eastAsia="Arial" w:hint="default"/>
                <w:sz w:val="24"/>
                <w:szCs w:val="24"/>
              </w:rPr>
            </w:pPr>
            <w:r>
              <w:rPr>
                <w:rFonts w:ascii="Arial"/>
                <w:w w:val="95"/>
                <w:sz w:val="24"/>
              </w:rPr>
              <w:t>(17,787)</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42"/>
              <w:jc w:val="right"/>
              <w:rPr>
                <w:rFonts w:ascii="Arial" w:hAnsi="Arial" w:cs="Arial" w:eastAsia="Arial" w:hint="default"/>
                <w:sz w:val="24"/>
                <w:szCs w:val="24"/>
              </w:rPr>
            </w:pPr>
            <w:r>
              <w:rPr>
                <w:rFonts w:ascii="Arial"/>
                <w:w w:val="95"/>
                <w:sz w:val="24"/>
              </w:rPr>
              <w:t>(1,380,565)</w:t>
            </w:r>
            <w:r>
              <w:rPr>
                <w:rFonts w:ascii="Arial"/>
                <w:sz w:val="24"/>
              </w:rPr>
            </w:r>
          </w:p>
        </w:tc>
      </w:tr>
      <w:tr>
        <w:trPr>
          <w:trHeight w:val="382"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302" w:lineRule="exact"/>
              <w:ind w:left="200"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8"/>
              <w:jc w:val="right"/>
              <w:rPr>
                <w:rFonts w:ascii="Arial" w:hAnsi="Arial" w:cs="Arial" w:eastAsia="Arial" w:hint="default"/>
                <w:sz w:val="24"/>
                <w:szCs w:val="24"/>
              </w:rPr>
            </w:pPr>
            <w:r>
              <w:rPr>
                <w:rFonts w:ascii="Arial"/>
                <w:w w:val="99"/>
                <w:sz w:val="24"/>
              </w:rPr>
              <w:t>-</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43"/>
              <w:jc w:val="right"/>
              <w:rPr>
                <w:rFonts w:ascii="Arial" w:hAnsi="Arial" w:cs="Arial" w:eastAsia="Arial" w:hint="default"/>
                <w:sz w:val="24"/>
                <w:szCs w:val="24"/>
              </w:rPr>
            </w:pPr>
            <w:r>
              <w:rPr>
                <w:rFonts w:ascii="Arial"/>
                <w:w w:val="95"/>
                <w:sz w:val="24"/>
              </w:rPr>
              <w:t>(217,780)</w:t>
            </w:r>
            <w:r>
              <w:rPr>
                <w:rFonts w:ascii="Arial"/>
                <w:sz w:val="24"/>
              </w:rPr>
            </w:r>
          </w:p>
        </w:tc>
      </w:tr>
      <w:tr>
        <w:trPr>
          <w:trHeight w:val="411"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41"/>
              <w:jc w:val="right"/>
              <w:rPr>
                <w:rFonts w:ascii="Arial" w:hAnsi="Arial" w:cs="Arial" w:eastAsia="Arial" w:hint="default"/>
                <w:sz w:val="24"/>
                <w:szCs w:val="24"/>
              </w:rPr>
            </w:pPr>
            <w:r>
              <w:rPr>
                <w:rFonts w:ascii="Arial"/>
                <w:w w:val="95"/>
                <w:sz w:val="24"/>
              </w:rPr>
              <w:t>(17,787)</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42"/>
              <w:jc w:val="right"/>
              <w:rPr>
                <w:rFonts w:ascii="Arial" w:hAnsi="Arial" w:cs="Arial" w:eastAsia="Arial" w:hint="default"/>
                <w:sz w:val="24"/>
                <w:szCs w:val="24"/>
              </w:rPr>
            </w:pPr>
            <w:r>
              <w:rPr>
                <w:rFonts w:ascii="Arial"/>
                <w:w w:val="95"/>
                <w:sz w:val="24"/>
              </w:rPr>
              <w:t>(1,598,345)</w:t>
            </w:r>
            <w:r>
              <w:rPr>
                <w:rFonts w:ascii="Arial"/>
                <w:sz w:val="24"/>
              </w:rPr>
            </w:r>
          </w:p>
        </w:tc>
      </w:tr>
      <w:tr>
        <w:trPr>
          <w:trHeight w:val="778"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08" w:right="0"/>
              <w:jc w:val="left"/>
              <w:rPr>
                <w:rFonts w:ascii="宋体" w:hAnsi="宋体" w:cs="宋体" w:eastAsia="宋体" w:hint="default"/>
                <w:sz w:val="24"/>
                <w:szCs w:val="24"/>
              </w:rPr>
            </w:pPr>
            <w:r>
              <w:rPr>
                <w:rFonts w:ascii="宋体" w:hAnsi="宋体" w:cs="宋体" w:eastAsia="宋体" w:hint="default"/>
                <w:sz w:val="24"/>
                <w:szCs w:val="24"/>
              </w:rPr>
              <w:t>股东权益</w:t>
            </w:r>
          </w:p>
        </w:tc>
        <w:tc>
          <w:tcPr>
            <w:tcW w:w="212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54"/>
              <w:jc w:val="right"/>
              <w:rPr>
                <w:rFonts w:ascii="Arial" w:hAnsi="Arial" w:cs="Arial" w:eastAsia="Arial" w:hint="default"/>
                <w:sz w:val="24"/>
                <w:szCs w:val="24"/>
              </w:rPr>
            </w:pPr>
            <w:r>
              <w:rPr>
                <w:rFonts w:ascii="Arial"/>
                <w:spacing w:val="-3"/>
                <w:sz w:val="24"/>
              </w:rPr>
              <w:t>113,569</w:t>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97"/>
              <w:jc w:val="right"/>
              <w:rPr>
                <w:rFonts w:ascii="Arial" w:hAnsi="Arial" w:cs="Arial" w:eastAsia="Arial" w:hint="default"/>
                <w:sz w:val="24"/>
                <w:szCs w:val="24"/>
              </w:rPr>
            </w:pPr>
            <w:r>
              <w:rPr>
                <w:rFonts w:ascii="Arial"/>
                <w:spacing w:val="-1"/>
                <w:sz w:val="24"/>
              </w:rPr>
              <w:t>352,600</w:t>
            </w:r>
          </w:p>
        </w:tc>
      </w:tr>
      <w:tr>
        <w:trPr>
          <w:trHeight w:val="776"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208" w:right="0"/>
              <w:jc w:val="left"/>
              <w:rPr>
                <w:rFonts w:ascii="Arial" w:hAnsi="Arial" w:cs="Arial" w:eastAsia="Arial" w:hint="default"/>
                <w:sz w:val="24"/>
                <w:szCs w:val="24"/>
              </w:rPr>
            </w:pPr>
            <w:r>
              <w:rPr>
                <w:rFonts w:ascii="宋体" w:hAnsi="宋体" w:cs="宋体" w:eastAsia="宋体" w:hint="default"/>
                <w:sz w:val="24"/>
                <w:szCs w:val="24"/>
              </w:rPr>
              <w:t>按持股比例计算的净资产份额</w:t>
            </w:r>
            <w:r>
              <w:rPr>
                <w:rFonts w:ascii="Arial" w:hAnsi="Arial" w:cs="Arial" w:eastAsia="Arial" w:hint="default"/>
                <w:sz w:val="24"/>
                <w:szCs w:val="24"/>
              </w:rPr>
              <w:t>(i)</w:t>
            </w:r>
          </w:p>
        </w:tc>
        <w:tc>
          <w:tcPr>
            <w:tcW w:w="212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54"/>
              <w:jc w:val="right"/>
              <w:rPr>
                <w:rFonts w:ascii="Arial" w:hAnsi="Arial" w:cs="Arial" w:eastAsia="Arial" w:hint="default"/>
                <w:sz w:val="24"/>
                <w:szCs w:val="24"/>
              </w:rPr>
            </w:pPr>
            <w:r>
              <w:rPr>
                <w:rFonts w:ascii="Arial"/>
                <w:w w:val="95"/>
                <w:sz w:val="24"/>
              </w:rPr>
              <w:t>34,071</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97"/>
              <w:jc w:val="right"/>
              <w:rPr>
                <w:rFonts w:ascii="Arial" w:hAnsi="Arial" w:cs="Arial" w:eastAsia="Arial" w:hint="default"/>
                <w:sz w:val="24"/>
                <w:szCs w:val="24"/>
              </w:rPr>
            </w:pPr>
            <w:r>
              <w:rPr>
                <w:rFonts w:ascii="Arial"/>
                <w:spacing w:val="-1"/>
                <w:sz w:val="24"/>
              </w:rPr>
              <w:t>165,052</w:t>
            </w:r>
          </w:p>
        </w:tc>
      </w:tr>
      <w:tr>
        <w:trPr>
          <w:trHeight w:val="609"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8"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2126" w:type="dxa"/>
            <w:tcBorders>
              <w:top w:val="single" w:sz="12"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single" w:sz="12" w:space="0" w:color="000000"/>
              <w:left w:val="nil" w:sz="6" w:space="0" w:color="auto"/>
              <w:bottom w:val="nil" w:sz="6" w:space="0" w:color="auto"/>
              <w:right w:val="nil" w:sz="6" w:space="0" w:color="auto"/>
            </w:tcBorders>
          </w:tcPr>
          <w:p>
            <w:pPr/>
          </w:p>
        </w:tc>
      </w:tr>
      <w:tr>
        <w:trPr>
          <w:trHeight w:val="752"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1"/>
              <w:ind w:left="459"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18"/>
              <w:jc w:val="right"/>
              <w:rPr>
                <w:rFonts w:ascii="Arial" w:hAnsi="Arial" w:cs="Arial" w:eastAsia="Arial" w:hint="default"/>
                <w:sz w:val="24"/>
                <w:szCs w:val="24"/>
              </w:rPr>
            </w:pPr>
            <w:r>
              <w:rPr>
                <w:rFonts w:ascii="Arial"/>
                <w:w w:val="99"/>
                <w:sz w:val="24"/>
              </w:rPr>
              <w:t>-</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6"/>
              <w:jc w:val="right"/>
              <w:rPr>
                <w:rFonts w:ascii="Arial" w:hAnsi="Arial" w:cs="Arial" w:eastAsia="Arial" w:hint="default"/>
                <w:sz w:val="24"/>
                <w:szCs w:val="24"/>
              </w:rPr>
            </w:pPr>
            <w:r>
              <w:rPr>
                <w:rFonts w:ascii="Arial"/>
                <w:w w:val="95"/>
                <w:sz w:val="24"/>
              </w:rPr>
              <w:t>1,147,730</w:t>
            </w:r>
            <w:r>
              <w:rPr>
                <w:rFonts w:ascii="Arial"/>
                <w:sz w:val="24"/>
              </w:rPr>
            </w:r>
          </w:p>
        </w:tc>
      </w:tr>
      <w:tr>
        <w:trPr>
          <w:trHeight w:val="412"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宋体" w:hAnsi="宋体" w:cs="宋体" w:eastAsia="宋体" w:hint="default"/>
                <w:sz w:val="24"/>
                <w:szCs w:val="24"/>
              </w:rPr>
            </w:pPr>
            <w:r>
              <w:rPr>
                <w:rFonts w:ascii="宋体" w:hAnsi="宋体" w:cs="宋体" w:eastAsia="宋体" w:hint="default"/>
                <w:sz w:val="24"/>
                <w:szCs w:val="24"/>
              </w:rPr>
              <w:t>对联营企业权益投资的账面价值</w:t>
            </w: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54"/>
              <w:jc w:val="right"/>
              <w:rPr>
                <w:rFonts w:ascii="Arial" w:hAnsi="Arial" w:cs="Arial" w:eastAsia="Arial" w:hint="default"/>
                <w:sz w:val="24"/>
                <w:szCs w:val="24"/>
              </w:rPr>
            </w:pPr>
            <w:r>
              <w:rPr>
                <w:rFonts w:ascii="Arial"/>
                <w:w w:val="95"/>
                <w:sz w:val="24"/>
              </w:rPr>
              <w:t>34,071</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2054"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96"/>
              <w:jc w:val="right"/>
              <w:rPr>
                <w:rFonts w:ascii="Arial" w:hAnsi="Arial" w:cs="Arial" w:eastAsia="Arial" w:hint="default"/>
                <w:sz w:val="24"/>
                <w:szCs w:val="24"/>
              </w:rPr>
            </w:pPr>
            <w:r>
              <w:rPr>
                <w:rFonts w:ascii="Arial"/>
                <w:w w:val="95"/>
                <w:sz w:val="24"/>
              </w:rPr>
              <w:t>1,312,782</w:t>
            </w:r>
            <w:r>
              <w:rPr>
                <w:rFonts w:ascii="Arial"/>
                <w:sz w:val="24"/>
              </w:rPr>
            </w:r>
          </w:p>
        </w:tc>
      </w:tr>
      <w:tr>
        <w:trPr>
          <w:trHeight w:val="1198" w:hRule="exact"/>
        </w:trPr>
        <w:tc>
          <w:tcPr>
            <w:tcW w:w="882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0" w:lineRule="exact"/>
              <w:ind w:left="980" w:right="62" w:hanging="721"/>
              <w:jc w:val="both"/>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61"/>
                <w:sz w:val="24"/>
                <w:szCs w:val="24"/>
              </w:rPr>
              <w:t> </w:t>
            </w:r>
            <w:r>
              <w:rPr>
                <w:rFonts w:ascii="宋体" w:hAnsi="宋体" w:cs="宋体" w:eastAsia="宋体" w:hint="default"/>
                <w:spacing w:val="2"/>
                <w:sz w:val="24"/>
                <w:szCs w:val="24"/>
              </w:rPr>
              <w:t>本集团以联营企业合并财务报表中归属于本公司的金额为基础，按持股比</w:t>
            </w:r>
            <w:r>
              <w:rPr>
                <w:rFonts w:ascii="宋体" w:hAnsi="宋体" w:cs="宋体" w:eastAsia="宋体" w:hint="default"/>
                <w:sz w:val="24"/>
                <w:szCs w:val="24"/>
              </w:rPr>
              <w:t> </w:t>
            </w:r>
            <w:r>
              <w:rPr>
                <w:rFonts w:ascii="宋体" w:hAnsi="宋体" w:cs="宋体" w:eastAsia="宋体" w:hint="default"/>
                <w:spacing w:val="2"/>
                <w:sz w:val="24"/>
                <w:szCs w:val="24"/>
              </w:rPr>
              <w:t>例计算资产份额。联营企业合并财务报表中的金额考虑了取得投资时联营</w:t>
            </w:r>
            <w:r>
              <w:rPr>
                <w:rFonts w:ascii="宋体" w:hAnsi="宋体" w:cs="宋体" w:eastAsia="宋体" w:hint="default"/>
                <w:sz w:val="24"/>
                <w:szCs w:val="24"/>
              </w:rPr>
              <w:t> 企业可辨认净资产和负债的公允价值以及统一会计政策的影响。</w:t>
            </w:r>
          </w:p>
        </w:tc>
      </w:tr>
    </w:tbl>
    <w:p>
      <w:pPr>
        <w:spacing w:after="0" w:line="310" w:lineRule="exact"/>
        <w:jc w:val="both"/>
        <w:rPr>
          <w:rFonts w:ascii="宋体" w:hAnsi="宋体" w:cs="宋体" w:eastAsia="宋体" w:hint="default"/>
          <w:sz w:val="24"/>
          <w:szCs w:val="24"/>
        </w:rPr>
        <w:sectPr>
          <w:pgSz w:w="11910" w:h="16840"/>
          <w:pgMar w:header="755" w:footer="648" w:top="1860" w:bottom="840" w:left="140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692"/>
        <w:gridCol w:w="4160"/>
      </w:tblGrid>
      <w:tr>
        <w:trPr>
          <w:trHeight w:val="514"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4160" w:type="dxa"/>
            <w:tcBorders>
              <w:top w:val="nil" w:sz="6" w:space="0" w:color="auto"/>
              <w:left w:val="nil" w:sz="6" w:space="0" w:color="auto"/>
              <w:bottom w:val="nil" w:sz="6" w:space="0" w:color="auto"/>
              <w:right w:val="nil" w:sz="6" w:space="0" w:color="auto"/>
            </w:tcBorders>
          </w:tcPr>
          <w:p>
            <w:pPr>
              <w:pStyle w:val="TableParagraph"/>
              <w:spacing w:line="257" w:lineRule="exact"/>
              <w:ind w:left="198"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5"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(2)</w:t>
            </w: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98" w:right="0"/>
              <w:jc w:val="left"/>
              <w:rPr>
                <w:rFonts w:ascii="Arial" w:hAnsi="Arial" w:cs="Arial" w:eastAsia="Arial" w:hint="default"/>
                <w:sz w:val="24"/>
                <w:szCs w:val="24"/>
              </w:rPr>
            </w:pPr>
            <w:r>
              <w:rPr>
                <w:rFonts w:ascii="黑体" w:hAnsi="黑体" w:cs="黑体" w:eastAsia="黑体" w:hint="default"/>
                <w:sz w:val="24"/>
                <w:szCs w:val="24"/>
              </w:rPr>
              <w:t>在合营企业和联营企业中的权益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8" w:right="0"/>
              <w:jc w:val="left"/>
              <w:rPr>
                <w:rFonts w:ascii="Arial" w:hAnsi="Arial" w:cs="Arial" w:eastAsia="Arial" w:hint="default"/>
                <w:sz w:val="24"/>
                <w:szCs w:val="24"/>
              </w:rPr>
            </w:pPr>
            <w:r>
              <w:rPr>
                <w:rFonts w:ascii="宋体" w:hAnsi="宋体" w:cs="宋体" w:eastAsia="宋体" w:hint="default"/>
                <w:sz w:val="24"/>
                <w:szCs w:val="24"/>
              </w:rPr>
              <w:t>重要联营企业的主要财务信息</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tbl>
      <w:tblPr>
        <w:tblW w:w="0" w:type="auto"/>
        <w:jc w:val="left"/>
        <w:tblInd w:w="748" w:type="dxa"/>
        <w:tblLayout w:type="fixed"/>
        <w:tblCellMar>
          <w:top w:w="0" w:type="dxa"/>
          <w:left w:w="0" w:type="dxa"/>
          <w:bottom w:w="0" w:type="dxa"/>
          <w:right w:w="0" w:type="dxa"/>
        </w:tblCellMar>
        <w:tblLook w:val="01E0"/>
      </w:tblPr>
      <w:tblGrid>
        <w:gridCol w:w="3692"/>
        <w:gridCol w:w="3322"/>
        <w:gridCol w:w="1777"/>
      </w:tblGrid>
      <w:tr>
        <w:trPr>
          <w:trHeight w:val="253" w:hRule="exact"/>
        </w:trPr>
        <w:tc>
          <w:tcPr>
            <w:tcW w:w="3692"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single" w:sz="4" w:space="0" w:color="000000"/>
              <w:right w:val="nil" w:sz="6" w:space="0" w:color="auto"/>
            </w:tcBorders>
          </w:tcPr>
          <w:p>
            <w:pPr>
              <w:pStyle w:val="TableParagraph"/>
              <w:spacing w:line="193" w:lineRule="exact"/>
              <w:ind w:right="370"/>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777" w:type="dxa"/>
            <w:tcBorders>
              <w:top w:val="nil" w:sz="6" w:space="0" w:color="auto"/>
              <w:left w:val="nil" w:sz="6" w:space="0" w:color="auto"/>
              <w:bottom w:val="single" w:sz="4" w:space="0" w:color="000000"/>
              <w:right w:val="nil" w:sz="6" w:space="0" w:color="auto"/>
            </w:tcBorders>
          </w:tcPr>
          <w:p>
            <w:pPr/>
          </w:p>
        </w:tc>
      </w:tr>
      <w:tr>
        <w:trPr>
          <w:trHeight w:val="461" w:hRule="exact"/>
        </w:trPr>
        <w:tc>
          <w:tcPr>
            <w:tcW w:w="3692" w:type="dxa"/>
            <w:tcBorders>
              <w:top w:val="nil" w:sz="6" w:space="0" w:color="auto"/>
              <w:left w:val="nil" w:sz="6" w:space="0" w:color="auto"/>
              <w:bottom w:val="nil" w:sz="6" w:space="0" w:color="auto"/>
              <w:right w:val="nil" w:sz="6" w:space="0" w:color="auto"/>
            </w:tcBorders>
          </w:tcPr>
          <w:p>
            <w:pPr/>
          </w:p>
        </w:tc>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685"/>
              <w:jc w:val="right"/>
              <w:rPr>
                <w:rFonts w:ascii="宋体" w:hAnsi="宋体" w:cs="宋体" w:eastAsia="宋体" w:hint="default"/>
                <w:sz w:val="18"/>
                <w:szCs w:val="18"/>
              </w:rPr>
            </w:pPr>
            <w:r>
              <w:rPr>
                <w:rFonts w:ascii="宋体" w:hAnsi="宋体" w:cs="宋体" w:eastAsia="宋体" w:hint="default"/>
                <w:sz w:val="18"/>
                <w:szCs w:val="18"/>
              </w:rPr>
              <w:t>丸悦</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苏宁消费金融</w:t>
            </w:r>
          </w:p>
        </w:tc>
      </w:tr>
      <w:tr>
        <w:trPr>
          <w:trHeight w:val="468"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024" w:right="0"/>
              <w:jc w:val="left"/>
              <w:rPr>
                <w:rFonts w:ascii="Arial" w:hAnsi="Arial" w:cs="Arial" w:eastAsia="Arial" w:hint="default"/>
                <w:sz w:val="18"/>
                <w:szCs w:val="18"/>
              </w:rPr>
            </w:pPr>
            <w:r>
              <w:rPr>
                <w:rFonts w:ascii="Arial"/>
                <w:sz w:val="18"/>
              </w:rPr>
              <w:t>79,057</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16"/>
              <w:jc w:val="right"/>
              <w:rPr>
                <w:rFonts w:ascii="Arial" w:hAnsi="Arial" w:cs="Arial" w:eastAsia="Arial" w:hint="default"/>
                <w:sz w:val="18"/>
                <w:szCs w:val="18"/>
              </w:rPr>
            </w:pPr>
            <w:r>
              <w:rPr>
                <w:rFonts w:ascii="Arial"/>
                <w:spacing w:val="-1"/>
                <w:sz w:val="18"/>
              </w:rPr>
              <w:t>81,005</w:t>
            </w:r>
          </w:p>
        </w:tc>
      </w:tr>
      <w:tr>
        <w:trPr>
          <w:trHeight w:val="314"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净亏损</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63" w:right="0"/>
              <w:jc w:val="left"/>
              <w:rPr>
                <w:rFonts w:ascii="Arial" w:hAnsi="Arial" w:cs="Arial" w:eastAsia="Arial" w:hint="default"/>
                <w:sz w:val="18"/>
                <w:szCs w:val="18"/>
              </w:rPr>
            </w:pPr>
            <w:r>
              <w:rPr>
                <w:rFonts w:ascii="Arial"/>
                <w:sz w:val="18"/>
              </w:rPr>
              <w:t>(16,783)</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2"/>
              <w:jc w:val="right"/>
              <w:rPr>
                <w:rFonts w:ascii="Arial" w:hAnsi="Arial" w:cs="Arial" w:eastAsia="Arial" w:hint="default"/>
                <w:sz w:val="18"/>
                <w:szCs w:val="18"/>
              </w:rPr>
            </w:pPr>
            <w:r>
              <w:rPr>
                <w:rFonts w:ascii="Arial"/>
                <w:spacing w:val="-1"/>
                <w:sz w:val="18"/>
              </w:rPr>
              <w:t>(61,687)</w:t>
            </w:r>
          </w:p>
        </w:tc>
      </w:tr>
      <w:tr>
        <w:trPr>
          <w:trHeight w:val="313"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70" w:right="0"/>
              <w:jc w:val="left"/>
              <w:rPr>
                <w:rFonts w:ascii="Arial" w:hAnsi="Arial" w:cs="Arial" w:eastAsia="Arial" w:hint="default"/>
                <w:sz w:val="18"/>
                <w:szCs w:val="18"/>
              </w:rPr>
            </w:pPr>
            <w:r>
              <w:rPr>
                <w:rFonts w:ascii="Arial"/>
                <w:sz w:val="18"/>
              </w:rPr>
              <w:t>(3,105)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0"/>
              <w:jc w:val="right"/>
              <w:rPr>
                <w:rFonts w:ascii="Arial" w:hAnsi="Arial" w:cs="Arial" w:eastAsia="Arial" w:hint="default"/>
                <w:sz w:val="18"/>
                <w:szCs w:val="18"/>
              </w:rPr>
            </w:pPr>
            <w:r>
              <w:rPr>
                <w:rFonts w:ascii="Arial"/>
                <w:w w:val="99"/>
                <w:sz w:val="18"/>
              </w:rPr>
              <w:t>-</w:t>
            </w:r>
            <w:r>
              <w:rPr>
                <w:rFonts w:ascii="Arial"/>
                <w:sz w:val="18"/>
              </w:rPr>
            </w:r>
          </w:p>
        </w:tc>
      </w:tr>
      <w:tr>
        <w:trPr>
          <w:trHeight w:val="457"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81" w:right="0"/>
              <w:jc w:val="left"/>
              <w:rPr>
                <w:rFonts w:ascii="Arial" w:hAnsi="Arial" w:cs="Arial" w:eastAsia="Arial" w:hint="default"/>
                <w:sz w:val="18"/>
                <w:szCs w:val="18"/>
              </w:rPr>
            </w:pPr>
            <w:r>
              <w:rPr>
                <w:rFonts w:ascii="Arial"/>
                <w:sz w:val="18"/>
              </w:rPr>
              <w:t>(19,888)</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(61,687)</w:t>
            </w:r>
          </w:p>
        </w:tc>
      </w:tr>
      <w:tr>
        <w:trPr>
          <w:trHeight w:val="874"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78" w:lineRule="auto" w:before="143"/>
              <w:ind w:left="508" w:right="931" w:hanging="271"/>
              <w:jc w:val="left"/>
              <w:rPr>
                <w:rFonts w:ascii="宋体" w:hAnsi="宋体" w:cs="宋体" w:eastAsia="宋体" w:hint="default"/>
                <w:sz w:val="18"/>
                <w:szCs w:val="18"/>
              </w:rPr>
            </w:pPr>
            <w:r>
              <w:rPr>
                <w:rFonts w:ascii="宋体" w:hAnsi="宋体" w:cs="宋体" w:eastAsia="宋体" w:hint="default"/>
                <w:sz w:val="18"/>
                <w:szCs w:val="18"/>
              </w:rPr>
              <w:t>本集团本年度收到的来自联营企 业的股利</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734"/>
              <w:jc w:val="right"/>
              <w:rPr>
                <w:rFonts w:ascii="Arial" w:hAnsi="Arial" w:cs="Arial" w:eastAsia="Arial" w:hint="default"/>
                <w:sz w:val="18"/>
                <w:szCs w:val="18"/>
              </w:rPr>
            </w:pPr>
            <w:r>
              <w:rPr>
                <w:rFonts w:ascii="Arial"/>
                <w:w w:val="99"/>
                <w:sz w:val="18"/>
              </w:rPr>
              <w:t>-</w:t>
            </w:r>
            <w:r>
              <w:rPr>
                <w:rFonts w:ascii="Arial"/>
                <w:sz w:val="18"/>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71"/>
              <w:jc w:val="right"/>
              <w:rPr>
                <w:rFonts w:ascii="Arial" w:hAnsi="Arial" w:cs="Arial" w:eastAsia="Arial" w:hint="default"/>
                <w:sz w:val="18"/>
                <w:szCs w:val="18"/>
              </w:rPr>
            </w:pPr>
            <w:r>
              <w:rPr>
                <w:rFonts w:ascii="Arial"/>
                <w:w w:val="99"/>
                <w:sz w:val="18"/>
              </w:rPr>
              <w:t>-</w:t>
            </w:r>
            <w:r>
              <w:rPr>
                <w:rFonts w:ascii="Arial"/>
                <w:sz w:val="18"/>
              </w:rPr>
            </w:r>
          </w:p>
        </w:tc>
      </w:tr>
      <w:tr>
        <w:trPr>
          <w:trHeight w:val="452" w:hRule="exact"/>
        </w:trPr>
        <w:tc>
          <w:tcPr>
            <w:tcW w:w="3692"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370"/>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777" w:type="dxa"/>
            <w:tcBorders>
              <w:top w:val="nil" w:sz="6" w:space="0" w:color="auto"/>
              <w:left w:val="nil" w:sz="6" w:space="0" w:color="auto"/>
              <w:bottom w:val="single" w:sz="4" w:space="0" w:color="000000"/>
              <w:right w:val="nil" w:sz="6" w:space="0" w:color="auto"/>
            </w:tcBorders>
          </w:tcPr>
          <w:p>
            <w:pPr/>
          </w:p>
        </w:tc>
      </w:tr>
      <w:tr>
        <w:trPr>
          <w:trHeight w:val="472" w:hRule="exact"/>
        </w:trPr>
        <w:tc>
          <w:tcPr>
            <w:tcW w:w="3692" w:type="dxa"/>
            <w:tcBorders>
              <w:top w:val="nil" w:sz="6" w:space="0" w:color="auto"/>
              <w:left w:val="nil" w:sz="6" w:space="0" w:color="auto"/>
              <w:bottom w:val="nil" w:sz="6" w:space="0" w:color="auto"/>
              <w:right w:val="nil" w:sz="6" w:space="0" w:color="auto"/>
            </w:tcBorders>
          </w:tcPr>
          <w:p>
            <w:pPr/>
          </w:p>
        </w:tc>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706"/>
              <w:jc w:val="right"/>
              <w:rPr>
                <w:rFonts w:ascii="宋体" w:hAnsi="宋体" w:cs="宋体" w:eastAsia="宋体" w:hint="default"/>
                <w:sz w:val="18"/>
                <w:szCs w:val="18"/>
              </w:rPr>
            </w:pPr>
            <w:r>
              <w:rPr>
                <w:rFonts w:ascii="宋体" w:hAnsi="宋体" w:cs="宋体" w:eastAsia="宋体" w:hint="default"/>
                <w:sz w:val="18"/>
                <w:szCs w:val="18"/>
              </w:rPr>
              <w:t>丸悦</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95"/>
              <w:jc w:val="right"/>
              <w:rPr>
                <w:rFonts w:ascii="Arial" w:hAnsi="Arial" w:cs="Arial" w:eastAsia="Arial" w:hint="default"/>
                <w:sz w:val="18"/>
                <w:szCs w:val="18"/>
              </w:rPr>
            </w:pPr>
            <w:r>
              <w:rPr>
                <w:rFonts w:ascii="Arial"/>
                <w:sz w:val="18"/>
              </w:rPr>
              <w:t>PPTV</w:t>
            </w:r>
          </w:p>
        </w:tc>
      </w:tr>
      <w:tr>
        <w:trPr>
          <w:trHeight w:val="457"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3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58" w:right="0"/>
              <w:jc w:val="left"/>
              <w:rPr>
                <w:rFonts w:ascii="Arial" w:hAnsi="Arial" w:cs="Arial" w:eastAsia="Arial" w:hint="default"/>
                <w:sz w:val="18"/>
                <w:szCs w:val="18"/>
              </w:rPr>
            </w:pPr>
            <w:r>
              <w:rPr>
                <w:rFonts w:ascii="Arial"/>
                <w:sz w:val="18"/>
              </w:rPr>
              <w:t>42,359</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Arial" w:hAnsi="Arial" w:cs="Arial" w:eastAsia="Arial" w:hint="default"/>
                <w:sz w:val="18"/>
                <w:szCs w:val="18"/>
              </w:rPr>
            </w:pPr>
            <w:r>
              <w:rPr>
                <w:rFonts w:ascii="Arial"/>
                <w:spacing w:val="-1"/>
                <w:sz w:val="18"/>
              </w:rPr>
              <w:t>784,405</w:t>
            </w:r>
          </w:p>
        </w:tc>
      </w:tr>
      <w:tr>
        <w:trPr>
          <w:trHeight w:val="314"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净亏损</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13" w:right="0"/>
              <w:jc w:val="left"/>
              <w:rPr>
                <w:rFonts w:ascii="Arial" w:hAnsi="Arial" w:cs="Arial" w:eastAsia="Arial" w:hint="default"/>
                <w:sz w:val="18"/>
                <w:szCs w:val="18"/>
              </w:rPr>
            </w:pPr>
            <w:r>
              <w:rPr>
                <w:rFonts w:ascii="Arial"/>
                <w:sz w:val="18"/>
              </w:rPr>
              <w:t>(26,923)</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
              <w:jc w:val="right"/>
              <w:rPr>
                <w:rFonts w:ascii="Arial" w:hAnsi="Arial" w:cs="Arial" w:eastAsia="Arial" w:hint="default"/>
                <w:sz w:val="18"/>
                <w:szCs w:val="18"/>
              </w:rPr>
            </w:pPr>
            <w:r>
              <w:rPr>
                <w:rFonts w:ascii="Arial"/>
                <w:spacing w:val="-1"/>
                <w:sz w:val="18"/>
              </w:rPr>
              <w:t>(485,271)</w:t>
            </w:r>
          </w:p>
        </w:tc>
      </w:tr>
      <w:tr>
        <w:trPr>
          <w:trHeight w:val="313"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36"/>
              <w:jc w:val="right"/>
              <w:rPr>
                <w:rFonts w:ascii="Arial" w:hAnsi="Arial" w:cs="Arial" w:eastAsia="Arial" w:hint="default"/>
                <w:sz w:val="18"/>
                <w:szCs w:val="18"/>
              </w:rPr>
            </w:pPr>
            <w:r>
              <w:rPr>
                <w:rFonts w:ascii="Arial"/>
                <w:w w:val="99"/>
                <w:sz w:val="18"/>
              </w:rPr>
              <w:t>-</w:t>
            </w:r>
            <w:r>
              <w:rPr>
                <w:rFonts w:ascii="Arial"/>
                <w:sz w:val="18"/>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57"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13" w:right="0"/>
              <w:jc w:val="left"/>
              <w:rPr>
                <w:rFonts w:ascii="Arial" w:hAnsi="Arial" w:cs="Arial" w:eastAsia="Arial" w:hint="default"/>
                <w:sz w:val="18"/>
                <w:szCs w:val="18"/>
              </w:rPr>
            </w:pPr>
            <w:r>
              <w:rPr>
                <w:rFonts w:ascii="Arial"/>
                <w:sz w:val="18"/>
              </w:rPr>
              <w:t>(26,923)</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right"/>
              <w:rPr>
                <w:rFonts w:ascii="Arial" w:hAnsi="Arial" w:cs="Arial" w:eastAsia="Arial" w:hint="default"/>
                <w:sz w:val="18"/>
                <w:szCs w:val="18"/>
              </w:rPr>
            </w:pPr>
            <w:r>
              <w:rPr>
                <w:rFonts w:ascii="Arial"/>
                <w:spacing w:val="-1"/>
                <w:sz w:val="18"/>
              </w:rPr>
              <w:t>(485,271)</w:t>
            </w:r>
          </w:p>
        </w:tc>
      </w:tr>
      <w:tr>
        <w:trPr>
          <w:trHeight w:val="401"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00" w:right="0"/>
              <w:jc w:val="left"/>
              <w:rPr>
                <w:rFonts w:ascii="宋体" w:hAnsi="宋体" w:cs="宋体" w:eastAsia="宋体" w:hint="default"/>
                <w:sz w:val="18"/>
                <w:szCs w:val="18"/>
              </w:rPr>
            </w:pPr>
            <w:r>
              <w:rPr>
                <w:rFonts w:ascii="宋体" w:hAnsi="宋体" w:cs="宋体" w:eastAsia="宋体" w:hint="default"/>
                <w:sz w:val="18"/>
                <w:szCs w:val="18"/>
              </w:rPr>
              <w:t>本集团本年度收到的来自联营企业的股利</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736"/>
              <w:jc w:val="right"/>
              <w:rPr>
                <w:rFonts w:ascii="Arial" w:hAnsi="Arial" w:cs="Arial" w:eastAsia="Arial" w:hint="default"/>
                <w:sz w:val="18"/>
                <w:szCs w:val="18"/>
              </w:rPr>
            </w:pPr>
            <w:r>
              <w:rPr>
                <w:rFonts w:ascii="Arial"/>
                <w:w w:val="99"/>
                <w:sz w:val="18"/>
              </w:rPr>
              <w:t>-</w:t>
            </w:r>
            <w:r>
              <w:rPr>
                <w:rFonts w:ascii="Arial"/>
                <w:sz w:val="18"/>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755" w:footer="648" w:top="1860" w:bottom="840" w:left="140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658"/>
        <w:gridCol w:w="9023"/>
      </w:tblGrid>
      <w:tr>
        <w:trPr>
          <w:trHeight w:val="459" w:hRule="exact"/>
        </w:trPr>
        <w:tc>
          <w:tcPr>
            <w:tcW w:w="65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9023" w:type="dxa"/>
            <w:tcBorders>
              <w:top w:val="nil" w:sz="6" w:space="0" w:color="auto"/>
              <w:left w:val="nil" w:sz="6" w:space="0" w:color="auto"/>
              <w:bottom w:val="nil" w:sz="6" w:space="0" w:color="auto"/>
              <w:right w:val="nil" w:sz="6" w:space="0" w:color="auto"/>
            </w:tcBorders>
          </w:tcPr>
          <w:p>
            <w:pPr>
              <w:pStyle w:val="TableParagraph"/>
              <w:spacing w:line="240" w:lineRule="exact"/>
              <w:ind w:left="217" w:right="0"/>
              <w:jc w:val="left"/>
              <w:rPr>
                <w:rFonts w:ascii="黑体" w:hAnsi="黑体" w:cs="黑体" w:eastAsia="黑体" w:hint="default"/>
                <w:sz w:val="24"/>
                <w:szCs w:val="24"/>
              </w:rPr>
            </w:pPr>
            <w:r>
              <w:rPr>
                <w:rFonts w:ascii="黑体" w:hAnsi="黑体" w:cs="黑体" w:eastAsia="黑体" w:hint="default"/>
                <w:sz w:val="24"/>
                <w:szCs w:val="24"/>
              </w:rPr>
              <w:t>分部信息</w:t>
            </w:r>
          </w:p>
        </w:tc>
      </w:tr>
      <w:tr>
        <w:trPr>
          <w:trHeight w:val="3946" w:hRule="exact"/>
        </w:trPr>
        <w:tc>
          <w:tcPr>
            <w:tcW w:w="658" w:type="dxa"/>
            <w:tcBorders>
              <w:top w:val="nil" w:sz="6" w:space="0" w:color="auto"/>
              <w:left w:val="nil" w:sz="6" w:space="0" w:color="auto"/>
              <w:bottom w:val="nil" w:sz="6" w:space="0" w:color="auto"/>
              <w:right w:val="nil" w:sz="6" w:space="0" w:color="auto"/>
            </w:tcBorders>
          </w:tcPr>
          <w:p>
            <w:pPr/>
          </w:p>
        </w:tc>
        <w:tc>
          <w:tcPr>
            <w:tcW w:w="9023" w:type="dxa"/>
            <w:tcBorders>
              <w:top w:val="nil" w:sz="6" w:space="0" w:color="auto"/>
              <w:left w:val="nil" w:sz="6" w:space="0" w:color="auto"/>
              <w:bottom w:val="nil" w:sz="6" w:space="0" w:color="auto"/>
              <w:right w:val="nil" w:sz="6" w:space="0" w:color="auto"/>
            </w:tcBorders>
          </w:tcPr>
          <w:p>
            <w:pPr>
              <w:pStyle w:val="TableParagraph"/>
              <w:spacing w:line="237" w:lineRule="auto" w:before="148"/>
              <w:ind w:left="227" w:right="198"/>
              <w:jc w:val="both"/>
              <w:rPr>
                <w:rFonts w:ascii="宋体" w:hAnsi="宋体" w:cs="宋体" w:eastAsia="宋体" w:hint="default"/>
                <w:sz w:val="24"/>
                <w:szCs w:val="24"/>
              </w:rPr>
            </w:pPr>
            <w:r>
              <w:rPr>
                <w:rFonts w:ascii="宋体" w:hAnsi="宋体" w:cs="宋体" w:eastAsia="宋体" w:hint="default"/>
                <w:spacing w:val="-2"/>
                <w:sz w:val="24"/>
                <w:szCs w:val="24"/>
              </w:rPr>
              <w:t>本集团的报告分部是提供不同产品或服务、或在不同地区经营的业务单元。本集团</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业务主要来源于中国和日本，由于不同地区需要不同的技术和市场战略，因此，本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集团分别独立管理各个报告分部的生产经营活动，分别评价其经营成果，以决定向</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其配置资源并评价其业绩。</w:t>
            </w:r>
          </w:p>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40" w:lineRule="auto"/>
              <w:ind w:left="217" w:right="0"/>
              <w:jc w:val="both"/>
              <w:rPr>
                <w:rFonts w:ascii="宋体" w:hAnsi="宋体" w:cs="宋体" w:eastAsia="宋体" w:hint="default"/>
                <w:sz w:val="24"/>
                <w:szCs w:val="24"/>
              </w:rPr>
            </w:pPr>
            <w:r>
              <w:rPr>
                <w:rFonts w:ascii="宋体" w:hAnsi="宋体" w:cs="宋体" w:eastAsia="宋体" w:hint="default"/>
                <w:sz w:val="24"/>
                <w:szCs w:val="24"/>
              </w:rPr>
              <w:t>本集团有</w:t>
            </w:r>
            <w:r>
              <w:rPr>
                <w:rFonts w:ascii="宋体" w:hAnsi="宋体" w:cs="宋体" w:eastAsia="宋体" w:hint="default"/>
                <w:spacing w:val="-60"/>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个报告分部，分别为：</w:t>
            </w: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tabs>
                <w:tab w:pos="976" w:val="left" w:leader="none"/>
              </w:tabs>
              <w:spacing w:line="312" w:lineRule="exact"/>
              <w:ind w:left="976" w:right="329" w:hanging="360"/>
              <w:jc w:val="left"/>
              <w:rPr>
                <w:rFonts w:ascii="宋体" w:hAnsi="宋体" w:cs="宋体" w:eastAsia="宋体" w:hint="default"/>
                <w:sz w:val="24"/>
                <w:szCs w:val="24"/>
              </w:rPr>
            </w:pPr>
            <w:r>
              <w:rPr>
                <w:rFonts w:ascii="Arial" w:hAnsi="Arial" w:cs="Arial" w:eastAsia="Arial" w:hint="default"/>
                <w:sz w:val="24"/>
                <w:szCs w:val="24"/>
              </w:rPr>
              <w:t>-</w:t>
              <w:tab/>
            </w:r>
            <w:r>
              <w:rPr>
                <w:rFonts w:ascii="宋体" w:hAnsi="宋体" w:cs="宋体" w:eastAsia="宋体" w:hint="default"/>
                <w:sz w:val="24"/>
                <w:szCs w:val="24"/>
              </w:rPr>
              <w:t>中国分部，负责中国地区家用电器及消费类电子产品的销售和服务以及其</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他服务收入</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tabs>
                <w:tab w:pos="976" w:val="left" w:leader="none"/>
              </w:tabs>
              <w:spacing w:line="240" w:lineRule="auto"/>
              <w:ind w:left="616" w:right="0"/>
              <w:jc w:val="left"/>
              <w:rPr>
                <w:rFonts w:ascii="宋体" w:hAnsi="宋体" w:cs="宋体" w:eastAsia="宋体" w:hint="default"/>
                <w:sz w:val="24"/>
                <w:szCs w:val="24"/>
              </w:rPr>
            </w:pPr>
            <w:r>
              <w:rPr>
                <w:rFonts w:ascii="Arial" w:hAnsi="Arial" w:cs="Arial" w:eastAsia="Arial" w:hint="default"/>
                <w:sz w:val="24"/>
                <w:szCs w:val="24"/>
              </w:rPr>
              <w:t>-</w:t>
              <w:tab/>
            </w:r>
            <w:r>
              <w:rPr>
                <w:rFonts w:ascii="宋体" w:hAnsi="宋体" w:cs="宋体" w:eastAsia="宋体" w:hint="default"/>
                <w:sz w:val="24"/>
                <w:szCs w:val="24"/>
              </w:rPr>
              <w:t>日本分部，负责日本及其他地区家用电器及消费类电子产品的销售和服务</w:t>
            </w:r>
          </w:p>
        </w:tc>
      </w:tr>
      <w:tr>
        <w:trPr>
          <w:trHeight w:val="1445" w:hRule="exact"/>
        </w:trPr>
        <w:tc>
          <w:tcPr>
            <w:tcW w:w="658" w:type="dxa"/>
            <w:tcBorders>
              <w:top w:val="nil" w:sz="6" w:space="0" w:color="auto"/>
              <w:left w:val="nil" w:sz="6" w:space="0" w:color="auto"/>
              <w:bottom w:val="nil" w:sz="6" w:space="0" w:color="auto"/>
              <w:right w:val="nil" w:sz="6" w:space="0" w:color="auto"/>
            </w:tcBorders>
          </w:tcPr>
          <w:p>
            <w:pPr/>
          </w:p>
        </w:tc>
        <w:tc>
          <w:tcPr>
            <w:tcW w:w="9023"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56" w:right="0"/>
              <w:jc w:val="left"/>
              <w:rPr>
                <w:rFonts w:ascii="宋体" w:hAnsi="宋体" w:cs="宋体" w:eastAsia="宋体" w:hint="default"/>
                <w:sz w:val="24"/>
                <w:szCs w:val="24"/>
              </w:rPr>
            </w:pPr>
            <w:r>
              <w:rPr>
                <w:rFonts w:ascii="宋体" w:hAnsi="宋体" w:cs="宋体" w:eastAsia="宋体" w:hint="default"/>
                <w:sz w:val="24"/>
                <w:szCs w:val="24"/>
              </w:rPr>
              <w:t>分部间转移价格参照向第三方销售所采用的价格确定。</w:t>
            </w:r>
          </w:p>
          <w:p>
            <w:pPr>
              <w:pStyle w:val="TableParagraph"/>
              <w:spacing w:line="240" w:lineRule="auto" w:before="3"/>
              <w:ind w:right="0"/>
              <w:jc w:val="left"/>
              <w:rPr>
                <w:rFonts w:ascii="Times New Roman" w:hAnsi="Times New Roman" w:cs="Times New Roman" w:eastAsia="Times New Roman" w:hint="default"/>
                <w:sz w:val="33"/>
                <w:szCs w:val="33"/>
              </w:rPr>
            </w:pPr>
          </w:p>
          <w:p>
            <w:pPr>
              <w:pStyle w:val="TableParagraph"/>
              <w:spacing w:line="312" w:lineRule="exact"/>
              <w:ind w:left="256" w:right="335"/>
              <w:jc w:val="left"/>
              <w:rPr>
                <w:rFonts w:ascii="宋体" w:hAnsi="宋体" w:cs="宋体" w:eastAsia="宋体" w:hint="default"/>
                <w:sz w:val="24"/>
                <w:szCs w:val="24"/>
              </w:rPr>
            </w:pPr>
            <w:r>
              <w:rPr>
                <w:rFonts w:ascii="宋体" w:hAnsi="宋体" w:cs="宋体" w:eastAsia="宋体" w:hint="default"/>
                <w:sz w:val="24"/>
                <w:szCs w:val="24"/>
              </w:rPr>
              <w:t>资产根据分部的经营以及资产的所在位置进行分配，负债根据分部的经营进行分 配，间接归属于各分部的费用按照收入比例在分部之间进行分配。</w:t>
            </w:r>
          </w:p>
        </w:tc>
      </w:tr>
    </w:tbl>
    <w:p>
      <w:pPr>
        <w:spacing w:after="0" w:line="312" w:lineRule="exact"/>
        <w:jc w:val="left"/>
        <w:rPr>
          <w:rFonts w:ascii="宋体" w:hAnsi="宋体" w:cs="宋体" w:eastAsia="宋体" w:hint="default"/>
          <w:sz w:val="24"/>
          <w:szCs w:val="24"/>
        </w:rPr>
        <w:sectPr>
          <w:pgSz w:w="11910" w:h="16840"/>
          <w:pgMar w:header="755" w:footer="648" w:top="1860" w:bottom="840" w:left="144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691"/>
        <w:gridCol w:w="6070"/>
      </w:tblGrid>
      <w:tr>
        <w:trPr>
          <w:trHeight w:val="461"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exact"/>
              <w:ind w:right="49"/>
              <w:jc w:val="center"/>
              <w:rPr>
                <w:rFonts w:ascii="黑体" w:hAnsi="黑体" w:cs="黑体" w:eastAsia="黑体" w:hint="default"/>
                <w:sz w:val="24"/>
                <w:szCs w:val="24"/>
              </w:rPr>
            </w:pPr>
            <w:r>
              <w:rPr>
                <w:rFonts w:ascii="黑体" w:hAnsi="黑体" w:cs="黑体" w:eastAsia="黑体" w:hint="default"/>
                <w:sz w:val="24"/>
                <w:szCs w:val="24"/>
              </w:rPr>
              <w:t>七</w:t>
            </w:r>
          </w:p>
        </w:tc>
        <w:tc>
          <w:tcPr>
            <w:tcW w:w="6070" w:type="dxa"/>
            <w:tcBorders>
              <w:top w:val="nil" w:sz="6" w:space="0" w:color="auto"/>
              <w:left w:val="nil" w:sz="6" w:space="0" w:color="auto"/>
              <w:bottom w:val="nil" w:sz="6" w:space="0" w:color="auto"/>
              <w:right w:val="nil" w:sz="6" w:space="0" w:color="auto"/>
            </w:tcBorders>
          </w:tcPr>
          <w:p>
            <w:pPr>
              <w:pStyle w:val="TableParagraph"/>
              <w:spacing w:line="257" w:lineRule="exact"/>
              <w:ind w:left="223" w:right="0"/>
              <w:jc w:val="left"/>
              <w:rPr>
                <w:rFonts w:ascii="Arial" w:hAnsi="Arial" w:cs="Arial" w:eastAsia="Arial" w:hint="default"/>
                <w:sz w:val="24"/>
                <w:szCs w:val="24"/>
              </w:rPr>
            </w:pPr>
            <w:r>
              <w:rPr>
                <w:rFonts w:ascii="黑体" w:hAnsi="黑体" w:cs="黑体" w:eastAsia="黑体" w:hint="default"/>
                <w:sz w:val="24"/>
                <w:szCs w:val="24"/>
              </w:rPr>
              <w:t>分部信息</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46"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81"/>
              <w:ind w:right="21"/>
              <w:jc w:val="center"/>
              <w:rPr>
                <w:rFonts w:ascii="Arial" w:hAnsi="Arial" w:cs="Arial" w:eastAsia="Arial" w:hint="default"/>
                <w:sz w:val="22"/>
                <w:szCs w:val="22"/>
              </w:rPr>
            </w:pPr>
            <w:r>
              <w:rPr>
                <w:rFonts w:ascii="Arial"/>
                <w:sz w:val="22"/>
              </w:rPr>
              <w:t>(a)</w:t>
            </w:r>
          </w:p>
        </w:tc>
        <w:tc>
          <w:tcPr>
            <w:tcW w:w="607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23" w:right="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年度及</w:t>
            </w:r>
            <w:r>
              <w:rPr>
                <w:rFonts w:ascii="宋体" w:hAnsi="宋体" w:cs="宋体" w:eastAsia="宋体" w:hint="default"/>
                <w:spacing w:val="-57"/>
                <w:sz w:val="22"/>
                <w:szCs w:val="22"/>
              </w:rPr>
              <w:t> </w:t>
            </w: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31</w:t>
            </w:r>
            <w:r>
              <w:rPr>
                <w:rFonts w:ascii="Arial" w:hAnsi="Arial" w:cs="Arial" w:eastAsia="Arial" w:hint="default"/>
                <w:spacing w:val="-8"/>
                <w:sz w:val="22"/>
                <w:szCs w:val="22"/>
              </w:rPr>
              <w:t> </w:t>
            </w:r>
            <w:r>
              <w:rPr>
                <w:rFonts w:ascii="宋体" w:hAnsi="宋体" w:cs="宋体" w:eastAsia="宋体" w:hint="default"/>
                <w:sz w:val="22"/>
                <w:szCs w:val="22"/>
              </w:rPr>
              <w:t>日分部信息列示如下：</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tbl>
      <w:tblPr>
        <w:tblW w:w="0" w:type="auto"/>
        <w:jc w:val="left"/>
        <w:tblInd w:w="826" w:type="dxa"/>
        <w:tblLayout w:type="fixed"/>
        <w:tblCellMar>
          <w:top w:w="0" w:type="dxa"/>
          <w:left w:w="0" w:type="dxa"/>
          <w:bottom w:w="0" w:type="dxa"/>
          <w:right w:w="0" w:type="dxa"/>
        </w:tblCellMar>
        <w:tblLook w:val="01E0"/>
      </w:tblPr>
      <w:tblGrid>
        <w:gridCol w:w="2353"/>
        <w:gridCol w:w="1806"/>
        <w:gridCol w:w="1662"/>
        <w:gridCol w:w="1493"/>
        <w:gridCol w:w="1571"/>
      </w:tblGrid>
      <w:tr>
        <w:trPr>
          <w:trHeight w:val="402" w:hRule="exact"/>
        </w:trPr>
        <w:tc>
          <w:tcPr>
            <w:tcW w:w="2353" w:type="dxa"/>
            <w:tcBorders>
              <w:top w:val="nil" w:sz="6" w:space="0" w:color="auto"/>
              <w:left w:val="nil" w:sz="6" w:space="0" w:color="auto"/>
              <w:bottom w:val="nil" w:sz="6" w:space="0" w:color="auto"/>
              <w:right w:val="nil" w:sz="6" w:space="0" w:color="auto"/>
            </w:tcBorders>
          </w:tcPr>
          <w:p>
            <w:pPr/>
          </w:p>
        </w:tc>
        <w:tc>
          <w:tcPr>
            <w:tcW w:w="1806" w:type="dxa"/>
            <w:tcBorders>
              <w:top w:val="nil" w:sz="6" w:space="0" w:color="auto"/>
              <w:left w:val="nil" w:sz="6" w:space="0" w:color="auto"/>
              <w:bottom w:val="nil" w:sz="6" w:space="0" w:color="auto"/>
              <w:right w:val="nil" w:sz="6" w:space="0" w:color="auto"/>
            </w:tcBorders>
          </w:tcPr>
          <w:p>
            <w:pPr>
              <w:pStyle w:val="TableParagraph"/>
              <w:spacing w:line="180" w:lineRule="exact"/>
              <w:ind w:right="488"/>
              <w:jc w:val="right"/>
              <w:rPr>
                <w:rFonts w:ascii="宋体" w:hAnsi="宋体" w:cs="宋体" w:eastAsia="宋体" w:hint="default"/>
                <w:sz w:val="18"/>
                <w:szCs w:val="18"/>
              </w:rPr>
            </w:pPr>
            <w:r>
              <w:rPr>
                <w:rFonts w:ascii="宋体" w:hAnsi="宋体" w:cs="宋体" w:eastAsia="宋体" w:hint="default"/>
                <w:sz w:val="18"/>
                <w:szCs w:val="18"/>
              </w:rPr>
              <w:t>中国分部</w:t>
            </w:r>
          </w:p>
        </w:tc>
        <w:tc>
          <w:tcPr>
            <w:tcW w:w="1662" w:type="dxa"/>
            <w:tcBorders>
              <w:top w:val="nil" w:sz="6" w:space="0" w:color="auto"/>
              <w:left w:val="nil" w:sz="6" w:space="0" w:color="auto"/>
              <w:bottom w:val="nil" w:sz="6" w:space="0" w:color="auto"/>
              <w:right w:val="nil" w:sz="6" w:space="0" w:color="auto"/>
            </w:tcBorders>
          </w:tcPr>
          <w:p>
            <w:pPr>
              <w:pStyle w:val="TableParagraph"/>
              <w:spacing w:line="180" w:lineRule="exact"/>
              <w:ind w:left="553" w:right="0"/>
              <w:jc w:val="left"/>
              <w:rPr>
                <w:rFonts w:ascii="宋体" w:hAnsi="宋体" w:cs="宋体" w:eastAsia="宋体" w:hint="default"/>
                <w:sz w:val="18"/>
                <w:szCs w:val="18"/>
              </w:rPr>
            </w:pPr>
            <w:r>
              <w:rPr>
                <w:rFonts w:ascii="宋体" w:hAnsi="宋体" w:cs="宋体" w:eastAsia="宋体" w:hint="default"/>
                <w:sz w:val="18"/>
                <w:szCs w:val="18"/>
              </w:rPr>
              <w:t>日本分部</w:t>
            </w:r>
          </w:p>
        </w:tc>
        <w:tc>
          <w:tcPr>
            <w:tcW w:w="1493" w:type="dxa"/>
            <w:tcBorders>
              <w:top w:val="nil" w:sz="6" w:space="0" w:color="auto"/>
              <w:left w:val="nil" w:sz="6" w:space="0" w:color="auto"/>
              <w:bottom w:val="nil" w:sz="6" w:space="0" w:color="auto"/>
              <w:right w:val="nil" w:sz="6" w:space="0" w:color="auto"/>
            </w:tcBorders>
          </w:tcPr>
          <w:p>
            <w:pPr>
              <w:pStyle w:val="TableParagraph"/>
              <w:spacing w:line="180" w:lineRule="exact"/>
              <w:ind w:right="291"/>
              <w:jc w:val="right"/>
              <w:rPr>
                <w:rFonts w:ascii="宋体" w:hAnsi="宋体" w:cs="宋体" w:eastAsia="宋体" w:hint="default"/>
                <w:sz w:val="18"/>
                <w:szCs w:val="18"/>
              </w:rPr>
            </w:pPr>
            <w:r>
              <w:rPr>
                <w:rFonts w:ascii="宋体" w:hAnsi="宋体" w:cs="宋体" w:eastAsia="宋体" w:hint="default"/>
                <w:sz w:val="18"/>
                <w:szCs w:val="18"/>
              </w:rPr>
              <w:t>分部间抵消</w:t>
            </w:r>
          </w:p>
        </w:tc>
        <w:tc>
          <w:tcPr>
            <w:tcW w:w="1571" w:type="dxa"/>
            <w:tcBorders>
              <w:top w:val="nil" w:sz="6" w:space="0" w:color="auto"/>
              <w:left w:val="nil" w:sz="6" w:space="0" w:color="auto"/>
              <w:bottom w:val="nil" w:sz="6" w:space="0" w:color="auto"/>
              <w:right w:val="nil" w:sz="6" w:space="0" w:color="auto"/>
            </w:tcBorders>
          </w:tcPr>
          <w:p>
            <w:pPr>
              <w:pStyle w:val="TableParagraph"/>
              <w:spacing w:line="180" w:lineRule="exact"/>
              <w:ind w:left="91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80"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487"/>
              <w:jc w:val="right"/>
              <w:rPr>
                <w:rFonts w:ascii="Arial" w:hAnsi="Arial" w:cs="Arial" w:eastAsia="Arial" w:hint="default"/>
                <w:sz w:val="18"/>
                <w:szCs w:val="18"/>
              </w:rPr>
            </w:pPr>
            <w:r>
              <w:rPr>
                <w:rFonts w:ascii="Arial"/>
                <w:spacing w:val="-1"/>
                <w:sz w:val="18"/>
              </w:rPr>
              <w:t>130,652,711</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74" w:right="0"/>
              <w:jc w:val="left"/>
              <w:rPr>
                <w:rFonts w:ascii="Arial" w:hAnsi="Arial" w:cs="Arial" w:eastAsia="Arial" w:hint="default"/>
                <w:sz w:val="18"/>
                <w:szCs w:val="18"/>
              </w:rPr>
            </w:pPr>
            <w:r>
              <w:rPr>
                <w:rFonts w:ascii="Arial"/>
                <w:sz w:val="18"/>
              </w:rPr>
              <w:t>4,939,263</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49"/>
              <w:jc w:val="right"/>
              <w:rPr>
                <w:rFonts w:ascii="Arial" w:hAnsi="Arial" w:cs="Arial" w:eastAsia="Arial" w:hint="default"/>
                <w:sz w:val="18"/>
                <w:szCs w:val="18"/>
              </w:rPr>
            </w:pPr>
            <w:r>
              <w:rPr>
                <w:rFonts w:ascii="Arial"/>
                <w:spacing w:val="-1"/>
                <w:sz w:val="18"/>
              </w:rPr>
              <w:t>(44,341)</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86" w:right="0"/>
              <w:jc w:val="left"/>
              <w:rPr>
                <w:rFonts w:ascii="Arial" w:hAnsi="Arial" w:cs="Arial" w:eastAsia="Arial" w:hint="default"/>
                <w:sz w:val="18"/>
                <w:szCs w:val="18"/>
              </w:rPr>
            </w:pPr>
            <w:r>
              <w:rPr>
                <w:rFonts w:ascii="Arial"/>
                <w:sz w:val="18"/>
              </w:rPr>
              <w:t>135,547,633</w:t>
            </w:r>
          </w:p>
        </w:tc>
      </w:tr>
      <w:tr>
        <w:trPr>
          <w:trHeight w:val="31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87"/>
              <w:jc w:val="right"/>
              <w:rPr>
                <w:rFonts w:ascii="Arial" w:hAnsi="Arial" w:cs="Arial" w:eastAsia="Arial" w:hint="default"/>
                <w:sz w:val="18"/>
                <w:szCs w:val="18"/>
              </w:rPr>
            </w:pPr>
            <w:r>
              <w:rPr>
                <w:rFonts w:ascii="Arial"/>
                <w:spacing w:val="-1"/>
                <w:sz w:val="18"/>
              </w:rPr>
              <w:t>130,608,370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4" w:right="0"/>
              <w:jc w:val="left"/>
              <w:rPr>
                <w:rFonts w:ascii="Arial" w:hAnsi="Arial" w:cs="Arial" w:eastAsia="Arial" w:hint="default"/>
                <w:sz w:val="18"/>
                <w:szCs w:val="18"/>
              </w:rPr>
            </w:pPr>
            <w:r>
              <w:rPr>
                <w:rFonts w:ascii="Arial"/>
                <w:sz w:val="18"/>
              </w:rPr>
              <w:t>4,939,263</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6" w:right="0"/>
              <w:jc w:val="left"/>
              <w:rPr>
                <w:rFonts w:ascii="Arial" w:hAnsi="Arial" w:cs="Arial" w:eastAsia="Arial" w:hint="default"/>
                <w:sz w:val="18"/>
                <w:szCs w:val="18"/>
              </w:rPr>
            </w:pPr>
            <w:r>
              <w:rPr>
                <w:rFonts w:ascii="Arial"/>
                <w:sz w:val="18"/>
              </w:rPr>
              <w:t>135,547,633</w:t>
            </w:r>
          </w:p>
        </w:tc>
      </w:tr>
      <w:tr>
        <w:trPr>
          <w:trHeight w:val="31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1"/>
              <w:jc w:val="right"/>
              <w:rPr>
                <w:rFonts w:ascii="Arial" w:hAnsi="Arial" w:cs="Arial" w:eastAsia="Arial" w:hint="default"/>
                <w:sz w:val="18"/>
                <w:szCs w:val="18"/>
              </w:rPr>
            </w:pPr>
            <w:r>
              <w:rPr>
                <w:rFonts w:ascii="Arial"/>
                <w:spacing w:val="-1"/>
                <w:sz w:val="18"/>
              </w:rPr>
              <w:t>(112,793,371)</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1"/>
              <w:jc w:val="right"/>
              <w:rPr>
                <w:rFonts w:ascii="Arial" w:hAnsi="Arial" w:cs="Arial" w:eastAsia="Arial" w:hint="default"/>
                <w:sz w:val="18"/>
                <w:szCs w:val="18"/>
              </w:rPr>
            </w:pPr>
            <w:r>
              <w:rPr>
                <w:rFonts w:ascii="Arial"/>
                <w:spacing w:val="-1"/>
                <w:sz w:val="18"/>
              </w:rPr>
              <w:t>(3,187,834)</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1"/>
              <w:jc w:val="right"/>
              <w:rPr>
                <w:rFonts w:ascii="Arial" w:hAnsi="Arial" w:cs="Arial" w:eastAsia="Arial" w:hint="default"/>
                <w:sz w:val="18"/>
                <w:szCs w:val="18"/>
              </w:rPr>
            </w:pPr>
            <w:r>
              <w:rPr>
                <w:rFonts w:ascii="Arial"/>
                <w:spacing w:val="-1"/>
                <w:w w:val="95"/>
                <w:sz w:val="18"/>
              </w:rPr>
              <w:t>23</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spacing w:val="-1"/>
                <w:sz w:val="18"/>
              </w:rPr>
              <w:t>(115,981,182)</w:t>
            </w:r>
          </w:p>
        </w:tc>
      </w:tr>
      <w:tr>
        <w:trPr>
          <w:trHeight w:val="314"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1"/>
              <w:jc w:val="right"/>
              <w:rPr>
                <w:rFonts w:ascii="Arial" w:hAnsi="Arial" w:cs="Arial" w:eastAsia="Arial" w:hint="default"/>
                <w:sz w:val="18"/>
                <w:szCs w:val="18"/>
              </w:rPr>
            </w:pPr>
            <w:r>
              <w:rPr>
                <w:rFonts w:ascii="Arial"/>
                <w:spacing w:val="-1"/>
                <w:sz w:val="18"/>
              </w:rPr>
              <w:t>(583,571)</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1"/>
              <w:jc w:val="right"/>
              <w:rPr>
                <w:rFonts w:ascii="Arial" w:hAnsi="Arial" w:cs="Arial" w:eastAsia="Arial" w:hint="default"/>
                <w:sz w:val="18"/>
                <w:szCs w:val="18"/>
              </w:rPr>
            </w:pPr>
            <w:r>
              <w:rPr>
                <w:rFonts w:ascii="Arial"/>
                <w:spacing w:val="-1"/>
                <w:sz w:val="18"/>
              </w:rPr>
              <w:t>(2,225)</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spacing w:val="-1"/>
                <w:sz w:val="18"/>
              </w:rPr>
              <w:t>(585,796)</w:t>
            </w:r>
          </w:p>
        </w:tc>
      </w:tr>
      <w:tr>
        <w:trPr>
          <w:trHeight w:val="314"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1"/>
              <w:jc w:val="right"/>
              <w:rPr>
                <w:rFonts w:ascii="Arial" w:hAnsi="Arial" w:cs="Arial" w:eastAsia="Arial" w:hint="default"/>
                <w:sz w:val="18"/>
                <w:szCs w:val="18"/>
              </w:rPr>
            </w:pPr>
            <w:r>
              <w:rPr>
                <w:rFonts w:ascii="Arial"/>
                <w:spacing w:val="-1"/>
                <w:sz w:val="18"/>
              </w:rPr>
              <w:t>(15,555,243)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1"/>
              <w:jc w:val="right"/>
              <w:rPr>
                <w:rFonts w:ascii="Arial" w:hAnsi="Arial" w:cs="Arial" w:eastAsia="Arial" w:hint="default"/>
                <w:sz w:val="18"/>
                <w:szCs w:val="18"/>
              </w:rPr>
            </w:pPr>
            <w:r>
              <w:rPr>
                <w:rFonts w:ascii="Arial"/>
                <w:spacing w:val="-1"/>
                <w:sz w:val="18"/>
              </w:rPr>
              <w:t>(1,133,567)</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w:hAnsi="Arial" w:cs="Arial" w:eastAsia="Arial" w:hint="default"/>
                <w:sz w:val="18"/>
                <w:szCs w:val="18"/>
              </w:rPr>
            </w:pPr>
            <w:r>
              <w:rPr>
                <w:rFonts w:ascii="Arial"/>
                <w:spacing w:val="-1"/>
                <w:sz w:val="18"/>
              </w:rPr>
              <w:t>44,134</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2"/>
              <w:jc w:val="right"/>
              <w:rPr>
                <w:rFonts w:ascii="Arial" w:hAnsi="Arial" w:cs="Arial" w:eastAsia="Arial" w:hint="default"/>
                <w:sz w:val="18"/>
                <w:szCs w:val="18"/>
              </w:rPr>
            </w:pPr>
            <w:r>
              <w:rPr>
                <w:rFonts w:ascii="Arial"/>
                <w:spacing w:val="-1"/>
                <w:sz w:val="18"/>
              </w:rPr>
              <w:t>(16,644,676)</w:t>
            </w:r>
          </w:p>
        </w:tc>
      </w:tr>
      <w:tr>
        <w:trPr>
          <w:trHeight w:val="31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1"/>
              <w:jc w:val="right"/>
              <w:rPr>
                <w:rFonts w:ascii="Arial" w:hAnsi="Arial" w:cs="Arial" w:eastAsia="Arial" w:hint="default"/>
                <w:sz w:val="18"/>
                <w:szCs w:val="18"/>
              </w:rPr>
            </w:pPr>
            <w:r>
              <w:rPr>
                <w:rFonts w:ascii="Arial"/>
                <w:spacing w:val="-1"/>
                <w:sz w:val="18"/>
              </w:rPr>
              <w:t>(4,131,307)</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1"/>
              <w:jc w:val="right"/>
              <w:rPr>
                <w:rFonts w:ascii="Arial" w:hAnsi="Arial" w:cs="Arial" w:eastAsia="Arial" w:hint="default"/>
                <w:sz w:val="18"/>
                <w:szCs w:val="18"/>
              </w:rPr>
            </w:pPr>
            <w:r>
              <w:rPr>
                <w:rFonts w:ascii="Arial"/>
                <w:spacing w:val="-1"/>
                <w:sz w:val="18"/>
              </w:rPr>
              <w:t>(160,352)</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1"/>
              <w:jc w:val="right"/>
              <w:rPr>
                <w:rFonts w:ascii="Arial" w:hAnsi="Arial" w:cs="Arial" w:eastAsia="Arial" w:hint="default"/>
                <w:sz w:val="18"/>
                <w:szCs w:val="18"/>
              </w:rPr>
            </w:pPr>
            <w:r>
              <w:rPr>
                <w:rFonts w:ascii="Arial"/>
                <w:spacing w:val="-1"/>
                <w:w w:val="95"/>
                <w:sz w:val="18"/>
              </w:rPr>
              <w:t>184</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spacing w:val="-1"/>
                <w:sz w:val="18"/>
              </w:rPr>
              <w:t>(4,291,475)</w:t>
            </w:r>
          </w:p>
        </w:tc>
      </w:tr>
      <w:tr>
        <w:trPr>
          <w:trHeight w:val="31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财务费用 </w:t>
            </w:r>
            <w:r>
              <w:rPr>
                <w:rFonts w:ascii="Arial" w:hAnsi="Arial" w:cs="Arial" w:eastAsia="Arial" w:hint="default"/>
                <w:sz w:val="18"/>
                <w:szCs w:val="18"/>
              </w:rPr>
              <w:t>-</w:t>
            </w:r>
            <w:r>
              <w:rPr>
                <w:rFonts w:ascii="Arial" w:hAnsi="Arial" w:cs="Arial" w:eastAsia="Arial" w:hint="default"/>
                <w:spacing w:val="40"/>
                <w:sz w:val="18"/>
                <w:szCs w:val="18"/>
              </w:rPr>
              <w:t> </w:t>
            </w:r>
            <w:r>
              <w:rPr>
                <w:rFonts w:ascii="宋体" w:hAnsi="宋体" w:cs="宋体" w:eastAsia="宋体" w:hint="default"/>
                <w:sz w:val="18"/>
                <w:szCs w:val="18"/>
              </w:rPr>
              <w:t>净额</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1"/>
              <w:jc w:val="right"/>
              <w:rPr>
                <w:rFonts w:ascii="Arial" w:hAnsi="Arial" w:cs="Arial" w:eastAsia="Arial" w:hint="default"/>
                <w:sz w:val="18"/>
                <w:szCs w:val="18"/>
              </w:rPr>
            </w:pPr>
            <w:r>
              <w:rPr>
                <w:rFonts w:ascii="Arial"/>
                <w:spacing w:val="-1"/>
                <w:sz w:val="18"/>
              </w:rPr>
              <w:t>(93,853)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1"/>
              <w:jc w:val="right"/>
              <w:rPr>
                <w:rFonts w:ascii="Arial" w:hAnsi="Arial" w:cs="Arial" w:eastAsia="Arial" w:hint="default"/>
                <w:sz w:val="18"/>
                <w:szCs w:val="18"/>
              </w:rPr>
            </w:pPr>
            <w:r>
              <w:rPr>
                <w:rFonts w:ascii="Arial"/>
                <w:spacing w:val="-1"/>
                <w:sz w:val="18"/>
              </w:rPr>
              <w:t>(10,429)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spacing w:val="-1"/>
                <w:sz w:val="18"/>
              </w:rPr>
              <w:t>(104,282)</w:t>
            </w:r>
          </w:p>
        </w:tc>
      </w:tr>
      <w:tr>
        <w:trPr>
          <w:trHeight w:val="31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1"/>
              <w:jc w:val="right"/>
              <w:rPr>
                <w:rFonts w:ascii="Arial" w:hAnsi="Arial" w:cs="Arial" w:eastAsia="Arial" w:hint="default"/>
                <w:sz w:val="18"/>
                <w:szCs w:val="18"/>
              </w:rPr>
            </w:pPr>
            <w:r>
              <w:rPr>
                <w:rFonts w:ascii="Arial"/>
                <w:spacing w:val="-1"/>
                <w:sz w:val="18"/>
              </w:rPr>
              <w:t>(184,607)</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1"/>
              <w:jc w:val="right"/>
              <w:rPr>
                <w:rFonts w:ascii="Arial" w:hAnsi="Arial" w:cs="Arial" w:eastAsia="Arial" w:hint="default"/>
                <w:sz w:val="18"/>
                <w:szCs w:val="18"/>
              </w:rPr>
            </w:pPr>
            <w:r>
              <w:rPr>
                <w:rFonts w:ascii="Arial"/>
                <w:spacing w:val="-1"/>
                <w:sz w:val="18"/>
              </w:rPr>
              <w:t>(13,480)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spacing w:val="-1"/>
                <w:sz w:val="18"/>
              </w:rPr>
              <w:t>(198,087)</w:t>
            </w:r>
          </w:p>
        </w:tc>
      </w:tr>
      <w:tr>
        <w:trPr>
          <w:trHeight w:val="314"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1"/>
              <w:jc w:val="right"/>
              <w:rPr>
                <w:rFonts w:ascii="Arial" w:hAnsi="Arial" w:cs="Arial" w:eastAsia="Arial" w:hint="default"/>
                <w:sz w:val="18"/>
                <w:szCs w:val="18"/>
              </w:rPr>
            </w:pPr>
            <w:r>
              <w:rPr>
                <w:rFonts w:ascii="Arial"/>
                <w:spacing w:val="-1"/>
                <w:sz w:val="18"/>
              </w:rPr>
              <w:t>(6,920)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85"/>
              <w:jc w:val="right"/>
              <w:rPr>
                <w:rFonts w:ascii="Arial" w:hAnsi="Arial" w:cs="Arial" w:eastAsia="Arial" w:hint="default"/>
                <w:sz w:val="18"/>
                <w:szCs w:val="18"/>
              </w:rPr>
            </w:pPr>
            <w:r>
              <w:rPr>
                <w:rFonts w:ascii="Arial"/>
                <w:w w:val="99"/>
                <w:sz w:val="18"/>
              </w:rPr>
              <w:t>-</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spacing w:val="-1"/>
                <w:sz w:val="18"/>
              </w:rPr>
              <w:t>(6,920)</w:t>
            </w:r>
          </w:p>
        </w:tc>
      </w:tr>
      <w:tr>
        <w:trPr>
          <w:trHeight w:val="469"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87"/>
              <w:jc w:val="right"/>
              <w:rPr>
                <w:rFonts w:ascii="Arial" w:hAnsi="Arial" w:cs="Arial" w:eastAsia="Arial" w:hint="default"/>
                <w:sz w:val="18"/>
                <w:szCs w:val="18"/>
              </w:rPr>
            </w:pPr>
            <w:r>
              <w:rPr>
                <w:rFonts w:ascii="Arial"/>
                <w:spacing w:val="-1"/>
                <w:sz w:val="18"/>
              </w:rPr>
              <w:t>1,654,764</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85"/>
              <w:jc w:val="right"/>
              <w:rPr>
                <w:rFonts w:ascii="Arial" w:hAnsi="Arial" w:cs="Arial" w:eastAsia="Arial" w:hint="default"/>
                <w:sz w:val="18"/>
                <w:szCs w:val="18"/>
              </w:rPr>
            </w:pPr>
            <w:r>
              <w:rPr>
                <w:rFonts w:ascii="Arial"/>
                <w:w w:val="99"/>
                <w:sz w:val="18"/>
              </w:rPr>
              <w:t>-</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74" w:right="0"/>
              <w:jc w:val="left"/>
              <w:rPr>
                <w:rFonts w:ascii="Arial" w:hAnsi="Arial" w:cs="Arial" w:eastAsia="Arial" w:hint="default"/>
                <w:sz w:val="18"/>
                <w:szCs w:val="18"/>
              </w:rPr>
            </w:pPr>
            <w:r>
              <w:rPr>
                <w:rFonts w:ascii="Arial"/>
                <w:sz w:val="18"/>
              </w:rPr>
              <w:t>1,654,764</w:t>
            </w:r>
          </w:p>
        </w:tc>
      </w:tr>
      <w:tr>
        <w:trPr>
          <w:trHeight w:val="468"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10" w:right="0"/>
              <w:jc w:val="left"/>
              <w:rPr>
                <w:rFonts w:ascii="宋体" w:hAnsi="宋体" w:cs="宋体" w:eastAsia="宋体" w:hint="default"/>
                <w:sz w:val="18"/>
                <w:szCs w:val="18"/>
              </w:rPr>
            </w:pPr>
            <w:r>
              <w:rPr>
                <w:rFonts w:ascii="宋体" w:hAnsi="宋体" w:cs="宋体" w:eastAsia="宋体" w:hint="default"/>
                <w:sz w:val="18"/>
                <w:szCs w:val="18"/>
              </w:rPr>
              <w:t>营业</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r>
              <w:rPr>
                <w:rFonts w:ascii="宋体" w:hAnsi="宋体" w:cs="宋体" w:eastAsia="宋体" w:hint="default"/>
                <w:sz w:val="18"/>
                <w:szCs w:val="18"/>
              </w:rPr>
              <w:t>利润</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41"/>
              <w:jc w:val="right"/>
              <w:rPr>
                <w:rFonts w:ascii="Arial" w:hAnsi="Arial" w:cs="Arial" w:eastAsia="Arial" w:hint="default"/>
                <w:sz w:val="18"/>
                <w:szCs w:val="18"/>
              </w:rPr>
            </w:pPr>
            <w:r>
              <w:rPr>
                <w:rFonts w:ascii="Arial"/>
                <w:spacing w:val="-1"/>
                <w:sz w:val="18"/>
              </w:rPr>
              <w:t>(1,041,397)</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24" w:right="0"/>
              <w:jc w:val="left"/>
              <w:rPr>
                <w:rFonts w:ascii="Arial" w:hAnsi="Arial" w:cs="Arial" w:eastAsia="Arial" w:hint="default"/>
                <w:sz w:val="18"/>
                <w:szCs w:val="18"/>
              </w:rPr>
            </w:pPr>
            <w:r>
              <w:rPr>
                <w:rFonts w:ascii="Arial"/>
                <w:sz w:val="18"/>
              </w:rPr>
              <w:t>431,376</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(610,021)</w:t>
            </w:r>
          </w:p>
        </w:tc>
      </w:tr>
      <w:tr>
        <w:trPr>
          <w:trHeight w:val="31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88"/>
              <w:jc w:val="right"/>
              <w:rPr>
                <w:rFonts w:ascii="Arial" w:hAnsi="Arial" w:cs="Arial" w:eastAsia="Arial" w:hint="default"/>
                <w:sz w:val="18"/>
                <w:szCs w:val="18"/>
              </w:rPr>
            </w:pPr>
            <w:r>
              <w:rPr>
                <w:rFonts w:ascii="Arial"/>
                <w:spacing w:val="-1"/>
                <w:sz w:val="18"/>
              </w:rPr>
              <w:t>1,642,180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85"/>
              <w:jc w:val="right"/>
              <w:rPr>
                <w:rFonts w:ascii="Arial" w:hAnsi="Arial" w:cs="Arial" w:eastAsia="Arial" w:hint="default"/>
                <w:sz w:val="18"/>
                <w:szCs w:val="18"/>
              </w:rPr>
            </w:pPr>
            <w:r>
              <w:rPr>
                <w:rFonts w:ascii="Arial"/>
                <w:spacing w:val="-1"/>
                <w:sz w:val="18"/>
              </w:rPr>
              <w:t>23,044</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72" w:right="0"/>
              <w:jc w:val="left"/>
              <w:rPr>
                <w:rFonts w:ascii="Arial" w:hAnsi="Arial" w:cs="Arial" w:eastAsia="Arial" w:hint="default"/>
                <w:sz w:val="18"/>
                <w:szCs w:val="18"/>
              </w:rPr>
            </w:pPr>
            <w:r>
              <w:rPr>
                <w:rFonts w:ascii="Arial"/>
                <w:sz w:val="18"/>
              </w:rPr>
              <w:t>1,665,224</w:t>
            </w:r>
          </w:p>
        </w:tc>
      </w:tr>
      <w:tr>
        <w:trPr>
          <w:trHeight w:val="314"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27"/>
              <w:jc w:val="right"/>
              <w:rPr>
                <w:rFonts w:ascii="Arial" w:hAnsi="Arial" w:cs="Arial" w:eastAsia="Arial" w:hint="default"/>
                <w:sz w:val="18"/>
                <w:szCs w:val="18"/>
              </w:rPr>
            </w:pPr>
            <w:r>
              <w:rPr>
                <w:rFonts w:ascii="Arial"/>
                <w:spacing w:val="-1"/>
                <w:sz w:val="18"/>
              </w:rPr>
              <w:t>(156,355)</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7"/>
              <w:jc w:val="right"/>
              <w:rPr>
                <w:rFonts w:ascii="Arial" w:hAnsi="Arial" w:cs="Arial" w:eastAsia="Arial" w:hint="default"/>
                <w:sz w:val="18"/>
                <w:szCs w:val="18"/>
              </w:rPr>
            </w:pPr>
            <w:r>
              <w:rPr>
                <w:rFonts w:ascii="Arial"/>
                <w:spacing w:val="-1"/>
                <w:sz w:val="18"/>
              </w:rPr>
              <w:t>(9,891)</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25"/>
              <w:jc w:val="right"/>
              <w:rPr>
                <w:rFonts w:ascii="Arial" w:hAnsi="Arial" w:cs="Arial" w:eastAsia="Arial" w:hint="default"/>
                <w:sz w:val="18"/>
                <w:szCs w:val="18"/>
              </w:rPr>
            </w:pPr>
            <w:r>
              <w:rPr>
                <w:rFonts w:ascii="Arial"/>
                <w:spacing w:val="-1"/>
                <w:sz w:val="18"/>
              </w:rPr>
              <w:t>(166,246)</w:t>
            </w:r>
          </w:p>
        </w:tc>
      </w:tr>
      <w:tr>
        <w:trPr>
          <w:trHeight w:val="31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88"/>
              <w:jc w:val="right"/>
              <w:rPr>
                <w:rFonts w:ascii="Arial" w:hAnsi="Arial" w:cs="Arial" w:eastAsia="Arial" w:hint="default"/>
                <w:sz w:val="18"/>
                <w:szCs w:val="18"/>
              </w:rPr>
            </w:pPr>
            <w:r>
              <w:rPr>
                <w:rFonts w:ascii="Arial"/>
                <w:spacing w:val="-1"/>
                <w:sz w:val="18"/>
              </w:rPr>
              <w:t>444,428</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23" w:right="0"/>
              <w:jc w:val="left"/>
              <w:rPr>
                <w:rFonts w:ascii="Arial" w:hAnsi="Arial" w:cs="Arial" w:eastAsia="Arial" w:hint="default"/>
                <w:sz w:val="18"/>
                <w:szCs w:val="18"/>
              </w:rPr>
            </w:pPr>
            <w:r>
              <w:rPr>
                <w:rFonts w:ascii="Arial"/>
                <w:sz w:val="18"/>
              </w:rPr>
              <w:t>444,529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82" w:right="0"/>
              <w:jc w:val="left"/>
              <w:rPr>
                <w:rFonts w:ascii="Arial" w:hAnsi="Arial" w:cs="Arial" w:eastAsia="Arial" w:hint="default"/>
                <w:sz w:val="18"/>
                <w:szCs w:val="18"/>
              </w:rPr>
            </w:pPr>
            <w:r>
              <w:rPr>
                <w:rFonts w:ascii="Arial"/>
                <w:sz w:val="18"/>
              </w:rPr>
              <w:t>888,957</w:t>
            </w:r>
          </w:p>
        </w:tc>
      </w:tr>
      <w:tr>
        <w:trPr>
          <w:trHeight w:val="31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1"/>
              <w:jc w:val="right"/>
              <w:rPr>
                <w:rFonts w:ascii="Arial" w:hAnsi="Arial" w:cs="Arial" w:eastAsia="Arial" w:hint="default"/>
                <w:sz w:val="18"/>
                <w:szCs w:val="18"/>
              </w:rPr>
            </w:pPr>
            <w:r>
              <w:rPr>
                <w:rFonts w:ascii="Arial"/>
                <w:spacing w:val="-1"/>
                <w:sz w:val="18"/>
              </w:rPr>
              <w:t>(94,731)</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6"/>
              <w:jc w:val="right"/>
              <w:rPr>
                <w:rFonts w:ascii="Arial" w:hAnsi="Arial" w:cs="Arial" w:eastAsia="Arial" w:hint="default"/>
                <w:sz w:val="18"/>
                <w:szCs w:val="18"/>
              </w:rPr>
            </w:pPr>
            <w:r>
              <w:rPr>
                <w:rFonts w:ascii="Arial"/>
                <w:spacing w:val="-1"/>
                <w:sz w:val="18"/>
              </w:rPr>
              <w:t>(36,494)</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spacing w:val="-1"/>
                <w:sz w:val="18"/>
              </w:rPr>
              <w:t>(131,225)</w:t>
            </w:r>
          </w:p>
        </w:tc>
      </w:tr>
      <w:tr>
        <w:trPr>
          <w:trHeight w:val="469"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88"/>
              <w:jc w:val="right"/>
              <w:rPr>
                <w:rFonts w:ascii="Arial" w:hAnsi="Arial" w:cs="Arial" w:eastAsia="Arial" w:hint="default"/>
                <w:sz w:val="18"/>
                <w:szCs w:val="18"/>
              </w:rPr>
            </w:pPr>
            <w:r>
              <w:rPr>
                <w:rFonts w:ascii="Arial"/>
                <w:spacing w:val="-1"/>
                <w:sz w:val="18"/>
              </w:rPr>
              <w:t>349,697</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27" w:right="0"/>
              <w:jc w:val="left"/>
              <w:rPr>
                <w:rFonts w:ascii="Arial" w:hAnsi="Arial" w:cs="Arial" w:eastAsia="Arial" w:hint="default"/>
                <w:sz w:val="18"/>
                <w:szCs w:val="18"/>
              </w:rPr>
            </w:pPr>
            <w:r>
              <w:rPr>
                <w:rFonts w:ascii="Arial"/>
                <w:sz w:val="18"/>
              </w:rPr>
              <w:t>408,035</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86" w:right="0"/>
              <w:jc w:val="left"/>
              <w:rPr>
                <w:rFonts w:ascii="Arial" w:hAnsi="Arial" w:cs="Arial" w:eastAsia="Arial" w:hint="default"/>
                <w:sz w:val="18"/>
                <w:szCs w:val="18"/>
              </w:rPr>
            </w:pPr>
            <w:r>
              <w:rPr>
                <w:rFonts w:ascii="Arial"/>
                <w:sz w:val="18"/>
              </w:rPr>
              <w:t>757,732</w:t>
            </w:r>
          </w:p>
        </w:tc>
      </w:tr>
      <w:tr>
        <w:trPr>
          <w:trHeight w:val="62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89"/>
              <w:jc w:val="right"/>
              <w:rPr>
                <w:rFonts w:ascii="Arial" w:hAnsi="Arial" w:cs="Arial" w:eastAsia="Arial" w:hint="default"/>
                <w:sz w:val="18"/>
                <w:szCs w:val="18"/>
              </w:rPr>
            </w:pPr>
            <w:r>
              <w:rPr>
                <w:rFonts w:ascii="Arial"/>
                <w:spacing w:val="-1"/>
                <w:sz w:val="18"/>
              </w:rPr>
              <w:t>85,327,179</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73" w:right="0"/>
              <w:jc w:val="left"/>
              <w:rPr>
                <w:rFonts w:ascii="Arial" w:hAnsi="Arial" w:cs="Arial" w:eastAsia="Arial" w:hint="default"/>
                <w:sz w:val="18"/>
                <w:szCs w:val="18"/>
              </w:rPr>
            </w:pPr>
            <w:r>
              <w:rPr>
                <w:rFonts w:ascii="Arial"/>
                <w:sz w:val="18"/>
              </w:rPr>
              <w:t>3,306,485</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5"/>
              <w:jc w:val="right"/>
              <w:rPr>
                <w:rFonts w:ascii="Arial" w:hAnsi="Arial" w:cs="Arial" w:eastAsia="Arial" w:hint="default"/>
                <w:sz w:val="18"/>
                <w:szCs w:val="18"/>
              </w:rPr>
            </w:pPr>
            <w:r>
              <w:rPr>
                <w:rFonts w:ascii="Arial"/>
                <w:spacing w:val="-1"/>
                <w:sz w:val="18"/>
              </w:rPr>
              <w:t>(557,992)</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Arial" w:hAnsi="Arial" w:cs="Arial" w:eastAsia="Arial" w:hint="default"/>
                <w:sz w:val="18"/>
                <w:szCs w:val="18"/>
              </w:rPr>
            </w:pPr>
            <w:r>
              <w:rPr>
                <w:rFonts w:ascii="Arial"/>
                <w:sz w:val="18"/>
              </w:rPr>
              <w:t>88,075,672</w:t>
            </w:r>
          </w:p>
        </w:tc>
      </w:tr>
      <w:tr>
        <w:trPr>
          <w:trHeight w:val="623"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89"/>
              <w:jc w:val="right"/>
              <w:rPr>
                <w:rFonts w:ascii="Arial" w:hAnsi="Arial" w:cs="Arial" w:eastAsia="Arial" w:hint="default"/>
                <w:sz w:val="18"/>
                <w:szCs w:val="18"/>
              </w:rPr>
            </w:pPr>
            <w:r>
              <w:rPr>
                <w:rFonts w:ascii="Arial"/>
                <w:spacing w:val="-1"/>
                <w:sz w:val="18"/>
              </w:rPr>
              <w:t>55,524,319</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23" w:right="0"/>
              <w:jc w:val="left"/>
              <w:rPr>
                <w:rFonts w:ascii="Arial" w:hAnsi="Arial" w:cs="Arial" w:eastAsia="Arial" w:hint="default"/>
                <w:sz w:val="18"/>
                <w:szCs w:val="18"/>
              </w:rPr>
            </w:pPr>
            <w:r>
              <w:rPr>
                <w:rFonts w:ascii="Arial"/>
                <w:sz w:val="18"/>
              </w:rPr>
              <w:t>626,287</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72" w:right="0"/>
              <w:jc w:val="left"/>
              <w:rPr>
                <w:rFonts w:ascii="Arial" w:hAnsi="Arial" w:cs="Arial" w:eastAsia="Arial" w:hint="default"/>
                <w:sz w:val="18"/>
                <w:szCs w:val="18"/>
              </w:rPr>
            </w:pPr>
            <w:r>
              <w:rPr>
                <w:rFonts w:ascii="Arial"/>
                <w:sz w:val="18"/>
              </w:rPr>
              <w:t>56,150,606</w:t>
            </w:r>
          </w:p>
        </w:tc>
      </w:tr>
      <w:tr>
        <w:trPr>
          <w:trHeight w:val="646"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386" w:right="241" w:hanging="185"/>
              <w:jc w:val="left"/>
              <w:rPr>
                <w:rFonts w:ascii="宋体" w:hAnsi="宋体" w:cs="宋体" w:eastAsia="宋体" w:hint="default"/>
                <w:sz w:val="18"/>
                <w:szCs w:val="18"/>
              </w:rPr>
            </w:pPr>
            <w:r>
              <w:rPr>
                <w:rFonts w:ascii="宋体" w:hAnsi="宋体" w:cs="宋体" w:eastAsia="宋体" w:hint="default"/>
                <w:spacing w:val="10"/>
                <w:sz w:val="18"/>
                <w:szCs w:val="18"/>
              </w:rPr>
              <w:t>对联营企业和合营企业</w:t>
            </w:r>
            <w:r>
              <w:rPr>
                <w:rFonts w:ascii="宋体" w:hAnsi="宋体" w:cs="宋体" w:eastAsia="宋体" w:hint="default"/>
                <w:sz w:val="18"/>
                <w:szCs w:val="18"/>
              </w:rPr>
              <w:t> 的长期股权投资</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488"/>
              <w:jc w:val="right"/>
              <w:rPr>
                <w:rFonts w:ascii="Arial" w:hAnsi="Arial" w:cs="Arial" w:eastAsia="Arial" w:hint="default"/>
                <w:sz w:val="18"/>
                <w:szCs w:val="18"/>
              </w:rPr>
            </w:pPr>
            <w:r>
              <w:rPr>
                <w:rFonts w:ascii="Arial"/>
                <w:spacing w:val="-1"/>
                <w:sz w:val="18"/>
              </w:rPr>
              <w:t>210,034</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86"/>
              <w:jc w:val="right"/>
              <w:rPr>
                <w:rFonts w:ascii="Arial" w:hAnsi="Arial" w:cs="Arial" w:eastAsia="Arial" w:hint="default"/>
                <w:sz w:val="18"/>
                <w:szCs w:val="18"/>
              </w:rPr>
            </w:pPr>
            <w:r>
              <w:rPr>
                <w:rFonts w:ascii="Arial"/>
                <w:spacing w:val="-1"/>
                <w:sz w:val="18"/>
              </w:rPr>
              <w:t>9,762</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09"/>
              <w:jc w:val="right"/>
              <w:rPr>
                <w:rFonts w:ascii="Arial" w:hAnsi="Arial" w:cs="Arial" w:eastAsia="Arial" w:hint="default"/>
                <w:sz w:val="18"/>
                <w:szCs w:val="18"/>
              </w:rPr>
            </w:pPr>
            <w:r>
              <w:rPr>
                <w:rFonts w:ascii="Arial"/>
                <w:w w:val="99"/>
                <w:sz w:val="18"/>
              </w:rPr>
              <w:t>-</w:t>
            </w:r>
            <w:r>
              <w:rPr>
                <w:rFonts w:ascii="Arial"/>
                <w:sz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622" w:right="0"/>
              <w:jc w:val="left"/>
              <w:rPr>
                <w:rFonts w:ascii="Arial" w:hAnsi="Arial" w:cs="Arial" w:eastAsia="Arial" w:hint="default"/>
                <w:sz w:val="18"/>
                <w:szCs w:val="18"/>
              </w:rPr>
            </w:pPr>
            <w:r>
              <w:rPr>
                <w:rFonts w:ascii="Arial"/>
                <w:sz w:val="18"/>
              </w:rPr>
              <w:t>219,796</w:t>
            </w:r>
          </w:p>
        </w:tc>
      </w:tr>
    </w:tbl>
    <w:p>
      <w:pPr>
        <w:spacing w:after="0" w:line="240" w:lineRule="auto"/>
        <w:jc w:val="left"/>
        <w:rPr>
          <w:rFonts w:ascii="Arial" w:hAnsi="Arial" w:cs="Arial" w:eastAsia="Arial" w:hint="default"/>
          <w:sz w:val="18"/>
          <w:szCs w:val="18"/>
        </w:rPr>
        <w:sectPr>
          <w:pgSz w:w="11910" w:h="16840"/>
          <w:pgMar w:header="755" w:footer="648" w:top="1860" w:bottom="840" w:left="14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710"/>
        <w:gridCol w:w="5621"/>
      </w:tblGrid>
      <w:tr>
        <w:trPr>
          <w:trHeight w:val="458"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5621" w:type="dxa"/>
            <w:tcBorders>
              <w:top w:val="nil" w:sz="6" w:space="0" w:color="auto"/>
              <w:left w:val="nil" w:sz="6" w:space="0" w:color="auto"/>
              <w:bottom w:val="nil" w:sz="6" w:space="0" w:color="auto"/>
              <w:right w:val="nil" w:sz="6" w:space="0" w:color="auto"/>
            </w:tcBorders>
          </w:tcPr>
          <w:p>
            <w:pPr>
              <w:pStyle w:val="TableParagraph"/>
              <w:spacing w:line="257" w:lineRule="exact"/>
              <w:ind w:left="269" w:right="0"/>
              <w:jc w:val="left"/>
              <w:rPr>
                <w:rFonts w:ascii="Arial" w:hAnsi="Arial" w:cs="Arial" w:eastAsia="Arial" w:hint="default"/>
                <w:sz w:val="24"/>
                <w:szCs w:val="24"/>
              </w:rPr>
            </w:pPr>
            <w:r>
              <w:rPr>
                <w:rFonts w:ascii="黑体" w:hAnsi="黑体" w:cs="黑体" w:eastAsia="黑体" w:hint="default"/>
                <w:sz w:val="24"/>
                <w:szCs w:val="24"/>
              </w:rPr>
              <w:t>分部信息</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48"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00" w:right="0"/>
              <w:jc w:val="left"/>
              <w:rPr>
                <w:rFonts w:ascii="Arial" w:hAnsi="Arial" w:cs="Arial" w:eastAsia="Arial" w:hint="default"/>
                <w:sz w:val="18"/>
                <w:szCs w:val="18"/>
              </w:rPr>
            </w:pPr>
            <w:r>
              <w:rPr>
                <w:rFonts w:ascii="Arial"/>
                <w:sz w:val="18"/>
              </w:rPr>
              <w:t>(b)</w:t>
            </w:r>
          </w:p>
        </w:tc>
        <w:tc>
          <w:tcPr>
            <w:tcW w:w="5621"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69"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年度及</w:t>
            </w:r>
            <w:r>
              <w:rPr>
                <w:rFonts w:ascii="宋体" w:hAnsi="宋体" w:cs="宋体" w:eastAsia="宋体" w:hint="default"/>
                <w:spacing w:val="-57"/>
                <w:sz w:val="22"/>
                <w:szCs w:val="22"/>
              </w:rPr>
              <w:t> </w:t>
            </w: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31</w:t>
            </w:r>
            <w:r>
              <w:rPr>
                <w:rFonts w:ascii="Arial" w:hAnsi="Arial" w:cs="Arial" w:eastAsia="Arial" w:hint="default"/>
                <w:spacing w:val="-8"/>
                <w:sz w:val="22"/>
                <w:szCs w:val="22"/>
              </w:rPr>
              <w:t> </w:t>
            </w:r>
            <w:r>
              <w:rPr>
                <w:rFonts w:ascii="宋体" w:hAnsi="宋体" w:cs="宋体" w:eastAsia="宋体" w:hint="default"/>
                <w:sz w:val="22"/>
                <w:szCs w:val="22"/>
              </w:rPr>
              <w:t>日分部信息列示如下：</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820" w:type="dxa"/>
        <w:tblLayout w:type="fixed"/>
        <w:tblCellMar>
          <w:top w:w="0" w:type="dxa"/>
          <w:left w:w="0" w:type="dxa"/>
          <w:bottom w:w="0" w:type="dxa"/>
          <w:right w:w="0" w:type="dxa"/>
        </w:tblCellMar>
        <w:tblLook w:val="01E0"/>
      </w:tblPr>
      <w:tblGrid>
        <w:gridCol w:w="2395"/>
        <w:gridCol w:w="1754"/>
        <w:gridCol w:w="1640"/>
        <w:gridCol w:w="1535"/>
        <w:gridCol w:w="1515"/>
      </w:tblGrid>
      <w:tr>
        <w:trPr>
          <w:trHeight w:val="402" w:hRule="exact"/>
        </w:trPr>
        <w:tc>
          <w:tcPr>
            <w:tcW w:w="2395"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180" w:lineRule="exact"/>
              <w:ind w:left="541" w:right="0"/>
              <w:jc w:val="left"/>
              <w:rPr>
                <w:rFonts w:ascii="宋体" w:hAnsi="宋体" w:cs="宋体" w:eastAsia="宋体" w:hint="default"/>
                <w:sz w:val="18"/>
                <w:szCs w:val="18"/>
              </w:rPr>
            </w:pPr>
            <w:r>
              <w:rPr>
                <w:rFonts w:ascii="宋体" w:hAnsi="宋体" w:cs="宋体" w:eastAsia="宋体" w:hint="default"/>
                <w:sz w:val="18"/>
                <w:szCs w:val="18"/>
              </w:rPr>
              <w:t>中国分部</w:t>
            </w:r>
          </w:p>
        </w:tc>
        <w:tc>
          <w:tcPr>
            <w:tcW w:w="1640" w:type="dxa"/>
            <w:tcBorders>
              <w:top w:val="nil" w:sz="6" w:space="0" w:color="auto"/>
              <w:left w:val="nil" w:sz="6" w:space="0" w:color="auto"/>
              <w:bottom w:val="nil" w:sz="6" w:space="0" w:color="auto"/>
              <w:right w:val="nil" w:sz="6" w:space="0" w:color="auto"/>
            </w:tcBorders>
          </w:tcPr>
          <w:p>
            <w:pPr>
              <w:pStyle w:val="TableParagraph"/>
              <w:spacing w:line="180" w:lineRule="exact"/>
              <w:ind w:left="550" w:right="0"/>
              <w:jc w:val="left"/>
              <w:rPr>
                <w:rFonts w:ascii="宋体" w:hAnsi="宋体" w:cs="宋体" w:eastAsia="宋体" w:hint="default"/>
                <w:sz w:val="18"/>
                <w:szCs w:val="18"/>
              </w:rPr>
            </w:pPr>
            <w:r>
              <w:rPr>
                <w:rFonts w:ascii="宋体" w:hAnsi="宋体" w:cs="宋体" w:eastAsia="宋体" w:hint="default"/>
                <w:sz w:val="18"/>
                <w:szCs w:val="18"/>
              </w:rPr>
              <w:t>日本分部</w:t>
            </w:r>
          </w:p>
        </w:tc>
        <w:tc>
          <w:tcPr>
            <w:tcW w:w="1535" w:type="dxa"/>
            <w:tcBorders>
              <w:top w:val="nil" w:sz="6" w:space="0" w:color="auto"/>
              <w:left w:val="nil" w:sz="6" w:space="0" w:color="auto"/>
              <w:bottom w:val="nil" w:sz="6" w:space="0" w:color="auto"/>
              <w:right w:val="nil" w:sz="6" w:space="0" w:color="auto"/>
            </w:tcBorders>
          </w:tcPr>
          <w:p>
            <w:pPr>
              <w:pStyle w:val="TableParagraph"/>
              <w:spacing w:line="180" w:lineRule="exact"/>
              <w:ind w:left="298" w:right="0"/>
              <w:jc w:val="left"/>
              <w:rPr>
                <w:rFonts w:ascii="宋体" w:hAnsi="宋体" w:cs="宋体" w:eastAsia="宋体" w:hint="default"/>
                <w:sz w:val="18"/>
                <w:szCs w:val="18"/>
              </w:rPr>
            </w:pPr>
            <w:r>
              <w:rPr>
                <w:rFonts w:ascii="宋体" w:hAnsi="宋体" w:cs="宋体" w:eastAsia="宋体" w:hint="default"/>
                <w:sz w:val="18"/>
                <w:szCs w:val="18"/>
              </w:rPr>
              <w:t>分部间抵消</w:t>
            </w:r>
          </w:p>
        </w:tc>
        <w:tc>
          <w:tcPr>
            <w:tcW w:w="1515" w:type="dxa"/>
            <w:tcBorders>
              <w:top w:val="nil" w:sz="6" w:space="0" w:color="auto"/>
              <w:left w:val="nil" w:sz="6" w:space="0" w:color="auto"/>
              <w:bottom w:val="nil" w:sz="6" w:space="0" w:color="auto"/>
              <w:right w:val="nil" w:sz="6" w:space="0" w:color="auto"/>
            </w:tcBorders>
          </w:tcPr>
          <w:p>
            <w:pPr>
              <w:pStyle w:val="TableParagraph"/>
              <w:spacing w:line="180" w:lineRule="exact"/>
              <w:ind w:right="264"/>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480"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85" w:right="0"/>
              <w:jc w:val="left"/>
              <w:rPr>
                <w:rFonts w:ascii="Arial" w:hAnsi="Arial" w:cs="Arial" w:eastAsia="Arial" w:hint="default"/>
                <w:sz w:val="18"/>
                <w:szCs w:val="18"/>
              </w:rPr>
            </w:pPr>
            <w:r>
              <w:rPr>
                <w:rFonts w:ascii="Arial"/>
                <w:sz w:val="18"/>
              </w:rPr>
              <w:t>106,186,509</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84" w:right="0"/>
              <w:jc w:val="left"/>
              <w:rPr>
                <w:rFonts w:ascii="Arial" w:hAnsi="Arial" w:cs="Arial" w:eastAsia="Arial" w:hint="default"/>
                <w:sz w:val="18"/>
                <w:szCs w:val="18"/>
              </w:rPr>
            </w:pPr>
            <w:r>
              <w:rPr>
                <w:rFonts w:ascii="Arial"/>
                <w:sz w:val="18"/>
              </w:rPr>
              <w:t>2,741,367</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69"/>
              <w:jc w:val="right"/>
              <w:rPr>
                <w:rFonts w:ascii="Arial" w:hAnsi="Arial" w:cs="Arial" w:eastAsia="Arial" w:hint="default"/>
                <w:sz w:val="18"/>
                <w:szCs w:val="18"/>
              </w:rPr>
            </w:pPr>
            <w:r>
              <w:rPr>
                <w:rFonts w:ascii="Arial"/>
                <w:spacing w:val="-1"/>
                <w:sz w:val="18"/>
              </w:rPr>
              <w:t>(2,580)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43"/>
              <w:jc w:val="right"/>
              <w:rPr>
                <w:rFonts w:ascii="Arial" w:hAnsi="Arial" w:cs="Arial" w:eastAsia="Arial" w:hint="default"/>
                <w:sz w:val="18"/>
                <w:szCs w:val="18"/>
              </w:rPr>
            </w:pPr>
            <w:r>
              <w:rPr>
                <w:rFonts w:ascii="Arial"/>
                <w:spacing w:val="-1"/>
                <w:sz w:val="18"/>
              </w:rPr>
              <w:t>108,925,296</w:t>
            </w:r>
          </w:p>
        </w:tc>
      </w:tr>
      <w:tr>
        <w:trPr>
          <w:trHeight w:val="31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5" w:right="0"/>
              <w:jc w:val="left"/>
              <w:rPr>
                <w:rFonts w:ascii="Arial" w:hAnsi="Arial" w:cs="Arial" w:eastAsia="Arial" w:hint="default"/>
                <w:sz w:val="18"/>
                <w:szCs w:val="18"/>
              </w:rPr>
            </w:pPr>
            <w:r>
              <w:rPr>
                <w:rFonts w:ascii="Arial"/>
                <w:sz w:val="18"/>
              </w:rPr>
              <w:t>106,183,929</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8" w:right="0"/>
              <w:jc w:val="left"/>
              <w:rPr>
                <w:rFonts w:ascii="Arial" w:hAnsi="Arial" w:cs="Arial" w:eastAsia="Arial" w:hint="default"/>
                <w:sz w:val="18"/>
                <w:szCs w:val="18"/>
              </w:rPr>
            </w:pPr>
            <w:r>
              <w:rPr>
                <w:rFonts w:ascii="Arial"/>
                <w:sz w:val="18"/>
              </w:rPr>
              <w:t>2,741,367</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3"/>
              <w:jc w:val="right"/>
              <w:rPr>
                <w:rFonts w:ascii="Arial" w:hAnsi="Arial" w:cs="Arial" w:eastAsia="Arial" w:hint="default"/>
                <w:sz w:val="18"/>
                <w:szCs w:val="18"/>
              </w:rPr>
            </w:pPr>
            <w:r>
              <w:rPr>
                <w:rFonts w:ascii="Arial"/>
                <w:spacing w:val="-1"/>
                <w:sz w:val="18"/>
              </w:rPr>
              <w:t>108,925,296</w:t>
            </w:r>
          </w:p>
        </w:tc>
      </w:tr>
      <w:tr>
        <w:trPr>
          <w:trHeight w:val="31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12" w:right="0"/>
              <w:jc w:val="left"/>
              <w:rPr>
                <w:rFonts w:ascii="Arial" w:hAnsi="Arial" w:cs="Arial" w:eastAsia="Arial" w:hint="default"/>
                <w:sz w:val="18"/>
                <w:szCs w:val="18"/>
              </w:rPr>
            </w:pPr>
            <w:r>
              <w:rPr>
                <w:rFonts w:ascii="Arial"/>
                <w:sz w:val="18"/>
              </w:rPr>
              <w:t>(90,279,736)</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7"/>
              <w:jc w:val="right"/>
              <w:rPr>
                <w:rFonts w:ascii="Arial" w:hAnsi="Arial" w:cs="Arial" w:eastAsia="Arial" w:hint="default"/>
                <w:sz w:val="18"/>
                <w:szCs w:val="18"/>
              </w:rPr>
            </w:pPr>
            <w:r>
              <w:rPr>
                <w:rFonts w:ascii="Arial"/>
                <w:spacing w:val="-1"/>
                <w:sz w:val="18"/>
              </w:rPr>
              <w:t>(2,005,522)</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06" w:right="0"/>
              <w:jc w:val="left"/>
              <w:rPr>
                <w:rFonts w:ascii="Arial" w:hAnsi="Arial" w:cs="Arial" w:eastAsia="Arial" w:hint="default"/>
                <w:sz w:val="18"/>
                <w:szCs w:val="18"/>
              </w:rPr>
            </w:pPr>
            <w:r>
              <w:rPr>
                <w:rFonts w:ascii="Arial"/>
                <w:sz w:val="18"/>
              </w:rPr>
              <w:t>686</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(92,284,572)</w:t>
            </w:r>
          </w:p>
        </w:tc>
      </w:tr>
      <w:tr>
        <w:trPr>
          <w:trHeight w:val="31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0"/>
              <w:jc w:val="right"/>
              <w:rPr>
                <w:rFonts w:ascii="Arial" w:hAnsi="Arial" w:cs="Arial" w:eastAsia="Arial" w:hint="default"/>
                <w:sz w:val="18"/>
                <w:szCs w:val="18"/>
              </w:rPr>
            </w:pPr>
            <w:r>
              <w:rPr>
                <w:rFonts w:ascii="Arial"/>
                <w:spacing w:val="-1"/>
                <w:sz w:val="18"/>
              </w:rPr>
              <w:t>(357,160)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0"/>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(357,160)</w:t>
            </w:r>
          </w:p>
        </w:tc>
      </w:tr>
      <w:tr>
        <w:trPr>
          <w:trHeight w:val="314"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12" w:right="0"/>
              <w:jc w:val="left"/>
              <w:rPr>
                <w:rFonts w:ascii="Arial" w:hAnsi="Arial" w:cs="Arial" w:eastAsia="Arial" w:hint="default"/>
                <w:sz w:val="18"/>
                <w:szCs w:val="18"/>
              </w:rPr>
            </w:pPr>
            <w:r>
              <w:rPr>
                <w:rFonts w:ascii="Arial"/>
                <w:sz w:val="18"/>
              </w:rPr>
              <w:t>(13,525,005)</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6"/>
              <w:jc w:val="right"/>
              <w:rPr>
                <w:rFonts w:ascii="Arial" w:hAnsi="Arial" w:cs="Arial" w:eastAsia="Arial" w:hint="default"/>
                <w:sz w:val="18"/>
                <w:szCs w:val="18"/>
              </w:rPr>
            </w:pPr>
            <w:r>
              <w:rPr>
                <w:rFonts w:ascii="Arial"/>
                <w:spacing w:val="-1"/>
                <w:sz w:val="18"/>
              </w:rPr>
              <w:t>(581,914)</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48" w:right="0"/>
              <w:jc w:val="left"/>
              <w:rPr>
                <w:rFonts w:ascii="Arial" w:hAnsi="Arial" w:cs="Arial" w:eastAsia="Arial" w:hint="default"/>
                <w:sz w:val="18"/>
                <w:szCs w:val="18"/>
              </w:rPr>
            </w:pPr>
            <w:r>
              <w:rPr>
                <w:rFonts w:ascii="Arial"/>
                <w:sz w:val="18"/>
              </w:rPr>
              <w:t>1,894</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(14,105,025)</w:t>
            </w:r>
          </w:p>
        </w:tc>
      </w:tr>
      <w:tr>
        <w:trPr>
          <w:trHeight w:val="314"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0"/>
              <w:jc w:val="right"/>
              <w:rPr>
                <w:rFonts w:ascii="Arial" w:hAnsi="Arial" w:cs="Arial" w:eastAsia="Arial" w:hint="default"/>
                <w:sz w:val="18"/>
                <w:szCs w:val="18"/>
              </w:rPr>
            </w:pPr>
            <w:r>
              <w:rPr>
                <w:rFonts w:ascii="Arial"/>
                <w:spacing w:val="-1"/>
                <w:sz w:val="18"/>
              </w:rPr>
              <w:t>(3,267,010)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8"/>
              <w:jc w:val="right"/>
              <w:rPr>
                <w:rFonts w:ascii="Arial" w:hAnsi="Arial" w:cs="Arial" w:eastAsia="Arial" w:hint="default"/>
                <w:sz w:val="18"/>
                <w:szCs w:val="18"/>
              </w:rPr>
            </w:pPr>
            <w:r>
              <w:rPr>
                <w:rFonts w:ascii="Arial"/>
                <w:spacing w:val="-1"/>
                <w:sz w:val="18"/>
              </w:rPr>
              <w:t>(89,560)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w:hAnsi="Arial" w:cs="Arial" w:eastAsia="Arial" w:hint="default"/>
                <w:sz w:val="18"/>
                <w:szCs w:val="18"/>
              </w:rPr>
            </w:pPr>
            <w:r>
              <w:rPr>
                <w:rFonts w:ascii="Arial"/>
                <w:spacing w:val="-1"/>
                <w:sz w:val="18"/>
              </w:rPr>
              <w:t>(3,356,570)</w:t>
            </w:r>
          </w:p>
        </w:tc>
      </w:tr>
      <w:tr>
        <w:trPr>
          <w:trHeight w:val="31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财务费用 </w:t>
            </w:r>
            <w:r>
              <w:rPr>
                <w:rFonts w:ascii="Arial" w:hAnsi="Arial" w:cs="Arial" w:eastAsia="Arial" w:hint="default"/>
                <w:sz w:val="18"/>
                <w:szCs w:val="18"/>
              </w:rPr>
              <w:t>-</w:t>
            </w:r>
            <w:r>
              <w:rPr>
                <w:rFonts w:ascii="Arial" w:hAnsi="Arial" w:cs="Arial" w:eastAsia="Arial" w:hint="default"/>
                <w:spacing w:val="40"/>
                <w:sz w:val="18"/>
                <w:szCs w:val="18"/>
              </w:rPr>
              <w:t> </w:t>
            </w:r>
            <w:r>
              <w:rPr>
                <w:rFonts w:ascii="宋体" w:hAnsi="宋体" w:cs="宋体" w:eastAsia="宋体" w:hint="default"/>
                <w:sz w:val="18"/>
                <w:szCs w:val="18"/>
              </w:rPr>
              <w:t>净额</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9"/>
              <w:jc w:val="right"/>
              <w:rPr>
                <w:rFonts w:ascii="Arial" w:hAnsi="Arial" w:cs="Arial" w:eastAsia="Arial" w:hint="default"/>
                <w:sz w:val="18"/>
                <w:szCs w:val="18"/>
              </w:rPr>
            </w:pPr>
            <w:r>
              <w:rPr>
                <w:rFonts w:ascii="Arial"/>
                <w:spacing w:val="-1"/>
                <w:sz w:val="18"/>
              </w:rPr>
              <w:t>(62,016)</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7"/>
              <w:jc w:val="right"/>
              <w:rPr>
                <w:rFonts w:ascii="Arial" w:hAnsi="Arial" w:cs="Arial" w:eastAsia="Arial" w:hint="default"/>
                <w:sz w:val="18"/>
                <w:szCs w:val="18"/>
              </w:rPr>
            </w:pPr>
            <w:r>
              <w:rPr>
                <w:rFonts w:ascii="Arial"/>
                <w:spacing w:val="-1"/>
                <w:sz w:val="18"/>
              </w:rPr>
              <w:t>(4,754)</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(66,770)</w:t>
            </w:r>
          </w:p>
        </w:tc>
      </w:tr>
      <w:tr>
        <w:trPr>
          <w:trHeight w:val="31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0"/>
              <w:jc w:val="right"/>
              <w:rPr>
                <w:rFonts w:ascii="Arial" w:hAnsi="Arial" w:cs="Arial" w:eastAsia="Arial" w:hint="default"/>
                <w:sz w:val="18"/>
                <w:szCs w:val="18"/>
              </w:rPr>
            </w:pPr>
            <w:r>
              <w:rPr>
                <w:rFonts w:ascii="Arial"/>
                <w:spacing w:val="-1"/>
                <w:sz w:val="18"/>
              </w:rPr>
              <w:t>(161,934)</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8"/>
              <w:jc w:val="right"/>
              <w:rPr>
                <w:rFonts w:ascii="Arial" w:hAnsi="Arial" w:cs="Arial" w:eastAsia="Arial" w:hint="default"/>
                <w:sz w:val="18"/>
                <w:szCs w:val="18"/>
              </w:rPr>
            </w:pPr>
            <w:r>
              <w:rPr>
                <w:rFonts w:ascii="Arial"/>
                <w:spacing w:val="-1"/>
                <w:sz w:val="18"/>
              </w:rPr>
              <w:t>(13,021)</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0"/>
              <w:jc w:val="right"/>
              <w:rPr>
                <w:rFonts w:ascii="Arial" w:hAnsi="Arial" w:cs="Arial" w:eastAsia="Arial" w:hint="default"/>
                <w:sz w:val="18"/>
                <w:szCs w:val="18"/>
              </w:rPr>
            </w:pPr>
            <w:r>
              <w:rPr>
                <w:rFonts w:ascii="Arial"/>
                <w:spacing w:val="-1"/>
                <w:sz w:val="18"/>
              </w:rPr>
              <w:t>(174,955)</w:t>
            </w:r>
          </w:p>
        </w:tc>
      </w:tr>
      <w:tr>
        <w:trPr>
          <w:trHeight w:val="31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9"/>
              <w:jc w:val="right"/>
              <w:rPr>
                <w:rFonts w:ascii="Arial" w:hAnsi="Arial" w:cs="Arial" w:eastAsia="Arial" w:hint="default"/>
                <w:sz w:val="18"/>
                <w:szCs w:val="18"/>
              </w:rPr>
            </w:pPr>
            <w:r>
              <w:rPr>
                <w:rFonts w:ascii="Arial"/>
                <w:spacing w:val="-1"/>
                <w:sz w:val="18"/>
              </w:rPr>
              <w:t>(9,330)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7"/>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0"/>
              <w:jc w:val="right"/>
              <w:rPr>
                <w:rFonts w:ascii="Arial" w:hAnsi="Arial" w:cs="Arial" w:eastAsia="Arial" w:hint="default"/>
                <w:sz w:val="18"/>
                <w:szCs w:val="18"/>
              </w:rPr>
            </w:pPr>
            <w:r>
              <w:rPr>
                <w:rFonts w:ascii="Arial"/>
                <w:spacing w:val="-1"/>
                <w:sz w:val="18"/>
              </w:rPr>
              <w:t>(9,330)</w:t>
            </w:r>
          </w:p>
        </w:tc>
      </w:tr>
      <w:tr>
        <w:trPr>
          <w:trHeight w:val="469"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9"/>
              <w:jc w:val="right"/>
              <w:rPr>
                <w:rFonts w:ascii="Arial" w:hAnsi="Arial" w:cs="Arial" w:eastAsia="Arial" w:hint="default"/>
                <w:sz w:val="18"/>
                <w:szCs w:val="18"/>
              </w:rPr>
            </w:pPr>
            <w:r>
              <w:rPr>
                <w:rFonts w:ascii="Arial"/>
                <w:spacing w:val="-1"/>
                <w:sz w:val="18"/>
              </w:rPr>
              <w:t>(29,847)</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7"/>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(29,847)</w:t>
            </w:r>
          </w:p>
        </w:tc>
      </w:tr>
      <w:tr>
        <w:trPr>
          <w:trHeight w:val="469"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宋体" w:hAnsi="宋体" w:cs="宋体" w:eastAsia="宋体" w:hint="default"/>
                <w:sz w:val="18"/>
                <w:szCs w:val="18"/>
              </w:rPr>
            </w:pPr>
            <w:r>
              <w:rPr>
                <w:rFonts w:ascii="宋体" w:hAnsi="宋体" w:cs="宋体" w:eastAsia="宋体" w:hint="default"/>
                <w:sz w:val="18"/>
                <w:szCs w:val="18"/>
              </w:rPr>
              <w:t>营业</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r>
              <w:rPr>
                <w:rFonts w:ascii="宋体" w:hAnsi="宋体" w:cs="宋体" w:eastAsia="宋体" w:hint="default"/>
                <w:sz w:val="18"/>
                <w:szCs w:val="18"/>
              </w:rPr>
              <w:t>利润</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20"/>
              <w:jc w:val="right"/>
              <w:rPr>
                <w:rFonts w:ascii="Arial" w:hAnsi="Arial" w:cs="Arial" w:eastAsia="Arial" w:hint="default"/>
                <w:sz w:val="18"/>
                <w:szCs w:val="18"/>
              </w:rPr>
            </w:pPr>
            <w:r>
              <w:rPr>
                <w:rFonts w:ascii="Arial"/>
                <w:spacing w:val="-1"/>
                <w:sz w:val="18"/>
              </w:rPr>
              <w:t>(1,505,529)</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54"/>
              <w:jc w:val="right"/>
              <w:rPr>
                <w:rFonts w:ascii="Arial" w:hAnsi="Arial" w:cs="Arial" w:eastAsia="Arial" w:hint="default"/>
                <w:sz w:val="18"/>
                <w:szCs w:val="18"/>
              </w:rPr>
            </w:pPr>
            <w:r>
              <w:rPr>
                <w:rFonts w:ascii="Arial"/>
                <w:spacing w:val="-1"/>
                <w:sz w:val="18"/>
              </w:rPr>
              <w:t>46,596</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8"/>
              <w:jc w:val="right"/>
              <w:rPr>
                <w:rFonts w:ascii="Arial" w:hAnsi="Arial" w:cs="Arial" w:eastAsia="Arial" w:hint="default"/>
                <w:sz w:val="18"/>
                <w:szCs w:val="18"/>
              </w:rPr>
            </w:pPr>
            <w:r>
              <w:rPr>
                <w:rFonts w:ascii="Arial"/>
                <w:spacing w:val="-1"/>
                <w:sz w:val="18"/>
              </w:rPr>
              <w:t>(1,458,933)</w:t>
            </w:r>
          </w:p>
        </w:tc>
      </w:tr>
      <w:tr>
        <w:trPr>
          <w:trHeight w:val="31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4" w:right="0"/>
              <w:jc w:val="left"/>
              <w:rPr>
                <w:rFonts w:ascii="Arial" w:hAnsi="Arial" w:cs="Arial" w:eastAsia="Arial" w:hint="default"/>
                <w:sz w:val="18"/>
                <w:szCs w:val="18"/>
              </w:rPr>
            </w:pPr>
            <w:r>
              <w:rPr>
                <w:rFonts w:ascii="Arial"/>
                <w:sz w:val="18"/>
              </w:rPr>
              <w:t>2,641,555</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54"/>
              <w:jc w:val="right"/>
              <w:rPr>
                <w:rFonts w:ascii="Arial" w:hAnsi="Arial" w:cs="Arial" w:eastAsia="Arial" w:hint="default"/>
                <w:sz w:val="18"/>
                <w:szCs w:val="18"/>
              </w:rPr>
            </w:pPr>
            <w:r>
              <w:rPr>
                <w:rFonts w:ascii="Arial"/>
                <w:spacing w:val="-1"/>
                <w:sz w:val="18"/>
              </w:rPr>
              <w:t>10,595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1"/>
              <w:jc w:val="right"/>
              <w:rPr>
                <w:rFonts w:ascii="Arial" w:hAnsi="Arial" w:cs="Arial" w:eastAsia="Arial" w:hint="default"/>
                <w:sz w:val="18"/>
                <w:szCs w:val="18"/>
              </w:rPr>
            </w:pPr>
            <w:r>
              <w:rPr>
                <w:rFonts w:ascii="Arial"/>
                <w:spacing w:val="-1"/>
                <w:sz w:val="18"/>
              </w:rPr>
              <w:t>2,652,150</w:t>
            </w:r>
          </w:p>
        </w:tc>
      </w:tr>
      <w:tr>
        <w:trPr>
          <w:trHeight w:val="31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3"/>
              <w:jc w:val="right"/>
              <w:rPr>
                <w:rFonts w:ascii="Arial" w:hAnsi="Arial" w:cs="Arial" w:eastAsia="Arial" w:hint="default"/>
                <w:sz w:val="18"/>
                <w:szCs w:val="18"/>
              </w:rPr>
            </w:pPr>
            <w:r>
              <w:rPr>
                <w:rFonts w:ascii="Arial"/>
                <w:spacing w:val="-1"/>
                <w:sz w:val="18"/>
              </w:rPr>
              <w:t>(197,448)</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Arial" w:hAnsi="Arial" w:cs="Arial" w:eastAsia="Arial" w:hint="default"/>
                <w:sz w:val="18"/>
                <w:szCs w:val="18"/>
              </w:rPr>
            </w:pPr>
            <w:r>
              <w:rPr>
                <w:rFonts w:ascii="Arial"/>
                <w:spacing w:val="-1"/>
                <w:sz w:val="18"/>
              </w:rPr>
              <w:t>(23,156)</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3"/>
              <w:jc w:val="right"/>
              <w:rPr>
                <w:rFonts w:ascii="Arial" w:hAnsi="Arial" w:cs="Arial" w:eastAsia="Arial" w:hint="default"/>
                <w:sz w:val="18"/>
                <w:szCs w:val="18"/>
              </w:rPr>
            </w:pPr>
            <w:r>
              <w:rPr>
                <w:rFonts w:ascii="Arial"/>
                <w:spacing w:val="-1"/>
                <w:sz w:val="18"/>
              </w:rPr>
              <w:t>(220,604)</w:t>
            </w:r>
          </w:p>
        </w:tc>
      </w:tr>
      <w:tr>
        <w:trPr>
          <w:trHeight w:val="314"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12" w:right="0"/>
              <w:jc w:val="left"/>
              <w:rPr>
                <w:rFonts w:ascii="Arial" w:hAnsi="Arial" w:cs="Arial" w:eastAsia="Arial" w:hint="default"/>
                <w:sz w:val="18"/>
                <w:szCs w:val="18"/>
              </w:rPr>
            </w:pPr>
            <w:r>
              <w:rPr>
                <w:rFonts w:ascii="Arial"/>
                <w:sz w:val="18"/>
              </w:rPr>
              <w:t>938,578</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4"/>
              <w:jc w:val="right"/>
              <w:rPr>
                <w:rFonts w:ascii="Arial" w:hAnsi="Arial" w:cs="Arial" w:eastAsia="Arial" w:hint="default"/>
                <w:sz w:val="18"/>
                <w:szCs w:val="18"/>
              </w:rPr>
            </w:pPr>
            <w:r>
              <w:rPr>
                <w:rFonts w:ascii="Arial"/>
                <w:spacing w:val="-1"/>
                <w:sz w:val="18"/>
              </w:rPr>
              <w:t>34,035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4"/>
              <w:jc w:val="right"/>
              <w:rPr>
                <w:rFonts w:ascii="Arial" w:hAnsi="Arial" w:cs="Arial" w:eastAsia="Arial" w:hint="default"/>
                <w:sz w:val="18"/>
                <w:szCs w:val="18"/>
              </w:rPr>
            </w:pPr>
            <w:r>
              <w:rPr>
                <w:rFonts w:ascii="Arial"/>
                <w:spacing w:val="-1"/>
                <w:sz w:val="18"/>
              </w:rPr>
              <w:t>972,613</w:t>
            </w:r>
          </w:p>
        </w:tc>
      </w:tr>
      <w:tr>
        <w:trPr>
          <w:trHeight w:val="31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0"/>
              <w:jc w:val="right"/>
              <w:rPr>
                <w:rFonts w:ascii="Arial" w:hAnsi="Arial" w:cs="Arial" w:eastAsia="Arial" w:hint="default"/>
                <w:sz w:val="18"/>
                <w:szCs w:val="18"/>
              </w:rPr>
            </w:pPr>
            <w:r>
              <w:rPr>
                <w:rFonts w:ascii="Arial"/>
                <w:spacing w:val="-1"/>
                <w:sz w:val="18"/>
              </w:rPr>
              <w:t>(152,878)</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45" w:right="0"/>
              <w:jc w:val="left"/>
              <w:rPr>
                <w:rFonts w:ascii="Arial" w:hAnsi="Arial" w:cs="Arial" w:eastAsia="Arial" w:hint="default"/>
                <w:sz w:val="18"/>
                <w:szCs w:val="18"/>
              </w:rPr>
            </w:pPr>
            <w:r>
              <w:rPr>
                <w:rFonts w:ascii="Arial"/>
                <w:sz w:val="18"/>
              </w:rPr>
              <w:t>4,303</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3"/>
              <w:jc w:val="right"/>
              <w:rPr>
                <w:rFonts w:ascii="Arial" w:hAnsi="Arial" w:cs="Arial" w:eastAsia="Arial" w:hint="default"/>
                <w:sz w:val="18"/>
                <w:szCs w:val="18"/>
              </w:rPr>
            </w:pPr>
            <w:r>
              <w:rPr>
                <w:rFonts w:ascii="Arial"/>
                <w:spacing w:val="-1"/>
                <w:sz w:val="18"/>
              </w:rPr>
              <w:t>(148,575)</w:t>
            </w:r>
          </w:p>
        </w:tc>
      </w:tr>
      <w:tr>
        <w:trPr>
          <w:trHeight w:val="468"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10" w:right="0"/>
              <w:jc w:val="left"/>
              <w:rPr>
                <w:rFonts w:ascii="Arial" w:hAnsi="Arial" w:cs="Arial" w:eastAsia="Arial" w:hint="default"/>
                <w:sz w:val="18"/>
                <w:szCs w:val="18"/>
              </w:rPr>
            </w:pPr>
            <w:r>
              <w:rPr>
                <w:rFonts w:ascii="Arial"/>
                <w:sz w:val="18"/>
              </w:rPr>
              <w:t>785,700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8"/>
              <w:jc w:val="right"/>
              <w:rPr>
                <w:rFonts w:ascii="Arial" w:hAnsi="Arial" w:cs="Arial" w:eastAsia="Arial" w:hint="default"/>
                <w:sz w:val="18"/>
                <w:szCs w:val="18"/>
              </w:rPr>
            </w:pPr>
            <w:r>
              <w:rPr>
                <w:rFonts w:ascii="Arial"/>
                <w:spacing w:val="-1"/>
                <w:sz w:val="18"/>
              </w:rPr>
              <w:t>38,338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4"/>
              <w:jc w:val="right"/>
              <w:rPr>
                <w:rFonts w:ascii="Arial" w:hAnsi="Arial" w:cs="Arial" w:eastAsia="Arial" w:hint="default"/>
                <w:sz w:val="18"/>
                <w:szCs w:val="18"/>
              </w:rPr>
            </w:pPr>
            <w:r>
              <w:rPr>
                <w:rFonts w:ascii="Arial"/>
                <w:spacing w:val="-1"/>
                <w:sz w:val="18"/>
              </w:rPr>
              <w:t>824,038</w:t>
            </w:r>
          </w:p>
        </w:tc>
      </w:tr>
      <w:tr>
        <w:trPr>
          <w:trHeight w:val="62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Arial" w:hAnsi="Arial" w:cs="Arial" w:eastAsia="Arial" w:hint="default"/>
                <w:sz w:val="18"/>
                <w:szCs w:val="18"/>
              </w:rPr>
            </w:pPr>
            <w:r>
              <w:rPr>
                <w:rFonts w:ascii="Arial"/>
                <w:sz w:val="18"/>
              </w:rPr>
              <w:t>81,808,678</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76" w:right="0"/>
              <w:jc w:val="left"/>
              <w:rPr>
                <w:rFonts w:ascii="Arial" w:hAnsi="Arial" w:cs="Arial" w:eastAsia="Arial" w:hint="default"/>
                <w:sz w:val="18"/>
                <w:szCs w:val="18"/>
              </w:rPr>
            </w:pPr>
            <w:r>
              <w:rPr>
                <w:rFonts w:ascii="Arial"/>
                <w:sz w:val="18"/>
              </w:rPr>
              <w:t>1,084,076</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76"/>
              <w:jc w:val="right"/>
              <w:rPr>
                <w:rFonts w:ascii="Arial" w:hAnsi="Arial" w:cs="Arial" w:eastAsia="Arial" w:hint="default"/>
                <w:sz w:val="18"/>
                <w:szCs w:val="18"/>
              </w:rPr>
            </w:pPr>
            <w:r>
              <w:rPr>
                <w:rFonts w:ascii="Arial"/>
                <w:spacing w:val="-1"/>
                <w:sz w:val="18"/>
              </w:rPr>
              <w:t>(699,025)</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43"/>
              <w:jc w:val="right"/>
              <w:rPr>
                <w:rFonts w:ascii="Arial" w:hAnsi="Arial" w:cs="Arial" w:eastAsia="Arial" w:hint="default"/>
                <w:sz w:val="18"/>
                <w:szCs w:val="18"/>
              </w:rPr>
            </w:pPr>
            <w:r>
              <w:rPr>
                <w:rFonts w:ascii="Arial"/>
                <w:spacing w:val="-1"/>
                <w:sz w:val="18"/>
              </w:rPr>
              <w:t>82,193,729</w:t>
            </w:r>
          </w:p>
        </w:tc>
      </w:tr>
      <w:tr>
        <w:trPr>
          <w:trHeight w:val="62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Arial" w:hAnsi="Arial" w:cs="Arial" w:eastAsia="Arial" w:hint="default"/>
                <w:sz w:val="18"/>
                <w:szCs w:val="18"/>
              </w:rPr>
            </w:pPr>
            <w:r>
              <w:rPr>
                <w:rFonts w:ascii="Arial"/>
                <w:sz w:val="18"/>
              </w:rPr>
              <w:t>52,147,596</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626" w:right="0"/>
              <w:jc w:val="left"/>
              <w:rPr>
                <w:rFonts w:ascii="Arial" w:hAnsi="Arial" w:cs="Arial" w:eastAsia="Arial" w:hint="default"/>
                <w:sz w:val="18"/>
                <w:szCs w:val="18"/>
              </w:rPr>
            </w:pPr>
            <w:r>
              <w:rPr>
                <w:rFonts w:ascii="Arial"/>
                <w:sz w:val="18"/>
              </w:rPr>
              <w:t>498,442</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648" w:right="0"/>
              <w:jc w:val="left"/>
              <w:rPr>
                <w:rFonts w:ascii="Arial" w:hAnsi="Arial" w:cs="Arial" w:eastAsia="Arial" w:hint="default"/>
                <w:sz w:val="18"/>
                <w:szCs w:val="18"/>
              </w:rPr>
            </w:pPr>
            <w:r>
              <w:rPr>
                <w:rFonts w:ascii="Arial"/>
                <w:sz w:val="18"/>
              </w:rPr>
              <w:t>10,889</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43"/>
              <w:jc w:val="right"/>
              <w:rPr>
                <w:rFonts w:ascii="Arial" w:hAnsi="Arial" w:cs="Arial" w:eastAsia="Arial" w:hint="default"/>
                <w:sz w:val="18"/>
                <w:szCs w:val="18"/>
              </w:rPr>
            </w:pPr>
            <w:r>
              <w:rPr>
                <w:rFonts w:ascii="Arial"/>
                <w:spacing w:val="-1"/>
                <w:sz w:val="18"/>
              </w:rPr>
              <w:t>52,656,927</w:t>
            </w:r>
          </w:p>
        </w:tc>
      </w:tr>
      <w:tr>
        <w:trPr>
          <w:trHeight w:val="647"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00" w:right="283" w:hanging="201"/>
              <w:jc w:val="left"/>
              <w:rPr>
                <w:rFonts w:ascii="宋体" w:hAnsi="宋体" w:cs="宋体" w:eastAsia="宋体" w:hint="default"/>
                <w:sz w:val="18"/>
                <w:szCs w:val="18"/>
              </w:rPr>
            </w:pPr>
            <w:r>
              <w:rPr>
                <w:rFonts w:ascii="宋体" w:hAnsi="宋体" w:cs="宋体" w:eastAsia="宋体" w:hint="default"/>
                <w:spacing w:val="10"/>
                <w:sz w:val="18"/>
                <w:szCs w:val="18"/>
              </w:rPr>
              <w:t>对联营企业的长期股权</w:t>
            </w:r>
            <w:r>
              <w:rPr>
                <w:rFonts w:ascii="宋体" w:hAnsi="宋体" w:cs="宋体" w:eastAsia="宋体" w:hint="default"/>
                <w:sz w:val="18"/>
                <w:szCs w:val="18"/>
              </w:rPr>
              <w:t> 投资</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60" w:right="0"/>
              <w:jc w:val="left"/>
              <w:rPr>
                <w:rFonts w:ascii="Arial" w:hAnsi="Arial" w:cs="Arial" w:eastAsia="Arial" w:hint="default"/>
                <w:sz w:val="18"/>
                <w:szCs w:val="18"/>
              </w:rPr>
            </w:pPr>
            <w:r>
              <w:rPr>
                <w:rFonts w:ascii="Arial"/>
                <w:sz w:val="18"/>
              </w:rPr>
              <w:t>1,346,853</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67"/>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66"/>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42"/>
              <w:jc w:val="right"/>
              <w:rPr>
                <w:rFonts w:ascii="Arial" w:hAnsi="Arial" w:cs="Arial" w:eastAsia="Arial" w:hint="default"/>
                <w:sz w:val="18"/>
                <w:szCs w:val="18"/>
              </w:rPr>
            </w:pPr>
            <w:r>
              <w:rPr>
                <w:rFonts w:ascii="Arial"/>
                <w:spacing w:val="-1"/>
                <w:sz w:val="18"/>
              </w:rPr>
              <w:t>1,346,853</w:t>
            </w:r>
          </w:p>
        </w:tc>
      </w:tr>
    </w:tbl>
    <w:p>
      <w:pPr>
        <w:spacing w:after="0" w:line="240" w:lineRule="auto"/>
        <w:jc w:val="right"/>
        <w:rPr>
          <w:rFonts w:ascii="Arial" w:hAnsi="Arial" w:cs="Arial" w:eastAsia="Arial" w:hint="default"/>
          <w:sz w:val="18"/>
          <w:szCs w:val="18"/>
        </w:rPr>
        <w:sectPr>
          <w:pgSz w:w="11910" w:h="16840"/>
          <w:pgMar w:header="755" w:footer="648" w:top="1860" w:bottom="840" w:left="146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8"/>
        <w:gridCol w:w="1896"/>
        <w:gridCol w:w="1744"/>
        <w:gridCol w:w="2138"/>
        <w:gridCol w:w="1189"/>
        <w:gridCol w:w="1452"/>
      </w:tblGrid>
      <w:tr>
        <w:trPr>
          <w:trHeight w:val="465"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exact"/>
              <w:ind w:right="76"/>
              <w:jc w:val="center"/>
              <w:rPr>
                <w:rFonts w:ascii="黑体" w:hAnsi="黑体" w:cs="黑体" w:eastAsia="黑体" w:hint="default"/>
                <w:sz w:val="24"/>
                <w:szCs w:val="24"/>
              </w:rPr>
            </w:pPr>
            <w:r>
              <w:rPr>
                <w:rFonts w:ascii="黑体" w:hAnsi="黑体" w:cs="黑体" w:eastAsia="黑体" w:hint="default"/>
                <w:sz w:val="24"/>
                <w:szCs w:val="24"/>
              </w:rPr>
              <w:t>七</w:t>
            </w:r>
          </w:p>
        </w:tc>
        <w:tc>
          <w:tcPr>
            <w:tcW w:w="1896" w:type="dxa"/>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分部信息</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44"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1294" w:hRule="exact"/>
        </w:trPr>
        <w:tc>
          <w:tcPr>
            <w:tcW w:w="9137" w:type="dxa"/>
            <w:gridSpan w:val="6"/>
            <w:tcBorders>
              <w:top w:val="nil" w:sz="6" w:space="0" w:color="auto"/>
              <w:left w:val="nil" w:sz="6" w:space="0" w:color="auto"/>
              <w:bottom w:val="nil" w:sz="6" w:space="0" w:color="auto"/>
              <w:right w:val="nil" w:sz="6" w:space="0" w:color="auto"/>
            </w:tcBorders>
          </w:tcPr>
          <w:p>
            <w:pPr>
              <w:pStyle w:val="TableParagraph"/>
              <w:spacing w:line="237" w:lineRule="auto" w:before="142"/>
              <w:ind w:left="943" w:right="119"/>
              <w:jc w:val="both"/>
              <w:rPr>
                <w:rFonts w:ascii="宋体" w:hAnsi="宋体" w:cs="宋体" w:eastAsia="宋体" w:hint="default"/>
                <w:sz w:val="24"/>
                <w:szCs w:val="24"/>
              </w:rPr>
            </w:pPr>
            <w:r>
              <w:rPr>
                <w:rFonts w:ascii="宋体" w:hAnsi="宋体" w:cs="宋体" w:eastAsia="宋体" w:hint="default"/>
                <w:spacing w:val="-3"/>
                <w:sz w:val="24"/>
                <w:szCs w:val="24"/>
              </w:rPr>
              <w:t>本集团在国内及其他国家和地区的对外交易收入总额，以及本集团位于国内及</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其他国家和地区的除金融资产及递延所得税资产之外的非流动资产总额列示</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如下：</w:t>
            </w:r>
          </w:p>
        </w:tc>
      </w:tr>
      <w:tr>
        <w:trPr>
          <w:trHeight w:val="683"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224" w:right="0"/>
              <w:jc w:val="left"/>
              <w:rPr>
                <w:rFonts w:ascii="宋体" w:hAnsi="宋体" w:cs="宋体" w:eastAsia="宋体" w:hint="default"/>
                <w:sz w:val="22"/>
                <w:szCs w:val="22"/>
              </w:rPr>
            </w:pPr>
            <w:r>
              <w:rPr>
                <w:rFonts w:ascii="宋体" w:hAnsi="宋体" w:cs="宋体" w:eastAsia="宋体" w:hint="default"/>
                <w:sz w:val="22"/>
                <w:szCs w:val="22"/>
              </w:rPr>
              <w:t>对外交易收入</w:t>
            </w:r>
          </w:p>
        </w:tc>
        <w:tc>
          <w:tcPr>
            <w:tcW w:w="1744"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07"/>
              <w:jc w:val="righ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8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2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39"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24" w:right="0"/>
              <w:jc w:val="left"/>
              <w:rPr>
                <w:rFonts w:ascii="宋体" w:hAnsi="宋体" w:cs="宋体" w:eastAsia="宋体" w:hint="default"/>
                <w:sz w:val="22"/>
                <w:szCs w:val="22"/>
              </w:rPr>
            </w:pPr>
            <w:r>
              <w:rPr>
                <w:rFonts w:ascii="宋体" w:hAnsi="宋体" w:cs="宋体" w:eastAsia="宋体" w:hint="default"/>
                <w:sz w:val="22"/>
                <w:szCs w:val="22"/>
              </w:rPr>
              <w:t>中国</w:t>
            </w:r>
          </w:p>
        </w:tc>
        <w:tc>
          <w:tcPr>
            <w:tcW w:w="1744"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22"/>
                <w:szCs w:val="22"/>
              </w:rPr>
            </w:pPr>
            <w:r>
              <w:rPr>
                <w:rFonts w:ascii="Arial"/>
                <w:w w:val="95"/>
                <w:sz w:val="22"/>
              </w:rPr>
              <w:t>130,608,370</w:t>
            </w:r>
            <w:r>
              <w:rPr>
                <w:rFonts w:ascii="Arial"/>
                <w:sz w:val="22"/>
              </w:rPr>
            </w:r>
          </w:p>
        </w:tc>
        <w:tc>
          <w:tcPr>
            <w:tcW w:w="118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9"/>
              <w:jc w:val="right"/>
              <w:rPr>
                <w:rFonts w:ascii="Arial" w:hAnsi="Arial" w:cs="Arial" w:eastAsia="Arial" w:hint="default"/>
                <w:sz w:val="22"/>
                <w:szCs w:val="22"/>
              </w:rPr>
            </w:pPr>
            <w:r>
              <w:rPr>
                <w:rFonts w:ascii="Arial"/>
                <w:w w:val="95"/>
                <w:sz w:val="22"/>
              </w:rPr>
              <w:t>106,183,929</w:t>
            </w:r>
            <w:r>
              <w:rPr>
                <w:rFonts w:ascii="Arial"/>
                <w:sz w:val="22"/>
              </w:rPr>
            </w:r>
          </w:p>
        </w:tc>
      </w:tr>
      <w:tr>
        <w:trPr>
          <w:trHeight w:val="357"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80" w:lineRule="exact"/>
              <w:ind w:left="224" w:right="0"/>
              <w:jc w:val="left"/>
              <w:rPr>
                <w:rFonts w:ascii="宋体" w:hAnsi="宋体" w:cs="宋体" w:eastAsia="宋体" w:hint="default"/>
                <w:sz w:val="22"/>
                <w:szCs w:val="22"/>
              </w:rPr>
            </w:pPr>
            <w:r>
              <w:rPr>
                <w:rFonts w:ascii="宋体" w:hAnsi="宋体" w:cs="宋体" w:eastAsia="宋体" w:hint="default"/>
                <w:sz w:val="22"/>
                <w:szCs w:val="22"/>
              </w:rPr>
              <w:t>日本</w:t>
            </w:r>
          </w:p>
        </w:tc>
        <w:tc>
          <w:tcPr>
            <w:tcW w:w="1744" w:type="dxa"/>
            <w:tcBorders>
              <w:top w:val="nil" w:sz="6" w:space="0" w:color="auto"/>
              <w:left w:val="nil" w:sz="6" w:space="0" w:color="auto"/>
              <w:bottom w:val="single" w:sz="4" w:space="0" w:color="000000"/>
              <w:right w:val="nil" w:sz="6" w:space="0" w:color="auto"/>
            </w:tcBorders>
          </w:tcPr>
          <w:p>
            <w:pPr/>
          </w:p>
        </w:tc>
        <w:tc>
          <w:tcPr>
            <w:tcW w:w="213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w:hAnsi="Arial" w:cs="Arial" w:eastAsia="Arial" w:hint="default"/>
                <w:sz w:val="22"/>
                <w:szCs w:val="22"/>
              </w:rPr>
            </w:pPr>
            <w:r>
              <w:rPr>
                <w:rFonts w:ascii="Arial"/>
                <w:w w:val="95"/>
                <w:sz w:val="22"/>
              </w:rPr>
              <w:t>4,939,263</w:t>
            </w:r>
            <w:r>
              <w:rPr>
                <w:rFonts w:ascii="Arial"/>
                <w:sz w:val="22"/>
              </w:rPr>
            </w:r>
          </w:p>
        </w:tc>
        <w:tc>
          <w:tcPr>
            <w:tcW w:w="1189" w:type="dxa"/>
            <w:tcBorders>
              <w:top w:val="nil" w:sz="6" w:space="0" w:color="auto"/>
              <w:left w:val="nil" w:sz="6" w:space="0" w:color="auto"/>
              <w:bottom w:val="single" w:sz="4" w:space="0" w:color="000000"/>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45"/>
              <w:jc w:val="right"/>
              <w:rPr>
                <w:rFonts w:ascii="Arial" w:hAnsi="Arial" w:cs="Arial" w:eastAsia="Arial" w:hint="default"/>
                <w:sz w:val="22"/>
                <w:szCs w:val="22"/>
              </w:rPr>
            </w:pPr>
            <w:r>
              <w:rPr>
                <w:rFonts w:ascii="Arial"/>
                <w:w w:val="95"/>
                <w:sz w:val="22"/>
              </w:rPr>
              <w:t>2,741,367</w:t>
            </w:r>
            <w:r>
              <w:rPr>
                <w:rFonts w:ascii="Arial"/>
                <w:sz w:val="22"/>
              </w:rPr>
            </w:r>
          </w:p>
        </w:tc>
      </w:tr>
      <w:tr>
        <w:trPr>
          <w:trHeight w:val="353"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single" w:sz="12" w:space="0" w:color="000000"/>
              <w:right w:val="nil" w:sz="6" w:space="0" w:color="auto"/>
            </w:tcBorders>
          </w:tcPr>
          <w:p>
            <w:pPr/>
          </w:p>
        </w:tc>
        <w:tc>
          <w:tcPr>
            <w:tcW w:w="21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6"/>
              <w:jc w:val="right"/>
              <w:rPr>
                <w:rFonts w:ascii="Arial" w:hAnsi="Arial" w:cs="Arial" w:eastAsia="Arial" w:hint="default"/>
                <w:sz w:val="22"/>
                <w:szCs w:val="22"/>
              </w:rPr>
            </w:pPr>
            <w:r>
              <w:rPr>
                <w:rFonts w:ascii="Arial"/>
                <w:w w:val="95"/>
                <w:sz w:val="22"/>
              </w:rPr>
              <w:t>135,547,633</w:t>
            </w:r>
            <w:r>
              <w:rPr>
                <w:rFonts w:ascii="Arial"/>
                <w:sz w:val="22"/>
              </w:rPr>
            </w:r>
          </w:p>
        </w:tc>
        <w:tc>
          <w:tcPr>
            <w:tcW w:w="1189" w:type="dxa"/>
            <w:tcBorders>
              <w:top w:val="single" w:sz="4" w:space="0" w:color="000000"/>
              <w:left w:val="nil" w:sz="6" w:space="0" w:color="auto"/>
              <w:bottom w:val="single" w:sz="12" w:space="0" w:color="000000"/>
              <w:right w:val="nil" w:sz="6" w:space="0" w:color="auto"/>
            </w:tcBorders>
          </w:tcPr>
          <w:p>
            <w:pPr/>
          </w:p>
        </w:tc>
        <w:tc>
          <w:tcPr>
            <w:tcW w:w="14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44"/>
              <w:jc w:val="right"/>
              <w:rPr>
                <w:rFonts w:ascii="Arial" w:hAnsi="Arial" w:cs="Arial" w:eastAsia="Arial" w:hint="default"/>
                <w:sz w:val="22"/>
                <w:szCs w:val="22"/>
              </w:rPr>
            </w:pPr>
            <w:r>
              <w:rPr>
                <w:rFonts w:ascii="Arial"/>
                <w:w w:val="95"/>
                <w:sz w:val="22"/>
              </w:rPr>
              <w:t>108,925,296</w:t>
            </w:r>
            <w:r>
              <w:rPr>
                <w:rFonts w:ascii="Arial"/>
                <w:sz w:val="22"/>
              </w:rPr>
            </w:r>
          </w:p>
        </w:tc>
      </w:tr>
      <w:tr>
        <w:trPr>
          <w:trHeight w:val="886"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240" w:lineRule="auto"/>
              <w:ind w:left="224" w:right="0"/>
              <w:jc w:val="left"/>
              <w:rPr>
                <w:rFonts w:ascii="宋体" w:hAnsi="宋体" w:cs="宋体" w:eastAsia="宋体" w:hint="default"/>
                <w:sz w:val="22"/>
                <w:szCs w:val="22"/>
              </w:rPr>
            </w:pPr>
            <w:r>
              <w:rPr>
                <w:rFonts w:ascii="宋体" w:hAnsi="宋体" w:cs="宋体" w:eastAsia="宋体" w:hint="default"/>
                <w:sz w:val="22"/>
                <w:szCs w:val="22"/>
              </w:rPr>
              <w:t>非流动资产总额</w:t>
            </w:r>
          </w:p>
        </w:tc>
        <w:tc>
          <w:tcPr>
            <w:tcW w:w="1744" w:type="dxa"/>
            <w:tcBorders>
              <w:top w:val="single" w:sz="12" w:space="0" w:color="000000"/>
              <w:left w:val="nil" w:sz="6" w:space="0" w:color="auto"/>
              <w:bottom w:val="nil" w:sz="6" w:space="0" w:color="auto"/>
              <w:right w:val="nil" w:sz="6" w:space="0" w:color="auto"/>
            </w:tcBorders>
          </w:tcPr>
          <w:p>
            <w:pPr/>
          </w:p>
        </w:tc>
        <w:tc>
          <w:tcPr>
            <w:tcW w:w="2138"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104" w:right="0"/>
              <w:jc w:val="lef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6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240" w:lineRule="auto"/>
              <w:ind w:left="618"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39"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24" w:right="0"/>
              <w:jc w:val="left"/>
              <w:rPr>
                <w:rFonts w:ascii="宋体" w:hAnsi="宋体" w:cs="宋体" w:eastAsia="宋体" w:hint="default"/>
                <w:sz w:val="22"/>
                <w:szCs w:val="22"/>
              </w:rPr>
            </w:pPr>
            <w:r>
              <w:rPr>
                <w:rFonts w:ascii="宋体" w:hAnsi="宋体" w:cs="宋体" w:eastAsia="宋体" w:hint="default"/>
                <w:sz w:val="22"/>
                <w:szCs w:val="22"/>
              </w:rPr>
              <w:t>中国</w:t>
            </w:r>
          </w:p>
        </w:tc>
        <w:tc>
          <w:tcPr>
            <w:tcW w:w="1744"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21"/>
              <w:jc w:val="right"/>
              <w:rPr>
                <w:rFonts w:ascii="Arial" w:hAnsi="Arial" w:cs="Arial" w:eastAsia="Arial" w:hint="default"/>
                <w:sz w:val="22"/>
                <w:szCs w:val="22"/>
              </w:rPr>
            </w:pPr>
            <w:r>
              <w:rPr>
                <w:rFonts w:ascii="Arial"/>
                <w:w w:val="95"/>
                <w:sz w:val="22"/>
              </w:rPr>
              <w:t>25,768,555</w:t>
            </w:r>
            <w:r>
              <w:rPr>
                <w:rFonts w:ascii="Arial"/>
                <w:sz w:val="22"/>
              </w:rPr>
            </w:r>
          </w:p>
        </w:tc>
        <w:tc>
          <w:tcPr>
            <w:tcW w:w="118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20"/>
              <w:jc w:val="right"/>
              <w:rPr>
                <w:rFonts w:ascii="Arial" w:hAnsi="Arial" w:cs="Arial" w:eastAsia="Arial" w:hint="default"/>
                <w:sz w:val="22"/>
                <w:szCs w:val="22"/>
              </w:rPr>
            </w:pPr>
            <w:r>
              <w:rPr>
                <w:rFonts w:ascii="Arial"/>
                <w:w w:val="95"/>
                <w:sz w:val="22"/>
              </w:rPr>
              <w:t>28,040,579</w:t>
            </w:r>
            <w:r>
              <w:rPr>
                <w:rFonts w:ascii="Arial"/>
                <w:sz w:val="22"/>
              </w:rPr>
            </w:r>
          </w:p>
        </w:tc>
      </w:tr>
      <w:tr>
        <w:trPr>
          <w:trHeight w:val="356"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79" w:lineRule="exact"/>
              <w:ind w:left="224" w:right="0"/>
              <w:jc w:val="left"/>
              <w:rPr>
                <w:rFonts w:ascii="宋体" w:hAnsi="宋体" w:cs="宋体" w:eastAsia="宋体" w:hint="default"/>
                <w:sz w:val="22"/>
                <w:szCs w:val="22"/>
              </w:rPr>
            </w:pPr>
            <w:r>
              <w:rPr>
                <w:rFonts w:ascii="宋体" w:hAnsi="宋体" w:cs="宋体" w:eastAsia="宋体" w:hint="default"/>
                <w:sz w:val="22"/>
                <w:szCs w:val="22"/>
              </w:rPr>
              <w:t>日本</w:t>
            </w:r>
          </w:p>
        </w:tc>
        <w:tc>
          <w:tcPr>
            <w:tcW w:w="1744" w:type="dxa"/>
            <w:tcBorders>
              <w:top w:val="nil" w:sz="6" w:space="0" w:color="auto"/>
              <w:left w:val="nil" w:sz="6" w:space="0" w:color="auto"/>
              <w:bottom w:val="single" w:sz="4" w:space="0" w:color="000000"/>
              <w:right w:val="nil" w:sz="6" w:space="0" w:color="auto"/>
            </w:tcBorders>
          </w:tcPr>
          <w:p>
            <w:pPr/>
          </w:p>
        </w:tc>
        <w:tc>
          <w:tcPr>
            <w:tcW w:w="213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21"/>
              <w:jc w:val="right"/>
              <w:rPr>
                <w:rFonts w:ascii="Arial" w:hAnsi="Arial" w:cs="Arial" w:eastAsia="Arial" w:hint="default"/>
                <w:sz w:val="22"/>
                <w:szCs w:val="22"/>
              </w:rPr>
            </w:pPr>
            <w:r>
              <w:rPr>
                <w:rFonts w:ascii="Arial"/>
                <w:w w:val="95"/>
                <w:sz w:val="22"/>
              </w:rPr>
              <w:t>1,524,891</w:t>
            </w:r>
            <w:r>
              <w:rPr>
                <w:rFonts w:ascii="Arial"/>
                <w:sz w:val="22"/>
              </w:rPr>
            </w:r>
          </w:p>
        </w:tc>
        <w:tc>
          <w:tcPr>
            <w:tcW w:w="1189" w:type="dxa"/>
            <w:tcBorders>
              <w:top w:val="nil" w:sz="6" w:space="0" w:color="auto"/>
              <w:left w:val="nil" w:sz="6" w:space="0" w:color="auto"/>
              <w:bottom w:val="single" w:sz="4" w:space="0" w:color="000000"/>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20"/>
              <w:jc w:val="right"/>
              <w:rPr>
                <w:rFonts w:ascii="Arial" w:hAnsi="Arial" w:cs="Arial" w:eastAsia="Arial" w:hint="default"/>
                <w:sz w:val="22"/>
                <w:szCs w:val="22"/>
              </w:rPr>
            </w:pPr>
            <w:r>
              <w:rPr>
                <w:rFonts w:ascii="Arial"/>
                <w:w w:val="95"/>
                <w:sz w:val="22"/>
              </w:rPr>
              <w:t>291,870</w:t>
            </w:r>
            <w:r>
              <w:rPr>
                <w:rFonts w:ascii="Arial"/>
                <w:sz w:val="22"/>
              </w:rPr>
            </w:r>
          </w:p>
        </w:tc>
      </w:tr>
      <w:tr>
        <w:trPr>
          <w:trHeight w:val="354"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single" w:sz="12" w:space="0" w:color="000000"/>
              <w:right w:val="nil" w:sz="6" w:space="0" w:color="auto"/>
            </w:tcBorders>
          </w:tcPr>
          <w:p>
            <w:pPr/>
          </w:p>
        </w:tc>
        <w:tc>
          <w:tcPr>
            <w:tcW w:w="21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21"/>
              <w:jc w:val="right"/>
              <w:rPr>
                <w:rFonts w:ascii="Arial" w:hAnsi="Arial" w:cs="Arial" w:eastAsia="Arial" w:hint="default"/>
                <w:sz w:val="22"/>
                <w:szCs w:val="22"/>
              </w:rPr>
            </w:pPr>
            <w:r>
              <w:rPr>
                <w:rFonts w:ascii="Arial"/>
                <w:w w:val="95"/>
                <w:sz w:val="22"/>
              </w:rPr>
              <w:t>27,293,446</w:t>
            </w:r>
            <w:r>
              <w:rPr>
                <w:rFonts w:ascii="Arial"/>
                <w:sz w:val="22"/>
              </w:rPr>
            </w:r>
          </w:p>
        </w:tc>
        <w:tc>
          <w:tcPr>
            <w:tcW w:w="1189" w:type="dxa"/>
            <w:tcBorders>
              <w:top w:val="single" w:sz="4" w:space="0" w:color="000000"/>
              <w:left w:val="nil" w:sz="6" w:space="0" w:color="auto"/>
              <w:bottom w:val="single" w:sz="12" w:space="0" w:color="000000"/>
              <w:right w:val="nil" w:sz="6" w:space="0" w:color="auto"/>
            </w:tcBorders>
          </w:tcPr>
          <w:p>
            <w:pPr/>
          </w:p>
        </w:tc>
        <w:tc>
          <w:tcPr>
            <w:tcW w:w="14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20"/>
              <w:jc w:val="right"/>
              <w:rPr>
                <w:rFonts w:ascii="Arial" w:hAnsi="Arial" w:cs="Arial" w:eastAsia="Arial" w:hint="default"/>
                <w:sz w:val="22"/>
                <w:szCs w:val="22"/>
              </w:rPr>
            </w:pPr>
            <w:r>
              <w:rPr>
                <w:rFonts w:ascii="Arial"/>
                <w:w w:val="95"/>
                <w:sz w:val="22"/>
              </w:rPr>
              <w:t>28,332,449</w:t>
            </w:r>
            <w:r>
              <w:rPr>
                <w:rFonts w:ascii="Arial"/>
                <w:sz w:val="22"/>
              </w:rPr>
            </w:r>
          </w:p>
        </w:tc>
      </w:tr>
      <w:tr>
        <w:trPr>
          <w:trHeight w:val="86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76"/>
              <w:jc w:val="center"/>
              <w:rPr>
                <w:rFonts w:ascii="黑体" w:hAnsi="黑体" w:cs="黑体" w:eastAsia="黑体" w:hint="default"/>
                <w:sz w:val="24"/>
                <w:szCs w:val="24"/>
              </w:rPr>
            </w:pPr>
            <w:r>
              <w:rPr>
                <w:rFonts w:ascii="黑体" w:hAnsi="黑体" w:cs="黑体" w:eastAsia="黑体" w:hint="default"/>
                <w:sz w:val="24"/>
                <w:szCs w:val="24"/>
              </w:rPr>
              <w:t>八</w:t>
            </w:r>
          </w:p>
        </w:tc>
        <w:tc>
          <w:tcPr>
            <w:tcW w:w="36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4" w:right="0"/>
              <w:jc w:val="left"/>
              <w:rPr>
                <w:rFonts w:ascii="黑体" w:hAnsi="黑体" w:cs="黑体" w:eastAsia="黑体" w:hint="default"/>
                <w:sz w:val="24"/>
                <w:szCs w:val="24"/>
              </w:rPr>
            </w:pPr>
            <w:r>
              <w:rPr>
                <w:rFonts w:ascii="黑体" w:hAnsi="黑体" w:cs="黑体" w:eastAsia="黑体" w:hint="default"/>
                <w:sz w:val="24"/>
                <w:szCs w:val="24"/>
              </w:rPr>
              <w:t>关联方关系及其交易</w:t>
            </w:r>
          </w:p>
        </w:tc>
        <w:tc>
          <w:tcPr>
            <w:tcW w:w="2138" w:type="dxa"/>
            <w:tcBorders>
              <w:top w:val="single" w:sz="12" w:space="0" w:color="000000"/>
              <w:left w:val="nil" w:sz="6" w:space="0" w:color="auto"/>
              <w:bottom w:val="nil" w:sz="6" w:space="0" w:color="auto"/>
              <w:right w:val="nil" w:sz="6" w:space="0" w:color="auto"/>
            </w:tcBorders>
          </w:tcPr>
          <w:p>
            <w:pPr/>
          </w:p>
        </w:tc>
        <w:tc>
          <w:tcPr>
            <w:tcW w:w="1189" w:type="dxa"/>
            <w:tcBorders>
              <w:top w:val="single" w:sz="12" w:space="0" w:color="000000"/>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
        </w:tc>
      </w:tr>
      <w:tr>
        <w:trPr>
          <w:trHeight w:val="74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2"/>
              <w:jc w:val="center"/>
              <w:rPr>
                <w:rFonts w:ascii="Arial" w:hAnsi="Arial" w:cs="Arial" w:eastAsia="Arial" w:hint="default"/>
                <w:sz w:val="24"/>
                <w:szCs w:val="24"/>
              </w:rPr>
            </w:pPr>
            <w:r>
              <w:rPr>
                <w:rFonts w:ascii="Arial"/>
                <w:sz w:val="24"/>
              </w:rPr>
              <w:t>(1)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24" w:right="-9"/>
              <w:jc w:val="left"/>
              <w:rPr>
                <w:rFonts w:ascii="黑体" w:hAnsi="黑体" w:cs="黑体" w:eastAsia="黑体" w:hint="default"/>
                <w:sz w:val="24"/>
                <w:szCs w:val="24"/>
              </w:rPr>
            </w:pPr>
            <w:r>
              <w:rPr>
                <w:rFonts w:ascii="黑体" w:hAnsi="黑体" w:cs="黑体" w:eastAsia="黑体" w:hint="default"/>
                <w:sz w:val="24"/>
                <w:szCs w:val="24"/>
              </w:rPr>
              <w:t>实际控制人情况</w:t>
            </w:r>
          </w:p>
        </w:tc>
        <w:tc>
          <w:tcPr>
            <w:tcW w:w="1744"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747"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2"/>
              <w:jc w:val="center"/>
              <w:rPr>
                <w:rFonts w:ascii="Arial" w:hAnsi="Arial" w:cs="Arial" w:eastAsia="Arial" w:hint="default"/>
                <w:sz w:val="24"/>
                <w:szCs w:val="24"/>
              </w:rPr>
            </w:pPr>
            <w:r>
              <w:rPr>
                <w:rFonts w:ascii="Arial"/>
                <w:sz w:val="24"/>
              </w:rPr>
              <w:t>(a)</w:t>
            </w:r>
          </w:p>
        </w:tc>
        <w:tc>
          <w:tcPr>
            <w:tcW w:w="57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3"/>
              <w:ind w:left="224" w:right="0"/>
              <w:jc w:val="left"/>
              <w:rPr>
                <w:rFonts w:ascii="宋体" w:hAnsi="宋体" w:cs="宋体" w:eastAsia="宋体" w:hint="default"/>
                <w:sz w:val="24"/>
                <w:szCs w:val="24"/>
              </w:rPr>
            </w:pPr>
            <w:r>
              <w:rPr>
                <w:rFonts w:ascii="宋体" w:hAnsi="宋体" w:cs="宋体" w:eastAsia="宋体" w:hint="default"/>
                <w:sz w:val="24"/>
                <w:szCs w:val="24"/>
              </w:rPr>
              <w:t>本公司实际控制人为张近东先生。</w:t>
            </w:r>
          </w:p>
        </w:tc>
        <w:tc>
          <w:tcPr>
            <w:tcW w:w="118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749"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2"/>
              <w:jc w:val="center"/>
              <w:rPr>
                <w:rFonts w:ascii="Arial" w:hAnsi="Arial" w:cs="Arial" w:eastAsia="Arial" w:hint="default"/>
                <w:sz w:val="24"/>
                <w:szCs w:val="24"/>
              </w:rPr>
            </w:pPr>
            <w:r>
              <w:rPr>
                <w:rFonts w:ascii="Arial"/>
                <w:sz w:val="24"/>
              </w:rPr>
              <w:t>(b)</w:t>
            </w:r>
          </w:p>
        </w:tc>
        <w:tc>
          <w:tcPr>
            <w:tcW w:w="57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3"/>
              <w:ind w:left="224" w:right="0"/>
              <w:jc w:val="left"/>
              <w:rPr>
                <w:rFonts w:ascii="宋体" w:hAnsi="宋体" w:cs="宋体" w:eastAsia="宋体" w:hint="default"/>
                <w:sz w:val="24"/>
                <w:szCs w:val="24"/>
              </w:rPr>
            </w:pPr>
            <w:r>
              <w:rPr>
                <w:rFonts w:ascii="宋体" w:hAnsi="宋体" w:cs="宋体" w:eastAsia="宋体" w:hint="default"/>
                <w:sz w:val="24"/>
                <w:szCs w:val="24"/>
              </w:rPr>
              <w:t>实际控制人对本公司的持股比例和表决权比例</w:t>
            </w:r>
          </w:p>
        </w:tc>
        <w:tc>
          <w:tcPr>
            <w:tcW w:w="118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550"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38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4"/>
              <w:ind w:left="933" w:right="0"/>
              <w:jc w:val="lef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64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84"/>
              <w:ind w:left="178"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48"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67"/>
              <w:jc w:val="right"/>
              <w:rPr>
                <w:rFonts w:ascii="宋体" w:hAnsi="宋体" w:cs="宋体" w:eastAsia="宋体" w:hint="default"/>
                <w:sz w:val="22"/>
                <w:szCs w:val="22"/>
              </w:rPr>
            </w:pPr>
            <w:r>
              <w:rPr>
                <w:rFonts w:ascii="宋体" w:hAnsi="宋体" w:cs="宋体" w:eastAsia="宋体" w:hint="default"/>
                <w:w w:val="95"/>
                <w:sz w:val="22"/>
                <w:szCs w:val="22"/>
              </w:rPr>
              <w:t>持股比例</w:t>
            </w:r>
            <w:r>
              <w:rPr>
                <w:rFonts w:ascii="宋体" w:hAnsi="宋体" w:cs="宋体" w:eastAsia="宋体" w:hint="default"/>
                <w:sz w:val="22"/>
                <w:szCs w:val="22"/>
              </w:rPr>
            </w:r>
          </w:p>
        </w:tc>
        <w:tc>
          <w:tcPr>
            <w:tcW w:w="213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67" w:right="0"/>
              <w:jc w:val="left"/>
              <w:rPr>
                <w:rFonts w:ascii="宋体" w:hAnsi="宋体" w:cs="宋体" w:eastAsia="宋体" w:hint="default"/>
                <w:sz w:val="22"/>
                <w:szCs w:val="22"/>
              </w:rPr>
            </w:pPr>
            <w:r>
              <w:rPr>
                <w:rFonts w:ascii="宋体" w:hAnsi="宋体" w:cs="宋体" w:eastAsia="宋体" w:hint="default"/>
                <w:sz w:val="22"/>
                <w:szCs w:val="22"/>
              </w:rPr>
              <w:t>表决权比例</w:t>
            </w:r>
          </w:p>
        </w:tc>
        <w:tc>
          <w:tcPr>
            <w:tcW w:w="118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41"/>
              <w:jc w:val="right"/>
              <w:rPr>
                <w:rFonts w:ascii="宋体" w:hAnsi="宋体" w:cs="宋体" w:eastAsia="宋体" w:hint="default"/>
                <w:sz w:val="22"/>
                <w:szCs w:val="22"/>
              </w:rPr>
            </w:pPr>
            <w:r>
              <w:rPr>
                <w:rFonts w:ascii="宋体" w:hAnsi="宋体" w:cs="宋体" w:eastAsia="宋体" w:hint="default"/>
                <w:w w:val="95"/>
                <w:sz w:val="22"/>
                <w:szCs w:val="22"/>
              </w:rPr>
              <w:t>持股比例</w:t>
            </w:r>
            <w:r>
              <w:rPr>
                <w:rFonts w:ascii="宋体" w:hAnsi="宋体" w:cs="宋体" w:eastAsia="宋体" w:hint="default"/>
                <w:sz w:val="22"/>
                <w:szCs w:val="22"/>
              </w:rPr>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8"/>
              <w:jc w:val="right"/>
              <w:rPr>
                <w:rFonts w:ascii="宋体" w:hAnsi="宋体" w:cs="宋体" w:eastAsia="宋体" w:hint="default"/>
                <w:sz w:val="22"/>
                <w:szCs w:val="22"/>
              </w:rPr>
            </w:pPr>
            <w:r>
              <w:rPr>
                <w:rFonts w:ascii="宋体" w:hAnsi="宋体" w:cs="宋体" w:eastAsia="宋体" w:hint="default"/>
                <w:w w:val="95"/>
                <w:sz w:val="22"/>
                <w:szCs w:val="22"/>
              </w:rPr>
              <w:t>表决权比例</w:t>
            </w:r>
            <w:r>
              <w:rPr>
                <w:rFonts w:ascii="宋体" w:hAnsi="宋体" w:cs="宋体" w:eastAsia="宋体" w:hint="default"/>
                <w:sz w:val="22"/>
                <w:szCs w:val="22"/>
              </w:rPr>
            </w:r>
          </w:p>
        </w:tc>
      </w:tr>
      <w:tr>
        <w:trPr>
          <w:trHeight w:val="735" w:hRule="exact"/>
        </w:trPr>
        <w:tc>
          <w:tcPr>
            <w:tcW w:w="71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224" w:right="0"/>
              <w:jc w:val="left"/>
              <w:rPr>
                <w:rFonts w:ascii="Arial" w:hAnsi="Arial" w:cs="Arial" w:eastAsia="Arial" w:hint="default"/>
                <w:sz w:val="22"/>
                <w:szCs w:val="22"/>
              </w:rPr>
            </w:pPr>
            <w:r>
              <w:rPr>
                <w:rFonts w:ascii="宋体" w:hAnsi="宋体" w:cs="宋体" w:eastAsia="宋体" w:hint="default"/>
                <w:sz w:val="22"/>
                <w:szCs w:val="22"/>
              </w:rPr>
              <w:t>张近东先生</w:t>
            </w:r>
            <w:r>
              <w:rPr>
                <w:rFonts w:ascii="Arial" w:hAnsi="Arial" w:cs="Arial" w:eastAsia="Arial" w:hint="default"/>
                <w:sz w:val="22"/>
                <w:szCs w:val="22"/>
              </w:rPr>
              <w:t>(</w:t>
            </w:r>
            <w:r>
              <w:rPr>
                <w:rFonts w:ascii="宋体" w:hAnsi="宋体" w:cs="宋体" w:eastAsia="宋体" w:hint="default"/>
                <w:sz w:val="22"/>
                <w:szCs w:val="22"/>
              </w:rPr>
              <w:t>注</w:t>
            </w:r>
            <w:r>
              <w:rPr>
                <w:rFonts w:ascii="Arial" w:hAnsi="Arial" w:cs="Arial" w:eastAsia="Arial" w:hint="default"/>
                <w:sz w:val="22"/>
                <w:szCs w:val="22"/>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5"/>
              <w:jc w:val="right"/>
              <w:rPr>
                <w:rFonts w:ascii="Arial" w:hAnsi="Arial" w:cs="Arial" w:eastAsia="Arial" w:hint="default"/>
                <w:sz w:val="22"/>
                <w:szCs w:val="22"/>
              </w:rPr>
            </w:pPr>
            <w:r>
              <w:rPr>
                <w:rFonts w:ascii="Arial"/>
                <w:w w:val="95"/>
                <w:sz w:val="22"/>
              </w:rPr>
              <w:t>37.66%</w:t>
            </w:r>
            <w:r>
              <w:rPr>
                <w:rFonts w:ascii="Arial"/>
                <w:sz w:val="22"/>
              </w:rPr>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21" w:right="0"/>
              <w:jc w:val="left"/>
              <w:rPr>
                <w:rFonts w:ascii="Arial" w:hAnsi="Arial" w:cs="Arial" w:eastAsia="Arial" w:hint="default"/>
                <w:sz w:val="22"/>
                <w:szCs w:val="22"/>
              </w:rPr>
            </w:pPr>
            <w:r>
              <w:rPr>
                <w:rFonts w:ascii="Arial"/>
                <w:sz w:val="22"/>
              </w:rPr>
              <w:t>30.64%</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40"/>
              <w:jc w:val="right"/>
              <w:rPr>
                <w:rFonts w:ascii="Arial" w:hAnsi="Arial" w:cs="Arial" w:eastAsia="Arial" w:hint="default"/>
                <w:sz w:val="22"/>
                <w:szCs w:val="22"/>
              </w:rPr>
            </w:pPr>
            <w:r>
              <w:rPr>
                <w:rFonts w:ascii="Arial"/>
                <w:w w:val="95"/>
                <w:sz w:val="22"/>
              </w:rPr>
              <w:t>36.50%</w:t>
            </w:r>
            <w:r>
              <w:rPr>
                <w:rFonts w:ascii="Arial"/>
                <w:sz w:val="22"/>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2"/>
                <w:szCs w:val="22"/>
              </w:rPr>
            </w:pPr>
            <w:r>
              <w:rPr>
                <w:rFonts w:ascii="Arial"/>
                <w:w w:val="95"/>
                <w:sz w:val="22"/>
              </w:rPr>
              <w:t>30.64%</w:t>
            </w:r>
            <w:r>
              <w:rPr>
                <w:rFonts w:ascii="Arial"/>
                <w:sz w:val="22"/>
              </w:rPr>
            </w:r>
          </w:p>
        </w:tc>
      </w:tr>
      <w:tr>
        <w:trPr>
          <w:trHeight w:val="1425" w:hRule="exact"/>
        </w:trPr>
        <w:tc>
          <w:tcPr>
            <w:tcW w:w="718" w:type="dxa"/>
            <w:tcBorders>
              <w:top w:val="nil" w:sz="6" w:space="0" w:color="auto"/>
              <w:left w:val="nil" w:sz="6" w:space="0" w:color="auto"/>
              <w:bottom w:val="nil" w:sz="6" w:space="0" w:color="auto"/>
              <w:right w:val="nil" w:sz="6" w:space="0" w:color="auto"/>
            </w:tcBorders>
          </w:tcPr>
          <w:p>
            <w:pPr/>
          </w:p>
        </w:tc>
        <w:tc>
          <w:tcPr>
            <w:tcW w:w="8419" w:type="dxa"/>
            <w:gridSpan w:val="5"/>
            <w:tcBorders>
              <w:top w:val="nil" w:sz="6" w:space="0" w:color="auto"/>
              <w:left w:val="nil" w:sz="6" w:space="0" w:color="auto"/>
              <w:bottom w:val="nil" w:sz="6" w:space="0" w:color="auto"/>
              <w:right w:val="nil" w:sz="6" w:space="0" w:color="auto"/>
            </w:tcBorders>
          </w:tcPr>
          <w:p>
            <w:pPr>
              <w:pStyle w:val="TableParagraph"/>
              <w:spacing w:line="225" w:lineRule="auto" w:before="181"/>
              <w:ind w:left="224" w:right="107"/>
              <w:jc w:val="both"/>
              <w:rPr>
                <w:rFonts w:ascii="宋体" w:hAnsi="宋体" w:cs="宋体" w:eastAsia="宋体" w:hint="default"/>
                <w:sz w:val="24"/>
                <w:szCs w:val="24"/>
              </w:rPr>
            </w:pPr>
            <w:r>
              <w:rPr>
                <w:rFonts w:ascii="宋体" w:hAnsi="宋体" w:cs="宋体" w:eastAsia="宋体" w:hint="default"/>
                <w:sz w:val="24"/>
                <w:szCs w:val="24"/>
              </w:rPr>
              <w:t>注：于</w:t>
            </w:r>
            <w:r>
              <w:rPr>
                <w:rFonts w:ascii="宋体" w:hAnsi="宋体" w:cs="宋体" w:eastAsia="宋体" w:hint="default"/>
                <w:spacing w:val="-58"/>
                <w:sz w:val="24"/>
                <w:szCs w:val="24"/>
              </w:rPr>
              <w:t> </w:t>
            </w:r>
            <w:r>
              <w:rPr>
                <w:rFonts w:ascii="Arial" w:hAnsi="Arial" w:cs="Arial" w:eastAsia="Arial" w:hint="default"/>
                <w:sz w:val="24"/>
                <w:szCs w:val="24"/>
              </w:rPr>
              <w:t>2015</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日，张近东先生直接持有本公司</w:t>
            </w:r>
            <w:r>
              <w:rPr>
                <w:rFonts w:ascii="宋体" w:hAnsi="宋体" w:cs="宋体" w:eastAsia="宋体" w:hint="default"/>
                <w:spacing w:val="-57"/>
                <w:sz w:val="24"/>
                <w:szCs w:val="24"/>
              </w:rPr>
              <w:t> </w:t>
            </w:r>
            <w:r>
              <w:rPr>
                <w:rFonts w:ascii="Arial" w:hAnsi="Arial" w:cs="Arial" w:eastAsia="Arial" w:hint="default"/>
                <w:sz w:val="24"/>
                <w:szCs w:val="24"/>
              </w:rPr>
              <w:t>26.44%</w:t>
            </w:r>
            <w:r>
              <w:rPr>
                <w:rFonts w:ascii="宋体" w:hAnsi="宋体" w:cs="宋体" w:eastAsia="宋体" w:hint="default"/>
                <w:sz w:val="24"/>
                <w:szCs w:val="24"/>
              </w:rPr>
              <w:t>的股份，同 </w:t>
            </w:r>
            <w:r>
              <w:rPr>
                <w:rFonts w:ascii="宋体" w:hAnsi="宋体" w:cs="宋体" w:eastAsia="宋体" w:hint="default"/>
                <w:spacing w:val="5"/>
                <w:sz w:val="24"/>
                <w:szCs w:val="24"/>
              </w:rPr>
              <w:t>时持有苏宁电器集团有限公司</w:t>
            </w:r>
            <w:r>
              <w:rPr>
                <w:rFonts w:ascii="宋体" w:hAnsi="宋体" w:cs="宋体" w:eastAsia="宋体" w:hint="default"/>
                <w:spacing w:val="25"/>
                <w:sz w:val="24"/>
                <w:szCs w:val="24"/>
              </w:rPr>
              <w:t> </w:t>
            </w:r>
            <w:r>
              <w:rPr>
                <w:rFonts w:ascii="Arial" w:hAnsi="Arial" w:cs="Arial" w:eastAsia="Arial" w:hint="default"/>
                <w:spacing w:val="3"/>
                <w:sz w:val="24"/>
                <w:szCs w:val="24"/>
              </w:rPr>
              <w:t>48.10%</w:t>
            </w:r>
            <w:r>
              <w:rPr>
                <w:rFonts w:ascii="宋体" w:hAnsi="宋体" w:cs="宋体" w:eastAsia="宋体" w:hint="default"/>
                <w:spacing w:val="3"/>
                <w:sz w:val="24"/>
                <w:szCs w:val="24"/>
              </w:rPr>
              <w:t>的股权、持有苏宁控股集团有限公司</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Arial" w:hAnsi="Arial" w:cs="Arial" w:eastAsia="Arial" w:hint="default"/>
                <w:sz w:val="24"/>
                <w:szCs w:val="24"/>
              </w:rPr>
              <w:t>100%</w:t>
            </w:r>
            <w:r>
              <w:rPr>
                <w:rFonts w:ascii="宋体" w:hAnsi="宋体" w:cs="宋体" w:eastAsia="宋体" w:hint="default"/>
                <w:sz w:val="24"/>
                <w:szCs w:val="24"/>
              </w:rPr>
              <w:t>的股权。苏宁电器集团有限公司与苏宁控股集团有限公司分别直接持有 本公司</w:t>
            </w:r>
            <w:r>
              <w:rPr>
                <w:rFonts w:ascii="宋体" w:hAnsi="宋体" w:cs="宋体" w:eastAsia="宋体" w:hint="default"/>
                <w:spacing w:val="-61"/>
                <w:sz w:val="24"/>
                <w:szCs w:val="24"/>
              </w:rPr>
              <w:t> </w:t>
            </w:r>
            <w:r>
              <w:rPr>
                <w:rFonts w:ascii="Arial" w:hAnsi="Arial" w:cs="Arial" w:eastAsia="Arial" w:hint="default"/>
                <w:sz w:val="24"/>
                <w:szCs w:val="24"/>
              </w:rPr>
              <w:t>14.60%</w:t>
            </w:r>
            <w:r>
              <w:rPr>
                <w:rFonts w:ascii="宋体" w:hAnsi="宋体" w:cs="宋体" w:eastAsia="宋体" w:hint="default"/>
                <w:sz w:val="24"/>
                <w:szCs w:val="24"/>
              </w:rPr>
              <w:t>和</w:t>
            </w:r>
            <w:r>
              <w:rPr>
                <w:rFonts w:ascii="宋体" w:hAnsi="宋体" w:cs="宋体" w:eastAsia="宋体" w:hint="default"/>
                <w:spacing w:val="-61"/>
                <w:sz w:val="24"/>
                <w:szCs w:val="24"/>
              </w:rPr>
              <w:t> </w:t>
            </w:r>
            <w:r>
              <w:rPr>
                <w:rFonts w:ascii="Arial" w:hAnsi="Arial" w:cs="Arial" w:eastAsia="Arial" w:hint="default"/>
                <w:sz w:val="24"/>
                <w:szCs w:val="24"/>
              </w:rPr>
              <w:t>4.20%</w:t>
            </w:r>
            <w:r>
              <w:rPr>
                <w:rFonts w:ascii="宋体" w:hAnsi="宋体" w:cs="宋体" w:eastAsia="宋体" w:hint="default"/>
                <w:sz w:val="24"/>
                <w:szCs w:val="24"/>
              </w:rPr>
              <w:t>的股权。</w:t>
            </w:r>
          </w:p>
        </w:tc>
      </w:tr>
    </w:tbl>
    <w:p>
      <w:pPr>
        <w:spacing w:after="0" w:line="225" w:lineRule="auto"/>
        <w:jc w:val="both"/>
        <w:rPr>
          <w:rFonts w:ascii="宋体" w:hAnsi="宋体" w:cs="宋体" w:eastAsia="宋体" w:hint="default"/>
          <w:sz w:val="24"/>
          <w:szCs w:val="24"/>
        </w:rPr>
        <w:sectPr>
          <w:footerReference w:type="default" r:id="rId78"/>
          <w:pgSz w:w="11910" w:h="16840"/>
          <w:pgMar w:footer="914" w:header="755" w:top="1860" w:bottom="1100" w:left="1420" w:right="0"/>
          <w:pgNumType w:start="235"/>
        </w:sectPr>
      </w:pPr>
    </w:p>
    <w:p>
      <w:pPr>
        <w:spacing w:line="240" w:lineRule="auto" w:before="1"/>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720"/>
        <w:gridCol w:w="5787"/>
        <w:gridCol w:w="3055"/>
      </w:tblGrid>
      <w:tr>
        <w:trPr>
          <w:trHeight w:val="421"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w:t>
            </w:r>
          </w:p>
        </w:tc>
        <w:tc>
          <w:tcPr>
            <w:tcW w:w="5787" w:type="dxa"/>
            <w:tcBorders>
              <w:top w:val="nil" w:sz="6" w:space="0" w:color="auto"/>
              <w:left w:val="nil" w:sz="6" w:space="0" w:color="auto"/>
              <w:bottom w:val="nil" w:sz="6" w:space="0" w:color="auto"/>
              <w:right w:val="nil" w:sz="6" w:space="0" w:color="auto"/>
            </w:tcBorders>
          </w:tcPr>
          <w:p>
            <w:pPr>
              <w:pStyle w:val="TableParagraph"/>
              <w:spacing w:line="247" w:lineRule="exact"/>
              <w:ind w:left="223" w:right="0"/>
              <w:jc w:val="left"/>
              <w:rPr>
                <w:rFonts w:ascii="黑体" w:hAnsi="黑体" w:cs="黑体" w:eastAsia="黑体" w:hint="default"/>
                <w:sz w:val="24"/>
                <w:szCs w:val="24"/>
              </w:rPr>
            </w:pPr>
            <w:r>
              <w:rPr>
                <w:rFonts w:ascii="黑体" w:hAnsi="黑体" w:cs="黑体" w:eastAsia="黑体" w:hint="default"/>
                <w:sz w:val="24"/>
                <w:szCs w:val="24"/>
              </w:rPr>
              <w:t>子公司情况</w:t>
            </w:r>
          </w:p>
        </w:tc>
        <w:tc>
          <w:tcPr>
            <w:tcW w:w="3055" w:type="dxa"/>
            <w:tcBorders>
              <w:top w:val="nil" w:sz="6" w:space="0" w:color="auto"/>
              <w:left w:val="nil" w:sz="6" w:space="0" w:color="auto"/>
              <w:bottom w:val="nil" w:sz="6" w:space="0" w:color="auto"/>
              <w:right w:val="nil" w:sz="6" w:space="0" w:color="auto"/>
            </w:tcBorders>
          </w:tcPr>
          <w:p>
            <w:pPr/>
          </w:p>
        </w:tc>
      </w:tr>
      <w:tr>
        <w:trPr>
          <w:trHeight w:val="589"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23" w:right="0"/>
              <w:jc w:val="left"/>
              <w:rPr>
                <w:rFonts w:ascii="宋体" w:hAnsi="宋体" w:cs="宋体" w:eastAsia="宋体" w:hint="default"/>
                <w:sz w:val="24"/>
                <w:szCs w:val="24"/>
              </w:rPr>
            </w:pPr>
            <w:r>
              <w:rPr>
                <w:rFonts w:ascii="宋体" w:hAnsi="宋体" w:cs="宋体" w:eastAsia="宋体" w:hint="default"/>
                <w:sz w:val="24"/>
                <w:szCs w:val="24"/>
              </w:rPr>
              <w:t>子公司的基本情况及相关信息见附注六</w:t>
            </w:r>
            <w:r>
              <w:rPr>
                <w:rFonts w:ascii="Arial" w:hAnsi="Arial" w:cs="Arial" w:eastAsia="Arial" w:hint="default"/>
                <w:sz w:val="24"/>
                <w:szCs w:val="24"/>
              </w:rPr>
              <w:t>(1)</w:t>
            </w:r>
            <w:r>
              <w:rPr>
                <w:rFonts w:ascii="宋体" w:hAnsi="宋体" w:cs="宋体" w:eastAsia="宋体" w:hint="default"/>
                <w:sz w:val="24"/>
                <w:szCs w:val="24"/>
              </w:rPr>
              <w:t>。</w:t>
            </w:r>
          </w:p>
        </w:tc>
        <w:tc>
          <w:tcPr>
            <w:tcW w:w="3055" w:type="dxa"/>
            <w:tcBorders>
              <w:top w:val="nil" w:sz="6" w:space="0" w:color="auto"/>
              <w:left w:val="nil" w:sz="6" w:space="0" w:color="auto"/>
              <w:bottom w:val="nil" w:sz="6" w:space="0" w:color="auto"/>
              <w:right w:val="nil" w:sz="6" w:space="0" w:color="auto"/>
            </w:tcBorders>
          </w:tcPr>
          <w:p>
            <w:pPr/>
          </w:p>
        </w:tc>
      </w:tr>
      <w:tr>
        <w:trPr>
          <w:trHeight w:val="60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w:t>
            </w: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3" w:right="0"/>
              <w:jc w:val="left"/>
              <w:rPr>
                <w:rFonts w:ascii="黑体" w:hAnsi="黑体" w:cs="黑体" w:eastAsia="黑体" w:hint="default"/>
                <w:sz w:val="24"/>
                <w:szCs w:val="24"/>
              </w:rPr>
            </w:pPr>
            <w:r>
              <w:rPr>
                <w:rFonts w:ascii="黑体" w:hAnsi="黑体" w:cs="黑体" w:eastAsia="黑体" w:hint="default"/>
                <w:sz w:val="24"/>
                <w:szCs w:val="24"/>
              </w:rPr>
              <w:t>合营企业情况</w:t>
            </w:r>
          </w:p>
        </w:tc>
        <w:tc>
          <w:tcPr>
            <w:tcW w:w="3055" w:type="dxa"/>
            <w:tcBorders>
              <w:top w:val="nil" w:sz="6" w:space="0" w:color="auto"/>
              <w:left w:val="nil" w:sz="6" w:space="0" w:color="auto"/>
              <w:bottom w:val="nil" w:sz="6" w:space="0" w:color="auto"/>
              <w:right w:val="nil" w:sz="6" w:space="0" w:color="auto"/>
            </w:tcBorders>
          </w:tcPr>
          <w:p>
            <w:pPr/>
          </w:p>
        </w:tc>
      </w:tr>
      <w:tr>
        <w:trPr>
          <w:trHeight w:val="629"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23" w:right="0"/>
              <w:jc w:val="left"/>
              <w:rPr>
                <w:rFonts w:ascii="宋体" w:hAnsi="宋体" w:cs="宋体" w:eastAsia="宋体" w:hint="default"/>
                <w:sz w:val="24"/>
                <w:szCs w:val="24"/>
              </w:rPr>
            </w:pPr>
            <w:r>
              <w:rPr>
                <w:rFonts w:ascii="宋体" w:hAnsi="宋体" w:cs="宋体" w:eastAsia="宋体" w:hint="default"/>
                <w:sz w:val="24"/>
                <w:szCs w:val="24"/>
              </w:rPr>
              <w:t>合营企业的基本情况见附注六</w:t>
            </w:r>
            <w:r>
              <w:rPr>
                <w:rFonts w:ascii="Arial" w:hAnsi="Arial" w:cs="Arial" w:eastAsia="Arial" w:hint="default"/>
                <w:sz w:val="24"/>
                <w:szCs w:val="24"/>
              </w:rPr>
              <w:t>(2)(a)</w:t>
            </w:r>
            <w:r>
              <w:rPr>
                <w:rFonts w:ascii="宋体" w:hAnsi="宋体" w:cs="宋体" w:eastAsia="宋体" w:hint="default"/>
                <w:sz w:val="24"/>
                <w:szCs w:val="24"/>
              </w:rPr>
              <w:t>。</w:t>
            </w:r>
          </w:p>
        </w:tc>
        <w:tc>
          <w:tcPr>
            <w:tcW w:w="3055" w:type="dxa"/>
            <w:tcBorders>
              <w:top w:val="nil" w:sz="6" w:space="0" w:color="auto"/>
              <w:left w:val="nil" w:sz="6" w:space="0" w:color="auto"/>
              <w:bottom w:val="nil" w:sz="6" w:space="0" w:color="auto"/>
              <w:right w:val="nil" w:sz="6" w:space="0" w:color="auto"/>
            </w:tcBorders>
          </w:tcPr>
          <w:p>
            <w:pPr/>
          </w:p>
        </w:tc>
      </w:tr>
      <w:tr>
        <w:trPr>
          <w:trHeight w:val="619"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55" w:right="0"/>
              <w:jc w:val="left"/>
              <w:rPr>
                <w:rFonts w:ascii="黑体" w:hAnsi="黑体" w:cs="黑体" w:eastAsia="黑体" w:hint="default"/>
                <w:sz w:val="24"/>
                <w:szCs w:val="24"/>
              </w:rPr>
            </w:pPr>
            <w:r>
              <w:rPr>
                <w:rFonts w:ascii="黑体" w:hAnsi="黑体" w:cs="黑体" w:eastAsia="黑体" w:hint="default"/>
                <w:sz w:val="24"/>
                <w:szCs w:val="24"/>
              </w:rPr>
              <w:t>八</w:t>
            </w: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23"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055" w:type="dxa"/>
            <w:tcBorders>
              <w:top w:val="nil" w:sz="6" w:space="0" w:color="auto"/>
              <w:left w:val="nil" w:sz="6" w:space="0" w:color="auto"/>
              <w:bottom w:val="nil" w:sz="6" w:space="0" w:color="auto"/>
              <w:right w:val="nil" w:sz="6" w:space="0" w:color="auto"/>
            </w:tcBorders>
          </w:tcPr>
          <w:p>
            <w:pPr/>
          </w:p>
        </w:tc>
      </w:tr>
      <w:tr>
        <w:trPr>
          <w:trHeight w:val="60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55" w:right="0"/>
              <w:jc w:val="left"/>
              <w:rPr>
                <w:rFonts w:ascii="Arial" w:hAnsi="Arial" w:cs="Arial" w:eastAsia="Arial" w:hint="default"/>
                <w:sz w:val="24"/>
                <w:szCs w:val="24"/>
              </w:rPr>
            </w:pPr>
            <w:r>
              <w:rPr>
                <w:rFonts w:ascii="Arial"/>
                <w:sz w:val="24"/>
              </w:rPr>
              <w:t>(4)</w:t>
            </w: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23" w:right="0"/>
              <w:jc w:val="left"/>
              <w:rPr>
                <w:rFonts w:ascii="黑体" w:hAnsi="黑体" w:cs="黑体" w:eastAsia="黑体" w:hint="default"/>
                <w:sz w:val="24"/>
                <w:szCs w:val="24"/>
              </w:rPr>
            </w:pPr>
            <w:r>
              <w:rPr>
                <w:rFonts w:ascii="黑体" w:hAnsi="黑体" w:cs="黑体" w:eastAsia="黑体" w:hint="default"/>
                <w:sz w:val="24"/>
                <w:szCs w:val="24"/>
              </w:rPr>
              <w:t>联营企业情况</w:t>
            </w:r>
          </w:p>
        </w:tc>
        <w:tc>
          <w:tcPr>
            <w:tcW w:w="3055" w:type="dxa"/>
            <w:tcBorders>
              <w:top w:val="nil" w:sz="6" w:space="0" w:color="auto"/>
              <w:left w:val="nil" w:sz="6" w:space="0" w:color="auto"/>
              <w:bottom w:val="nil" w:sz="6" w:space="0" w:color="auto"/>
              <w:right w:val="nil" w:sz="6" w:space="0" w:color="auto"/>
            </w:tcBorders>
          </w:tcPr>
          <w:p>
            <w:pPr/>
          </w:p>
        </w:tc>
      </w:tr>
      <w:tr>
        <w:trPr>
          <w:trHeight w:val="589"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23" w:right="0"/>
              <w:jc w:val="left"/>
              <w:rPr>
                <w:rFonts w:ascii="宋体" w:hAnsi="宋体" w:cs="宋体" w:eastAsia="宋体" w:hint="default"/>
                <w:sz w:val="24"/>
                <w:szCs w:val="24"/>
              </w:rPr>
            </w:pPr>
            <w:r>
              <w:rPr>
                <w:rFonts w:ascii="宋体" w:hAnsi="宋体" w:cs="宋体" w:eastAsia="宋体" w:hint="default"/>
                <w:sz w:val="24"/>
                <w:szCs w:val="24"/>
              </w:rPr>
              <w:t>联营企业的基本情况见附注六</w:t>
            </w:r>
            <w:r>
              <w:rPr>
                <w:rFonts w:ascii="Arial" w:hAnsi="Arial" w:cs="Arial" w:eastAsia="Arial" w:hint="default"/>
                <w:sz w:val="24"/>
                <w:szCs w:val="24"/>
              </w:rPr>
              <w:t>(2)(a)</w:t>
            </w:r>
            <w:r>
              <w:rPr>
                <w:rFonts w:ascii="宋体" w:hAnsi="宋体" w:cs="宋体" w:eastAsia="宋体" w:hint="default"/>
                <w:sz w:val="24"/>
                <w:szCs w:val="24"/>
              </w:rPr>
              <w:t>。</w:t>
            </w:r>
          </w:p>
        </w:tc>
        <w:tc>
          <w:tcPr>
            <w:tcW w:w="3055" w:type="dxa"/>
            <w:tcBorders>
              <w:top w:val="nil" w:sz="6" w:space="0" w:color="auto"/>
              <w:left w:val="nil" w:sz="6" w:space="0" w:color="auto"/>
              <w:bottom w:val="nil" w:sz="6" w:space="0" w:color="auto"/>
              <w:right w:val="nil" w:sz="6" w:space="0" w:color="auto"/>
            </w:tcBorders>
          </w:tcPr>
          <w:p>
            <w:pPr/>
          </w:p>
        </w:tc>
      </w:tr>
      <w:tr>
        <w:trPr>
          <w:trHeight w:val="624"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4" w:right="0"/>
              <w:jc w:val="left"/>
              <w:rPr>
                <w:rFonts w:ascii="Arial" w:hAnsi="Arial" w:cs="Arial" w:eastAsia="Arial" w:hint="default"/>
                <w:sz w:val="24"/>
                <w:szCs w:val="24"/>
              </w:rPr>
            </w:pPr>
            <w:r>
              <w:rPr>
                <w:rFonts w:ascii="Arial"/>
                <w:sz w:val="24"/>
              </w:rPr>
              <w:t>(5)</w:t>
            </w: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1" w:right="0"/>
              <w:jc w:val="left"/>
              <w:rPr>
                <w:rFonts w:ascii="黑体" w:hAnsi="黑体" w:cs="黑体" w:eastAsia="黑体" w:hint="default"/>
                <w:sz w:val="24"/>
                <w:szCs w:val="24"/>
              </w:rPr>
            </w:pPr>
            <w:r>
              <w:rPr>
                <w:rFonts w:ascii="黑体" w:hAnsi="黑体" w:cs="黑体" w:eastAsia="黑体" w:hint="default"/>
                <w:sz w:val="24"/>
                <w:szCs w:val="24"/>
              </w:rPr>
              <w:t>其他关联方情况</w:t>
            </w:r>
          </w:p>
        </w:tc>
        <w:tc>
          <w:tcPr>
            <w:tcW w:w="3055" w:type="dxa"/>
            <w:tcBorders>
              <w:top w:val="nil" w:sz="6" w:space="0" w:color="auto"/>
              <w:left w:val="nil" w:sz="6" w:space="0" w:color="auto"/>
              <w:bottom w:val="nil" w:sz="6" w:space="0" w:color="auto"/>
              <w:right w:val="nil" w:sz="6" w:space="0" w:color="auto"/>
            </w:tcBorders>
          </w:tcPr>
          <w:p>
            <w:pPr/>
          </w:p>
        </w:tc>
      </w:tr>
      <w:tr>
        <w:trPr>
          <w:trHeight w:val="579"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71" w:right="0"/>
              <w:jc w:val="left"/>
              <w:rPr>
                <w:rFonts w:ascii="宋体" w:hAnsi="宋体" w:cs="宋体" w:eastAsia="宋体" w:hint="default"/>
                <w:sz w:val="18"/>
                <w:szCs w:val="18"/>
              </w:rPr>
            </w:pPr>
            <w:r>
              <w:rPr>
                <w:rFonts w:ascii="宋体" w:hAnsi="宋体" w:cs="宋体" w:eastAsia="宋体" w:hint="default"/>
                <w:sz w:val="18"/>
                <w:szCs w:val="18"/>
              </w:rPr>
              <w:t>关联方公司名称</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18"/>
                <w:szCs w:val="18"/>
              </w:rPr>
            </w:pPr>
            <w:r>
              <w:rPr>
                <w:rFonts w:ascii="宋体" w:hAnsi="宋体" w:cs="宋体" w:eastAsia="宋体" w:hint="default"/>
                <w:sz w:val="18"/>
                <w:szCs w:val="18"/>
              </w:rPr>
              <w:t>与本集团的关系</w:t>
            </w:r>
          </w:p>
        </w:tc>
      </w:tr>
      <w:tr>
        <w:trPr>
          <w:trHeight w:val="418"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71" w:right="0"/>
              <w:jc w:val="left"/>
              <w:rPr>
                <w:rFonts w:ascii="Arial" w:hAnsi="Arial" w:cs="Arial" w:eastAsia="Arial" w:hint="default"/>
                <w:sz w:val="18"/>
                <w:szCs w:val="18"/>
              </w:rPr>
            </w:pPr>
            <w:r>
              <w:rPr>
                <w:rFonts w:ascii="宋体" w:hAnsi="宋体" w:cs="宋体" w:eastAsia="宋体" w:hint="default"/>
                <w:sz w:val="18"/>
                <w:szCs w:val="18"/>
              </w:rPr>
              <w:t>苏宁电器集团有限公司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苏宁电器集团</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宋体" w:hAnsi="宋体" w:cs="宋体" w:eastAsia="宋体" w:hint="default"/>
                <w:sz w:val="18"/>
                <w:szCs w:val="18"/>
              </w:rPr>
            </w:pPr>
            <w:r>
              <w:rPr>
                <w:rFonts w:ascii="宋体" w:hAnsi="宋体" w:cs="宋体" w:eastAsia="宋体" w:hint="default"/>
                <w:sz w:val="18"/>
                <w:szCs w:val="18"/>
              </w:rPr>
              <w:t>本公司之第二大股东</w:t>
            </w:r>
          </w:p>
        </w:tc>
      </w:tr>
      <w:tr>
        <w:trPr>
          <w:trHeight w:val="276"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36" w:lineRule="exact"/>
              <w:ind w:left="171" w:right="0"/>
              <w:jc w:val="left"/>
              <w:rPr>
                <w:rFonts w:ascii="Arial" w:hAnsi="Arial" w:cs="Arial" w:eastAsia="Arial" w:hint="default"/>
                <w:sz w:val="18"/>
                <w:szCs w:val="18"/>
              </w:rPr>
            </w:pPr>
            <w:r>
              <w:rPr>
                <w:rFonts w:ascii="宋体" w:hAnsi="宋体" w:cs="宋体" w:eastAsia="宋体" w:hint="default"/>
                <w:sz w:val="18"/>
                <w:szCs w:val="18"/>
              </w:rPr>
              <w:t>江苏苏宁环球集团有限公司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苏宁环球</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宋体" w:hAnsi="宋体" w:cs="宋体" w:eastAsia="宋体" w:hint="default"/>
                <w:sz w:val="18"/>
                <w:szCs w:val="18"/>
              </w:rPr>
            </w:pPr>
            <w:r>
              <w:rPr>
                <w:rFonts w:ascii="宋体" w:hAnsi="宋体" w:cs="宋体" w:eastAsia="宋体" w:hint="default"/>
                <w:sz w:val="18"/>
                <w:szCs w:val="18"/>
              </w:rPr>
              <w:t>实际控制人系张近东先生家庭成员</w:t>
            </w:r>
          </w:p>
        </w:tc>
      </w:tr>
      <w:tr>
        <w:trPr>
          <w:trHeight w:val="25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37" w:lineRule="exact"/>
              <w:ind w:left="171" w:right="0"/>
              <w:jc w:val="left"/>
              <w:rPr>
                <w:rFonts w:ascii="Arial" w:hAnsi="Arial" w:cs="Arial" w:eastAsia="Arial" w:hint="default"/>
                <w:sz w:val="18"/>
                <w:szCs w:val="18"/>
              </w:rPr>
            </w:pPr>
            <w:r>
              <w:rPr>
                <w:rFonts w:ascii="宋体" w:hAnsi="宋体" w:cs="宋体" w:eastAsia="宋体" w:hint="default"/>
                <w:sz w:val="18"/>
                <w:szCs w:val="18"/>
              </w:rPr>
              <w:t>南京钟山国际高尔夫置业有限公司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钟山高尔夫置业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宋体" w:hAnsi="宋体" w:cs="宋体" w:eastAsia="宋体" w:hint="default"/>
                <w:sz w:val="18"/>
                <w:szCs w:val="18"/>
              </w:rPr>
            </w:pPr>
            <w:r>
              <w:rPr>
                <w:rFonts w:ascii="宋体" w:hAnsi="宋体" w:cs="宋体" w:eastAsia="宋体" w:hint="default"/>
                <w:sz w:val="18"/>
                <w:szCs w:val="18"/>
              </w:rPr>
              <w:t>实际控制人系张近东先生家庭成员</w:t>
            </w:r>
          </w:p>
        </w:tc>
      </w:tr>
      <w:tr>
        <w:trPr>
          <w:trHeight w:val="488"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01" w:lineRule="exact"/>
              <w:ind w:left="171" w:right="0"/>
              <w:jc w:val="left"/>
              <w:rPr>
                <w:rFonts w:ascii="宋体" w:hAnsi="宋体" w:cs="宋体" w:eastAsia="宋体" w:hint="default"/>
                <w:sz w:val="18"/>
                <w:szCs w:val="18"/>
              </w:rPr>
            </w:pPr>
            <w:r>
              <w:rPr>
                <w:rFonts w:ascii="宋体" w:hAnsi="宋体" w:cs="宋体" w:eastAsia="宋体" w:hint="default"/>
                <w:sz w:val="18"/>
                <w:szCs w:val="18"/>
              </w:rPr>
              <w:t>南京钟山国际高尔夫置业有限公司索菲特钟山高尔夫酒店</w:t>
            </w:r>
          </w:p>
          <w:p>
            <w:pPr>
              <w:pStyle w:val="TableParagraph"/>
              <w:spacing w:line="247" w:lineRule="exact"/>
              <w:ind w:left="171"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钟山高尔夫酒店</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03" w:lineRule="exact"/>
              <w:ind w:right="198"/>
              <w:jc w:val="right"/>
              <w:rPr>
                <w:rFonts w:ascii="宋体" w:hAnsi="宋体" w:cs="宋体" w:eastAsia="宋体" w:hint="default"/>
                <w:sz w:val="18"/>
                <w:szCs w:val="18"/>
              </w:rPr>
            </w:pPr>
            <w:r>
              <w:rPr>
                <w:rFonts w:ascii="宋体" w:hAnsi="宋体" w:cs="宋体" w:eastAsia="宋体" w:hint="default"/>
                <w:sz w:val="18"/>
                <w:szCs w:val="18"/>
              </w:rPr>
              <w:t>实际控制人系张近东先生家庭成员</w:t>
            </w:r>
          </w:p>
        </w:tc>
      </w:tr>
      <w:tr>
        <w:trPr>
          <w:trHeight w:val="276"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36" w:lineRule="exact"/>
              <w:ind w:left="171" w:right="0"/>
              <w:jc w:val="left"/>
              <w:rPr>
                <w:rFonts w:ascii="Arial" w:hAnsi="Arial" w:cs="Arial" w:eastAsia="Arial" w:hint="default"/>
                <w:sz w:val="18"/>
                <w:szCs w:val="18"/>
              </w:rPr>
            </w:pPr>
            <w:r>
              <w:rPr>
                <w:rFonts w:ascii="宋体" w:hAnsi="宋体" w:cs="宋体" w:eastAsia="宋体" w:hint="default"/>
                <w:sz w:val="18"/>
                <w:szCs w:val="18"/>
              </w:rPr>
              <w:t>苏宁置业集团有限公司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宋体" w:hAnsi="宋体" w:cs="宋体" w:eastAsia="宋体" w:hint="default"/>
                <w:sz w:val="18"/>
                <w:szCs w:val="18"/>
              </w:rPr>
            </w:pPr>
            <w:r>
              <w:rPr>
                <w:rFonts w:ascii="宋体" w:hAnsi="宋体" w:cs="宋体" w:eastAsia="宋体" w:hint="default"/>
                <w:sz w:val="18"/>
                <w:szCs w:val="18"/>
              </w:rPr>
              <w:t>与本公司受同一实际控制人控制</w:t>
            </w:r>
          </w:p>
        </w:tc>
      </w:tr>
      <w:tr>
        <w:trPr>
          <w:trHeight w:val="276"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36" w:lineRule="exact"/>
              <w:ind w:left="171" w:right="0"/>
              <w:jc w:val="left"/>
              <w:rPr>
                <w:rFonts w:ascii="Arial" w:hAnsi="Arial" w:cs="Arial" w:eastAsia="Arial" w:hint="default"/>
                <w:sz w:val="18"/>
                <w:szCs w:val="18"/>
              </w:rPr>
            </w:pPr>
            <w:r>
              <w:rPr>
                <w:rFonts w:ascii="宋体" w:hAnsi="宋体" w:cs="宋体" w:eastAsia="宋体" w:hint="default"/>
                <w:sz w:val="18"/>
                <w:szCs w:val="18"/>
              </w:rPr>
              <w:t>南京沃德置业有限公司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沃德置业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5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36" w:lineRule="exact"/>
              <w:ind w:left="171" w:right="0"/>
              <w:jc w:val="left"/>
              <w:rPr>
                <w:rFonts w:ascii="Arial" w:hAnsi="Arial" w:cs="Arial" w:eastAsia="Arial" w:hint="default"/>
                <w:sz w:val="18"/>
                <w:szCs w:val="18"/>
              </w:rPr>
            </w:pPr>
            <w:r>
              <w:rPr>
                <w:rFonts w:ascii="宋体" w:hAnsi="宋体" w:cs="宋体" w:eastAsia="宋体" w:hint="default"/>
                <w:sz w:val="18"/>
                <w:szCs w:val="18"/>
              </w:rPr>
              <w:t>南京玄武苏宁置业有限公司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玄武苏宁置业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3"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71" w:right="0"/>
              <w:jc w:val="left"/>
              <w:rPr>
                <w:rFonts w:ascii="Arial" w:hAnsi="Arial" w:cs="Arial" w:eastAsia="Arial" w:hint="default"/>
                <w:sz w:val="18"/>
                <w:szCs w:val="18"/>
              </w:rPr>
            </w:pPr>
            <w:r>
              <w:rPr>
                <w:rFonts w:ascii="宋体" w:hAnsi="宋体" w:cs="宋体" w:eastAsia="宋体" w:hint="default"/>
                <w:sz w:val="18"/>
                <w:szCs w:val="18"/>
              </w:rPr>
              <w:t>南京银河房地产开发有限公司索菲特银河大酒店</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索菲特银河大酒店</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15"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7"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Arial" w:hAnsi="Arial" w:cs="Arial" w:eastAsia="Arial" w:hint="default"/>
                <w:sz w:val="18"/>
                <w:szCs w:val="18"/>
              </w:rPr>
            </w:pPr>
            <w:r>
              <w:rPr>
                <w:rFonts w:ascii="宋体" w:hAnsi="宋体" w:cs="宋体" w:eastAsia="宋体" w:hint="default"/>
                <w:sz w:val="18"/>
                <w:szCs w:val="18"/>
              </w:rPr>
              <w:t>成都鸿业置业有限公司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成都鸿业置业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15"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91"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71" w:right="0"/>
              <w:jc w:val="left"/>
              <w:rPr>
                <w:rFonts w:ascii="Arial" w:hAnsi="Arial" w:cs="Arial" w:eastAsia="Arial" w:hint="default"/>
                <w:sz w:val="18"/>
                <w:szCs w:val="18"/>
              </w:rPr>
            </w:pPr>
            <w:r>
              <w:rPr>
                <w:rFonts w:ascii="宋体" w:hAnsi="宋体" w:cs="宋体" w:eastAsia="宋体" w:hint="default"/>
                <w:sz w:val="18"/>
                <w:szCs w:val="18"/>
              </w:rPr>
              <w:t>江苏苏宁建材有限公司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江苏苏宁建材</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15"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1"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1" w:right="0"/>
              <w:jc w:val="left"/>
              <w:rPr>
                <w:rFonts w:ascii="Arial" w:hAnsi="Arial" w:cs="Arial" w:eastAsia="Arial" w:hint="default"/>
                <w:sz w:val="18"/>
                <w:szCs w:val="18"/>
              </w:rPr>
            </w:pPr>
            <w:r>
              <w:rPr>
                <w:rFonts w:ascii="宋体" w:hAnsi="宋体" w:cs="宋体" w:eastAsia="宋体" w:hint="default"/>
                <w:sz w:val="18"/>
                <w:szCs w:val="18"/>
              </w:rPr>
              <w:t>江苏银河物业管理有限公司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江苏银河物业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15"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467"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01" w:lineRule="exact"/>
              <w:ind w:left="171" w:right="0"/>
              <w:jc w:val="left"/>
              <w:rPr>
                <w:rFonts w:ascii="宋体" w:hAnsi="宋体" w:cs="宋体" w:eastAsia="宋体" w:hint="default"/>
                <w:sz w:val="18"/>
                <w:szCs w:val="18"/>
              </w:rPr>
            </w:pPr>
            <w:r>
              <w:rPr>
                <w:rFonts w:ascii="宋体" w:hAnsi="宋体" w:cs="宋体" w:eastAsia="宋体" w:hint="default"/>
                <w:sz w:val="18"/>
                <w:szCs w:val="18"/>
              </w:rPr>
              <w:t>南京玄武苏宁置业有限公司玄武苏宁银河诺富特大酒店</w:t>
            </w:r>
          </w:p>
          <w:p>
            <w:pPr>
              <w:pStyle w:val="TableParagraph"/>
              <w:spacing w:line="247" w:lineRule="exact"/>
              <w:ind w:left="531"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银河诺富特酒店</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15"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493"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08" w:lineRule="exact"/>
              <w:ind w:left="171" w:right="0"/>
              <w:jc w:val="left"/>
              <w:rPr>
                <w:rFonts w:ascii="宋体" w:hAnsi="宋体" w:cs="宋体" w:eastAsia="宋体" w:hint="default"/>
                <w:sz w:val="18"/>
                <w:szCs w:val="18"/>
              </w:rPr>
            </w:pPr>
            <w:r>
              <w:rPr>
                <w:rFonts w:ascii="宋体" w:hAnsi="宋体" w:cs="宋体" w:eastAsia="宋体" w:hint="default"/>
                <w:sz w:val="18"/>
                <w:szCs w:val="18"/>
              </w:rPr>
              <w:t>南京鼓楼国际软件与服务外包产业园有限公司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鼓楼国际</w:t>
            </w:r>
          </w:p>
          <w:p>
            <w:pPr>
              <w:pStyle w:val="TableParagraph"/>
              <w:spacing w:line="241" w:lineRule="exact"/>
              <w:ind w:left="531" w:right="0"/>
              <w:jc w:val="left"/>
              <w:rPr>
                <w:rFonts w:ascii="Arial" w:hAnsi="Arial" w:cs="Arial" w:eastAsia="Arial" w:hint="default"/>
                <w:sz w:val="18"/>
                <w:szCs w:val="18"/>
              </w:rPr>
            </w:pPr>
            <w:r>
              <w:rPr>
                <w:rFonts w:ascii="宋体" w:hAnsi="宋体" w:cs="宋体" w:eastAsia="宋体" w:hint="default"/>
                <w:sz w:val="18"/>
                <w:szCs w:val="18"/>
              </w:rPr>
              <w:t>软件与服务外包</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15"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1" w:right="0"/>
              <w:jc w:val="left"/>
              <w:rPr>
                <w:rFonts w:ascii="Arial" w:hAnsi="Arial" w:cs="Arial" w:eastAsia="Arial" w:hint="default"/>
                <w:sz w:val="18"/>
                <w:szCs w:val="18"/>
              </w:rPr>
            </w:pPr>
            <w:r>
              <w:rPr>
                <w:rFonts w:ascii="宋体" w:hAnsi="宋体" w:cs="宋体" w:eastAsia="宋体" w:hint="default"/>
                <w:sz w:val="18"/>
                <w:szCs w:val="18"/>
              </w:rPr>
              <w:t>青岛苏宁置业有限公司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青岛苏宁置业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1" w:right="0"/>
              <w:jc w:val="left"/>
              <w:rPr>
                <w:rFonts w:ascii="Arial" w:hAnsi="Arial" w:cs="Arial" w:eastAsia="Arial" w:hint="default"/>
                <w:sz w:val="18"/>
                <w:szCs w:val="18"/>
              </w:rPr>
            </w:pPr>
            <w:r>
              <w:rPr>
                <w:rFonts w:ascii="宋体" w:hAnsi="宋体" w:cs="宋体" w:eastAsia="宋体" w:hint="default"/>
                <w:sz w:val="18"/>
                <w:szCs w:val="18"/>
              </w:rPr>
              <w:t>北京苏宁置业有限公司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北京苏宁置业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1" w:right="0"/>
              <w:jc w:val="left"/>
              <w:rPr>
                <w:rFonts w:ascii="Arial" w:hAnsi="Arial" w:cs="Arial" w:eastAsia="Arial" w:hint="default"/>
                <w:sz w:val="18"/>
                <w:szCs w:val="18"/>
              </w:rPr>
            </w:pPr>
            <w:r>
              <w:rPr>
                <w:rFonts w:ascii="宋体" w:hAnsi="宋体" w:cs="宋体" w:eastAsia="宋体" w:hint="default"/>
                <w:sz w:val="18"/>
                <w:szCs w:val="18"/>
              </w:rPr>
              <w:t>无锡苏宁置业有限公司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无锡苏宁置业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1" w:right="0"/>
              <w:jc w:val="left"/>
              <w:rPr>
                <w:rFonts w:ascii="Arial" w:hAnsi="Arial" w:cs="Arial" w:eastAsia="Arial" w:hint="default"/>
                <w:sz w:val="18"/>
                <w:szCs w:val="18"/>
              </w:rPr>
            </w:pPr>
            <w:r>
              <w:rPr>
                <w:rFonts w:ascii="宋体" w:hAnsi="宋体" w:cs="宋体" w:eastAsia="宋体" w:hint="default"/>
                <w:sz w:val="18"/>
                <w:szCs w:val="18"/>
              </w:rPr>
              <w:t>宿迁苏宁置业有限公司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宿迁苏宁置业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59"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1" w:right="0"/>
              <w:jc w:val="left"/>
              <w:rPr>
                <w:rFonts w:ascii="Arial" w:hAnsi="Arial" w:cs="Arial" w:eastAsia="Arial" w:hint="default"/>
                <w:sz w:val="18"/>
                <w:szCs w:val="18"/>
              </w:rPr>
            </w:pPr>
            <w:r>
              <w:rPr>
                <w:rFonts w:ascii="宋体" w:hAnsi="宋体" w:cs="宋体" w:eastAsia="宋体" w:hint="default"/>
                <w:sz w:val="18"/>
                <w:szCs w:val="18"/>
              </w:rPr>
              <w:t>长春苏宁置业有限公司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长春苏宁置业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15" w:lineRule="exact"/>
              <w:ind w:left="171" w:right="0"/>
              <w:jc w:val="left"/>
              <w:rPr>
                <w:rFonts w:ascii="Arial" w:hAnsi="Arial" w:cs="Arial" w:eastAsia="Arial" w:hint="default"/>
                <w:sz w:val="18"/>
                <w:szCs w:val="18"/>
              </w:rPr>
            </w:pPr>
            <w:r>
              <w:rPr>
                <w:rFonts w:ascii="宋体" w:hAnsi="宋体" w:cs="宋体" w:eastAsia="宋体" w:hint="default"/>
                <w:sz w:val="18"/>
                <w:szCs w:val="18"/>
              </w:rPr>
              <w:t>徐州苏宁置业有限公司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徐州苏宁置业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16" w:lineRule="exact"/>
              <w:ind w:left="171" w:right="0"/>
              <w:jc w:val="left"/>
              <w:rPr>
                <w:rFonts w:ascii="Arial" w:hAnsi="Arial" w:cs="Arial" w:eastAsia="Arial" w:hint="default"/>
                <w:sz w:val="18"/>
                <w:szCs w:val="18"/>
              </w:rPr>
            </w:pPr>
            <w:r>
              <w:rPr>
                <w:rFonts w:ascii="宋体" w:hAnsi="宋体" w:cs="宋体" w:eastAsia="宋体" w:hint="default"/>
                <w:sz w:val="18"/>
                <w:szCs w:val="18"/>
              </w:rPr>
              <w:t>福州苏宁置业有限公司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福州苏宁置业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15" w:lineRule="exact"/>
              <w:ind w:left="171" w:right="0"/>
              <w:jc w:val="left"/>
              <w:rPr>
                <w:rFonts w:ascii="Arial" w:hAnsi="Arial" w:cs="Arial" w:eastAsia="Arial" w:hint="default"/>
                <w:sz w:val="18"/>
                <w:szCs w:val="18"/>
              </w:rPr>
            </w:pPr>
            <w:r>
              <w:rPr>
                <w:rFonts w:ascii="宋体" w:hAnsi="宋体" w:cs="宋体" w:eastAsia="宋体" w:hint="default"/>
                <w:sz w:val="18"/>
                <w:szCs w:val="18"/>
              </w:rPr>
              <w:t>高淳县苏宁置业有限公司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高淳苏宁置业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15" w:lineRule="exact"/>
              <w:ind w:left="171" w:right="0"/>
              <w:jc w:val="left"/>
              <w:rPr>
                <w:rFonts w:ascii="Arial" w:hAnsi="Arial" w:cs="Arial" w:eastAsia="Arial" w:hint="default"/>
                <w:sz w:val="18"/>
                <w:szCs w:val="18"/>
              </w:rPr>
            </w:pPr>
            <w:r>
              <w:rPr>
                <w:rFonts w:ascii="宋体" w:hAnsi="宋体" w:cs="宋体" w:eastAsia="宋体" w:hint="default"/>
                <w:sz w:val="18"/>
                <w:szCs w:val="18"/>
              </w:rPr>
              <w:t>连云港苏宁置业有限公司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连云港苏宁置业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15" w:lineRule="exact"/>
              <w:ind w:left="171" w:right="0"/>
              <w:jc w:val="left"/>
              <w:rPr>
                <w:rFonts w:ascii="Arial" w:hAnsi="Arial" w:cs="Arial" w:eastAsia="Arial" w:hint="default"/>
                <w:sz w:val="18"/>
                <w:szCs w:val="18"/>
              </w:rPr>
            </w:pPr>
            <w:r>
              <w:rPr>
                <w:rFonts w:ascii="宋体" w:hAnsi="宋体" w:cs="宋体" w:eastAsia="宋体" w:hint="default"/>
                <w:sz w:val="18"/>
                <w:szCs w:val="18"/>
              </w:rPr>
              <w:t>淮安苏宁置业有限公司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淮安苏宁置业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15" w:lineRule="exact"/>
              <w:ind w:left="171" w:right="0"/>
              <w:jc w:val="left"/>
              <w:rPr>
                <w:rFonts w:ascii="Arial" w:hAnsi="Arial" w:cs="Arial" w:eastAsia="Arial" w:hint="default"/>
                <w:sz w:val="18"/>
                <w:szCs w:val="18"/>
              </w:rPr>
            </w:pPr>
            <w:r>
              <w:rPr>
                <w:rFonts w:ascii="宋体" w:hAnsi="宋体" w:cs="宋体" w:eastAsia="宋体" w:hint="default"/>
                <w:sz w:val="18"/>
                <w:szCs w:val="18"/>
              </w:rPr>
              <w:t>镇江苏宁置业有限公司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镇江苏宁置业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15" w:lineRule="exact"/>
              <w:ind w:left="171" w:right="0"/>
              <w:jc w:val="left"/>
              <w:rPr>
                <w:rFonts w:ascii="Arial" w:hAnsi="Arial" w:cs="Arial" w:eastAsia="Arial" w:hint="default"/>
                <w:sz w:val="18"/>
                <w:szCs w:val="18"/>
              </w:rPr>
            </w:pPr>
            <w:r>
              <w:rPr>
                <w:rFonts w:ascii="宋体" w:hAnsi="宋体" w:cs="宋体" w:eastAsia="宋体" w:hint="default"/>
                <w:sz w:val="18"/>
                <w:szCs w:val="18"/>
              </w:rPr>
              <w:t>盘锦苏宁置业有限公司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盘锦苏宁置业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15" w:lineRule="exact"/>
              <w:ind w:left="171" w:right="0"/>
              <w:jc w:val="left"/>
              <w:rPr>
                <w:rFonts w:ascii="Arial" w:hAnsi="Arial" w:cs="Arial" w:eastAsia="Arial" w:hint="default"/>
                <w:sz w:val="18"/>
                <w:szCs w:val="18"/>
              </w:rPr>
            </w:pPr>
            <w:r>
              <w:rPr>
                <w:rFonts w:ascii="宋体" w:hAnsi="宋体" w:cs="宋体" w:eastAsia="宋体" w:hint="default"/>
                <w:sz w:val="18"/>
                <w:szCs w:val="18"/>
              </w:rPr>
              <w:t>南京湖南路苏宁置业有限公司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南京湖南路苏宁置业</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11" w:hRule="exact"/>
        </w:trPr>
        <w:tc>
          <w:tcPr>
            <w:tcW w:w="720"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15" w:lineRule="exact"/>
              <w:ind w:left="171" w:right="0"/>
              <w:jc w:val="left"/>
              <w:rPr>
                <w:rFonts w:ascii="Arial" w:hAnsi="Arial" w:cs="Arial" w:eastAsia="Arial" w:hint="default"/>
                <w:sz w:val="18"/>
                <w:szCs w:val="18"/>
              </w:rPr>
            </w:pPr>
            <w:r>
              <w:rPr>
                <w:rFonts w:ascii="宋体" w:hAnsi="宋体" w:cs="宋体" w:eastAsia="宋体" w:hint="default"/>
                <w:sz w:val="18"/>
                <w:szCs w:val="18"/>
              </w:rPr>
              <w:t>石家庄苏宁房地产开发有限公司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石家庄苏宁房地产开发</w:t>
            </w:r>
            <w:r>
              <w:rPr>
                <w:rFonts w:ascii="Arial" w:hAnsi="Arial" w:cs="Arial" w:eastAsia="Arial" w:hint="default"/>
                <w:sz w:val="18"/>
                <w:szCs w:val="18"/>
              </w:rPr>
              <w:t>”</w:t>
            </w:r>
            <w:r>
              <w:rPr>
                <w:rFonts w:ascii="Arial" w:hAnsi="Arial" w:cs="Arial" w:eastAsia="Arial" w:hint="default"/>
                <w:sz w:val="18"/>
                <w:szCs w:val="18"/>
              </w:rPr>
              <w:t>)</w:t>
            </w:r>
          </w:p>
        </w:tc>
        <w:tc>
          <w:tcPr>
            <w:tcW w:w="3055" w:type="dxa"/>
            <w:tcBorders>
              <w:top w:val="nil" w:sz="6" w:space="0" w:color="auto"/>
              <w:left w:val="nil" w:sz="6" w:space="0" w:color="auto"/>
              <w:bottom w:val="nil" w:sz="6" w:space="0" w:color="auto"/>
              <w:right w:val="nil" w:sz="6" w:space="0" w:color="auto"/>
            </w:tcBorders>
          </w:tcPr>
          <w:p>
            <w:pPr>
              <w:pStyle w:val="TableParagraph"/>
              <w:spacing w:line="215"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bl>
    <w:p>
      <w:pPr>
        <w:spacing w:after="0" w:line="215" w:lineRule="exact"/>
        <w:jc w:val="right"/>
        <w:rPr>
          <w:rFonts w:ascii="宋体" w:hAnsi="宋体" w:cs="宋体" w:eastAsia="宋体" w:hint="default"/>
          <w:sz w:val="18"/>
          <w:szCs w:val="18"/>
        </w:rPr>
        <w:sectPr>
          <w:pgSz w:w="11910" w:h="16840"/>
          <w:pgMar w:header="755" w:footer="914" w:top="1860" w:bottom="1180" w:left="14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76"/>
        <w:gridCol w:w="5490"/>
        <w:gridCol w:w="3392"/>
      </w:tblGrid>
      <w:tr>
        <w:trPr>
          <w:trHeight w:val="496" w:hRule="exact"/>
        </w:trPr>
        <w:tc>
          <w:tcPr>
            <w:tcW w:w="676" w:type="dxa"/>
            <w:tcBorders>
              <w:top w:val="nil" w:sz="6" w:space="0" w:color="auto"/>
              <w:left w:val="nil" w:sz="6" w:space="0" w:color="auto"/>
              <w:bottom w:val="nil" w:sz="6" w:space="0" w:color="auto"/>
              <w:right w:val="nil" w:sz="6" w:space="0" w:color="auto"/>
            </w:tcBorders>
          </w:tcPr>
          <w:p>
            <w:pPr>
              <w:pStyle w:val="TableParagraph"/>
              <w:spacing w:line="240" w:lineRule="exact"/>
              <w:ind w:right="34"/>
              <w:jc w:val="center"/>
              <w:rPr>
                <w:rFonts w:ascii="黑体" w:hAnsi="黑体" w:cs="黑体" w:eastAsia="黑体" w:hint="default"/>
                <w:sz w:val="24"/>
                <w:szCs w:val="24"/>
              </w:rPr>
            </w:pPr>
            <w:r>
              <w:rPr>
                <w:rFonts w:ascii="黑体" w:hAnsi="黑体" w:cs="黑体" w:eastAsia="黑体" w:hint="default"/>
                <w:sz w:val="24"/>
                <w:szCs w:val="24"/>
              </w:rPr>
              <w:t>八</w:t>
            </w:r>
          </w:p>
        </w:tc>
        <w:tc>
          <w:tcPr>
            <w:tcW w:w="5490" w:type="dxa"/>
            <w:tcBorders>
              <w:top w:val="nil" w:sz="6" w:space="0" w:color="auto"/>
              <w:left w:val="nil" w:sz="6" w:space="0" w:color="auto"/>
              <w:bottom w:val="nil" w:sz="6" w:space="0" w:color="auto"/>
              <w:right w:val="nil" w:sz="6" w:space="0" w:color="auto"/>
            </w:tcBorders>
          </w:tcPr>
          <w:p>
            <w:pPr>
              <w:pStyle w:val="TableParagraph"/>
              <w:spacing w:line="257" w:lineRule="exact"/>
              <w:ind w:left="18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392" w:type="dxa"/>
            <w:tcBorders>
              <w:top w:val="nil" w:sz="6" w:space="0" w:color="auto"/>
              <w:left w:val="nil" w:sz="6" w:space="0" w:color="auto"/>
              <w:bottom w:val="nil" w:sz="6" w:space="0" w:color="auto"/>
              <w:right w:val="nil" w:sz="6" w:space="0" w:color="auto"/>
            </w:tcBorders>
          </w:tcPr>
          <w:p>
            <w:pPr/>
          </w:p>
        </w:tc>
      </w:tr>
      <w:tr>
        <w:trPr>
          <w:trHeight w:val="768" w:hRule="exact"/>
        </w:trPr>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17" w:right="0"/>
              <w:jc w:val="center"/>
              <w:rPr>
                <w:rFonts w:ascii="Arial" w:hAnsi="Arial" w:cs="Arial" w:eastAsia="Arial" w:hint="default"/>
                <w:sz w:val="24"/>
                <w:szCs w:val="24"/>
              </w:rPr>
            </w:pPr>
            <w:r>
              <w:rPr>
                <w:rFonts w:ascii="Arial"/>
                <w:sz w:val="24"/>
              </w:rPr>
              <w:t>(5)</w:t>
            </w: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2" w:right="0"/>
              <w:jc w:val="left"/>
              <w:rPr>
                <w:rFonts w:ascii="Arial" w:hAnsi="Arial" w:cs="Arial" w:eastAsia="Arial" w:hint="default"/>
                <w:sz w:val="24"/>
                <w:szCs w:val="24"/>
              </w:rPr>
            </w:pPr>
            <w:r>
              <w:rPr>
                <w:rFonts w:ascii="黑体" w:hAnsi="黑体" w:cs="黑体" w:eastAsia="黑体" w:hint="default"/>
                <w:sz w:val="24"/>
                <w:szCs w:val="24"/>
              </w:rPr>
              <w:t>其他关联方情况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392" w:type="dxa"/>
            <w:tcBorders>
              <w:top w:val="nil" w:sz="6" w:space="0" w:color="auto"/>
              <w:left w:val="nil" w:sz="6" w:space="0" w:color="auto"/>
              <w:bottom w:val="nil" w:sz="6" w:space="0" w:color="auto"/>
              <w:right w:val="nil" w:sz="6" w:space="0" w:color="auto"/>
            </w:tcBorders>
          </w:tcPr>
          <w:p>
            <w:pPr/>
          </w:p>
        </w:tc>
      </w:tr>
      <w:tr>
        <w:trPr>
          <w:trHeight w:val="689"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关联方公司名称</w:t>
            </w:r>
          </w:p>
        </w:tc>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与本集团的关系</w:t>
            </w:r>
          </w:p>
        </w:tc>
      </w:tr>
      <w:tr>
        <w:trPr>
          <w:trHeight w:val="539"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上海苏宁房地产开发有限公司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上海苏宁房地产开发</w:t>
            </w:r>
            <w:r>
              <w:rPr>
                <w:rFonts w:ascii="Arial" w:hAnsi="Arial" w:cs="Arial" w:eastAsia="Arial" w:hint="default"/>
                <w:sz w:val="18"/>
                <w:szCs w:val="18"/>
              </w:rPr>
              <w:t>”</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586"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64" w:lineRule="auto" w:before="6"/>
              <w:ind w:left="543" w:right="1645" w:hanging="361"/>
              <w:jc w:val="left"/>
              <w:rPr>
                <w:rFonts w:ascii="Arial" w:hAnsi="Arial" w:cs="Arial" w:eastAsia="Arial" w:hint="default"/>
                <w:sz w:val="18"/>
                <w:szCs w:val="18"/>
              </w:rPr>
            </w:pPr>
            <w:r>
              <w:rPr>
                <w:rFonts w:ascii="宋体" w:hAnsi="宋体" w:cs="宋体" w:eastAsia="宋体" w:hint="default"/>
                <w:sz w:val="18"/>
                <w:szCs w:val="18"/>
              </w:rPr>
              <w:t>北京华商会会议中心有限公司</w:t>
            </w:r>
            <w:r>
              <w:rPr>
                <w:rFonts w:ascii="Arial" w:hAnsi="Arial" w:cs="Arial" w:eastAsia="Arial" w:hint="default"/>
                <w:sz w:val="18"/>
                <w:szCs w:val="18"/>
              </w:rPr>
              <w:t>(“</w:t>
            </w:r>
            <w:r>
              <w:rPr>
                <w:rFonts w:ascii="宋体" w:hAnsi="宋体" w:cs="宋体" w:eastAsia="宋体" w:hint="default"/>
                <w:sz w:val="18"/>
                <w:szCs w:val="18"/>
              </w:rPr>
              <w:t>华商会议中心</w:t>
            </w:r>
            <w:r>
              <w:rPr>
                <w:rFonts w:ascii="Arial" w:hAnsi="Arial" w:cs="Arial" w:eastAsia="Arial" w:hint="default"/>
                <w:sz w:val="18"/>
                <w:szCs w:val="18"/>
              </w:rPr>
              <w:t>”) </w:t>
            </w:r>
            <w:r>
              <w:rPr>
                <w:rFonts w:ascii="Arial" w:hAnsi="Arial" w:cs="Arial" w:eastAsia="Arial" w:hint="default"/>
                <w:sz w:val="18"/>
                <w:szCs w:val="18"/>
              </w:rPr>
              <w:t>(</w:t>
            </w:r>
            <w:r>
              <w:rPr>
                <w:rFonts w:ascii="宋体" w:hAnsi="宋体" w:cs="宋体" w:eastAsia="宋体" w:hint="default"/>
                <w:sz w:val="18"/>
                <w:szCs w:val="18"/>
              </w:rPr>
              <w:t>原</w:t>
            </w:r>
            <w:r>
              <w:rPr>
                <w:rFonts w:ascii="Arial" w:hAnsi="Arial" w:cs="Arial" w:eastAsia="Arial" w:hint="default"/>
                <w:sz w:val="18"/>
                <w:szCs w:val="18"/>
              </w:rPr>
              <w:t>“</w:t>
            </w:r>
            <w:r>
              <w:rPr>
                <w:rFonts w:ascii="宋体" w:hAnsi="宋体" w:cs="宋体" w:eastAsia="宋体" w:hint="default"/>
                <w:sz w:val="18"/>
                <w:szCs w:val="18"/>
              </w:rPr>
              <w:t>北京华商商务会所有限公司</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45"/>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无锡苏宁商业管理有限公司</w:t>
            </w:r>
            <w:r>
              <w:rPr>
                <w:rFonts w:ascii="Arial" w:hAnsi="Arial" w:cs="Arial" w:eastAsia="Arial" w:hint="default"/>
                <w:sz w:val="18"/>
                <w:szCs w:val="18"/>
              </w:rPr>
              <w:t>(“</w:t>
            </w:r>
            <w:r>
              <w:rPr>
                <w:rFonts w:ascii="宋体" w:hAnsi="宋体" w:cs="宋体" w:eastAsia="宋体" w:hint="default"/>
                <w:sz w:val="18"/>
                <w:szCs w:val="18"/>
              </w:rPr>
              <w:t>无锡苏宁商业管理</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南京苏宁银河国际购物广场有限公司</w:t>
            </w:r>
            <w:r>
              <w:rPr>
                <w:rFonts w:ascii="Arial" w:hAnsi="Arial" w:cs="Arial" w:eastAsia="Arial" w:hint="default"/>
                <w:sz w:val="18"/>
                <w:szCs w:val="18"/>
              </w:rPr>
              <w:t>(“</w:t>
            </w:r>
            <w:r>
              <w:rPr>
                <w:rFonts w:ascii="宋体" w:hAnsi="宋体" w:cs="宋体" w:eastAsia="宋体" w:hint="default"/>
                <w:sz w:val="18"/>
                <w:szCs w:val="18"/>
              </w:rPr>
              <w:t>银河国际购物广场</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江苏苏宁银河酒店管理有限公司 </w:t>
            </w:r>
            <w:r>
              <w:rPr>
                <w:rFonts w:ascii="Arial" w:hAnsi="Arial" w:cs="Arial" w:eastAsia="Arial" w:hint="default"/>
                <w:sz w:val="18"/>
                <w:szCs w:val="18"/>
              </w:rPr>
              <w:t>(“</w:t>
            </w:r>
            <w:r>
              <w:rPr>
                <w:rFonts w:ascii="宋体" w:hAnsi="宋体" w:cs="宋体" w:eastAsia="宋体" w:hint="default"/>
                <w:sz w:val="18"/>
                <w:szCs w:val="18"/>
              </w:rPr>
              <w:t>银河酒店管理公司</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苏宁控股集团有限公司之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34" w:lineRule="exact" w:before="29"/>
              <w:ind w:left="182" w:right="69"/>
              <w:jc w:val="left"/>
              <w:rPr>
                <w:rFonts w:ascii="Arial" w:hAnsi="Arial" w:cs="Arial" w:eastAsia="Arial" w:hint="default"/>
                <w:sz w:val="18"/>
                <w:szCs w:val="18"/>
              </w:rPr>
            </w:pPr>
            <w:r>
              <w:rPr>
                <w:rFonts w:ascii="宋体" w:hAnsi="宋体" w:cs="宋体" w:eastAsia="宋体" w:hint="default"/>
                <w:spacing w:val="2"/>
                <w:sz w:val="18"/>
                <w:szCs w:val="18"/>
              </w:rPr>
              <w:t>苏宁电器集团有限公司南京新街口苏宁诺富特酒店</w:t>
            </w:r>
            <w:r>
              <w:rPr>
                <w:rFonts w:ascii="Arial" w:hAnsi="Arial" w:cs="Arial" w:eastAsia="Arial" w:hint="default"/>
                <w:spacing w:val="2"/>
                <w:sz w:val="18"/>
                <w:szCs w:val="18"/>
              </w:rPr>
              <w:t>(“</w:t>
            </w:r>
            <w:r>
              <w:rPr>
                <w:rFonts w:ascii="宋体" w:hAnsi="宋体" w:cs="宋体" w:eastAsia="宋体" w:hint="default"/>
                <w:spacing w:val="2"/>
                <w:sz w:val="18"/>
                <w:szCs w:val="18"/>
              </w:rPr>
              <w:t>新街口诺富特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酒店</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上海聚力传媒技术有限公司</w:t>
            </w:r>
            <w:r>
              <w:rPr>
                <w:rFonts w:ascii="Arial" w:hAnsi="Arial" w:cs="Arial" w:eastAsia="Arial" w:hint="default"/>
                <w:sz w:val="18"/>
                <w:szCs w:val="18"/>
              </w:rPr>
              <w:t>(“</w:t>
            </w:r>
            <w:r>
              <w:rPr>
                <w:rFonts w:ascii="宋体" w:hAnsi="宋体" w:cs="宋体" w:eastAsia="宋体" w:hint="default"/>
                <w:sz w:val="18"/>
                <w:szCs w:val="18"/>
              </w:rPr>
              <w:t>上海聚力</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苏宁控股集团有限公司之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天津聚力传媒技术有限公司</w:t>
            </w:r>
            <w:r>
              <w:rPr>
                <w:rFonts w:ascii="Arial" w:hAnsi="Arial" w:cs="Arial" w:eastAsia="Arial" w:hint="default"/>
                <w:sz w:val="18"/>
                <w:szCs w:val="18"/>
              </w:rPr>
              <w:t>(“</w:t>
            </w:r>
            <w:r>
              <w:rPr>
                <w:rFonts w:ascii="宋体" w:hAnsi="宋体" w:cs="宋体" w:eastAsia="宋体" w:hint="default"/>
                <w:sz w:val="18"/>
                <w:szCs w:val="18"/>
              </w:rPr>
              <w:t>天津聚力</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7"/>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苏宁控股集团有限公司之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上海骋娱传媒技术有限公司</w:t>
            </w:r>
            <w:r>
              <w:rPr>
                <w:rFonts w:ascii="Arial" w:hAnsi="Arial" w:cs="Arial" w:eastAsia="Arial" w:hint="default"/>
                <w:sz w:val="18"/>
                <w:szCs w:val="18"/>
              </w:rPr>
              <w:t>(“</w:t>
            </w:r>
            <w:r>
              <w:rPr>
                <w:rFonts w:ascii="宋体" w:hAnsi="宋体" w:cs="宋体" w:eastAsia="宋体" w:hint="default"/>
                <w:sz w:val="18"/>
                <w:szCs w:val="18"/>
              </w:rPr>
              <w:t>上海骋娱</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苏宁控股集团有限公司之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石家庄苏宁商业投资有限公司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石家庄苏宁商业投资</w:t>
            </w:r>
            <w:r>
              <w:rPr>
                <w:rFonts w:ascii="Arial" w:hAnsi="Arial" w:cs="Arial" w:eastAsia="Arial" w:hint="default"/>
                <w:sz w:val="18"/>
                <w:szCs w:val="18"/>
              </w:rPr>
              <w:t>”</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突触计算机系统</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w:t>
            </w:r>
            <w:r>
              <w:rPr>
                <w:rFonts w:ascii="宋体" w:hAnsi="宋体" w:cs="宋体" w:eastAsia="宋体" w:hint="default"/>
                <w:sz w:val="18"/>
                <w:szCs w:val="18"/>
              </w:rPr>
              <w:t>有限公司</w:t>
            </w:r>
            <w:r>
              <w:rPr>
                <w:rFonts w:ascii="Arial" w:hAnsi="Arial" w:cs="Arial" w:eastAsia="Arial" w:hint="default"/>
                <w:sz w:val="18"/>
                <w:szCs w:val="18"/>
              </w:rPr>
              <w:t>(“</w:t>
            </w:r>
            <w:r>
              <w:rPr>
                <w:rFonts w:ascii="宋体" w:hAnsi="宋体" w:cs="宋体" w:eastAsia="宋体" w:hint="default"/>
                <w:sz w:val="18"/>
                <w:szCs w:val="18"/>
              </w:rPr>
              <w:t>上海突触</w:t>
            </w:r>
            <w:r>
              <w:rPr>
                <w:rFonts w:ascii="Arial" w:hAnsi="Arial" w:cs="Arial" w:eastAsia="Arial" w:hint="default"/>
                <w:sz w:val="18"/>
                <w:szCs w:val="18"/>
              </w:rPr>
              <w:t>”</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苏宁控股集团有限公司之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54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Arial" w:hAnsi="Arial" w:cs="Arial" w:eastAsia="Arial" w:hint="default"/>
                <w:sz w:val="18"/>
                <w:szCs w:val="18"/>
              </w:rPr>
            </w:pPr>
            <w:r>
              <w:rPr>
                <w:rFonts w:ascii="宋体" w:hAnsi="宋体" w:cs="宋体" w:eastAsia="宋体" w:hint="default"/>
                <w:sz w:val="18"/>
                <w:szCs w:val="18"/>
              </w:rPr>
              <w:t>上海通视铭泰数码科技有限公司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上海通视铭泰</w:t>
            </w:r>
            <w:r>
              <w:rPr>
                <w:rFonts w:ascii="Arial" w:hAnsi="Arial" w:cs="Arial" w:eastAsia="Arial" w:hint="default"/>
                <w:sz w:val="18"/>
                <w:szCs w:val="18"/>
              </w:rPr>
              <w:t>”</w:t>
            </w:r>
            <w:r>
              <w:rPr>
                <w:rFonts w:ascii="Arial" w:hAnsi="Arial" w:cs="Arial" w:eastAsia="Arial" w:hint="default"/>
                <w:sz w:val="18"/>
                <w:szCs w:val="18"/>
              </w:rPr>
              <w:t>)</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苏宁控股集团有限公司之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r>
        <w:trPr>
          <w:trHeight w:val="477" w:hRule="exact"/>
        </w:trPr>
        <w:tc>
          <w:tcPr>
            <w:tcW w:w="676" w:type="dxa"/>
            <w:tcBorders>
              <w:top w:val="nil" w:sz="6" w:space="0" w:color="auto"/>
              <w:left w:val="nil" w:sz="6" w:space="0" w:color="auto"/>
              <w:bottom w:val="nil" w:sz="6" w:space="0" w:color="auto"/>
              <w:right w:val="nil" w:sz="6" w:space="0" w:color="auto"/>
            </w:tcBorders>
          </w:tcPr>
          <w:p>
            <w:pP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苏宁文化</w:t>
            </w:r>
          </w:p>
        </w:tc>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苏宁控股集团有限公司之</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子公司</w:t>
            </w:r>
          </w:p>
        </w:tc>
      </w:tr>
    </w:tbl>
    <w:p>
      <w:pPr>
        <w:spacing w:after="0" w:line="228" w:lineRule="exact"/>
        <w:jc w:val="right"/>
        <w:rPr>
          <w:rFonts w:ascii="宋体" w:hAnsi="宋体" w:cs="宋体" w:eastAsia="宋体" w:hint="default"/>
          <w:sz w:val="18"/>
          <w:szCs w:val="18"/>
        </w:rPr>
        <w:sectPr>
          <w:pgSz w:w="11910" w:h="16840"/>
          <w:pgMar w:header="755" w:footer="914" w:top="1860" w:bottom="1180" w:left="14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718"/>
        <w:gridCol w:w="2421"/>
        <w:gridCol w:w="1572"/>
        <w:gridCol w:w="1401"/>
        <w:gridCol w:w="1687"/>
        <w:gridCol w:w="1481"/>
      </w:tblGrid>
      <w:tr>
        <w:trPr>
          <w:trHeight w:val="4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99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742"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(6)</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4" w:right="0"/>
              <w:jc w:val="left"/>
              <w:rPr>
                <w:rFonts w:ascii="黑体" w:hAnsi="黑体" w:cs="黑体" w:eastAsia="黑体" w:hint="default"/>
                <w:sz w:val="24"/>
                <w:szCs w:val="24"/>
              </w:rPr>
            </w:pPr>
            <w:r>
              <w:rPr>
                <w:rFonts w:ascii="黑体" w:hAnsi="黑体" w:cs="黑体" w:eastAsia="黑体" w:hint="default"/>
                <w:sz w:val="24"/>
                <w:szCs w:val="24"/>
              </w:rPr>
              <w:t>关联交易</w:t>
            </w:r>
          </w:p>
        </w:tc>
        <w:tc>
          <w:tcPr>
            <w:tcW w:w="1572"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75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24" w:right="0"/>
              <w:jc w:val="left"/>
              <w:rPr>
                <w:rFonts w:ascii="宋体" w:hAnsi="宋体" w:cs="宋体" w:eastAsia="宋体" w:hint="default"/>
                <w:sz w:val="24"/>
                <w:szCs w:val="24"/>
              </w:rPr>
            </w:pPr>
            <w:r>
              <w:rPr>
                <w:rFonts w:ascii="宋体" w:hAnsi="宋体" w:cs="宋体" w:eastAsia="宋体" w:hint="default"/>
                <w:sz w:val="24"/>
                <w:szCs w:val="24"/>
              </w:rPr>
              <w:t>销售商品和提供劳务</w:t>
            </w:r>
          </w:p>
        </w:tc>
        <w:tc>
          <w:tcPr>
            <w:tcW w:w="1572"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754" w:hRule="exact"/>
        </w:trPr>
        <w:tc>
          <w:tcPr>
            <w:tcW w:w="718" w:type="dxa"/>
            <w:tcBorders>
              <w:top w:val="nil" w:sz="6" w:space="0" w:color="auto"/>
              <w:left w:val="nil" w:sz="6" w:space="0" w:color="auto"/>
              <w:bottom w:val="nil" w:sz="6" w:space="0" w:color="auto"/>
              <w:right w:val="nil" w:sz="6" w:space="0" w:color="auto"/>
            </w:tcBorders>
          </w:tcPr>
          <w:p>
            <w:pPr/>
          </w:p>
        </w:tc>
        <w:tc>
          <w:tcPr>
            <w:tcW w:w="3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4"/>
              <w:ind w:left="224" w:right="0"/>
              <w:jc w:val="left"/>
              <w:rPr>
                <w:rFonts w:ascii="宋体" w:hAnsi="宋体" w:cs="宋体" w:eastAsia="宋体" w:hint="default"/>
                <w:sz w:val="24"/>
                <w:szCs w:val="24"/>
              </w:rPr>
            </w:pPr>
            <w:r>
              <w:rPr>
                <w:rFonts w:ascii="宋体" w:hAnsi="宋体" w:cs="宋体" w:eastAsia="宋体" w:hint="default"/>
                <w:sz w:val="24"/>
                <w:szCs w:val="24"/>
              </w:rPr>
              <w:t>销售商品及提供售后服务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883"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35" w:lineRule="exact"/>
              <w:ind w:left="95" w:right="0"/>
              <w:jc w:val="left"/>
              <w:rPr>
                <w:rFonts w:ascii="宋体" w:hAnsi="宋体" w:cs="宋体" w:eastAsia="宋体" w:hint="default"/>
                <w:sz w:val="18"/>
                <w:szCs w:val="18"/>
              </w:rPr>
            </w:pPr>
            <w:r>
              <w:rPr>
                <w:rFonts w:ascii="宋体" w:hAnsi="宋体" w:cs="宋体" w:eastAsia="宋体" w:hint="default"/>
                <w:sz w:val="18"/>
                <w:szCs w:val="18"/>
              </w:rPr>
              <w:t>关联交易定</w:t>
            </w:r>
          </w:p>
          <w:p>
            <w:pPr>
              <w:pStyle w:val="TableParagraph"/>
              <w:spacing w:line="235" w:lineRule="exact"/>
              <w:ind w:left="455" w:right="0"/>
              <w:jc w:val="left"/>
              <w:rPr>
                <w:rFonts w:ascii="宋体" w:hAnsi="宋体" w:cs="宋体" w:eastAsia="宋体" w:hint="default"/>
                <w:sz w:val="18"/>
                <w:szCs w:val="18"/>
              </w:rPr>
            </w:pPr>
            <w:r>
              <w:rPr>
                <w:rFonts w:ascii="宋体" w:hAnsi="宋体" w:cs="宋体" w:eastAsia="宋体" w:hint="default"/>
                <w:sz w:val="18"/>
                <w:szCs w:val="18"/>
              </w:rPr>
              <w:t>价政策</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476"/>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8"/>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69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江苏苏宁建材</w:t>
            </w:r>
          </w:p>
        </w:tc>
        <w:tc>
          <w:tcPr>
            <w:tcW w:w="1572" w:type="dxa"/>
            <w:tcBorders>
              <w:top w:val="nil" w:sz="6" w:space="0" w:color="auto"/>
              <w:left w:val="nil" w:sz="6" w:space="0" w:color="auto"/>
              <w:bottom w:val="nil" w:sz="6" w:space="0" w:color="auto"/>
              <w:right w:val="nil" w:sz="6" w:space="0" w:color="auto"/>
            </w:tcBorders>
          </w:tcPr>
          <w:p>
            <w:pPr>
              <w:pStyle w:val="TableParagraph"/>
              <w:spacing w:line="235" w:lineRule="exact" w:before="150"/>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615" w:right="0"/>
              <w:jc w:val="left"/>
              <w:rPr>
                <w:rFonts w:ascii="Arial" w:hAnsi="Arial" w:cs="Arial" w:eastAsia="Arial" w:hint="default"/>
                <w:sz w:val="18"/>
                <w:szCs w:val="18"/>
              </w:rPr>
            </w:pPr>
            <w:r>
              <w:rPr>
                <w:rFonts w:ascii="Arial"/>
                <w:spacing w:val="-3"/>
                <w:sz w:val="18"/>
              </w:rPr>
              <w:t>12,611</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5,953</w:t>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无锡苏宁置业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703" w:right="0"/>
              <w:jc w:val="left"/>
              <w:rPr>
                <w:rFonts w:ascii="Arial" w:hAnsi="Arial" w:cs="Arial" w:eastAsia="Arial" w:hint="default"/>
                <w:sz w:val="18"/>
                <w:szCs w:val="18"/>
              </w:rPr>
            </w:pPr>
            <w:r>
              <w:rPr>
                <w:rFonts w:ascii="Arial"/>
                <w:sz w:val="18"/>
              </w:rPr>
              <w:t>8,948</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4"/>
              <w:jc w:val="right"/>
              <w:rPr>
                <w:rFonts w:ascii="Arial" w:hAnsi="Arial" w:cs="Arial" w:eastAsia="Arial" w:hint="default"/>
                <w:sz w:val="18"/>
                <w:szCs w:val="18"/>
              </w:rPr>
            </w:pPr>
            <w:r>
              <w:rPr>
                <w:rFonts w:ascii="Arial"/>
                <w:spacing w:val="-1"/>
                <w:sz w:val="18"/>
              </w:rPr>
              <w:t>25,936</w:t>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703" w:right="0"/>
              <w:jc w:val="left"/>
              <w:rPr>
                <w:rFonts w:ascii="Arial" w:hAnsi="Arial" w:cs="Arial" w:eastAsia="Arial" w:hint="default"/>
                <w:sz w:val="18"/>
                <w:szCs w:val="18"/>
              </w:rPr>
            </w:pPr>
            <w:r>
              <w:rPr>
                <w:rFonts w:ascii="Arial"/>
                <w:sz w:val="18"/>
              </w:rPr>
              <w:t>6,122</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4"/>
              <w:jc w:val="right"/>
              <w:rPr>
                <w:rFonts w:ascii="Arial" w:hAnsi="Arial" w:cs="Arial" w:eastAsia="Arial" w:hint="default"/>
                <w:sz w:val="18"/>
                <w:szCs w:val="18"/>
              </w:rPr>
            </w:pPr>
            <w:r>
              <w:rPr>
                <w:rFonts w:ascii="Arial"/>
                <w:spacing w:val="-1"/>
                <w:w w:val="95"/>
                <w:sz w:val="18"/>
              </w:rPr>
              <w:t>355</w:t>
            </w:r>
            <w:r>
              <w:rPr>
                <w:rFonts w:ascii="Arial"/>
                <w:sz w:val="18"/>
              </w:rPr>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703" w:right="0"/>
              <w:jc w:val="left"/>
              <w:rPr>
                <w:rFonts w:ascii="Arial" w:hAnsi="Arial" w:cs="Arial" w:eastAsia="Arial" w:hint="default"/>
                <w:sz w:val="18"/>
                <w:szCs w:val="18"/>
              </w:rPr>
            </w:pPr>
            <w:r>
              <w:rPr>
                <w:rFonts w:ascii="Arial"/>
                <w:sz w:val="18"/>
              </w:rPr>
              <w:t>5,310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53"/>
              <w:jc w:val="right"/>
              <w:rPr>
                <w:rFonts w:ascii="Arial" w:hAnsi="Arial" w:cs="Arial" w:eastAsia="Arial" w:hint="default"/>
                <w:sz w:val="18"/>
                <w:szCs w:val="18"/>
              </w:rPr>
            </w:pPr>
            <w:r>
              <w:rPr>
                <w:rFonts w:ascii="Arial"/>
                <w:spacing w:val="-1"/>
                <w:sz w:val="18"/>
              </w:rPr>
              <w:t>5,412</w:t>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连云港苏宁置业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5"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703" w:right="0"/>
              <w:jc w:val="left"/>
              <w:rPr>
                <w:rFonts w:ascii="Arial" w:hAnsi="Arial" w:cs="Arial" w:eastAsia="Arial" w:hint="default"/>
                <w:sz w:val="18"/>
                <w:szCs w:val="18"/>
              </w:rPr>
            </w:pPr>
            <w:r>
              <w:rPr>
                <w:rFonts w:ascii="Arial"/>
                <w:sz w:val="18"/>
              </w:rPr>
              <w:t>1,780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54"/>
              <w:jc w:val="right"/>
              <w:rPr>
                <w:rFonts w:ascii="Arial" w:hAnsi="Arial" w:cs="Arial" w:eastAsia="Arial" w:hint="default"/>
                <w:sz w:val="18"/>
                <w:szCs w:val="18"/>
              </w:rPr>
            </w:pPr>
            <w:r>
              <w:rPr>
                <w:rFonts w:ascii="Arial"/>
                <w:spacing w:val="-1"/>
                <w:w w:val="95"/>
                <w:sz w:val="18"/>
              </w:rPr>
              <w:t>929</w:t>
            </w:r>
            <w:r>
              <w:rPr>
                <w:rFonts w:ascii="Arial"/>
                <w:sz w:val="18"/>
              </w:rPr>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钟山高尔夫置业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32"/>
              <w:jc w:val="right"/>
              <w:rPr>
                <w:rFonts w:ascii="Arial" w:hAnsi="Arial" w:cs="Arial" w:eastAsia="Arial" w:hint="default"/>
                <w:sz w:val="18"/>
                <w:szCs w:val="18"/>
              </w:rPr>
            </w:pPr>
            <w:r>
              <w:rPr>
                <w:rFonts w:ascii="Arial"/>
                <w:spacing w:val="-1"/>
                <w:w w:val="95"/>
                <w:sz w:val="18"/>
              </w:rPr>
              <w:t>730</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4"/>
              <w:jc w:val="right"/>
              <w:rPr>
                <w:rFonts w:ascii="Arial" w:hAnsi="Arial" w:cs="Arial" w:eastAsia="Arial" w:hint="default"/>
                <w:sz w:val="18"/>
                <w:szCs w:val="18"/>
              </w:rPr>
            </w:pPr>
            <w:r>
              <w:rPr>
                <w:rFonts w:ascii="Arial"/>
                <w:spacing w:val="-1"/>
                <w:sz w:val="18"/>
              </w:rPr>
              <w:t>1,202</w:t>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鼓楼国际软件与服务外包</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32"/>
              <w:jc w:val="right"/>
              <w:rPr>
                <w:rFonts w:ascii="Arial" w:hAnsi="Arial" w:cs="Arial" w:eastAsia="Arial" w:hint="default"/>
                <w:sz w:val="18"/>
                <w:szCs w:val="18"/>
              </w:rPr>
            </w:pPr>
            <w:r>
              <w:rPr>
                <w:rFonts w:ascii="Arial"/>
                <w:spacing w:val="-1"/>
                <w:w w:val="95"/>
                <w:sz w:val="18"/>
              </w:rPr>
              <w:t>654</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5"/>
              <w:jc w:val="right"/>
              <w:rPr>
                <w:rFonts w:ascii="Arial" w:hAnsi="Arial" w:cs="Arial" w:eastAsia="Arial" w:hint="default"/>
                <w:sz w:val="18"/>
                <w:szCs w:val="18"/>
              </w:rPr>
            </w:pPr>
            <w:r>
              <w:rPr>
                <w:rFonts w:ascii="Arial"/>
                <w:spacing w:val="-1"/>
                <w:w w:val="95"/>
                <w:sz w:val="18"/>
              </w:rPr>
              <w:t>71</w:t>
            </w:r>
            <w:r>
              <w:rPr>
                <w:rFonts w:ascii="Arial"/>
                <w:sz w:val="18"/>
              </w:rPr>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高淳苏宁置业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532"/>
              <w:jc w:val="right"/>
              <w:rPr>
                <w:rFonts w:ascii="Arial" w:hAnsi="Arial" w:cs="Arial" w:eastAsia="Arial" w:hint="default"/>
                <w:sz w:val="18"/>
                <w:szCs w:val="18"/>
              </w:rPr>
            </w:pPr>
            <w:r>
              <w:rPr>
                <w:rFonts w:ascii="Arial"/>
                <w:spacing w:val="-1"/>
                <w:w w:val="95"/>
                <w:sz w:val="18"/>
              </w:rPr>
              <w:t>635</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53"/>
              <w:jc w:val="right"/>
              <w:rPr>
                <w:rFonts w:ascii="Arial" w:hAnsi="Arial" w:cs="Arial" w:eastAsia="Arial" w:hint="default"/>
                <w:sz w:val="18"/>
                <w:szCs w:val="18"/>
              </w:rPr>
            </w:pPr>
            <w:r>
              <w:rPr>
                <w:rFonts w:ascii="Arial"/>
                <w:w w:val="99"/>
                <w:sz w:val="18"/>
              </w:rPr>
              <w:t>8</w:t>
            </w:r>
            <w:r>
              <w:rPr>
                <w:rFonts w:ascii="Arial"/>
                <w:sz w:val="18"/>
              </w:rPr>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江苏银河物业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531"/>
              <w:jc w:val="right"/>
              <w:rPr>
                <w:rFonts w:ascii="Arial" w:hAnsi="Arial" w:cs="Arial" w:eastAsia="Arial" w:hint="default"/>
                <w:sz w:val="18"/>
                <w:szCs w:val="18"/>
              </w:rPr>
            </w:pPr>
            <w:r>
              <w:rPr>
                <w:rFonts w:ascii="Arial"/>
                <w:spacing w:val="-1"/>
                <w:w w:val="95"/>
                <w:sz w:val="18"/>
              </w:rPr>
              <w:t>318</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54"/>
              <w:jc w:val="right"/>
              <w:rPr>
                <w:rFonts w:ascii="Arial" w:hAnsi="Arial" w:cs="Arial" w:eastAsia="Arial" w:hint="default"/>
                <w:sz w:val="18"/>
                <w:szCs w:val="18"/>
              </w:rPr>
            </w:pPr>
            <w:r>
              <w:rPr>
                <w:rFonts w:ascii="Arial"/>
                <w:spacing w:val="-1"/>
                <w:w w:val="95"/>
                <w:sz w:val="18"/>
              </w:rPr>
              <w:t>84</w:t>
            </w:r>
            <w:r>
              <w:rPr>
                <w:rFonts w:ascii="Arial"/>
                <w:sz w:val="18"/>
              </w:rPr>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32"/>
              <w:jc w:val="right"/>
              <w:rPr>
                <w:rFonts w:ascii="Arial" w:hAnsi="Arial" w:cs="Arial" w:eastAsia="Arial" w:hint="default"/>
                <w:sz w:val="18"/>
                <w:szCs w:val="18"/>
              </w:rPr>
            </w:pPr>
            <w:r>
              <w:rPr>
                <w:rFonts w:ascii="Arial"/>
                <w:spacing w:val="-1"/>
                <w:w w:val="95"/>
                <w:sz w:val="18"/>
              </w:rPr>
              <w:t>303</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4"/>
              <w:jc w:val="right"/>
              <w:rPr>
                <w:rFonts w:ascii="Arial" w:hAnsi="Arial" w:cs="Arial" w:eastAsia="Arial" w:hint="default"/>
                <w:sz w:val="18"/>
                <w:szCs w:val="18"/>
              </w:rPr>
            </w:pPr>
            <w:r>
              <w:rPr>
                <w:rFonts w:ascii="Arial"/>
                <w:spacing w:val="-1"/>
                <w:sz w:val="18"/>
              </w:rPr>
              <w:t>1,533</w:t>
            </w:r>
          </w:p>
        </w:tc>
      </w:tr>
      <w:tr>
        <w:trPr>
          <w:trHeight w:val="547"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镇江苏宁置业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32"/>
              <w:jc w:val="right"/>
              <w:rPr>
                <w:rFonts w:ascii="Arial" w:hAnsi="Arial" w:cs="Arial" w:eastAsia="Arial" w:hint="default"/>
                <w:sz w:val="18"/>
                <w:szCs w:val="18"/>
              </w:rPr>
            </w:pPr>
            <w:r>
              <w:rPr>
                <w:rFonts w:ascii="Arial"/>
                <w:spacing w:val="-1"/>
                <w:w w:val="95"/>
                <w:sz w:val="18"/>
              </w:rPr>
              <w:t>158</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5"/>
              <w:jc w:val="right"/>
              <w:rPr>
                <w:rFonts w:ascii="Arial" w:hAnsi="Arial" w:cs="Arial" w:eastAsia="Arial" w:hint="default"/>
                <w:sz w:val="18"/>
                <w:szCs w:val="18"/>
              </w:rPr>
            </w:pPr>
            <w:r>
              <w:rPr>
                <w:rFonts w:ascii="Arial"/>
                <w:spacing w:val="-1"/>
                <w:w w:val="95"/>
                <w:sz w:val="18"/>
              </w:rPr>
              <w:t>866</w:t>
            </w:r>
            <w:r>
              <w:rPr>
                <w:rFonts w:ascii="Arial"/>
                <w:sz w:val="18"/>
              </w:rPr>
            </w:r>
          </w:p>
        </w:tc>
      </w:tr>
      <w:tr>
        <w:trPr>
          <w:trHeight w:val="546"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532"/>
              <w:jc w:val="right"/>
              <w:rPr>
                <w:rFonts w:ascii="Arial" w:hAnsi="Arial" w:cs="Arial" w:eastAsia="Arial" w:hint="default"/>
                <w:sz w:val="18"/>
                <w:szCs w:val="18"/>
              </w:rPr>
            </w:pPr>
            <w:r>
              <w:rPr>
                <w:rFonts w:ascii="Arial"/>
                <w:spacing w:val="-1"/>
                <w:w w:val="95"/>
                <w:sz w:val="18"/>
              </w:rPr>
              <w:t>148</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55"/>
              <w:jc w:val="right"/>
              <w:rPr>
                <w:rFonts w:ascii="Arial" w:hAnsi="Arial" w:cs="Arial" w:eastAsia="Arial" w:hint="default"/>
                <w:sz w:val="18"/>
                <w:szCs w:val="18"/>
              </w:rPr>
            </w:pPr>
            <w:r>
              <w:rPr>
                <w:rFonts w:ascii="Arial"/>
                <w:spacing w:val="-1"/>
                <w:w w:val="95"/>
                <w:sz w:val="18"/>
              </w:rPr>
              <w:t>98</w:t>
            </w:r>
            <w:r>
              <w:rPr>
                <w:rFonts w:ascii="Arial"/>
                <w:sz w:val="18"/>
              </w:rPr>
            </w:r>
          </w:p>
        </w:tc>
      </w:tr>
      <w:tr>
        <w:trPr>
          <w:trHeight w:val="492" w:hRule="exact"/>
        </w:trPr>
        <w:tc>
          <w:tcPr>
            <w:tcW w:w="71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徐州苏宁置业</w:t>
            </w:r>
          </w:p>
        </w:tc>
        <w:tc>
          <w:tcPr>
            <w:tcW w:w="1572" w:type="dxa"/>
            <w:tcBorders>
              <w:top w:val="nil" w:sz="6" w:space="0" w:color="auto"/>
              <w:left w:val="nil" w:sz="6" w:space="0" w:color="auto"/>
              <w:bottom w:val="nil" w:sz="6" w:space="0" w:color="auto"/>
              <w:right w:val="nil" w:sz="6" w:space="0" w:color="auto"/>
            </w:tcBorders>
          </w:tcPr>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5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32"/>
              <w:jc w:val="right"/>
              <w:rPr>
                <w:rFonts w:ascii="Arial" w:hAnsi="Arial" w:cs="Arial" w:eastAsia="Arial" w:hint="default"/>
                <w:sz w:val="18"/>
                <w:szCs w:val="18"/>
              </w:rPr>
            </w:pPr>
            <w:r>
              <w:rPr>
                <w:rFonts w:ascii="Arial"/>
                <w:spacing w:val="-1"/>
                <w:w w:val="95"/>
                <w:sz w:val="18"/>
              </w:rPr>
              <w:t>122</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5"/>
              <w:jc w:val="right"/>
              <w:rPr>
                <w:rFonts w:ascii="Arial" w:hAnsi="Arial" w:cs="Arial" w:eastAsia="Arial" w:hint="default"/>
                <w:sz w:val="18"/>
                <w:szCs w:val="18"/>
              </w:rPr>
            </w:pPr>
            <w:r>
              <w:rPr>
                <w:rFonts w:ascii="Arial"/>
                <w:spacing w:val="-1"/>
                <w:w w:val="95"/>
                <w:sz w:val="18"/>
              </w:rPr>
              <w:t>191</w:t>
            </w:r>
            <w:r>
              <w:rPr>
                <w:rFonts w:ascii="Arial"/>
                <w:sz w:val="18"/>
              </w:rPr>
            </w:r>
          </w:p>
        </w:tc>
      </w:tr>
    </w:tbl>
    <w:p>
      <w:pPr>
        <w:spacing w:after="0" w:line="240" w:lineRule="auto"/>
        <w:jc w:val="right"/>
        <w:rPr>
          <w:rFonts w:ascii="Arial" w:hAnsi="Arial" w:cs="Arial" w:eastAsia="Arial" w:hint="default"/>
          <w:sz w:val="18"/>
          <w:szCs w:val="18"/>
        </w:rPr>
        <w:sectPr>
          <w:pgSz w:w="11910" w:h="16840"/>
          <w:pgMar w:header="755" w:footer="914" w:top="1860" w:bottom="1180" w:left="13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718"/>
        <w:gridCol w:w="3465"/>
      </w:tblGrid>
      <w:tr>
        <w:trPr>
          <w:trHeight w:val="41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465" w:type="dxa"/>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(6)</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24"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4" w:right="0"/>
              <w:jc w:val="left"/>
              <w:rPr>
                <w:rFonts w:ascii="Arial" w:hAnsi="Arial" w:cs="Arial" w:eastAsia="Arial" w:hint="default"/>
                <w:sz w:val="24"/>
                <w:szCs w:val="24"/>
              </w:rPr>
            </w:pPr>
            <w:r>
              <w:rPr>
                <w:rFonts w:ascii="宋体" w:hAnsi="宋体" w:cs="宋体" w:eastAsia="宋体" w:hint="default"/>
                <w:sz w:val="24"/>
                <w:szCs w:val="24"/>
              </w:rPr>
              <w:t>销售商品和提供劳务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425" w:hRule="exact"/>
        </w:trPr>
        <w:tc>
          <w:tcPr>
            <w:tcW w:w="718" w:type="dxa"/>
            <w:tcBorders>
              <w:top w:val="nil" w:sz="6" w:space="0" w:color="auto"/>
              <w:left w:val="nil" w:sz="6" w:space="0" w:color="auto"/>
              <w:bottom w:val="nil" w:sz="6" w:space="0" w:color="auto"/>
              <w:right w:val="nil" w:sz="6" w:space="0" w:color="auto"/>
            </w:tcBorders>
          </w:tcPr>
          <w:p>
            <w:pP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24" w:right="0"/>
              <w:jc w:val="left"/>
              <w:rPr>
                <w:rFonts w:ascii="Arial" w:hAnsi="Arial" w:cs="Arial" w:eastAsia="Arial" w:hint="default"/>
                <w:sz w:val="24"/>
                <w:szCs w:val="24"/>
              </w:rPr>
            </w:pPr>
            <w:r>
              <w:rPr>
                <w:rFonts w:ascii="宋体" w:hAnsi="宋体" w:cs="宋体" w:eastAsia="宋体" w:hint="default"/>
                <w:sz w:val="24"/>
                <w:szCs w:val="24"/>
              </w:rPr>
              <w:t>销售商品及提供售后服务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3"/>
        <w:rPr>
          <w:rFonts w:ascii="Times New Roman" w:hAnsi="Times New Roman" w:cs="Times New Roman" w:eastAsia="Times New Roman" w:hint="default"/>
          <w:sz w:val="29"/>
          <w:szCs w:val="29"/>
        </w:rPr>
      </w:pPr>
    </w:p>
    <w:tbl>
      <w:tblPr>
        <w:tblW w:w="0" w:type="auto"/>
        <w:jc w:val="left"/>
        <w:tblInd w:w="857" w:type="dxa"/>
        <w:tblLayout w:type="fixed"/>
        <w:tblCellMar>
          <w:top w:w="0" w:type="dxa"/>
          <w:left w:w="0" w:type="dxa"/>
          <w:bottom w:w="0" w:type="dxa"/>
          <w:right w:w="0" w:type="dxa"/>
        </w:tblCellMar>
        <w:tblLook w:val="01E0"/>
      </w:tblPr>
      <w:tblGrid>
        <w:gridCol w:w="2307"/>
        <w:gridCol w:w="1662"/>
        <w:gridCol w:w="1039"/>
        <w:gridCol w:w="1574"/>
        <w:gridCol w:w="127"/>
        <w:gridCol w:w="1632"/>
      </w:tblGrid>
      <w:tr>
        <w:trPr>
          <w:trHeight w:val="54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039" w:type="dxa"/>
            <w:tcBorders>
              <w:top w:val="nil" w:sz="6" w:space="0" w:color="auto"/>
              <w:left w:val="nil" w:sz="6" w:space="0" w:color="auto"/>
              <w:bottom w:val="nil" w:sz="6" w:space="0" w:color="auto"/>
              <w:right w:val="nil" w:sz="6" w:space="0" w:color="auto"/>
            </w:tcBorders>
          </w:tcPr>
          <w:p>
            <w:pPr>
              <w:pStyle w:val="TableParagraph"/>
              <w:spacing w:line="179" w:lineRule="exact"/>
              <w:ind w:left="95" w:right="0"/>
              <w:jc w:val="left"/>
              <w:rPr>
                <w:rFonts w:ascii="宋体" w:hAnsi="宋体" w:cs="宋体" w:eastAsia="宋体" w:hint="default"/>
                <w:sz w:val="18"/>
                <w:szCs w:val="18"/>
              </w:rPr>
            </w:pPr>
            <w:r>
              <w:rPr>
                <w:rFonts w:ascii="宋体" w:hAnsi="宋体" w:cs="宋体" w:eastAsia="宋体" w:hint="default"/>
                <w:sz w:val="18"/>
                <w:szCs w:val="18"/>
              </w:rPr>
              <w:t>关联交易定</w:t>
            </w:r>
          </w:p>
          <w:p>
            <w:pPr>
              <w:pStyle w:val="TableParagraph"/>
              <w:spacing w:line="235" w:lineRule="exact"/>
              <w:ind w:left="455" w:right="0"/>
              <w:jc w:val="left"/>
              <w:rPr>
                <w:rFonts w:ascii="宋体" w:hAnsi="宋体" w:cs="宋体" w:eastAsia="宋体" w:hint="default"/>
                <w:sz w:val="18"/>
                <w:szCs w:val="18"/>
              </w:rPr>
            </w:pPr>
            <w:r>
              <w:rPr>
                <w:rFonts w:ascii="宋体" w:hAnsi="宋体" w:cs="宋体" w:eastAsia="宋体" w:hint="default"/>
                <w:sz w:val="18"/>
                <w:szCs w:val="18"/>
              </w:rPr>
              <w:t>价政策</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56"/>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57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索菲特银河大酒店</w:t>
            </w:r>
          </w:p>
        </w:tc>
        <w:tc>
          <w:tcPr>
            <w:tcW w:w="1662" w:type="dxa"/>
            <w:tcBorders>
              <w:top w:val="nil" w:sz="6" w:space="0" w:color="auto"/>
              <w:left w:val="nil" w:sz="6" w:space="0" w:color="auto"/>
              <w:bottom w:val="nil" w:sz="6" w:space="0" w:color="auto"/>
              <w:right w:val="nil" w:sz="6" w:space="0" w:color="auto"/>
            </w:tcBorders>
          </w:tcPr>
          <w:p>
            <w:pPr>
              <w:pStyle w:val="TableParagraph"/>
              <w:spacing w:line="234" w:lineRule="exact" w:before="70"/>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56"/>
              <w:jc w:val="right"/>
              <w:rPr>
                <w:rFonts w:ascii="Arial" w:hAnsi="Arial" w:cs="Arial" w:eastAsia="Arial" w:hint="default"/>
                <w:sz w:val="18"/>
                <w:szCs w:val="18"/>
              </w:rPr>
            </w:pPr>
            <w:r>
              <w:rPr>
                <w:rFonts w:ascii="Arial"/>
                <w:spacing w:val="-1"/>
                <w:w w:val="95"/>
                <w:sz w:val="18"/>
              </w:rPr>
              <w:t>100</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59"/>
              <w:jc w:val="right"/>
              <w:rPr>
                <w:rFonts w:ascii="Arial" w:hAnsi="Arial" w:cs="Arial" w:eastAsia="Arial" w:hint="default"/>
                <w:sz w:val="18"/>
                <w:szCs w:val="18"/>
              </w:rPr>
            </w:pPr>
            <w:r>
              <w:rPr>
                <w:rFonts w:ascii="Arial"/>
                <w:spacing w:val="-1"/>
                <w:w w:val="95"/>
                <w:sz w:val="18"/>
              </w:rPr>
              <w:t>86</w:t>
            </w:r>
            <w:r>
              <w:rPr>
                <w:rFonts w:ascii="Arial"/>
                <w:sz w:val="18"/>
              </w:rPr>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无锡苏宁商业管理</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98</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Arial" w:hAnsi="Arial" w:cs="Arial" w:eastAsia="Arial" w:hint="default"/>
                <w:sz w:val="18"/>
                <w:szCs w:val="18"/>
              </w:rPr>
            </w:pPr>
            <w:r>
              <w:rPr>
                <w:rFonts w:ascii="Arial"/>
                <w:spacing w:val="-1"/>
                <w:w w:val="95"/>
                <w:sz w:val="18"/>
              </w:rPr>
              <w:t>109</w:t>
            </w:r>
            <w:r>
              <w:rPr>
                <w:rFonts w:ascii="Arial"/>
                <w:sz w:val="18"/>
              </w:rPr>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石家庄苏宁房地产开发</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91</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Arial" w:hAnsi="Arial" w:cs="Arial" w:eastAsia="Arial" w:hint="default"/>
                <w:sz w:val="18"/>
                <w:szCs w:val="18"/>
              </w:rPr>
            </w:pPr>
            <w:r>
              <w:rPr>
                <w:rFonts w:ascii="Arial"/>
                <w:spacing w:val="-1"/>
                <w:w w:val="95"/>
                <w:sz w:val="18"/>
              </w:rPr>
              <w:t>96</w:t>
            </w:r>
            <w:r>
              <w:rPr>
                <w:rFonts w:ascii="Arial"/>
                <w:sz w:val="18"/>
              </w:rPr>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苏宁电器集团</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78</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1,700</w:t>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福州苏宁置业</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65</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淮安苏宁置业</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60</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Arial" w:hAnsi="Arial" w:cs="Arial" w:eastAsia="Arial" w:hint="default"/>
                <w:sz w:val="18"/>
                <w:szCs w:val="18"/>
              </w:rPr>
            </w:pPr>
            <w:r>
              <w:rPr>
                <w:rFonts w:ascii="Arial"/>
                <w:spacing w:val="-1"/>
                <w:w w:val="95"/>
                <w:sz w:val="18"/>
              </w:rPr>
              <w:t>561</w:t>
            </w:r>
            <w:r>
              <w:rPr>
                <w:rFonts w:ascii="Arial"/>
                <w:sz w:val="18"/>
              </w:rPr>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沃德置业</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w w:val="95"/>
                <w:sz w:val="18"/>
              </w:rPr>
              <w:t>32</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332</w:t>
            </w:r>
            <w:r>
              <w:rPr>
                <w:rFonts w:ascii="Arial"/>
                <w:sz w:val="18"/>
              </w:rPr>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w w:val="95"/>
                <w:sz w:val="18"/>
              </w:rPr>
              <w:t>19</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261</w:t>
            </w:r>
            <w:r>
              <w:rPr>
                <w:rFonts w:ascii="Arial"/>
                <w:sz w:val="18"/>
              </w:rPr>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盘锦苏宁置业</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243</w:t>
            </w:r>
            <w:r>
              <w:rPr>
                <w:rFonts w:ascii="Arial"/>
                <w:sz w:val="18"/>
              </w:rPr>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南京湖南路苏宁置业</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174</w:t>
            </w:r>
            <w:r>
              <w:rPr>
                <w:rFonts w:ascii="Arial"/>
                <w:sz w:val="18"/>
              </w:rPr>
            </w:r>
          </w:p>
        </w:tc>
      </w:tr>
      <w:tr>
        <w:trPr>
          <w:trHeight w:val="46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华商会议中心</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76</w:t>
            </w:r>
            <w:r>
              <w:rPr>
                <w:rFonts w:ascii="Arial"/>
                <w:sz w:val="18"/>
              </w:rPr>
            </w:r>
          </w:p>
        </w:tc>
      </w:tr>
      <w:tr>
        <w:trPr>
          <w:trHeight w:val="46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石家庄苏宁商业投资</w:t>
            </w:r>
          </w:p>
        </w:tc>
        <w:tc>
          <w:tcPr>
            <w:tcW w:w="1662" w:type="dxa"/>
            <w:tcBorders>
              <w:top w:val="nil" w:sz="6" w:space="0" w:color="auto"/>
              <w:left w:val="nil" w:sz="6" w:space="0" w:color="auto"/>
              <w:bottom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1441"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1459" w:val="left" w:leader="none"/>
                <w:tab w:pos="1617"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6</w:t>
            </w:r>
            <w:r>
              <w:rPr>
                <w:rFonts w:ascii="Arial"/>
                <w:sz w:val="18"/>
                <w:u w:val="single" w:color="000000"/>
              </w:rPr>
              <w:tab/>
            </w:r>
            <w:r>
              <w:rPr>
                <w:rFonts w:ascii="Arial"/>
                <w:sz w:val="18"/>
              </w:rPr>
            </w:r>
          </w:p>
        </w:tc>
      </w:tr>
      <w:tr>
        <w:trPr>
          <w:trHeight w:val="220" w:hRule="exact"/>
        </w:trPr>
        <w:tc>
          <w:tcPr>
            <w:tcW w:w="2307"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12" w:space="0" w:color="000000"/>
              <w:right w:val="nil" w:sz="6" w:space="0" w:color="auto"/>
            </w:tcBorders>
          </w:tcPr>
          <w:p>
            <w:pPr>
              <w:pStyle w:val="TableParagraph"/>
              <w:spacing w:line="203" w:lineRule="exact"/>
              <w:ind w:right="56"/>
              <w:jc w:val="right"/>
              <w:rPr>
                <w:rFonts w:ascii="Arial" w:hAnsi="Arial" w:cs="Arial" w:eastAsia="Arial" w:hint="default"/>
                <w:sz w:val="18"/>
                <w:szCs w:val="18"/>
              </w:rPr>
            </w:pPr>
            <w:r>
              <w:rPr>
                <w:rFonts w:ascii="Arial"/>
                <w:spacing w:val="-1"/>
                <w:sz w:val="18"/>
              </w:rPr>
              <w:t>38,382</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12" w:space="0" w:color="000000"/>
              <w:right w:val="nil" w:sz="6" w:space="0" w:color="auto"/>
            </w:tcBorders>
          </w:tcPr>
          <w:p>
            <w:pPr>
              <w:pStyle w:val="TableParagraph"/>
              <w:spacing w:line="203" w:lineRule="exact"/>
              <w:ind w:right="56"/>
              <w:jc w:val="right"/>
              <w:rPr>
                <w:rFonts w:ascii="Arial" w:hAnsi="Arial" w:cs="Arial" w:eastAsia="Arial" w:hint="default"/>
                <w:sz w:val="18"/>
                <w:szCs w:val="18"/>
              </w:rPr>
            </w:pPr>
            <w:r>
              <w:rPr>
                <w:rFonts w:ascii="Arial"/>
                <w:spacing w:val="-1"/>
                <w:sz w:val="18"/>
              </w:rPr>
              <w:t>46,282</w:t>
            </w:r>
          </w:p>
        </w:tc>
      </w:tr>
    </w:tbl>
    <w:p>
      <w:pPr>
        <w:spacing w:after="0" w:line="203" w:lineRule="exact"/>
        <w:jc w:val="right"/>
        <w:rPr>
          <w:rFonts w:ascii="Arial" w:hAnsi="Arial" w:cs="Arial" w:eastAsia="Arial" w:hint="default"/>
          <w:sz w:val="18"/>
          <w:szCs w:val="18"/>
        </w:rPr>
        <w:sectPr>
          <w:pgSz w:w="11910" w:h="16840"/>
          <w:pgMar w:header="755" w:footer="914" w:top="1860" w:bottom="1180" w:left="13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01"/>
        <w:gridCol w:w="4211"/>
        <w:gridCol w:w="2655"/>
        <w:gridCol w:w="1610"/>
      </w:tblGrid>
      <w:tr>
        <w:trPr>
          <w:trHeight w:val="41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八</w:t>
            </w:r>
          </w:p>
        </w:tc>
        <w:tc>
          <w:tcPr>
            <w:tcW w:w="4211" w:type="dxa"/>
            <w:tcBorders>
              <w:top w:val="nil" w:sz="6" w:space="0" w:color="auto"/>
              <w:left w:val="nil" w:sz="6" w:space="0" w:color="auto"/>
              <w:bottom w:val="nil" w:sz="6" w:space="0" w:color="auto"/>
              <w:right w:val="nil" w:sz="6" w:space="0" w:color="auto"/>
            </w:tcBorders>
          </w:tcPr>
          <w:p>
            <w:pPr>
              <w:pStyle w:val="TableParagraph"/>
              <w:spacing w:line="257" w:lineRule="exact"/>
              <w:ind w:left="207"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55"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8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
              <w:jc w:val="center"/>
              <w:rPr>
                <w:rFonts w:ascii="Arial" w:hAnsi="Arial" w:cs="Arial" w:eastAsia="Arial" w:hint="default"/>
                <w:sz w:val="24"/>
                <w:szCs w:val="24"/>
              </w:rPr>
            </w:pPr>
            <w:r>
              <w:rPr>
                <w:rFonts w:ascii="Arial"/>
                <w:sz w:val="24"/>
              </w:rPr>
              <w:t>(6)</w:t>
            </w:r>
          </w:p>
        </w:tc>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7"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55"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85"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
              <w:jc w:val="center"/>
              <w:rPr>
                <w:rFonts w:ascii="Arial" w:hAnsi="Arial" w:cs="Arial" w:eastAsia="Arial" w:hint="default"/>
                <w:sz w:val="24"/>
                <w:szCs w:val="24"/>
              </w:rPr>
            </w:pPr>
            <w:r>
              <w:rPr>
                <w:rFonts w:ascii="Arial"/>
                <w:sz w:val="24"/>
              </w:rPr>
              <w:t>(b)</w:t>
            </w:r>
          </w:p>
        </w:tc>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7" w:right="0"/>
              <w:jc w:val="left"/>
              <w:rPr>
                <w:rFonts w:ascii="宋体" w:hAnsi="宋体" w:cs="宋体" w:eastAsia="宋体" w:hint="default"/>
                <w:sz w:val="24"/>
                <w:szCs w:val="24"/>
              </w:rPr>
            </w:pPr>
            <w:r>
              <w:rPr>
                <w:rFonts w:ascii="宋体" w:hAnsi="宋体" w:cs="宋体" w:eastAsia="宋体" w:hint="default"/>
                <w:sz w:val="24"/>
                <w:szCs w:val="24"/>
              </w:rPr>
              <w:t>提供商业广场招商代理服务</w:t>
            </w:r>
          </w:p>
        </w:tc>
        <w:tc>
          <w:tcPr>
            <w:tcW w:w="2655"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93"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4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7" w:right="0"/>
              <w:jc w:val="left"/>
              <w:rPr>
                <w:rFonts w:ascii="宋体" w:hAnsi="宋体" w:cs="宋体" w:eastAsia="宋体" w:hint="default"/>
                <w:sz w:val="24"/>
                <w:szCs w:val="24"/>
              </w:rPr>
            </w:pPr>
            <w:r>
              <w:rPr>
                <w:rFonts w:ascii="宋体" w:hAnsi="宋体" w:cs="宋体" w:eastAsia="宋体" w:hint="default"/>
                <w:sz w:val="24"/>
                <w:szCs w:val="24"/>
              </w:rPr>
              <w:t>连云港苏宁置业</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334"/>
              <w:jc w:val="right"/>
              <w:rPr>
                <w:rFonts w:ascii="Arial" w:hAnsi="Arial" w:cs="Arial" w:eastAsia="Arial" w:hint="default"/>
                <w:sz w:val="24"/>
                <w:szCs w:val="24"/>
              </w:rPr>
            </w:pPr>
            <w:r>
              <w:rPr>
                <w:rFonts w:ascii="Arial"/>
                <w:w w:val="99"/>
                <w:sz w:val="24"/>
              </w:rPr>
              <w:t>-</w:t>
            </w:r>
            <w:r>
              <w:rPr>
                <w:rFonts w:ascii="Arial"/>
                <w:sz w:val="24"/>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8"/>
              <w:jc w:val="right"/>
              <w:rPr>
                <w:rFonts w:ascii="Arial" w:hAnsi="Arial" w:cs="Arial" w:eastAsia="Arial" w:hint="default"/>
                <w:sz w:val="24"/>
                <w:szCs w:val="24"/>
              </w:rPr>
            </w:pPr>
            <w:r>
              <w:rPr>
                <w:rFonts w:ascii="Arial"/>
                <w:w w:val="95"/>
                <w:sz w:val="24"/>
              </w:rPr>
              <w:t>4,438</w:t>
            </w:r>
            <w:r>
              <w:rPr>
                <w:rFonts w:ascii="Arial"/>
                <w:sz w:val="24"/>
              </w:rPr>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4"/>
              <w:jc w:val="right"/>
              <w:rPr>
                <w:rFonts w:ascii="Arial" w:hAnsi="Arial" w:cs="Arial" w:eastAsia="Arial" w:hint="default"/>
                <w:sz w:val="24"/>
                <w:szCs w:val="24"/>
              </w:rPr>
            </w:pPr>
            <w:r>
              <w:rPr>
                <w:rFonts w:ascii="Arial"/>
                <w:w w:val="99"/>
                <w:sz w:val="24"/>
              </w:rPr>
              <w:t>-</w:t>
            </w:r>
            <w:r>
              <w:rPr>
                <w:rFonts w:ascii="Arial"/>
                <w:sz w:val="24"/>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2,195</w:t>
            </w:r>
            <w:r>
              <w:rPr>
                <w:rFonts w:ascii="Arial"/>
                <w:sz w:val="24"/>
              </w:rPr>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655" w:type="dxa"/>
            <w:tcBorders>
              <w:top w:val="nil" w:sz="6" w:space="0" w:color="auto"/>
              <w:left w:val="nil" w:sz="6" w:space="0" w:color="auto"/>
              <w:bottom w:val="nil" w:sz="6" w:space="0" w:color="auto"/>
              <w:right w:val="nil" w:sz="6" w:space="0" w:color="auto"/>
            </w:tcBorders>
          </w:tcPr>
          <w:p>
            <w:pPr>
              <w:pStyle w:val="TableParagraph"/>
              <w:tabs>
                <w:tab w:pos="2238" w:val="left" w:leader="none"/>
                <w:tab w:pos="3464" w:val="left" w:leader="none"/>
              </w:tabs>
              <w:spacing w:line="240" w:lineRule="auto" w:before="18"/>
              <w:ind w:left="817" w:right="-81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t>  </w:t>
            </w:r>
            <w:r>
              <w:rPr>
                <w:rFonts w:ascii="Arial"/>
                <w:spacing w:val="-1"/>
                <w:sz w:val="24"/>
              </w:rPr>
              <w:t> </w:t>
            </w:r>
            <w:r>
              <w:rPr>
                <w:rFonts w:ascii="Arial"/>
                <w:spacing w:val="-1"/>
                <w:w w:val="100"/>
                <w:sz w:val="24"/>
              </w:rPr>
            </w:r>
            <w:r>
              <w:rPr>
                <w:rFonts w:ascii="Arial"/>
                <w:w w:val="100"/>
                <w:sz w:val="24"/>
                <w:u w:val="single" w:color="000000"/>
              </w:rPr>
              <w:t> </w:t>
            </w:r>
            <w:r>
              <w:rPr>
                <w:rFonts w:ascii="Arial"/>
                <w:sz w:val="24"/>
                <w:u w:val="single" w:color="000000"/>
              </w:rPr>
              <w:tab/>
            </w:r>
            <w:r>
              <w:rPr>
                <w:rFonts w:ascii="Arial"/>
                <w:sz w:val="24"/>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r>
            <w:r>
              <w:rPr>
                <w:rFonts w:ascii="Arial"/>
                <w:w w:val="95"/>
                <w:sz w:val="24"/>
                <w:u w:val="single" w:color="000000"/>
              </w:rPr>
              <w:t>1,747</w:t>
            </w:r>
            <w:r>
              <w:rPr>
                <w:rFonts w:ascii="Arial"/>
                <w:w w:val="95"/>
                <w:sz w:val="24"/>
              </w:rPr>
            </w:r>
            <w:r>
              <w:rPr>
                <w:rFonts w:ascii="Arial"/>
                <w:sz w:val="24"/>
              </w:rPr>
            </w:r>
          </w:p>
        </w:tc>
      </w:tr>
      <w:tr>
        <w:trPr>
          <w:trHeight w:val="434"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
        </w:tc>
        <w:tc>
          <w:tcPr>
            <w:tcW w:w="2655" w:type="dxa"/>
            <w:tcBorders>
              <w:top w:val="nil" w:sz="6" w:space="0" w:color="auto"/>
              <w:left w:val="nil" w:sz="6" w:space="0" w:color="auto"/>
              <w:bottom w:val="nil" w:sz="6" w:space="0" w:color="auto"/>
              <w:right w:val="nil" w:sz="6" w:space="0" w:color="auto"/>
            </w:tcBorders>
          </w:tcPr>
          <w:p>
            <w:pPr>
              <w:pStyle w:val="TableParagraph"/>
              <w:tabs>
                <w:tab w:pos="2238" w:val="left" w:leader="none"/>
                <w:tab w:pos="3464" w:val="left" w:leader="none"/>
              </w:tabs>
              <w:spacing w:line="268" w:lineRule="exact"/>
              <w:ind w:left="817" w:right="-81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r>
            <w:r>
              <w:rPr>
                <w:rFonts w:ascii="Arial"/>
                <w:sz w:val="24"/>
              </w:rPr>
              <w:t>  </w:t>
            </w:r>
            <w:r>
              <w:rPr>
                <w:rFonts w:ascii="Arial"/>
                <w:spacing w:val="-1"/>
                <w:sz w:val="24"/>
              </w:rPr>
              <w:t> </w:t>
            </w:r>
            <w:r>
              <w:rPr>
                <w:rFonts w:ascii="Arial"/>
                <w:spacing w:val="-1"/>
                <w:w w:val="100"/>
                <w:sz w:val="24"/>
              </w:rPr>
            </w:r>
            <w:r>
              <w:rPr>
                <w:rFonts w:ascii="Arial"/>
                <w:w w:val="100"/>
                <w:sz w:val="24"/>
                <w:u w:val="thick" w:color="000000"/>
              </w:rPr>
              <w:t> </w:t>
            </w:r>
            <w:r>
              <w:rPr>
                <w:rFonts w:ascii="Arial"/>
                <w:sz w:val="24"/>
                <w:u w:val="thick" w:color="000000"/>
              </w:rPr>
              <w:tab/>
            </w:r>
            <w:r>
              <w:rPr>
                <w:rFonts w:ascii="Arial"/>
                <w:sz w:val="24"/>
              </w:rPr>
            </w:r>
          </w:p>
        </w:tc>
        <w:tc>
          <w:tcPr>
            <w:tcW w:w="1610" w:type="dxa"/>
            <w:tcBorders>
              <w:top w:val="nil" w:sz="6" w:space="0" w:color="auto"/>
              <w:left w:val="nil" w:sz="6" w:space="0" w:color="auto"/>
              <w:bottom w:val="nil" w:sz="6" w:space="0" w:color="auto"/>
              <w:right w:val="nil" w:sz="6" w:space="0" w:color="auto"/>
            </w:tcBorders>
          </w:tcPr>
          <w:p>
            <w:pPr>
              <w:pStyle w:val="TableParagraph"/>
              <w:spacing w:line="268" w:lineRule="exact"/>
              <w:ind w:right="198"/>
              <w:jc w:val="right"/>
              <w:rPr>
                <w:rFonts w:ascii="Arial" w:hAnsi="Arial" w:cs="Arial" w:eastAsia="Arial" w:hint="default"/>
                <w:sz w:val="24"/>
                <w:szCs w:val="24"/>
              </w:rPr>
            </w:pPr>
            <w:r>
              <w:rPr>
                <w:rFonts w:ascii="Arial"/>
                <w:w w:val="99"/>
                <w:sz w:val="24"/>
              </w:rPr>
            </w:r>
            <w:r>
              <w:rPr>
                <w:rFonts w:ascii="Arial"/>
                <w:w w:val="95"/>
                <w:sz w:val="24"/>
                <w:u w:val="thick" w:color="000000"/>
              </w:rPr>
              <w:t>8,380</w:t>
            </w:r>
            <w:r>
              <w:rPr>
                <w:rFonts w:ascii="Arial"/>
                <w:w w:val="95"/>
                <w:sz w:val="24"/>
              </w:rPr>
            </w:r>
            <w:r>
              <w:rPr>
                <w:rFonts w:ascii="Arial"/>
                <w:sz w:val="24"/>
              </w:rPr>
            </w:r>
          </w:p>
        </w:tc>
      </w:tr>
      <w:tr>
        <w:trPr>
          <w:trHeight w:val="592"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9"/>
              <w:jc w:val="center"/>
              <w:rPr>
                <w:rFonts w:ascii="Arial" w:hAnsi="Arial" w:cs="Arial" w:eastAsia="Arial" w:hint="default"/>
                <w:sz w:val="24"/>
                <w:szCs w:val="24"/>
              </w:rPr>
            </w:pPr>
            <w:r>
              <w:rPr>
                <w:rFonts w:ascii="Arial"/>
                <w:sz w:val="24"/>
              </w:rPr>
              <w:t>(c)</w:t>
            </w:r>
          </w:p>
        </w:tc>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7" w:right="0"/>
              <w:jc w:val="left"/>
              <w:rPr>
                <w:rFonts w:ascii="宋体" w:hAnsi="宋体" w:cs="宋体" w:eastAsia="宋体" w:hint="default"/>
                <w:sz w:val="24"/>
                <w:szCs w:val="24"/>
              </w:rPr>
            </w:pPr>
            <w:r>
              <w:rPr>
                <w:rFonts w:ascii="宋体" w:hAnsi="宋体" w:cs="宋体" w:eastAsia="宋体" w:hint="default"/>
                <w:sz w:val="24"/>
                <w:szCs w:val="24"/>
              </w:rPr>
              <w:t>提供信息服务</w:t>
            </w:r>
          </w:p>
        </w:tc>
        <w:tc>
          <w:tcPr>
            <w:tcW w:w="2655"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93"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4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882"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7"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655" w:type="dxa"/>
            <w:tcBorders>
              <w:top w:val="nil" w:sz="6" w:space="0" w:color="auto"/>
              <w:left w:val="nil" w:sz="6" w:space="0" w:color="auto"/>
              <w:bottom w:val="nil" w:sz="6" w:space="0" w:color="auto"/>
              <w:right w:val="nil" w:sz="6" w:space="0" w:color="auto"/>
            </w:tcBorders>
          </w:tcPr>
          <w:p>
            <w:pPr>
              <w:pStyle w:val="TableParagraph"/>
              <w:tabs>
                <w:tab w:pos="1719" w:val="left" w:leader="none"/>
                <w:tab w:pos="3983" w:val="left" w:leader="none"/>
              </w:tabs>
              <w:spacing w:line="240" w:lineRule="auto" w:before="164"/>
              <w:ind w:left="817" w:right="-132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1,727</w:t>
            </w:r>
            <w:r>
              <w:rPr>
                <w:rFonts w:ascii="Arial"/>
                <w:sz w:val="24"/>
              </w:rPr>
              <w:t>  </w:t>
            </w:r>
            <w:r>
              <w:rPr>
                <w:rFonts w:ascii="Arial"/>
                <w:spacing w:val="-2"/>
                <w:sz w:val="24"/>
              </w:rPr>
              <w:t> </w:t>
            </w:r>
            <w:r>
              <w:rPr>
                <w:rFonts w:ascii="Arial"/>
                <w:spacing w:val="-2"/>
                <w:w w:val="100"/>
                <w:sz w:val="24"/>
              </w:rPr>
            </w:r>
            <w:r>
              <w:rPr>
                <w:rFonts w:ascii="Arial"/>
                <w:w w:val="100"/>
                <w:sz w:val="24"/>
                <w:u w:val="thick" w:color="000000"/>
              </w:rPr>
              <w:t> </w:t>
            </w:r>
            <w:r>
              <w:rPr>
                <w:rFonts w:ascii="Arial"/>
                <w:sz w:val="24"/>
                <w:u w:val="thick" w:color="000000"/>
              </w:rPr>
              <w:tab/>
            </w:r>
            <w:r>
              <w:rPr>
                <w:rFonts w:ascii="Arial"/>
                <w:sz w:val="24"/>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8"/>
              <w:jc w:val="right"/>
              <w:rPr>
                <w:rFonts w:ascii="Arial" w:hAnsi="Arial" w:cs="Arial" w:eastAsia="Arial" w:hint="default"/>
                <w:sz w:val="24"/>
                <w:szCs w:val="24"/>
              </w:rPr>
            </w:pPr>
            <w:r>
              <w:rPr>
                <w:rFonts w:ascii="Arial"/>
                <w:w w:val="99"/>
                <w:sz w:val="24"/>
              </w:rPr>
            </w:r>
            <w:r>
              <w:rPr>
                <w:rFonts w:ascii="Arial"/>
                <w:w w:val="99"/>
                <w:sz w:val="24"/>
                <w:u w:val="thick" w:color="000000"/>
              </w:rPr>
              <w:t>-</w:t>
            </w:r>
            <w:r>
              <w:rPr>
                <w:rFonts w:ascii="Arial"/>
                <w:w w:val="99"/>
                <w:sz w:val="24"/>
              </w:rPr>
            </w:r>
            <w:r>
              <w:rPr>
                <w:rFonts w:ascii="Arial"/>
                <w:sz w:val="24"/>
              </w:rPr>
            </w:r>
          </w:p>
        </w:tc>
      </w:tr>
      <w:tr>
        <w:trPr>
          <w:trHeight w:val="86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0"/>
              <w:ind w:right="5"/>
              <w:jc w:val="center"/>
              <w:rPr>
                <w:rFonts w:ascii="Arial" w:hAnsi="Arial" w:cs="Arial" w:eastAsia="Arial" w:hint="default"/>
                <w:sz w:val="24"/>
                <w:szCs w:val="24"/>
              </w:rPr>
            </w:pPr>
            <w:r>
              <w:rPr>
                <w:rFonts w:ascii="Arial"/>
                <w:sz w:val="24"/>
              </w:rPr>
              <w:t>(d)</w:t>
            </w:r>
          </w:p>
        </w:tc>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240" w:lineRule="auto"/>
              <w:ind w:left="207" w:right="0"/>
              <w:jc w:val="left"/>
              <w:rPr>
                <w:rFonts w:ascii="宋体" w:hAnsi="宋体" w:cs="宋体" w:eastAsia="宋体" w:hint="default"/>
                <w:sz w:val="24"/>
                <w:szCs w:val="24"/>
              </w:rPr>
            </w:pPr>
            <w:r>
              <w:rPr>
                <w:rFonts w:ascii="宋体" w:hAnsi="宋体" w:cs="宋体" w:eastAsia="宋体" w:hint="default"/>
                <w:sz w:val="24"/>
                <w:szCs w:val="24"/>
              </w:rPr>
              <w:t>提供平台推广服务</w:t>
            </w:r>
          </w:p>
        </w:tc>
        <w:tc>
          <w:tcPr>
            <w:tcW w:w="2655"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93"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4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7" w:right="0"/>
              <w:jc w:val="left"/>
              <w:rPr>
                <w:rFonts w:ascii="宋体" w:hAnsi="宋体" w:cs="宋体" w:eastAsia="宋体" w:hint="default"/>
                <w:sz w:val="24"/>
                <w:szCs w:val="24"/>
              </w:rPr>
            </w:pPr>
            <w:r>
              <w:rPr>
                <w:rFonts w:ascii="宋体" w:hAnsi="宋体" w:cs="宋体" w:eastAsia="宋体" w:hint="default"/>
                <w:sz w:val="24"/>
                <w:szCs w:val="24"/>
              </w:rPr>
              <w:t>江苏苏宁建材</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602" w:right="0"/>
              <w:jc w:val="left"/>
              <w:rPr>
                <w:rFonts w:ascii="Arial" w:hAnsi="Arial" w:cs="Arial" w:eastAsia="Arial" w:hint="default"/>
                <w:sz w:val="24"/>
                <w:szCs w:val="24"/>
              </w:rPr>
            </w:pPr>
            <w:r>
              <w:rPr>
                <w:rFonts w:ascii="Arial"/>
                <w:spacing w:val="-4"/>
                <w:sz w:val="24"/>
              </w:rPr>
              <w:t>11,104</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3"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655" w:type="dxa"/>
            <w:tcBorders>
              <w:top w:val="nil" w:sz="6" w:space="0" w:color="auto"/>
              <w:left w:val="nil" w:sz="6" w:space="0" w:color="auto"/>
              <w:bottom w:val="nil" w:sz="6" w:space="0" w:color="auto"/>
              <w:right w:val="nil" w:sz="6" w:space="0" w:color="auto"/>
            </w:tcBorders>
          </w:tcPr>
          <w:p>
            <w:pPr>
              <w:pStyle w:val="TableParagraph"/>
              <w:tabs>
                <w:tab w:pos="1719" w:val="left" w:leader="none"/>
                <w:tab w:pos="3983" w:val="left" w:leader="none"/>
              </w:tabs>
              <w:spacing w:line="240" w:lineRule="auto" w:before="19"/>
              <w:ind w:left="817" w:right="-1329"/>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1,258</w:t>
            </w:r>
            <w:r>
              <w:rPr>
                <w:rFonts w:ascii="Arial"/>
                <w:sz w:val="24"/>
              </w:rPr>
              <w:t>  </w:t>
            </w:r>
            <w:r>
              <w:rPr>
                <w:rFonts w:ascii="Arial"/>
                <w:spacing w:val="-2"/>
                <w:sz w:val="24"/>
              </w:rPr>
              <w:t> </w:t>
            </w:r>
            <w:r>
              <w:rPr>
                <w:rFonts w:ascii="Arial"/>
                <w:spacing w:val="-2"/>
                <w:w w:val="100"/>
                <w:sz w:val="24"/>
              </w:rPr>
            </w:r>
            <w:r>
              <w:rPr>
                <w:rFonts w:ascii="Arial"/>
                <w:w w:val="100"/>
                <w:sz w:val="24"/>
                <w:u w:val="single" w:color="000000"/>
              </w:rPr>
              <w:t> </w:t>
            </w:r>
            <w:r>
              <w:rPr>
                <w:rFonts w:ascii="Arial"/>
                <w:sz w:val="24"/>
                <w:u w:val="single" w:color="000000"/>
              </w:rPr>
              <w:tab/>
            </w:r>
            <w:r>
              <w:rPr>
                <w:rFonts w:ascii="Arial"/>
                <w:sz w:val="24"/>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9"/>
                <w:sz w:val="24"/>
              </w:rPr>
            </w:r>
            <w:r>
              <w:rPr>
                <w:rFonts w:ascii="Arial"/>
                <w:w w:val="99"/>
                <w:sz w:val="24"/>
                <w:u w:val="single" w:color="000000"/>
              </w:rPr>
              <w:t>-</w:t>
            </w:r>
            <w:r>
              <w:rPr>
                <w:rFonts w:ascii="Arial"/>
                <w:w w:val="99"/>
                <w:sz w:val="24"/>
              </w:rPr>
            </w:r>
            <w:r>
              <w:rPr>
                <w:rFonts w:ascii="Arial"/>
                <w:sz w:val="24"/>
              </w:rPr>
            </w:r>
          </w:p>
        </w:tc>
      </w:tr>
      <w:tr>
        <w:trPr>
          <w:trHeight w:val="434"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
        </w:tc>
        <w:tc>
          <w:tcPr>
            <w:tcW w:w="2655" w:type="dxa"/>
            <w:tcBorders>
              <w:top w:val="nil" w:sz="6" w:space="0" w:color="auto"/>
              <w:left w:val="nil" w:sz="6" w:space="0" w:color="auto"/>
              <w:bottom w:val="nil" w:sz="6" w:space="0" w:color="auto"/>
              <w:right w:val="nil" w:sz="6" w:space="0" w:color="auto"/>
            </w:tcBorders>
          </w:tcPr>
          <w:p>
            <w:pPr>
              <w:pStyle w:val="TableParagraph"/>
              <w:tabs>
                <w:tab w:pos="1584" w:val="left" w:leader="none"/>
                <w:tab w:pos="3983" w:val="left" w:leader="none"/>
              </w:tabs>
              <w:spacing w:line="268" w:lineRule="exact"/>
              <w:ind w:left="817" w:right="-132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12,362</w:t>
            </w:r>
            <w:r>
              <w:rPr>
                <w:rFonts w:ascii="Arial"/>
                <w:sz w:val="24"/>
              </w:rPr>
              <w:t>  </w:t>
            </w:r>
            <w:r>
              <w:rPr>
                <w:rFonts w:ascii="Arial"/>
                <w:spacing w:val="-1"/>
                <w:sz w:val="24"/>
              </w:rPr>
              <w:t> </w:t>
            </w:r>
            <w:r>
              <w:rPr>
                <w:rFonts w:ascii="Arial"/>
                <w:spacing w:val="-1"/>
                <w:w w:val="100"/>
                <w:sz w:val="24"/>
              </w:rPr>
            </w:r>
            <w:r>
              <w:rPr>
                <w:rFonts w:ascii="Arial"/>
                <w:w w:val="100"/>
                <w:sz w:val="24"/>
                <w:u w:val="thick" w:color="000000"/>
              </w:rPr>
              <w:t> </w:t>
            </w:r>
            <w:r>
              <w:rPr>
                <w:rFonts w:ascii="Arial"/>
                <w:sz w:val="24"/>
                <w:u w:val="thick" w:color="000000"/>
              </w:rPr>
              <w:tab/>
            </w:r>
            <w:r>
              <w:rPr>
                <w:rFonts w:ascii="Arial"/>
                <w:sz w:val="24"/>
              </w:rPr>
            </w:r>
          </w:p>
        </w:tc>
        <w:tc>
          <w:tcPr>
            <w:tcW w:w="1610" w:type="dxa"/>
            <w:tcBorders>
              <w:top w:val="nil" w:sz="6" w:space="0" w:color="auto"/>
              <w:left w:val="nil" w:sz="6" w:space="0" w:color="auto"/>
              <w:bottom w:val="nil" w:sz="6" w:space="0" w:color="auto"/>
              <w:right w:val="nil" w:sz="6" w:space="0" w:color="auto"/>
            </w:tcBorders>
          </w:tcPr>
          <w:p>
            <w:pPr>
              <w:pStyle w:val="TableParagraph"/>
              <w:spacing w:line="268" w:lineRule="exact"/>
              <w:ind w:right="198"/>
              <w:jc w:val="right"/>
              <w:rPr>
                <w:rFonts w:ascii="Arial" w:hAnsi="Arial" w:cs="Arial" w:eastAsia="Arial" w:hint="default"/>
                <w:sz w:val="24"/>
                <w:szCs w:val="24"/>
              </w:rPr>
            </w:pPr>
            <w:r>
              <w:rPr>
                <w:rFonts w:ascii="Arial"/>
                <w:w w:val="99"/>
                <w:sz w:val="24"/>
              </w:rPr>
            </w:r>
            <w:r>
              <w:rPr>
                <w:rFonts w:ascii="Arial"/>
                <w:w w:val="99"/>
                <w:sz w:val="24"/>
                <w:u w:val="thick" w:color="000000"/>
              </w:rPr>
              <w:t>-</w:t>
            </w:r>
            <w:r>
              <w:rPr>
                <w:rFonts w:ascii="Arial"/>
                <w:w w:val="99"/>
                <w:sz w:val="24"/>
              </w:rPr>
            </w:r>
            <w:r>
              <w:rPr>
                <w:rFonts w:ascii="Arial"/>
                <w:sz w:val="24"/>
              </w:rPr>
            </w:r>
          </w:p>
        </w:tc>
      </w:tr>
      <w:tr>
        <w:trPr>
          <w:trHeight w:val="592"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6"/>
              <w:jc w:val="center"/>
              <w:rPr>
                <w:rFonts w:ascii="Arial" w:hAnsi="Arial" w:cs="Arial" w:eastAsia="Arial" w:hint="default"/>
                <w:sz w:val="24"/>
                <w:szCs w:val="24"/>
              </w:rPr>
            </w:pPr>
            <w:r>
              <w:rPr>
                <w:rFonts w:ascii="Arial"/>
                <w:sz w:val="24"/>
              </w:rPr>
              <w:t>(e)</w:t>
            </w:r>
          </w:p>
        </w:tc>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7" w:right="0"/>
              <w:jc w:val="left"/>
              <w:rPr>
                <w:rFonts w:ascii="宋体" w:hAnsi="宋体" w:cs="宋体" w:eastAsia="宋体" w:hint="default"/>
                <w:sz w:val="24"/>
                <w:szCs w:val="24"/>
              </w:rPr>
            </w:pPr>
            <w:r>
              <w:rPr>
                <w:rFonts w:ascii="宋体" w:hAnsi="宋体" w:cs="宋体" w:eastAsia="宋体" w:hint="default"/>
                <w:sz w:val="24"/>
                <w:szCs w:val="24"/>
              </w:rPr>
              <w:t>取得利息收入</w:t>
            </w:r>
          </w:p>
        </w:tc>
        <w:tc>
          <w:tcPr>
            <w:tcW w:w="2655"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93"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4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35" w:hRule="exact"/>
        </w:trPr>
        <w:tc>
          <w:tcPr>
            <w:tcW w:w="701" w:type="dxa"/>
            <w:tcBorders>
              <w:top w:val="nil" w:sz="6" w:space="0" w:color="auto"/>
              <w:left w:val="nil" w:sz="6" w:space="0" w:color="auto"/>
              <w:bottom w:val="nil" w:sz="6" w:space="0" w:color="auto"/>
              <w:right w:val="nil" w:sz="6" w:space="0" w:color="auto"/>
            </w:tcBorders>
          </w:tcPr>
          <w:p>
            <w:pPr/>
          </w:p>
        </w:tc>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7"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655" w:type="dxa"/>
            <w:tcBorders>
              <w:top w:val="nil" w:sz="6" w:space="0" w:color="auto"/>
              <w:left w:val="nil" w:sz="6" w:space="0" w:color="auto"/>
              <w:bottom w:val="nil" w:sz="6" w:space="0" w:color="auto"/>
              <w:right w:val="nil" w:sz="6" w:space="0" w:color="auto"/>
            </w:tcBorders>
          </w:tcPr>
          <w:p>
            <w:pPr>
              <w:pStyle w:val="TableParagraph"/>
              <w:tabs>
                <w:tab w:pos="1719" w:val="left" w:leader="none"/>
                <w:tab w:pos="3983" w:val="left" w:leader="none"/>
              </w:tabs>
              <w:spacing w:line="240" w:lineRule="auto" w:before="165"/>
              <w:ind w:left="817" w:right="-132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5,635</w:t>
            </w:r>
            <w:r>
              <w:rPr>
                <w:rFonts w:ascii="Arial"/>
                <w:sz w:val="24"/>
              </w:rPr>
              <w:t>  </w:t>
            </w:r>
            <w:r>
              <w:rPr>
                <w:rFonts w:ascii="Arial"/>
                <w:spacing w:val="-2"/>
                <w:sz w:val="24"/>
              </w:rPr>
              <w:t> </w:t>
            </w:r>
            <w:r>
              <w:rPr>
                <w:rFonts w:ascii="Arial"/>
                <w:spacing w:val="-2"/>
                <w:w w:val="100"/>
                <w:sz w:val="24"/>
              </w:rPr>
            </w:r>
            <w:r>
              <w:rPr>
                <w:rFonts w:ascii="Arial"/>
                <w:w w:val="100"/>
                <w:sz w:val="24"/>
                <w:u w:val="thick" w:color="000000"/>
              </w:rPr>
              <w:t> </w:t>
            </w:r>
            <w:r>
              <w:rPr>
                <w:rFonts w:ascii="Arial"/>
                <w:sz w:val="24"/>
                <w:u w:val="thick" w:color="000000"/>
              </w:rPr>
              <w:tab/>
            </w:r>
            <w:r>
              <w:rPr>
                <w:rFonts w:ascii="Arial"/>
                <w:sz w:val="24"/>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9"/>
                <w:sz w:val="24"/>
              </w:rPr>
            </w:r>
            <w:r>
              <w:rPr>
                <w:rFonts w:ascii="Arial"/>
                <w:w w:val="99"/>
                <w:sz w:val="24"/>
                <w:u w:val="thick" w:color="000000"/>
              </w:rPr>
              <w:t>-</w:t>
            </w:r>
            <w:r>
              <w:rPr>
                <w:rFonts w:ascii="Arial"/>
                <w:w w:val="99"/>
                <w:sz w:val="24"/>
              </w:rPr>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14" w:top="1860" w:bottom="11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686"/>
        <w:gridCol w:w="2228"/>
        <w:gridCol w:w="2382"/>
        <w:gridCol w:w="2140"/>
        <w:gridCol w:w="226"/>
        <w:gridCol w:w="2038"/>
      </w:tblGrid>
      <w:tr>
        <w:trPr>
          <w:trHeight w:val="464"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exact"/>
              <w:ind w:right="43"/>
              <w:jc w:val="center"/>
              <w:rPr>
                <w:rFonts w:ascii="黑体" w:hAnsi="黑体" w:cs="黑体" w:eastAsia="黑体" w:hint="default"/>
                <w:sz w:val="24"/>
                <w:szCs w:val="24"/>
              </w:rPr>
            </w:pPr>
            <w:r>
              <w:rPr>
                <w:rFonts w:ascii="黑体" w:hAnsi="黑体" w:cs="黑体" w:eastAsia="黑体" w:hint="default"/>
                <w:sz w:val="24"/>
                <w:szCs w:val="24"/>
              </w:rPr>
              <w:t>八</w:t>
            </w:r>
          </w:p>
        </w:tc>
        <w:tc>
          <w:tcPr>
            <w:tcW w:w="4610"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4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
        </w:tc>
      </w:tr>
      <w:tr>
        <w:trPr>
          <w:trHeight w:val="637"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10"/>
              <w:ind w:left="7" w:right="0"/>
              <w:jc w:val="center"/>
              <w:rPr>
                <w:rFonts w:ascii="Arial" w:hAnsi="Arial" w:cs="Arial" w:eastAsia="Arial" w:hint="default"/>
                <w:sz w:val="24"/>
                <w:szCs w:val="24"/>
              </w:rPr>
            </w:pPr>
            <w:r>
              <w:rPr>
                <w:rFonts w:ascii="Arial"/>
                <w:sz w:val="24"/>
              </w:rPr>
              <w:t>(6)</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9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82" w:type="dxa"/>
            <w:tcBorders>
              <w:top w:val="nil" w:sz="6" w:space="0" w:color="auto"/>
              <w:left w:val="nil" w:sz="6" w:space="0" w:color="auto"/>
              <w:bottom w:val="nil" w:sz="6" w:space="0" w:color="auto"/>
              <w:right w:val="nil" w:sz="6" w:space="0" w:color="auto"/>
            </w:tcBorders>
          </w:tcPr>
          <w:p>
            <w:pPr/>
          </w:p>
        </w:tc>
        <w:tc>
          <w:tcPr>
            <w:tcW w:w="214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
        </w:tc>
      </w:tr>
      <w:tr>
        <w:trPr>
          <w:trHeight w:val="577"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6"/>
              <w:jc w:val="center"/>
              <w:rPr>
                <w:rFonts w:ascii="Arial" w:hAnsi="Arial" w:cs="Arial" w:eastAsia="Arial" w:hint="default"/>
                <w:sz w:val="24"/>
                <w:szCs w:val="24"/>
              </w:rPr>
            </w:pPr>
            <w:r>
              <w:rPr>
                <w:rFonts w:ascii="Arial"/>
                <w:sz w:val="24"/>
              </w:rPr>
              <w:t>(f)</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92"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2382" w:type="dxa"/>
            <w:tcBorders>
              <w:top w:val="nil" w:sz="6" w:space="0" w:color="auto"/>
              <w:left w:val="nil" w:sz="6" w:space="0" w:color="auto"/>
              <w:bottom w:val="nil" w:sz="6" w:space="0" w:color="auto"/>
              <w:right w:val="nil" w:sz="6" w:space="0" w:color="auto"/>
            </w:tcBorders>
          </w:tcPr>
          <w:p>
            <w:pPr/>
          </w:p>
        </w:tc>
        <w:tc>
          <w:tcPr>
            <w:tcW w:w="214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
        </w:tc>
      </w:tr>
      <w:tr>
        <w:trPr>
          <w:trHeight w:val="604" w:hRule="exact"/>
        </w:trPr>
        <w:tc>
          <w:tcPr>
            <w:tcW w:w="686" w:type="dxa"/>
            <w:tcBorders>
              <w:top w:val="nil" w:sz="6" w:space="0" w:color="auto"/>
              <w:left w:val="nil" w:sz="6" w:space="0" w:color="auto"/>
              <w:bottom w:val="nil" w:sz="6" w:space="0" w:color="auto"/>
              <w:right w:val="nil" w:sz="6" w:space="0" w:color="auto"/>
            </w:tcBorders>
          </w:tcPr>
          <w:p>
            <w:pPr/>
          </w:p>
        </w:tc>
        <w:tc>
          <w:tcPr>
            <w:tcW w:w="46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192" w:right="0"/>
              <w:jc w:val="left"/>
              <w:rPr>
                <w:rFonts w:ascii="宋体" w:hAnsi="宋体" w:cs="宋体" w:eastAsia="宋体" w:hint="default"/>
                <w:sz w:val="24"/>
                <w:szCs w:val="24"/>
              </w:rPr>
            </w:pPr>
            <w:r>
              <w:rPr>
                <w:rFonts w:ascii="宋体" w:hAnsi="宋体" w:cs="宋体" w:eastAsia="宋体" w:hint="default"/>
                <w:sz w:val="24"/>
                <w:szCs w:val="24"/>
              </w:rPr>
              <w:t>本集团作为承租方：</w:t>
            </w:r>
          </w:p>
        </w:tc>
        <w:tc>
          <w:tcPr>
            <w:tcW w:w="214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
        </w:tc>
      </w:tr>
      <w:tr>
        <w:trPr>
          <w:trHeight w:val="561"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9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3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2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年确认的租赁费</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0"/>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年确认的租赁费</w:t>
            </w:r>
          </w:p>
        </w:tc>
      </w:tr>
      <w:tr>
        <w:trPr>
          <w:trHeight w:val="421"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92"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35" w:right="0"/>
              <w:jc w:val="left"/>
              <w:rPr>
                <w:rFonts w:ascii="宋体" w:hAnsi="宋体" w:cs="宋体" w:eastAsia="宋体" w:hint="default"/>
                <w:sz w:val="18"/>
                <w:szCs w:val="18"/>
              </w:rPr>
            </w:pPr>
            <w:r>
              <w:rPr>
                <w:rFonts w:ascii="宋体" w:hAnsi="宋体" w:cs="宋体" w:eastAsia="宋体" w:hint="default"/>
                <w:sz w:val="18"/>
                <w:szCs w:val="18"/>
              </w:rPr>
              <w:t>新街口苏宁广场店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51,676</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62"/>
              <w:jc w:val="right"/>
              <w:rPr>
                <w:rFonts w:ascii="Arial" w:hAnsi="Arial" w:cs="Arial" w:eastAsia="Arial" w:hint="default"/>
                <w:sz w:val="18"/>
                <w:szCs w:val="18"/>
              </w:rPr>
            </w:pPr>
            <w:r>
              <w:rPr>
                <w:rFonts w:ascii="Arial"/>
                <w:spacing w:val="-1"/>
                <w:sz w:val="18"/>
              </w:rPr>
              <w:t>37,363</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无锡苏宁商业管理</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无锡苏宁广场店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27,126</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sz w:val="18"/>
              </w:rPr>
              <w:t>26,068</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天府立交店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3"/>
                <w:sz w:val="18"/>
              </w:rPr>
              <w:t>16,411</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sz w:val="18"/>
              </w:rPr>
              <w:t>13,883</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苏宁电器集团</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乐购仕山西路店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15,932</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sz w:val="18"/>
              </w:rPr>
              <w:t>13,561</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石家庄苏宁房地产开发</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石家庄苏宁广场店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13,908</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spacing w:val="-1"/>
                <w:sz w:val="18"/>
              </w:rPr>
              <w:t>9,601</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青岛苏宁置业</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李村广场店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12,885</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sz w:val="18"/>
              </w:rPr>
              <w:t>12,885</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福州苏宁置业</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福州苏宁广场店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9,302</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spacing w:val="-1"/>
                <w:sz w:val="18"/>
              </w:rPr>
              <w:t>7,360</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宿迁苏宁广场店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5,852</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spacing w:val="-1"/>
                <w:sz w:val="18"/>
              </w:rPr>
              <w:t>4,937</w:t>
            </w:r>
          </w:p>
        </w:tc>
      </w:tr>
      <w:tr>
        <w:trPr>
          <w:trHeight w:val="275"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淮安苏宁置业</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淮安苏宁广场店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5,427</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spacing w:val="-1"/>
                <w:sz w:val="18"/>
              </w:rPr>
              <w:t>2,468</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6" w:lineRule="exact"/>
              <w:ind w:left="192" w:right="0"/>
              <w:jc w:val="left"/>
              <w:rPr>
                <w:rFonts w:ascii="宋体" w:hAnsi="宋体" w:cs="宋体" w:eastAsia="宋体" w:hint="default"/>
                <w:sz w:val="18"/>
                <w:szCs w:val="18"/>
              </w:rPr>
            </w:pPr>
            <w:r>
              <w:rPr>
                <w:rFonts w:ascii="宋体" w:hAnsi="宋体" w:cs="宋体" w:eastAsia="宋体" w:hint="default"/>
                <w:sz w:val="18"/>
                <w:szCs w:val="18"/>
              </w:rPr>
              <w:t>石家庄苏宁房地产开发</w:t>
            </w:r>
          </w:p>
        </w:tc>
        <w:tc>
          <w:tcPr>
            <w:tcW w:w="2382" w:type="dxa"/>
            <w:tcBorders>
              <w:top w:val="nil" w:sz="6" w:space="0" w:color="auto"/>
              <w:left w:val="nil" w:sz="6" w:space="0" w:color="auto"/>
              <w:bottom w:val="nil" w:sz="6" w:space="0" w:color="auto"/>
              <w:right w:val="nil" w:sz="6" w:space="0" w:color="auto"/>
            </w:tcBorders>
          </w:tcPr>
          <w:p>
            <w:pPr>
              <w:pStyle w:val="TableParagraph"/>
              <w:spacing w:line="216" w:lineRule="exact"/>
              <w:ind w:left="235" w:right="0"/>
              <w:jc w:val="left"/>
              <w:rPr>
                <w:rFonts w:ascii="宋体" w:hAnsi="宋体" w:cs="宋体" w:eastAsia="宋体" w:hint="default"/>
                <w:sz w:val="18"/>
                <w:szCs w:val="18"/>
              </w:rPr>
            </w:pPr>
            <w:r>
              <w:rPr>
                <w:rFonts w:ascii="宋体" w:hAnsi="宋体" w:cs="宋体" w:eastAsia="宋体" w:hint="default"/>
                <w:sz w:val="18"/>
                <w:szCs w:val="18"/>
              </w:rPr>
              <w:t>石家庄苏宁广场办公区</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2,527</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红孩子店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6"/>
              <w:jc w:val="right"/>
              <w:rPr>
                <w:rFonts w:ascii="Arial" w:hAnsi="Arial" w:cs="Arial" w:eastAsia="Arial" w:hint="default"/>
                <w:sz w:val="18"/>
                <w:szCs w:val="18"/>
              </w:rPr>
            </w:pPr>
            <w:r>
              <w:rPr>
                <w:rFonts w:ascii="Arial"/>
                <w:spacing w:val="-1"/>
                <w:sz w:val="18"/>
              </w:rPr>
              <w:t>1,804</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1"/>
              <w:jc w:val="right"/>
              <w:rPr>
                <w:rFonts w:ascii="Arial" w:hAnsi="Arial" w:cs="Arial" w:eastAsia="Arial" w:hint="default"/>
                <w:sz w:val="18"/>
                <w:szCs w:val="18"/>
              </w:rPr>
            </w:pPr>
            <w:r>
              <w:rPr>
                <w:rFonts w:ascii="Arial"/>
                <w:spacing w:val="-1"/>
                <w:sz w:val="18"/>
              </w:rPr>
              <w:t>1,404</w:t>
            </w:r>
          </w:p>
        </w:tc>
      </w:tr>
      <w:tr>
        <w:trPr>
          <w:trHeight w:val="275"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6" w:lineRule="exact"/>
              <w:ind w:left="192" w:right="0"/>
              <w:jc w:val="left"/>
              <w:rPr>
                <w:rFonts w:ascii="宋体" w:hAnsi="宋体" w:cs="宋体" w:eastAsia="宋体" w:hint="default"/>
                <w:sz w:val="18"/>
                <w:szCs w:val="18"/>
              </w:rPr>
            </w:pPr>
            <w:r>
              <w:rPr>
                <w:rFonts w:ascii="宋体" w:hAnsi="宋体" w:cs="宋体" w:eastAsia="宋体" w:hint="default"/>
                <w:sz w:val="18"/>
                <w:szCs w:val="18"/>
              </w:rPr>
              <w:t>无锡苏宁商业管理</w:t>
            </w:r>
          </w:p>
        </w:tc>
        <w:tc>
          <w:tcPr>
            <w:tcW w:w="2382" w:type="dxa"/>
            <w:tcBorders>
              <w:top w:val="nil" w:sz="6" w:space="0" w:color="auto"/>
              <w:left w:val="nil" w:sz="6" w:space="0" w:color="auto"/>
              <w:bottom w:val="nil" w:sz="6" w:space="0" w:color="auto"/>
              <w:right w:val="nil" w:sz="6" w:space="0" w:color="auto"/>
            </w:tcBorders>
          </w:tcPr>
          <w:p>
            <w:pPr>
              <w:pStyle w:val="TableParagraph"/>
              <w:spacing w:line="216" w:lineRule="exact"/>
              <w:ind w:left="235" w:right="0"/>
              <w:jc w:val="left"/>
              <w:rPr>
                <w:rFonts w:ascii="宋体" w:hAnsi="宋体" w:cs="宋体" w:eastAsia="宋体" w:hint="default"/>
                <w:sz w:val="18"/>
                <w:szCs w:val="18"/>
              </w:rPr>
            </w:pPr>
            <w:r>
              <w:rPr>
                <w:rFonts w:ascii="宋体" w:hAnsi="宋体" w:cs="宋体" w:eastAsia="宋体" w:hint="default"/>
                <w:sz w:val="18"/>
                <w:szCs w:val="18"/>
              </w:rPr>
              <w:t>无锡苏宁广场红孩子店</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Arial" w:hAnsi="Arial" w:cs="Arial" w:eastAsia="Arial" w:hint="default"/>
                <w:sz w:val="18"/>
                <w:szCs w:val="18"/>
              </w:rPr>
            </w:pPr>
            <w:r>
              <w:rPr>
                <w:rFonts w:ascii="Arial"/>
                <w:spacing w:val="-1"/>
                <w:sz w:val="18"/>
              </w:rPr>
              <w:t>1,250</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1"/>
              <w:jc w:val="right"/>
              <w:rPr>
                <w:rFonts w:ascii="Arial" w:hAnsi="Arial" w:cs="Arial" w:eastAsia="Arial" w:hint="default"/>
                <w:sz w:val="18"/>
                <w:szCs w:val="18"/>
              </w:rPr>
            </w:pPr>
            <w:r>
              <w:rPr>
                <w:rFonts w:ascii="Arial"/>
                <w:spacing w:val="-1"/>
                <w:sz w:val="18"/>
              </w:rPr>
              <w:t>2,009</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苏宁广场超市</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1,564</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w w:val="95"/>
                <w:sz w:val="18"/>
              </w:rPr>
              <w:t>176</w:t>
            </w:r>
            <w:r>
              <w:rPr>
                <w:rFonts w:ascii="Arial"/>
                <w:sz w:val="18"/>
              </w:rPr>
            </w:r>
          </w:p>
        </w:tc>
      </w:tr>
      <w:tr>
        <w:trPr>
          <w:trHeight w:val="292"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2382" w:type="dxa"/>
            <w:tcBorders>
              <w:top w:val="nil" w:sz="6" w:space="0" w:color="auto"/>
              <w:left w:val="nil" w:sz="6" w:space="0" w:color="auto"/>
              <w:bottom w:val="nil" w:sz="6" w:space="0" w:color="auto"/>
              <w:right w:val="nil" w:sz="6" w:space="0" w:color="auto"/>
            </w:tcBorders>
          </w:tcPr>
          <w:p>
            <w:pPr>
              <w:pStyle w:val="TableParagraph"/>
              <w:spacing w:line="217" w:lineRule="exact"/>
              <w:ind w:left="235" w:right="0"/>
              <w:jc w:val="left"/>
              <w:rPr>
                <w:rFonts w:ascii="宋体" w:hAnsi="宋体" w:cs="宋体" w:eastAsia="宋体" w:hint="default"/>
                <w:sz w:val="18"/>
                <w:szCs w:val="18"/>
              </w:rPr>
            </w:pPr>
            <w:r>
              <w:rPr>
                <w:rFonts w:ascii="宋体" w:hAnsi="宋体" w:cs="宋体" w:eastAsia="宋体" w:hint="default"/>
                <w:sz w:val="18"/>
                <w:szCs w:val="18"/>
              </w:rPr>
              <w:t>宿迁苏宁广场办公区</w:t>
            </w:r>
          </w:p>
        </w:tc>
        <w:tc>
          <w:tcPr>
            <w:tcW w:w="2140" w:type="dxa"/>
            <w:tcBorders>
              <w:top w:val="nil" w:sz="6" w:space="0" w:color="auto"/>
              <w:left w:val="nil" w:sz="6" w:space="0" w:color="auto"/>
              <w:bottom w:val="nil" w:sz="6" w:space="0" w:color="auto"/>
              <w:right w:val="nil" w:sz="6" w:space="0" w:color="auto"/>
            </w:tcBorders>
          </w:tcPr>
          <w:p>
            <w:pPr>
              <w:pStyle w:val="TableParagraph"/>
              <w:tabs>
                <w:tab w:pos="1717" w:val="left" w:leader="none"/>
                <w:tab w:pos="2125"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917</w:t>
              <w:tab/>
            </w:r>
            <w:r>
              <w:rPr>
                <w:rFonts w:ascii="Arial"/>
                <w:spacing w:val="-1"/>
                <w:sz w:val="18"/>
              </w:rPr>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tabs>
                <w:tab w:pos="1899" w:val="left" w:leader="none"/>
                <w:tab w:pos="2023"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54" w:hRule="exact"/>
        </w:trPr>
        <w:tc>
          <w:tcPr>
            <w:tcW w:w="68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
        </w:tc>
        <w:tc>
          <w:tcPr>
            <w:tcW w:w="214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166,581</w:t>
            </w:r>
          </w:p>
        </w:tc>
        <w:tc>
          <w:tcPr>
            <w:tcW w:w="22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62"/>
              <w:jc w:val="right"/>
              <w:rPr>
                <w:rFonts w:ascii="Arial" w:hAnsi="Arial" w:cs="Arial" w:eastAsia="Arial" w:hint="default"/>
                <w:sz w:val="18"/>
                <w:szCs w:val="18"/>
              </w:rPr>
            </w:pPr>
            <w:r>
              <w:rPr>
                <w:rFonts w:ascii="Arial"/>
                <w:spacing w:val="-1"/>
                <w:sz w:val="18"/>
              </w:rPr>
              <w:t>131,715</w:t>
            </w:r>
          </w:p>
        </w:tc>
      </w:tr>
    </w:tbl>
    <w:p>
      <w:pPr>
        <w:spacing w:after="0" w:line="240" w:lineRule="auto"/>
        <w:jc w:val="right"/>
        <w:rPr>
          <w:rFonts w:ascii="Arial" w:hAnsi="Arial" w:cs="Arial" w:eastAsia="Arial" w:hint="default"/>
          <w:sz w:val="18"/>
          <w:szCs w:val="18"/>
        </w:rPr>
        <w:sectPr>
          <w:pgSz w:w="11910" w:h="16840"/>
          <w:pgMar w:header="755" w:footer="914" w:top="1860" w:bottom="1180" w:left="14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86"/>
        <w:gridCol w:w="2048"/>
        <w:gridCol w:w="2715"/>
        <w:gridCol w:w="1988"/>
        <w:gridCol w:w="233"/>
        <w:gridCol w:w="2030"/>
      </w:tblGrid>
      <w:tr>
        <w:trPr>
          <w:trHeight w:val="496"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exact"/>
              <w:ind w:right="43"/>
              <w:jc w:val="center"/>
              <w:rPr>
                <w:rFonts w:ascii="黑体" w:hAnsi="黑体" w:cs="黑体" w:eastAsia="黑体" w:hint="default"/>
                <w:sz w:val="24"/>
                <w:szCs w:val="24"/>
              </w:rPr>
            </w:pPr>
            <w:r>
              <w:rPr>
                <w:rFonts w:ascii="黑体" w:hAnsi="黑体" w:cs="黑体" w:eastAsia="黑体" w:hint="default"/>
                <w:sz w:val="24"/>
                <w:szCs w:val="24"/>
              </w:rPr>
              <w:t>八</w:t>
            </w:r>
          </w:p>
        </w:tc>
        <w:tc>
          <w:tcPr>
            <w:tcW w:w="476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8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
        </w:tc>
      </w:tr>
      <w:tr>
        <w:trPr>
          <w:trHeight w:val="748"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7" w:right="0"/>
              <w:jc w:val="center"/>
              <w:rPr>
                <w:rFonts w:ascii="Arial" w:hAnsi="Arial" w:cs="Arial" w:eastAsia="Arial" w:hint="default"/>
                <w:sz w:val="24"/>
                <w:szCs w:val="24"/>
              </w:rPr>
            </w:pPr>
            <w:r>
              <w:rPr>
                <w:rFonts w:ascii="Arial"/>
                <w:sz w:val="24"/>
              </w:rPr>
              <w:t>(6)</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15"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
        </w:tc>
      </w:tr>
      <w:tr>
        <w:trPr>
          <w:trHeight w:val="751"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56"/>
              <w:jc w:val="center"/>
              <w:rPr>
                <w:rFonts w:ascii="Arial" w:hAnsi="Arial" w:cs="Arial" w:eastAsia="Arial" w:hint="default"/>
                <w:sz w:val="24"/>
                <w:szCs w:val="24"/>
              </w:rPr>
            </w:pPr>
            <w:r>
              <w:rPr>
                <w:rFonts w:ascii="Arial"/>
                <w:sz w:val="24"/>
              </w:rPr>
              <w:t>(f)</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2" w:right="0"/>
              <w:jc w:val="left"/>
              <w:rPr>
                <w:rFonts w:ascii="Arial" w:hAnsi="Arial" w:cs="Arial" w:eastAsia="Arial" w:hint="default"/>
                <w:sz w:val="24"/>
                <w:szCs w:val="24"/>
              </w:rPr>
            </w:pPr>
            <w:r>
              <w:rPr>
                <w:rFonts w:ascii="宋体" w:hAnsi="宋体" w:cs="宋体" w:eastAsia="宋体" w:hint="default"/>
                <w:sz w:val="24"/>
                <w:szCs w:val="24"/>
              </w:rPr>
              <w:t>租赁</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715"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
        </w:tc>
      </w:tr>
      <w:tr>
        <w:trPr>
          <w:trHeight w:val="736" w:hRule="exact"/>
        </w:trPr>
        <w:tc>
          <w:tcPr>
            <w:tcW w:w="686" w:type="dxa"/>
            <w:tcBorders>
              <w:top w:val="nil" w:sz="6" w:space="0" w:color="auto"/>
              <w:left w:val="nil" w:sz="6" w:space="0" w:color="auto"/>
              <w:bottom w:val="nil" w:sz="6" w:space="0" w:color="auto"/>
              <w:right w:val="nil" w:sz="6" w:space="0" w:color="auto"/>
            </w:tcBorders>
          </w:tcPr>
          <w:p>
            <w:pPr/>
          </w:p>
        </w:tc>
        <w:tc>
          <w:tcPr>
            <w:tcW w:w="47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4"/>
              <w:ind w:left="171" w:right="0"/>
              <w:jc w:val="left"/>
              <w:rPr>
                <w:rFonts w:ascii="宋体" w:hAnsi="宋体" w:cs="宋体" w:eastAsia="宋体" w:hint="default"/>
                <w:sz w:val="24"/>
                <w:szCs w:val="24"/>
              </w:rPr>
            </w:pPr>
            <w:r>
              <w:rPr>
                <w:rFonts w:ascii="宋体" w:hAnsi="宋体" w:cs="宋体" w:eastAsia="宋体" w:hint="default"/>
                <w:sz w:val="24"/>
                <w:szCs w:val="24"/>
              </w:rPr>
              <w:t>本集团作为出租方：</w:t>
            </w:r>
          </w:p>
        </w:tc>
        <w:tc>
          <w:tcPr>
            <w:tcW w:w="198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
        </w:tc>
      </w:tr>
      <w:tr>
        <w:trPr>
          <w:trHeight w:val="968"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年确认的租赁</w:t>
            </w:r>
          </w:p>
          <w:p>
            <w:pPr>
              <w:pStyle w:val="TableParagraph"/>
              <w:spacing w:line="240" w:lineRule="auto" w:before="24"/>
              <w:ind w:right="107"/>
              <w:jc w:val="right"/>
              <w:rPr>
                <w:rFonts w:ascii="宋体" w:hAnsi="宋体" w:cs="宋体" w:eastAsia="宋体" w:hint="default"/>
                <w:sz w:val="18"/>
                <w:szCs w:val="18"/>
              </w:rPr>
            </w:pPr>
            <w:r>
              <w:rPr>
                <w:rFonts w:ascii="宋体" w:hAnsi="宋体" w:cs="宋体" w:eastAsia="宋体" w:hint="default"/>
                <w:sz w:val="18"/>
                <w:szCs w:val="18"/>
              </w:rPr>
              <w:t>收入</w:t>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年确认的租赁</w:t>
            </w:r>
          </w:p>
          <w:p>
            <w:pPr>
              <w:pStyle w:val="TableParagraph"/>
              <w:spacing w:line="240" w:lineRule="auto" w:before="24"/>
              <w:ind w:right="8"/>
              <w:jc w:val="right"/>
              <w:rPr>
                <w:rFonts w:ascii="宋体" w:hAnsi="宋体" w:cs="宋体" w:eastAsia="宋体" w:hint="default"/>
                <w:sz w:val="18"/>
                <w:szCs w:val="18"/>
              </w:rPr>
            </w:pPr>
            <w:r>
              <w:rPr>
                <w:rFonts w:ascii="宋体" w:hAnsi="宋体" w:cs="宋体" w:eastAsia="宋体" w:hint="default"/>
                <w:sz w:val="18"/>
                <w:szCs w:val="18"/>
              </w:rPr>
              <w:t>收入</w:t>
            </w:r>
          </w:p>
        </w:tc>
      </w:tr>
      <w:tr>
        <w:trPr>
          <w:trHeight w:val="524"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15" w:right="0"/>
              <w:jc w:val="left"/>
              <w:rPr>
                <w:rFonts w:ascii="Arial" w:hAnsi="Arial" w:cs="Arial" w:eastAsia="Arial" w:hint="default"/>
                <w:sz w:val="18"/>
                <w:szCs w:val="18"/>
              </w:rPr>
            </w:pPr>
            <w:r>
              <w:rPr>
                <w:rFonts w:ascii="宋体" w:hAnsi="宋体" w:cs="宋体" w:eastAsia="宋体" w:hint="default"/>
                <w:sz w:val="18"/>
                <w:szCs w:val="18"/>
              </w:rPr>
              <w:t>房屋租赁</w:t>
            </w:r>
            <w:r>
              <w:rPr>
                <w:rFonts w:ascii="Arial" w:hAnsi="Arial" w:cs="Arial" w:eastAsia="Arial" w:hint="default"/>
                <w:sz w:val="18"/>
                <w:szCs w:val="18"/>
              </w:rPr>
              <w:t>(</w:t>
            </w:r>
            <w:r>
              <w:rPr>
                <w:rFonts w:ascii="宋体" w:hAnsi="宋体" w:cs="宋体" w:eastAsia="宋体" w:hint="default"/>
                <w:sz w:val="18"/>
                <w:szCs w:val="18"/>
              </w:rPr>
              <w:t>诺富特酒店</w:t>
            </w:r>
            <w:r>
              <w:rPr>
                <w:rFonts w:ascii="Arial" w:hAnsi="Arial" w:cs="Arial" w:eastAsia="Arial" w:hint="default"/>
                <w:sz w:val="18"/>
                <w:szCs w:val="18"/>
              </w:rPr>
              <w:t>)</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19,710</w:t>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62"/>
              <w:jc w:val="right"/>
              <w:rPr>
                <w:rFonts w:ascii="Arial" w:hAnsi="Arial" w:cs="Arial" w:eastAsia="Arial" w:hint="default"/>
                <w:sz w:val="18"/>
                <w:szCs w:val="18"/>
              </w:rPr>
            </w:pPr>
            <w:r>
              <w:rPr>
                <w:rFonts w:ascii="Arial"/>
                <w:spacing w:val="-1"/>
                <w:sz w:val="18"/>
              </w:rPr>
              <w:t>19,710</w:t>
            </w:r>
          </w:p>
        </w:tc>
      </w:tr>
      <w:tr>
        <w:trPr>
          <w:trHeight w:val="820"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715" w:type="dxa"/>
            <w:tcBorders>
              <w:top w:val="nil" w:sz="6" w:space="0" w:color="auto"/>
              <w:left w:val="nil" w:sz="6" w:space="0" w:color="auto"/>
              <w:bottom w:val="nil" w:sz="6" w:space="0" w:color="auto"/>
              <w:right w:val="nil" w:sz="6" w:space="0" w:color="auto"/>
            </w:tcBorders>
          </w:tcPr>
          <w:p>
            <w:pPr>
              <w:pStyle w:val="TableParagraph"/>
              <w:spacing w:line="244" w:lineRule="auto"/>
              <w:ind w:left="595" w:right="86" w:hanging="180"/>
              <w:jc w:val="left"/>
              <w:rPr>
                <w:rFonts w:ascii="宋体" w:hAnsi="宋体" w:cs="宋体" w:eastAsia="宋体" w:hint="default"/>
                <w:sz w:val="18"/>
                <w:szCs w:val="18"/>
              </w:rPr>
            </w:pPr>
            <w:r>
              <w:rPr>
                <w:rFonts w:ascii="宋体" w:hAnsi="宋体" w:cs="宋体" w:eastAsia="宋体" w:hint="default"/>
                <w:sz w:val="18"/>
                <w:szCs w:val="18"/>
              </w:rPr>
              <w:t>办公场所租赁</w:t>
            </w:r>
            <w:r>
              <w:rPr>
                <w:rFonts w:ascii="Arial" w:hAnsi="Arial" w:cs="Arial" w:eastAsia="Arial" w:hint="default"/>
                <w:sz w:val="18"/>
                <w:szCs w:val="18"/>
              </w:rPr>
              <w:t>(</w:t>
            </w:r>
            <w:r>
              <w:rPr>
                <w:rFonts w:ascii="宋体" w:hAnsi="宋体" w:cs="宋体" w:eastAsia="宋体" w:hint="default"/>
                <w:sz w:val="18"/>
                <w:szCs w:val="18"/>
              </w:rPr>
              <w:t>徐庄总 部</w:t>
            </w:r>
            <w:r>
              <w:rPr>
                <w:rFonts w:ascii="宋体" w:hAnsi="宋体" w:cs="宋体" w:eastAsia="宋体" w:hint="default"/>
                <w:spacing w:val="-70"/>
                <w:sz w:val="18"/>
                <w:szCs w:val="18"/>
              </w:rPr>
              <w:t> </w:t>
            </w:r>
            <w:r>
              <w:rPr>
                <w:rFonts w:ascii="Arial" w:hAnsi="Arial" w:cs="Arial" w:eastAsia="Arial" w:hint="default"/>
                <w:sz w:val="18"/>
                <w:szCs w:val="18"/>
              </w:rPr>
              <w:t>)1#7-11F</w:t>
            </w:r>
            <w:r>
              <w:rPr>
                <w:rFonts w:ascii="Arial" w:hAnsi="Arial" w:cs="Arial" w:eastAsia="Arial" w:hint="default"/>
                <w:spacing w:val="6"/>
                <w:sz w:val="18"/>
                <w:szCs w:val="18"/>
              </w:rPr>
              <w:t> </w:t>
            </w:r>
            <w:r>
              <w:rPr>
                <w:rFonts w:ascii="宋体" w:hAnsi="宋体" w:cs="宋体" w:eastAsia="宋体" w:hint="default"/>
                <w:spacing w:val="16"/>
                <w:sz w:val="18"/>
                <w:szCs w:val="18"/>
              </w:rPr>
              <w:t>部分区域，</w:t>
            </w:r>
            <w:r>
              <w:rPr>
                <w:rFonts w:ascii="宋体" w:hAnsi="宋体" w:cs="宋体" w:eastAsia="宋体" w:hint="default"/>
                <w:spacing w:val="-70"/>
                <w:sz w:val="18"/>
                <w:szCs w:val="18"/>
              </w:rPr>
              <w:t> </w:t>
            </w:r>
            <w:r>
              <w:rPr>
                <w:rFonts w:ascii="Arial" w:hAnsi="Arial" w:cs="Arial" w:eastAsia="Arial" w:hint="default"/>
                <w:sz w:val="18"/>
                <w:szCs w:val="18"/>
              </w:rPr>
              <w:t>5#3F</w:t>
            </w:r>
            <w:r>
              <w:rPr>
                <w:rFonts w:ascii="Arial" w:hAnsi="Arial" w:cs="Arial" w:eastAsia="Arial" w:hint="default"/>
                <w:spacing w:val="-10"/>
                <w:sz w:val="18"/>
                <w:szCs w:val="18"/>
              </w:rPr>
              <w:t> </w:t>
            </w:r>
            <w:r>
              <w:rPr>
                <w:rFonts w:ascii="宋体" w:hAnsi="宋体" w:cs="宋体" w:eastAsia="宋体" w:hint="default"/>
                <w:sz w:val="18"/>
                <w:szCs w:val="18"/>
              </w:rPr>
              <w:t>区域</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61"/>
              <w:jc w:val="right"/>
              <w:rPr>
                <w:rFonts w:ascii="Arial" w:hAnsi="Arial" w:cs="Arial" w:eastAsia="Arial" w:hint="default"/>
                <w:sz w:val="18"/>
                <w:szCs w:val="18"/>
              </w:rPr>
            </w:pPr>
            <w:r>
              <w:rPr>
                <w:rFonts w:ascii="Arial"/>
                <w:spacing w:val="-1"/>
                <w:sz w:val="18"/>
              </w:rPr>
              <w:t>7,031</w:t>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61"/>
              <w:jc w:val="right"/>
              <w:rPr>
                <w:rFonts w:ascii="Arial" w:hAnsi="Arial" w:cs="Arial" w:eastAsia="Arial" w:hint="default"/>
                <w:sz w:val="18"/>
                <w:szCs w:val="18"/>
              </w:rPr>
            </w:pPr>
            <w:r>
              <w:rPr>
                <w:rFonts w:ascii="Arial"/>
                <w:spacing w:val="-1"/>
                <w:sz w:val="18"/>
              </w:rPr>
              <w:t>3,508</w:t>
            </w:r>
          </w:p>
        </w:tc>
      </w:tr>
      <w:tr>
        <w:trPr>
          <w:trHeight w:val="547"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715" w:type="dxa"/>
            <w:tcBorders>
              <w:top w:val="nil" w:sz="6" w:space="0" w:color="auto"/>
              <w:left w:val="nil" w:sz="6" w:space="0" w:color="auto"/>
              <w:bottom w:val="nil" w:sz="6" w:space="0" w:color="auto"/>
              <w:right w:val="nil" w:sz="6" w:space="0" w:color="auto"/>
            </w:tcBorders>
          </w:tcPr>
          <w:p>
            <w:pPr>
              <w:pStyle w:val="TableParagraph"/>
              <w:spacing w:line="234" w:lineRule="exact" w:before="22"/>
              <w:ind w:left="595" w:right="107" w:hanging="18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52"/>
                <w:sz w:val="18"/>
                <w:szCs w:val="18"/>
              </w:rPr>
              <w:t> </w:t>
            </w:r>
            <w:r>
              <w:rPr>
                <w:rFonts w:ascii="Arial" w:hAnsi="Arial" w:cs="Arial" w:eastAsia="Arial" w:hint="default"/>
                <w:sz w:val="18"/>
                <w:szCs w:val="18"/>
              </w:rPr>
              <w:t>1#7-13F</w:t>
            </w:r>
            <w:r>
              <w:rPr>
                <w:rFonts w:ascii="Arial" w:hAnsi="Arial" w:cs="Arial" w:eastAsia="Arial" w:hint="default"/>
                <w:spacing w:val="-11"/>
                <w:sz w:val="18"/>
                <w:szCs w:val="18"/>
              </w:rPr>
              <w:t> </w:t>
            </w:r>
            <w:r>
              <w:rPr>
                <w:rFonts w:ascii="宋体" w:hAnsi="宋体" w:cs="宋体" w:eastAsia="宋体" w:hint="default"/>
                <w:sz w:val="18"/>
                <w:szCs w:val="18"/>
              </w:rPr>
              <w:t>部分区域 以及</w:t>
            </w:r>
            <w:r>
              <w:rPr>
                <w:rFonts w:ascii="宋体" w:hAnsi="宋体" w:cs="宋体" w:eastAsia="宋体" w:hint="default"/>
                <w:spacing w:val="-48"/>
                <w:sz w:val="18"/>
                <w:szCs w:val="18"/>
              </w:rPr>
              <w:t> </w:t>
            </w:r>
            <w:r>
              <w:rPr>
                <w:rFonts w:ascii="Arial" w:hAnsi="Arial" w:cs="Arial" w:eastAsia="Arial" w:hint="default"/>
                <w:sz w:val="18"/>
                <w:szCs w:val="18"/>
              </w:rPr>
              <w:t>5#3F</w:t>
            </w:r>
            <w:r>
              <w:rPr>
                <w:rFonts w:ascii="Arial" w:hAnsi="Arial" w:cs="Arial" w:eastAsia="Arial" w:hint="default"/>
                <w:spacing w:val="-8"/>
                <w:sz w:val="18"/>
                <w:szCs w:val="18"/>
              </w:rPr>
              <w:t> </w:t>
            </w:r>
            <w:r>
              <w:rPr>
                <w:rFonts w:ascii="宋体" w:hAnsi="宋体" w:cs="宋体" w:eastAsia="宋体" w:hint="default"/>
                <w:sz w:val="18"/>
                <w:szCs w:val="18"/>
              </w:rPr>
              <w:t>区域</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61"/>
              <w:jc w:val="right"/>
              <w:rPr>
                <w:rFonts w:ascii="Arial" w:hAnsi="Arial" w:cs="Arial" w:eastAsia="Arial" w:hint="default"/>
                <w:sz w:val="18"/>
                <w:szCs w:val="18"/>
              </w:rPr>
            </w:pPr>
            <w:r>
              <w:rPr>
                <w:rFonts w:ascii="Arial"/>
                <w:spacing w:val="-1"/>
                <w:sz w:val="18"/>
              </w:rPr>
              <w:t>3,137</w:t>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江苏银河物业</w:t>
            </w:r>
          </w:p>
        </w:tc>
        <w:tc>
          <w:tcPr>
            <w:tcW w:w="2715" w:type="dxa"/>
            <w:tcBorders>
              <w:top w:val="nil" w:sz="6" w:space="0" w:color="auto"/>
              <w:left w:val="nil" w:sz="6" w:space="0" w:color="auto"/>
              <w:bottom w:val="nil" w:sz="6" w:space="0" w:color="auto"/>
              <w:right w:val="nil" w:sz="6" w:space="0" w:color="auto"/>
            </w:tcBorders>
          </w:tcPr>
          <w:p>
            <w:pPr>
              <w:pStyle w:val="TableParagraph"/>
              <w:spacing w:line="234" w:lineRule="exact"/>
              <w:ind w:left="415" w:right="0"/>
              <w:jc w:val="left"/>
              <w:rPr>
                <w:rFonts w:ascii="宋体" w:hAnsi="宋体" w:cs="宋体" w:eastAsia="宋体" w:hint="default"/>
                <w:sz w:val="18"/>
                <w:szCs w:val="18"/>
              </w:rPr>
            </w:pPr>
            <w:r>
              <w:rPr>
                <w:rFonts w:ascii="宋体" w:hAnsi="宋体" w:cs="宋体" w:eastAsia="宋体" w:hint="default"/>
                <w:spacing w:val="2"/>
                <w:sz w:val="18"/>
                <w:szCs w:val="18"/>
              </w:rPr>
              <w:t>办公场所租赁（徐庄总部）</w:t>
            </w:r>
          </w:p>
          <w:p>
            <w:pPr>
              <w:pStyle w:val="TableParagraph"/>
              <w:spacing w:line="248" w:lineRule="exact"/>
              <w:ind w:left="595" w:right="0"/>
              <w:jc w:val="left"/>
              <w:rPr>
                <w:rFonts w:ascii="宋体" w:hAnsi="宋体" w:cs="宋体" w:eastAsia="宋体" w:hint="default"/>
                <w:sz w:val="18"/>
                <w:szCs w:val="18"/>
              </w:rPr>
            </w:pPr>
            <w:r>
              <w:rPr>
                <w:rFonts w:ascii="Arial" w:hAnsi="Arial" w:cs="Arial" w:eastAsia="Arial" w:hint="default"/>
                <w:sz w:val="18"/>
                <w:szCs w:val="18"/>
              </w:rPr>
              <w:t>5# 4F</w:t>
            </w:r>
            <w:r>
              <w:rPr>
                <w:rFonts w:ascii="Arial" w:hAnsi="Arial" w:cs="Arial" w:eastAsia="Arial" w:hint="default"/>
                <w:spacing w:val="-10"/>
                <w:sz w:val="18"/>
                <w:szCs w:val="18"/>
              </w:rPr>
              <w:t> </w:t>
            </w:r>
            <w:r>
              <w:rPr>
                <w:rFonts w:ascii="宋体" w:hAnsi="宋体" w:cs="宋体" w:eastAsia="宋体" w:hint="default"/>
                <w:sz w:val="18"/>
                <w:szCs w:val="18"/>
              </w:rPr>
              <w:t>区域</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62"/>
              <w:jc w:val="right"/>
              <w:rPr>
                <w:rFonts w:ascii="Arial" w:hAnsi="Arial" w:cs="Arial" w:eastAsia="Arial" w:hint="default"/>
                <w:sz w:val="18"/>
                <w:szCs w:val="18"/>
              </w:rPr>
            </w:pPr>
            <w:r>
              <w:rPr>
                <w:rFonts w:ascii="Arial"/>
                <w:spacing w:val="-1"/>
                <w:sz w:val="18"/>
              </w:rPr>
              <w:t>1,717</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5" w:right="0"/>
              <w:jc w:val="left"/>
              <w:rPr>
                <w:rFonts w:ascii="Arial" w:hAnsi="Arial" w:cs="Arial" w:eastAsia="Arial" w:hint="default"/>
                <w:sz w:val="18"/>
                <w:szCs w:val="18"/>
              </w:rPr>
            </w:pPr>
            <w:r>
              <w:rPr>
                <w:rFonts w:ascii="宋体" w:hAnsi="宋体" w:cs="宋体" w:eastAsia="宋体" w:hint="default"/>
                <w:sz w:val="18"/>
                <w:szCs w:val="18"/>
              </w:rPr>
              <w:t>办公场所租赁</w:t>
            </w:r>
            <w:r>
              <w:rPr>
                <w:rFonts w:ascii="Arial" w:hAnsi="Arial" w:cs="Arial" w:eastAsia="Arial" w:hint="default"/>
                <w:sz w:val="18"/>
                <w:szCs w:val="18"/>
              </w:rPr>
              <w:t>(</w:t>
            </w:r>
            <w:r>
              <w:rPr>
                <w:rFonts w:ascii="宋体" w:hAnsi="宋体" w:cs="宋体" w:eastAsia="宋体" w:hint="default"/>
                <w:sz w:val="18"/>
                <w:szCs w:val="18"/>
              </w:rPr>
              <w:t>徐庄总部</w:t>
            </w:r>
            <w:r>
              <w:rPr>
                <w:rFonts w:ascii="Arial" w:hAnsi="Arial" w:cs="Arial" w:eastAsia="Arial" w:hint="default"/>
                <w:sz w:val="18"/>
                <w:szCs w:val="18"/>
              </w:rPr>
              <w:t>)</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1"/>
              <w:jc w:val="right"/>
              <w:rPr>
                <w:rFonts w:ascii="Arial" w:hAnsi="Arial" w:cs="Arial" w:eastAsia="Arial" w:hint="default"/>
                <w:sz w:val="18"/>
                <w:szCs w:val="18"/>
              </w:rPr>
            </w:pPr>
            <w:r>
              <w:rPr>
                <w:rFonts w:ascii="Arial"/>
                <w:spacing w:val="-1"/>
                <w:sz w:val="18"/>
              </w:rPr>
              <w:t>1,308</w:t>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2"/>
              <w:jc w:val="right"/>
              <w:rPr>
                <w:rFonts w:ascii="Arial" w:hAnsi="Arial" w:cs="Arial" w:eastAsia="Arial" w:hint="default"/>
                <w:sz w:val="18"/>
                <w:szCs w:val="18"/>
              </w:rPr>
            </w:pPr>
            <w:r>
              <w:rPr>
                <w:rFonts w:ascii="Arial"/>
                <w:spacing w:val="-1"/>
                <w:w w:val="95"/>
                <w:sz w:val="18"/>
              </w:rPr>
              <w:t>406</w:t>
            </w:r>
            <w:r>
              <w:rPr>
                <w:rFonts w:ascii="Arial"/>
                <w:sz w:val="18"/>
              </w:rPr>
            </w:r>
          </w:p>
        </w:tc>
      </w:tr>
      <w:tr>
        <w:trPr>
          <w:trHeight w:val="569"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苏宁消费金融</w:t>
            </w:r>
          </w:p>
        </w:tc>
        <w:tc>
          <w:tcPr>
            <w:tcW w:w="2715" w:type="dxa"/>
            <w:tcBorders>
              <w:top w:val="nil" w:sz="6" w:space="0" w:color="auto"/>
              <w:left w:val="nil" w:sz="6" w:space="0" w:color="auto"/>
              <w:bottom w:val="nil" w:sz="6" w:space="0" w:color="auto"/>
              <w:right w:val="nil" w:sz="6" w:space="0" w:color="auto"/>
            </w:tcBorders>
          </w:tcPr>
          <w:p>
            <w:pPr>
              <w:pStyle w:val="TableParagraph"/>
              <w:spacing w:line="234" w:lineRule="exact" w:before="22"/>
              <w:ind w:left="595" w:right="107" w:hanging="180"/>
              <w:jc w:val="left"/>
              <w:rPr>
                <w:rFonts w:ascii="宋体" w:hAnsi="宋体" w:cs="宋体" w:eastAsia="宋体" w:hint="default"/>
                <w:sz w:val="18"/>
                <w:szCs w:val="18"/>
              </w:rPr>
            </w:pPr>
            <w:r>
              <w:rPr>
                <w:rFonts w:ascii="宋体" w:hAnsi="宋体" w:cs="宋体" w:eastAsia="宋体" w:hint="default"/>
                <w:spacing w:val="42"/>
                <w:sz w:val="18"/>
                <w:szCs w:val="18"/>
              </w:rPr>
              <w:t>办公场所</w:t>
            </w:r>
            <w:r>
              <w:rPr>
                <w:rFonts w:ascii="宋体" w:hAnsi="宋体" w:cs="宋体" w:eastAsia="宋体" w:hint="default"/>
                <w:spacing w:val="-33"/>
                <w:sz w:val="18"/>
                <w:szCs w:val="18"/>
              </w:rPr>
              <w:t> </w:t>
            </w:r>
            <w:r>
              <w:rPr>
                <w:rFonts w:ascii="宋体" w:hAnsi="宋体" w:cs="宋体" w:eastAsia="宋体" w:hint="default"/>
                <w:spacing w:val="28"/>
                <w:sz w:val="18"/>
                <w:szCs w:val="18"/>
              </w:rPr>
              <w:t>租赁</w:t>
            </w:r>
            <w:r>
              <w:rPr>
                <w:rFonts w:ascii="宋体" w:hAnsi="宋体" w:cs="宋体" w:eastAsia="宋体" w:hint="default"/>
                <w:spacing w:val="-34"/>
                <w:sz w:val="18"/>
                <w:szCs w:val="18"/>
              </w:rPr>
              <w:t> </w:t>
            </w:r>
            <w:r>
              <w:rPr>
                <w:rFonts w:ascii="Arial" w:hAnsi="Arial" w:cs="Arial" w:eastAsia="Arial" w:hint="default"/>
                <w:sz w:val="18"/>
                <w:szCs w:val="18"/>
              </w:rPr>
              <w:t>(</w:t>
            </w:r>
            <w:r>
              <w:rPr>
                <w:rFonts w:ascii="Arial" w:hAnsi="Arial" w:cs="Arial" w:eastAsia="Arial" w:hint="default"/>
                <w:spacing w:val="6"/>
                <w:sz w:val="18"/>
                <w:szCs w:val="18"/>
              </w:rPr>
              <w:t> </w:t>
            </w:r>
            <w:r>
              <w:rPr>
                <w:rFonts w:ascii="宋体" w:hAnsi="宋体" w:cs="宋体" w:eastAsia="宋体" w:hint="default"/>
                <w:spacing w:val="28"/>
                <w:sz w:val="18"/>
                <w:szCs w:val="18"/>
              </w:rPr>
              <w:t>徐庄</w:t>
            </w:r>
            <w:r>
              <w:rPr>
                <w:rFonts w:ascii="宋体" w:hAnsi="宋体" w:cs="宋体" w:eastAsia="宋体" w:hint="default"/>
                <w:spacing w:val="-34"/>
                <w:sz w:val="18"/>
                <w:szCs w:val="18"/>
              </w:rPr>
              <w:t> </w:t>
            </w:r>
            <w:r>
              <w:rPr>
                <w:rFonts w:ascii="宋体" w:hAnsi="宋体" w:cs="宋体" w:eastAsia="宋体" w:hint="default"/>
                <w:sz w:val="18"/>
                <w:szCs w:val="18"/>
              </w:rPr>
              <w:t>总</w:t>
            </w:r>
            <w:r>
              <w:rPr>
                <w:rFonts w:ascii="宋体" w:hAnsi="宋体" w:cs="宋体" w:eastAsia="宋体" w:hint="default"/>
                <w:sz w:val="18"/>
                <w:szCs w:val="18"/>
              </w:rPr>
              <w:t> 部</w:t>
            </w:r>
            <w:r>
              <w:rPr>
                <w:rFonts w:ascii="Arial" w:hAnsi="Arial" w:cs="Arial" w:eastAsia="Arial" w:hint="default"/>
                <w:sz w:val="18"/>
                <w:szCs w:val="18"/>
              </w:rPr>
              <w:t>)5#2F</w:t>
            </w:r>
            <w:r>
              <w:rPr>
                <w:rFonts w:ascii="Arial" w:hAnsi="Arial" w:cs="Arial" w:eastAsia="Arial" w:hint="default"/>
                <w:spacing w:val="-10"/>
                <w:sz w:val="18"/>
                <w:szCs w:val="18"/>
              </w:rPr>
              <w:t> </w:t>
            </w:r>
            <w:r>
              <w:rPr>
                <w:rFonts w:ascii="宋体" w:hAnsi="宋体" w:cs="宋体" w:eastAsia="宋体" w:hint="default"/>
                <w:sz w:val="18"/>
                <w:szCs w:val="18"/>
              </w:rPr>
              <w:t>区域</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62"/>
              <w:jc w:val="right"/>
              <w:rPr>
                <w:rFonts w:ascii="Arial" w:hAnsi="Arial" w:cs="Arial" w:eastAsia="Arial" w:hint="default"/>
                <w:sz w:val="18"/>
                <w:szCs w:val="18"/>
              </w:rPr>
            </w:pPr>
            <w:r>
              <w:rPr>
                <w:rFonts w:ascii="Arial"/>
                <w:spacing w:val="-1"/>
                <w:w w:val="95"/>
                <w:sz w:val="18"/>
              </w:rPr>
              <w:t>780</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sz w:val="18"/>
                <w:szCs w:val="18"/>
              </w:rPr>
              <w:t>山西路店一楼部分区域</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2"/>
              <w:jc w:val="right"/>
              <w:rPr>
                <w:rFonts w:ascii="Arial" w:hAnsi="Arial" w:cs="Arial" w:eastAsia="Arial" w:hint="default"/>
                <w:sz w:val="18"/>
                <w:szCs w:val="18"/>
              </w:rPr>
            </w:pPr>
            <w:r>
              <w:rPr>
                <w:rFonts w:ascii="Arial"/>
                <w:spacing w:val="-1"/>
                <w:w w:val="95"/>
                <w:sz w:val="18"/>
              </w:rPr>
              <w:t>79</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2"/>
              <w:jc w:val="right"/>
              <w:rPr>
                <w:rFonts w:ascii="Arial" w:hAnsi="Arial" w:cs="Arial" w:eastAsia="Arial" w:hint="default"/>
                <w:sz w:val="18"/>
                <w:szCs w:val="18"/>
              </w:rPr>
            </w:pPr>
            <w:r>
              <w:rPr>
                <w:rFonts w:ascii="Arial"/>
                <w:spacing w:val="-1"/>
                <w:w w:val="95"/>
                <w:sz w:val="18"/>
              </w:rPr>
              <w:t>76</w:t>
            </w:r>
            <w:r>
              <w:rPr>
                <w:rFonts w:ascii="Arial"/>
                <w:sz w:val="18"/>
              </w:rPr>
            </w:r>
          </w:p>
        </w:tc>
      </w:tr>
      <w:tr>
        <w:trPr>
          <w:trHeight w:val="560"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715" w:type="dxa"/>
            <w:tcBorders>
              <w:top w:val="nil" w:sz="6" w:space="0" w:color="auto"/>
              <w:left w:val="nil" w:sz="6" w:space="0" w:color="auto"/>
              <w:bottom w:val="nil" w:sz="6" w:space="0" w:color="auto"/>
              <w:right w:val="nil" w:sz="6" w:space="0" w:color="auto"/>
            </w:tcBorders>
          </w:tcPr>
          <w:p>
            <w:pPr>
              <w:pStyle w:val="TableParagraph"/>
              <w:spacing w:line="234" w:lineRule="exact" w:before="29"/>
              <w:ind w:left="685" w:right="50" w:hanging="270"/>
              <w:jc w:val="left"/>
              <w:rPr>
                <w:rFonts w:ascii="宋体" w:hAnsi="宋体" w:cs="宋体" w:eastAsia="宋体" w:hint="default"/>
                <w:sz w:val="18"/>
                <w:szCs w:val="18"/>
              </w:rPr>
            </w:pPr>
            <w:r>
              <w:rPr>
                <w:rFonts w:ascii="宋体" w:hAnsi="宋体" w:cs="宋体" w:eastAsia="宋体" w:hint="default"/>
                <w:sz w:val="18"/>
                <w:szCs w:val="18"/>
              </w:rPr>
              <w:t>办</w:t>
            </w:r>
            <w:r>
              <w:rPr>
                <w:rFonts w:ascii="宋体" w:hAnsi="宋体" w:cs="宋体" w:eastAsia="宋体" w:hint="default"/>
                <w:spacing w:val="-34"/>
                <w:sz w:val="18"/>
                <w:szCs w:val="18"/>
              </w:rPr>
              <w:t> </w:t>
            </w:r>
            <w:r>
              <w:rPr>
                <w:rFonts w:ascii="宋体" w:hAnsi="宋体" w:cs="宋体" w:eastAsia="宋体" w:hint="default"/>
                <w:sz w:val="18"/>
                <w:szCs w:val="18"/>
              </w:rPr>
              <w:t>公</w:t>
            </w:r>
            <w:r>
              <w:rPr>
                <w:rFonts w:ascii="宋体" w:hAnsi="宋体" w:cs="宋体" w:eastAsia="宋体" w:hint="default"/>
                <w:spacing w:val="-34"/>
                <w:sz w:val="18"/>
                <w:szCs w:val="18"/>
              </w:rPr>
              <w:t> </w:t>
            </w:r>
            <w:r>
              <w:rPr>
                <w:rFonts w:ascii="宋体" w:hAnsi="宋体" w:cs="宋体" w:eastAsia="宋体" w:hint="default"/>
                <w:sz w:val="18"/>
                <w:szCs w:val="18"/>
              </w:rPr>
              <w:t>场</w:t>
            </w:r>
            <w:r>
              <w:rPr>
                <w:rFonts w:ascii="宋体" w:hAnsi="宋体" w:cs="宋体" w:eastAsia="宋体" w:hint="default"/>
                <w:spacing w:val="-34"/>
                <w:sz w:val="18"/>
                <w:szCs w:val="18"/>
              </w:rPr>
              <w:t> </w:t>
            </w:r>
            <w:r>
              <w:rPr>
                <w:rFonts w:ascii="宋体" w:hAnsi="宋体" w:cs="宋体" w:eastAsia="宋体" w:hint="default"/>
                <w:sz w:val="18"/>
                <w:szCs w:val="18"/>
              </w:rPr>
              <w:t>所</w:t>
            </w:r>
            <w:r>
              <w:rPr>
                <w:rFonts w:ascii="宋体" w:hAnsi="宋体" w:cs="宋体" w:eastAsia="宋体" w:hint="default"/>
                <w:spacing w:val="-33"/>
                <w:sz w:val="18"/>
                <w:szCs w:val="18"/>
              </w:rPr>
              <w:t> </w:t>
            </w:r>
            <w:r>
              <w:rPr>
                <w:rFonts w:ascii="宋体" w:hAnsi="宋体" w:cs="宋体" w:eastAsia="宋体" w:hint="default"/>
                <w:sz w:val="18"/>
                <w:szCs w:val="18"/>
              </w:rPr>
              <w:t>租</w:t>
            </w:r>
            <w:r>
              <w:rPr>
                <w:rFonts w:ascii="宋体" w:hAnsi="宋体" w:cs="宋体" w:eastAsia="宋体" w:hint="default"/>
                <w:spacing w:val="-33"/>
                <w:sz w:val="18"/>
                <w:szCs w:val="18"/>
              </w:rPr>
              <w:t> </w:t>
            </w:r>
            <w:r>
              <w:rPr>
                <w:rFonts w:ascii="宋体" w:hAnsi="宋体" w:cs="宋体" w:eastAsia="宋体" w:hint="default"/>
                <w:sz w:val="18"/>
                <w:szCs w:val="18"/>
              </w:rPr>
              <w:t>赁</w:t>
            </w:r>
            <w:r>
              <w:rPr>
                <w:rFonts w:ascii="宋体" w:hAnsi="宋体" w:cs="宋体" w:eastAsia="宋体" w:hint="default"/>
                <w:spacing w:val="-33"/>
                <w:sz w:val="18"/>
                <w:szCs w:val="18"/>
              </w:rPr>
              <w:t> </w:t>
            </w:r>
            <w:r>
              <w:rPr>
                <w:rFonts w:ascii="Arial" w:hAnsi="Arial" w:cs="Arial" w:eastAsia="Arial" w:hint="default"/>
                <w:sz w:val="18"/>
                <w:szCs w:val="18"/>
              </w:rPr>
              <w:t>(</w:t>
            </w:r>
            <w:r>
              <w:rPr>
                <w:rFonts w:ascii="Arial" w:hAnsi="Arial" w:cs="Arial" w:eastAsia="Arial" w:hint="default"/>
                <w:spacing w:val="6"/>
                <w:sz w:val="18"/>
                <w:szCs w:val="18"/>
              </w:rPr>
              <w:t> </w:t>
            </w:r>
            <w:r>
              <w:rPr>
                <w:rFonts w:ascii="宋体" w:hAnsi="宋体" w:cs="宋体" w:eastAsia="宋体" w:hint="default"/>
                <w:spacing w:val="37"/>
                <w:sz w:val="18"/>
                <w:szCs w:val="18"/>
              </w:rPr>
              <w:t>徐庄总</w:t>
            </w:r>
            <w:r>
              <w:rPr>
                <w:rFonts w:ascii="宋体" w:hAnsi="宋体" w:cs="宋体" w:eastAsia="宋体" w:hint="default"/>
                <w:spacing w:val="-34"/>
                <w:sz w:val="18"/>
                <w:szCs w:val="18"/>
              </w:rPr>
              <w:t> </w:t>
            </w:r>
            <w:r>
              <w:rPr>
                <w:rFonts w:ascii="宋体" w:hAnsi="宋体" w:cs="宋体" w:eastAsia="宋体" w:hint="default"/>
                <w:sz w:val="18"/>
                <w:szCs w:val="18"/>
              </w:rPr>
              <w:t>部</w:t>
            </w:r>
            <w:r>
              <w:rPr>
                <w:rFonts w:ascii="Arial" w:hAnsi="Arial" w:cs="Arial" w:eastAsia="Arial" w:hint="default"/>
                <w:sz w:val="18"/>
                <w:szCs w:val="18"/>
              </w:rPr>
              <w:t>)4#5F</w:t>
            </w:r>
            <w:r>
              <w:rPr>
                <w:rFonts w:ascii="Arial" w:hAnsi="Arial" w:cs="Arial" w:eastAsia="Arial" w:hint="default"/>
                <w:spacing w:val="-7"/>
                <w:sz w:val="18"/>
                <w:szCs w:val="18"/>
              </w:rPr>
              <w:t> </w:t>
            </w:r>
            <w:r>
              <w:rPr>
                <w:rFonts w:ascii="宋体" w:hAnsi="宋体" w:cs="宋体" w:eastAsia="宋体" w:hint="default"/>
                <w:sz w:val="18"/>
                <w:szCs w:val="18"/>
              </w:rPr>
              <w:t>部分区域</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61"/>
              <w:jc w:val="right"/>
              <w:rPr>
                <w:rFonts w:ascii="Arial" w:hAnsi="Arial" w:cs="Arial" w:eastAsia="Arial" w:hint="default"/>
                <w:sz w:val="18"/>
                <w:szCs w:val="18"/>
              </w:rPr>
            </w:pPr>
            <w:r>
              <w:rPr>
                <w:rFonts w:ascii="Arial"/>
                <w:w w:val="99"/>
                <w:sz w:val="18"/>
              </w:rPr>
              <w:t>-</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62"/>
              <w:jc w:val="right"/>
              <w:rPr>
                <w:rFonts w:ascii="Arial" w:hAnsi="Arial" w:cs="Arial" w:eastAsia="Arial" w:hint="default"/>
                <w:sz w:val="18"/>
                <w:szCs w:val="18"/>
              </w:rPr>
            </w:pPr>
            <w:r>
              <w:rPr>
                <w:rFonts w:ascii="Arial"/>
                <w:spacing w:val="-1"/>
                <w:w w:val="95"/>
                <w:sz w:val="18"/>
              </w:rPr>
              <w:t>742</w:t>
            </w:r>
            <w:r>
              <w:rPr>
                <w:rFonts w:ascii="Arial"/>
                <w:sz w:val="18"/>
              </w:rPr>
            </w:r>
          </w:p>
        </w:tc>
      </w:tr>
      <w:tr>
        <w:trPr>
          <w:trHeight w:val="554"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715" w:type="dxa"/>
            <w:tcBorders>
              <w:top w:val="nil" w:sz="6" w:space="0" w:color="auto"/>
              <w:left w:val="nil" w:sz="6" w:space="0" w:color="auto"/>
              <w:bottom w:val="nil" w:sz="6" w:space="0" w:color="auto"/>
              <w:right w:val="nil" w:sz="6" w:space="0" w:color="auto"/>
            </w:tcBorders>
          </w:tcPr>
          <w:p>
            <w:pPr>
              <w:pStyle w:val="TableParagraph"/>
              <w:spacing w:line="234" w:lineRule="exact" w:before="29"/>
              <w:ind w:left="595" w:right="50" w:hanging="180"/>
              <w:jc w:val="left"/>
              <w:rPr>
                <w:rFonts w:ascii="宋体" w:hAnsi="宋体" w:cs="宋体" w:eastAsia="宋体" w:hint="default"/>
                <w:sz w:val="18"/>
                <w:szCs w:val="18"/>
              </w:rPr>
            </w:pPr>
            <w:r>
              <w:rPr>
                <w:rFonts w:ascii="宋体" w:hAnsi="宋体" w:cs="宋体" w:eastAsia="宋体" w:hint="default"/>
                <w:sz w:val="18"/>
                <w:szCs w:val="18"/>
              </w:rPr>
              <w:t>办公</w:t>
            </w:r>
            <w:r>
              <w:rPr>
                <w:rFonts w:ascii="宋体" w:hAnsi="宋体" w:cs="宋体" w:eastAsia="宋体" w:hint="default"/>
                <w:spacing w:val="-34"/>
                <w:sz w:val="18"/>
                <w:szCs w:val="18"/>
              </w:rPr>
              <w:t> </w:t>
            </w:r>
            <w:r>
              <w:rPr>
                <w:rFonts w:ascii="宋体" w:hAnsi="宋体" w:cs="宋体" w:eastAsia="宋体" w:hint="default"/>
                <w:sz w:val="18"/>
                <w:szCs w:val="18"/>
              </w:rPr>
              <w:t>场</w:t>
            </w:r>
            <w:r>
              <w:rPr>
                <w:rFonts w:ascii="宋体" w:hAnsi="宋体" w:cs="宋体" w:eastAsia="宋体" w:hint="default"/>
                <w:spacing w:val="-34"/>
                <w:sz w:val="18"/>
                <w:szCs w:val="18"/>
              </w:rPr>
              <w:t> </w:t>
            </w:r>
            <w:r>
              <w:rPr>
                <w:rFonts w:ascii="宋体" w:hAnsi="宋体" w:cs="宋体" w:eastAsia="宋体" w:hint="default"/>
                <w:sz w:val="18"/>
                <w:szCs w:val="18"/>
              </w:rPr>
              <w:t>所</w:t>
            </w:r>
            <w:r>
              <w:rPr>
                <w:rFonts w:ascii="宋体" w:hAnsi="宋体" w:cs="宋体" w:eastAsia="宋体" w:hint="default"/>
                <w:spacing w:val="-33"/>
                <w:sz w:val="18"/>
                <w:szCs w:val="18"/>
              </w:rPr>
              <w:t> </w:t>
            </w:r>
            <w:r>
              <w:rPr>
                <w:rFonts w:ascii="宋体" w:hAnsi="宋体" w:cs="宋体" w:eastAsia="宋体" w:hint="default"/>
                <w:sz w:val="18"/>
                <w:szCs w:val="18"/>
              </w:rPr>
              <w:t>租</w:t>
            </w:r>
            <w:r>
              <w:rPr>
                <w:rFonts w:ascii="宋体" w:hAnsi="宋体" w:cs="宋体" w:eastAsia="宋体" w:hint="default"/>
                <w:spacing w:val="-33"/>
                <w:sz w:val="18"/>
                <w:szCs w:val="18"/>
              </w:rPr>
              <w:t> </w:t>
            </w:r>
            <w:r>
              <w:rPr>
                <w:rFonts w:ascii="宋体" w:hAnsi="宋体" w:cs="宋体" w:eastAsia="宋体" w:hint="default"/>
                <w:sz w:val="18"/>
                <w:szCs w:val="18"/>
              </w:rPr>
              <w:t>赁</w:t>
            </w:r>
            <w:r>
              <w:rPr>
                <w:rFonts w:ascii="宋体" w:hAnsi="宋体" w:cs="宋体" w:eastAsia="宋体" w:hint="default"/>
                <w:spacing w:val="-33"/>
                <w:sz w:val="18"/>
                <w:szCs w:val="18"/>
              </w:rPr>
              <w:t> </w:t>
            </w:r>
            <w:r>
              <w:rPr>
                <w:rFonts w:ascii="Arial" w:hAnsi="Arial" w:cs="Arial" w:eastAsia="Arial" w:hint="default"/>
                <w:sz w:val="18"/>
                <w:szCs w:val="18"/>
              </w:rPr>
              <w:t>(</w:t>
            </w:r>
            <w:r>
              <w:rPr>
                <w:rFonts w:ascii="Arial" w:hAnsi="Arial" w:cs="Arial" w:eastAsia="Arial" w:hint="default"/>
                <w:spacing w:val="6"/>
                <w:sz w:val="18"/>
                <w:szCs w:val="18"/>
              </w:rPr>
              <w:t> </w:t>
            </w:r>
            <w:r>
              <w:rPr>
                <w:rFonts w:ascii="宋体" w:hAnsi="宋体" w:cs="宋体" w:eastAsia="宋体" w:hint="default"/>
                <w:spacing w:val="37"/>
                <w:sz w:val="18"/>
                <w:szCs w:val="18"/>
              </w:rPr>
              <w:t>徐庄总</w:t>
            </w:r>
            <w:r>
              <w:rPr>
                <w:rFonts w:ascii="宋体" w:hAnsi="宋体" w:cs="宋体" w:eastAsia="宋体" w:hint="default"/>
                <w:spacing w:val="-34"/>
                <w:sz w:val="18"/>
                <w:szCs w:val="18"/>
              </w:rPr>
              <w:t> </w:t>
            </w:r>
            <w:r>
              <w:rPr>
                <w:rFonts w:ascii="宋体" w:hAnsi="宋体" w:cs="宋体" w:eastAsia="宋体" w:hint="default"/>
                <w:sz w:val="18"/>
                <w:szCs w:val="18"/>
              </w:rPr>
              <w:t>部</w:t>
            </w:r>
            <w:r>
              <w:rPr>
                <w:rFonts w:ascii="Arial" w:hAnsi="Arial" w:cs="Arial" w:eastAsia="Arial" w:hint="default"/>
                <w:sz w:val="18"/>
                <w:szCs w:val="18"/>
              </w:rPr>
              <w:t>)6#5F</w:t>
            </w:r>
            <w:r>
              <w:rPr>
                <w:rFonts w:ascii="Arial" w:hAnsi="Arial" w:cs="Arial" w:eastAsia="Arial" w:hint="default"/>
                <w:spacing w:val="-7"/>
                <w:sz w:val="18"/>
                <w:szCs w:val="18"/>
              </w:rPr>
              <w:t> </w:t>
            </w:r>
            <w:r>
              <w:rPr>
                <w:rFonts w:ascii="宋体" w:hAnsi="宋体" w:cs="宋体" w:eastAsia="宋体" w:hint="default"/>
                <w:sz w:val="18"/>
                <w:szCs w:val="18"/>
              </w:rPr>
              <w:t>部分区域</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61"/>
              <w:jc w:val="right"/>
              <w:rPr>
                <w:rFonts w:ascii="Arial" w:hAnsi="Arial" w:cs="Arial" w:eastAsia="Arial" w:hint="default"/>
                <w:sz w:val="18"/>
                <w:szCs w:val="18"/>
              </w:rPr>
            </w:pPr>
            <w:r>
              <w:rPr>
                <w:rFonts w:ascii="Arial"/>
                <w:w w:val="99"/>
                <w:sz w:val="18"/>
              </w:rPr>
              <w:t>-</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61"/>
              <w:jc w:val="right"/>
              <w:rPr>
                <w:rFonts w:ascii="Arial" w:hAnsi="Arial" w:cs="Arial" w:eastAsia="Arial" w:hint="default"/>
                <w:sz w:val="18"/>
                <w:szCs w:val="18"/>
              </w:rPr>
            </w:pPr>
            <w:r>
              <w:rPr>
                <w:rFonts w:ascii="Arial"/>
                <w:spacing w:val="-1"/>
                <w:sz w:val="18"/>
              </w:rPr>
              <w:t>1,071</w:t>
            </w:r>
          </w:p>
        </w:tc>
      </w:tr>
      <w:tr>
        <w:trPr>
          <w:trHeight w:val="541"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715" w:type="dxa"/>
            <w:tcBorders>
              <w:top w:val="nil" w:sz="6" w:space="0" w:color="auto"/>
              <w:left w:val="nil" w:sz="6" w:space="0" w:color="auto"/>
              <w:bottom w:val="nil" w:sz="6" w:space="0" w:color="auto"/>
              <w:right w:val="nil" w:sz="6" w:space="0" w:color="auto"/>
            </w:tcBorders>
          </w:tcPr>
          <w:p>
            <w:pPr>
              <w:pStyle w:val="TableParagraph"/>
              <w:spacing w:line="234" w:lineRule="exact" w:before="22"/>
              <w:ind w:left="595" w:right="104" w:hanging="180"/>
              <w:jc w:val="left"/>
              <w:rPr>
                <w:rFonts w:ascii="宋体" w:hAnsi="宋体" w:cs="宋体" w:eastAsia="宋体" w:hint="default"/>
                <w:sz w:val="18"/>
                <w:szCs w:val="18"/>
              </w:rPr>
            </w:pPr>
            <w:r>
              <w:rPr>
                <w:rFonts w:ascii="宋体" w:hAnsi="宋体" w:cs="宋体" w:eastAsia="宋体" w:hint="default"/>
                <w:sz w:val="18"/>
                <w:szCs w:val="18"/>
              </w:rPr>
              <w:t>办公</w:t>
            </w:r>
            <w:r>
              <w:rPr>
                <w:rFonts w:ascii="宋体" w:hAnsi="宋体" w:cs="宋体" w:eastAsia="宋体" w:hint="default"/>
                <w:spacing w:val="-65"/>
                <w:sz w:val="18"/>
                <w:szCs w:val="18"/>
              </w:rPr>
              <w:t> </w:t>
            </w:r>
            <w:r>
              <w:rPr>
                <w:rFonts w:ascii="宋体" w:hAnsi="宋体" w:cs="宋体" w:eastAsia="宋体" w:hint="default"/>
                <w:sz w:val="18"/>
                <w:szCs w:val="18"/>
              </w:rPr>
              <w:t>场</w:t>
            </w:r>
            <w:r>
              <w:rPr>
                <w:rFonts w:ascii="宋体" w:hAnsi="宋体" w:cs="宋体" w:eastAsia="宋体" w:hint="default"/>
                <w:spacing w:val="-67"/>
                <w:sz w:val="18"/>
                <w:szCs w:val="18"/>
              </w:rPr>
              <w:t> </w:t>
            </w:r>
            <w:r>
              <w:rPr>
                <w:rFonts w:ascii="宋体" w:hAnsi="宋体" w:cs="宋体" w:eastAsia="宋体" w:hint="default"/>
                <w:sz w:val="18"/>
                <w:szCs w:val="18"/>
              </w:rPr>
              <w:t>所</w:t>
            </w:r>
            <w:r>
              <w:rPr>
                <w:rFonts w:ascii="宋体" w:hAnsi="宋体" w:cs="宋体" w:eastAsia="宋体" w:hint="default"/>
                <w:spacing w:val="-65"/>
                <w:sz w:val="18"/>
                <w:szCs w:val="18"/>
              </w:rPr>
              <w:t> </w:t>
            </w: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赁</w:t>
            </w:r>
            <w:r>
              <w:rPr>
                <w:rFonts w:ascii="宋体" w:hAnsi="宋体" w:cs="宋体" w:eastAsia="宋体" w:hint="default"/>
                <w:spacing w:val="-65"/>
                <w:sz w:val="18"/>
                <w:szCs w:val="18"/>
              </w:rPr>
              <w:t> </w:t>
            </w:r>
            <w:r>
              <w:rPr>
                <w:rFonts w:ascii="Arial" w:hAnsi="Arial" w:cs="Arial" w:eastAsia="Arial" w:hint="default"/>
                <w:sz w:val="18"/>
                <w:szCs w:val="18"/>
              </w:rPr>
              <w:t>(</w:t>
            </w:r>
            <w:r>
              <w:rPr>
                <w:rFonts w:ascii="Arial" w:hAnsi="Arial" w:cs="Arial" w:eastAsia="Arial" w:hint="default"/>
                <w:spacing w:val="-25"/>
                <w:sz w:val="18"/>
                <w:szCs w:val="18"/>
              </w:rPr>
              <w:t> </w:t>
            </w:r>
            <w:r>
              <w:rPr>
                <w:rFonts w:ascii="宋体" w:hAnsi="宋体" w:cs="宋体" w:eastAsia="宋体" w:hint="default"/>
                <w:sz w:val="18"/>
                <w:szCs w:val="18"/>
              </w:rPr>
              <w:t>徐</w:t>
            </w:r>
            <w:r>
              <w:rPr>
                <w:rFonts w:ascii="宋体" w:hAnsi="宋体" w:cs="宋体" w:eastAsia="宋体" w:hint="default"/>
                <w:spacing w:val="-65"/>
                <w:sz w:val="18"/>
                <w:szCs w:val="18"/>
              </w:rPr>
              <w:t> </w:t>
            </w:r>
            <w:r>
              <w:rPr>
                <w:rFonts w:ascii="宋体" w:hAnsi="宋体" w:cs="宋体" w:eastAsia="宋体" w:hint="default"/>
                <w:sz w:val="18"/>
                <w:szCs w:val="18"/>
              </w:rPr>
              <w:t>庄</w:t>
            </w:r>
            <w:r>
              <w:rPr>
                <w:rFonts w:ascii="宋体" w:hAnsi="宋体" w:cs="宋体" w:eastAsia="宋体" w:hint="default"/>
                <w:spacing w:val="-67"/>
                <w:sz w:val="18"/>
                <w:szCs w:val="18"/>
              </w:rPr>
              <w:t> </w:t>
            </w:r>
            <w:r>
              <w:rPr>
                <w:rFonts w:ascii="宋体" w:hAnsi="宋体" w:cs="宋体" w:eastAsia="宋体" w:hint="default"/>
                <w:sz w:val="18"/>
                <w:szCs w:val="18"/>
              </w:rPr>
              <w:t>总</w:t>
            </w:r>
            <w:r>
              <w:rPr>
                <w:rFonts w:ascii="宋体" w:hAnsi="宋体" w:cs="宋体" w:eastAsia="宋体" w:hint="default"/>
                <w:spacing w:val="-65"/>
                <w:sz w:val="18"/>
                <w:szCs w:val="18"/>
              </w:rPr>
              <w:t> </w:t>
            </w:r>
            <w:r>
              <w:rPr>
                <w:rFonts w:ascii="宋体" w:hAnsi="宋体" w:cs="宋体" w:eastAsia="宋体" w:hint="default"/>
                <w:sz w:val="18"/>
                <w:szCs w:val="18"/>
              </w:rPr>
              <w:t>部</w:t>
            </w:r>
            <w:r>
              <w:rPr>
                <w:rFonts w:ascii="宋体" w:hAnsi="宋体" w:cs="宋体" w:eastAsia="宋体" w:hint="default"/>
                <w:spacing w:val="-65"/>
                <w:sz w:val="18"/>
                <w:szCs w:val="18"/>
              </w:rPr>
              <w:t> </w:t>
            </w:r>
            <w:r>
              <w:rPr>
                <w:rFonts w:ascii="Arial" w:hAnsi="Arial" w:cs="Arial" w:eastAsia="Arial" w:hint="default"/>
                <w:sz w:val="18"/>
                <w:szCs w:val="18"/>
              </w:rPr>
              <w:t>) 5#1-6F</w:t>
            </w:r>
            <w:r>
              <w:rPr>
                <w:rFonts w:ascii="Arial" w:hAnsi="Arial" w:cs="Arial" w:eastAsia="Arial" w:hint="default"/>
                <w:spacing w:val="-9"/>
                <w:sz w:val="18"/>
                <w:szCs w:val="18"/>
              </w:rPr>
              <w:t> </w:t>
            </w:r>
            <w:r>
              <w:rPr>
                <w:rFonts w:ascii="宋体" w:hAnsi="宋体" w:cs="宋体" w:eastAsia="宋体" w:hint="default"/>
                <w:sz w:val="18"/>
                <w:szCs w:val="18"/>
              </w:rPr>
              <w:t>部分区域</w:t>
            </w:r>
          </w:p>
        </w:tc>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61"/>
              <w:jc w:val="right"/>
              <w:rPr>
                <w:rFonts w:ascii="Arial" w:hAnsi="Arial" w:cs="Arial" w:eastAsia="Arial" w:hint="default"/>
                <w:sz w:val="18"/>
                <w:szCs w:val="18"/>
              </w:rPr>
            </w:pPr>
            <w:r>
              <w:rPr>
                <w:rFonts w:ascii="Arial"/>
                <w:spacing w:val="-1"/>
                <w:sz w:val="18"/>
              </w:rPr>
              <w:t>4,390</w:t>
            </w:r>
          </w:p>
        </w:tc>
      </w:tr>
      <w:tr>
        <w:trPr>
          <w:trHeight w:val="376" w:hRule="exact"/>
        </w:trPr>
        <w:tc>
          <w:tcPr>
            <w:tcW w:w="68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
        </w:tc>
        <w:tc>
          <w:tcPr>
            <w:tcW w:w="2715"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33,762</w:t>
            </w:r>
          </w:p>
        </w:tc>
        <w:tc>
          <w:tcPr>
            <w:tcW w:w="233" w:type="dxa"/>
            <w:tcBorders>
              <w:top w:val="nil" w:sz="6" w:space="0" w:color="auto"/>
              <w:left w:val="nil" w:sz="6" w:space="0" w:color="auto"/>
              <w:bottom w:val="nil" w:sz="6" w:space="0" w:color="auto"/>
              <w:right w:val="nil" w:sz="6" w:space="0" w:color="auto"/>
            </w:tcBorders>
          </w:tcPr>
          <w:p>
            <w:pPr/>
          </w:p>
        </w:tc>
        <w:tc>
          <w:tcPr>
            <w:tcW w:w="20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62"/>
              <w:jc w:val="right"/>
              <w:rPr>
                <w:rFonts w:ascii="Arial" w:hAnsi="Arial" w:cs="Arial" w:eastAsia="Arial" w:hint="default"/>
                <w:sz w:val="18"/>
                <w:szCs w:val="18"/>
              </w:rPr>
            </w:pPr>
            <w:r>
              <w:rPr>
                <w:rFonts w:ascii="Arial"/>
                <w:spacing w:val="-1"/>
                <w:sz w:val="18"/>
              </w:rPr>
              <w:t>29,903</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16"/>
        <w:gridCol w:w="9076"/>
      </w:tblGrid>
      <w:tr>
        <w:trPr>
          <w:trHeight w:val="500"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(g)</w:t>
            </w:r>
          </w:p>
        </w:tc>
        <w:tc>
          <w:tcPr>
            <w:tcW w:w="9076" w:type="dxa"/>
            <w:tcBorders>
              <w:top w:val="nil" w:sz="6" w:space="0" w:color="auto"/>
              <w:left w:val="nil" w:sz="6" w:space="0" w:color="auto"/>
              <w:bottom w:val="nil" w:sz="6" w:space="0" w:color="auto"/>
              <w:right w:val="nil" w:sz="6" w:space="0" w:color="auto"/>
            </w:tcBorders>
          </w:tcPr>
          <w:p>
            <w:pPr>
              <w:pStyle w:val="TableParagraph"/>
              <w:spacing w:line="247" w:lineRule="exact"/>
              <w:ind w:left="222" w:right="0"/>
              <w:jc w:val="left"/>
              <w:rPr>
                <w:rFonts w:ascii="宋体" w:hAnsi="宋体" w:cs="宋体" w:eastAsia="宋体" w:hint="default"/>
                <w:sz w:val="24"/>
                <w:szCs w:val="24"/>
              </w:rPr>
            </w:pPr>
            <w:r>
              <w:rPr>
                <w:rFonts w:ascii="宋体" w:hAnsi="宋体" w:cs="宋体" w:eastAsia="宋体" w:hint="default"/>
                <w:sz w:val="24"/>
                <w:szCs w:val="24"/>
              </w:rPr>
              <w:t>担保</w:t>
            </w:r>
          </w:p>
        </w:tc>
      </w:tr>
      <w:tr>
        <w:trPr>
          <w:trHeight w:val="805" w:hRule="exact"/>
        </w:trPr>
        <w:tc>
          <w:tcPr>
            <w:tcW w:w="716" w:type="dxa"/>
            <w:tcBorders>
              <w:top w:val="nil" w:sz="6" w:space="0" w:color="auto"/>
              <w:left w:val="nil" w:sz="6" w:space="0" w:color="auto"/>
              <w:bottom w:val="nil" w:sz="6" w:space="0" w:color="auto"/>
              <w:right w:val="nil" w:sz="6" w:space="0" w:color="auto"/>
            </w:tcBorders>
          </w:tcPr>
          <w:p>
            <w:pPr/>
          </w:p>
        </w:tc>
        <w:tc>
          <w:tcPr>
            <w:tcW w:w="9076"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222" w:right="198"/>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2015 </w:t>
            </w:r>
            <w:r>
              <w:rPr>
                <w:rFonts w:ascii="宋体" w:hAnsi="宋体" w:cs="宋体" w:eastAsia="宋体" w:hint="default"/>
                <w:sz w:val="24"/>
                <w:szCs w:val="24"/>
              </w:rPr>
              <w:t>年度，无关联方为本集团提供担保</w:t>
            </w:r>
            <w:r>
              <w:rPr>
                <w:rFonts w:ascii="Arial" w:hAnsi="Arial" w:cs="Arial" w:eastAsia="Arial" w:hint="default"/>
                <w:sz w:val="24"/>
                <w:szCs w:val="24"/>
              </w:rPr>
              <w:t>(2014</w:t>
            </w:r>
            <w:r>
              <w:rPr>
                <w:rFonts w:ascii="Arial" w:hAnsi="Arial" w:cs="Arial" w:eastAsia="Arial" w:hint="default"/>
                <w:spacing w:val="-35"/>
                <w:sz w:val="24"/>
                <w:szCs w:val="24"/>
              </w:rPr>
              <w:t> </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，亦无本集团为关联方 提供担保。</w:t>
            </w:r>
          </w:p>
        </w:tc>
      </w:tr>
    </w:tbl>
    <w:p>
      <w:pPr>
        <w:spacing w:after="0" w:line="312" w:lineRule="exact"/>
        <w:jc w:val="left"/>
        <w:rPr>
          <w:rFonts w:ascii="宋体" w:hAnsi="宋体" w:cs="宋体" w:eastAsia="宋体" w:hint="default"/>
          <w:sz w:val="24"/>
          <w:szCs w:val="24"/>
        </w:rPr>
        <w:sectPr>
          <w:pgSz w:w="11910" w:h="16840"/>
          <w:pgMar w:header="755" w:footer="914" w:top="1860" w:bottom="11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711"/>
        <w:gridCol w:w="3768"/>
        <w:gridCol w:w="2828"/>
        <w:gridCol w:w="2104"/>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left="209"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768" w:type="dxa"/>
            <w:tcBorders>
              <w:top w:val="nil" w:sz="6" w:space="0" w:color="auto"/>
              <w:left w:val="nil" w:sz="6" w:space="0" w:color="auto"/>
              <w:bottom w:val="nil" w:sz="6" w:space="0" w:color="auto"/>
              <w:right w:val="nil" w:sz="6" w:space="0" w:color="auto"/>
            </w:tcBorders>
          </w:tcPr>
          <w:p>
            <w:pPr>
              <w:pStyle w:val="TableParagraph"/>
              <w:spacing w:line="257" w:lineRule="exact"/>
              <w:ind w:left="237"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828"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9" w:right="0"/>
              <w:jc w:val="left"/>
              <w:rPr>
                <w:rFonts w:ascii="Arial" w:hAnsi="Arial" w:cs="Arial" w:eastAsia="Arial" w:hint="default"/>
                <w:sz w:val="24"/>
                <w:szCs w:val="24"/>
              </w:rPr>
            </w:pPr>
            <w:r>
              <w:rPr>
                <w:rFonts w:ascii="Arial"/>
                <w:sz w:val="24"/>
              </w:rPr>
              <w:t>(6)</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37"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828"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r>
      <w:tr>
        <w:trPr>
          <w:trHeight w:val="585"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(h)</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37" w:right="0"/>
              <w:jc w:val="left"/>
              <w:rPr>
                <w:rFonts w:ascii="宋体" w:hAnsi="宋体" w:cs="宋体" w:eastAsia="宋体" w:hint="default"/>
                <w:sz w:val="24"/>
                <w:szCs w:val="24"/>
              </w:rPr>
            </w:pPr>
            <w:r>
              <w:rPr>
                <w:rFonts w:ascii="宋体" w:hAnsi="宋体" w:cs="宋体" w:eastAsia="宋体" w:hint="default"/>
                <w:sz w:val="24"/>
                <w:szCs w:val="24"/>
              </w:rPr>
              <w:t>接受项目管理服务</w:t>
            </w:r>
          </w:p>
        </w:tc>
        <w:tc>
          <w:tcPr>
            <w:tcW w:w="2828"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r>
      <w:tr>
        <w:trPr>
          <w:trHeight w:val="593"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924"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37"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264" w:right="0"/>
              <w:jc w:val="left"/>
              <w:rPr>
                <w:rFonts w:ascii="Arial" w:hAnsi="Arial" w:cs="Arial" w:eastAsia="Arial" w:hint="default"/>
                <w:sz w:val="24"/>
                <w:szCs w:val="24"/>
              </w:rPr>
            </w:pPr>
            <w:r>
              <w:rPr>
                <w:rFonts w:ascii="Arial"/>
                <w:sz w:val="24"/>
              </w:rPr>
              <w:t>49,950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9"/>
              <w:jc w:val="right"/>
              <w:rPr>
                <w:rFonts w:ascii="Arial" w:hAnsi="Arial" w:cs="Arial" w:eastAsia="Arial" w:hint="default"/>
                <w:sz w:val="24"/>
                <w:szCs w:val="24"/>
              </w:rPr>
            </w:pPr>
            <w:r>
              <w:rPr>
                <w:rFonts w:ascii="Arial"/>
                <w:w w:val="95"/>
                <w:sz w:val="24"/>
              </w:rPr>
              <w:t>38,607</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1" w:lineRule="exact"/>
              <w:ind w:left="237"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82" w:right="0"/>
              <w:jc w:val="left"/>
              <w:rPr>
                <w:rFonts w:ascii="Arial" w:hAnsi="Arial" w:cs="Arial" w:eastAsia="Arial" w:hint="default"/>
                <w:sz w:val="24"/>
                <w:szCs w:val="24"/>
              </w:rPr>
            </w:pPr>
            <w:r>
              <w:rPr>
                <w:rFonts w:ascii="Arial"/>
                <w:spacing w:val="-4"/>
                <w:sz w:val="24"/>
              </w:rPr>
              <w:t>11,241</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w w:val="95"/>
                <w:sz w:val="24"/>
              </w:rPr>
              <w:t>13,963</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8" w:right="0"/>
              <w:jc w:val="left"/>
              <w:rPr>
                <w:rFonts w:ascii="Arial" w:hAnsi="Arial" w:cs="Arial" w:eastAsia="Arial" w:hint="default"/>
                <w:sz w:val="24"/>
                <w:szCs w:val="24"/>
              </w:rPr>
            </w:pPr>
            <w:r>
              <w:rPr>
                <w:rFonts w:ascii="Arial"/>
                <w:sz w:val="24"/>
              </w:rPr>
              <w:t>5,939</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6,177</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8" w:right="0"/>
              <w:jc w:val="left"/>
              <w:rPr>
                <w:rFonts w:ascii="Arial" w:hAnsi="Arial" w:cs="Arial" w:eastAsia="Arial" w:hint="default"/>
                <w:sz w:val="24"/>
                <w:szCs w:val="24"/>
              </w:rPr>
            </w:pPr>
            <w:r>
              <w:rPr>
                <w:rFonts w:ascii="Arial"/>
                <w:sz w:val="24"/>
              </w:rPr>
              <w:t>4,284</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6,473</w:t>
            </w:r>
            <w:r>
              <w:rPr>
                <w:rFonts w:ascii="Arial"/>
                <w:sz w:val="24"/>
              </w:rPr>
            </w:r>
          </w:p>
        </w:tc>
      </w:tr>
      <w:tr>
        <w:trPr>
          <w:trHeight w:val="312"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98" w:right="0"/>
              <w:jc w:val="left"/>
              <w:rPr>
                <w:rFonts w:ascii="Arial" w:hAnsi="Arial" w:cs="Arial" w:eastAsia="Arial" w:hint="default"/>
                <w:sz w:val="24"/>
                <w:szCs w:val="24"/>
              </w:rPr>
            </w:pPr>
            <w:r>
              <w:rPr>
                <w:rFonts w:ascii="Arial"/>
                <w:sz w:val="24"/>
              </w:rPr>
              <w:t>2,782</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1,537</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8" w:right="0"/>
              <w:jc w:val="left"/>
              <w:rPr>
                <w:rFonts w:ascii="Arial" w:hAnsi="Arial" w:cs="Arial" w:eastAsia="Arial" w:hint="default"/>
                <w:sz w:val="24"/>
                <w:szCs w:val="24"/>
              </w:rPr>
            </w:pPr>
            <w:r>
              <w:rPr>
                <w:rFonts w:ascii="Arial"/>
                <w:sz w:val="24"/>
              </w:rPr>
              <w:t>2,256</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98" w:right="0"/>
              <w:jc w:val="left"/>
              <w:rPr>
                <w:rFonts w:ascii="Arial" w:hAnsi="Arial" w:cs="Arial" w:eastAsia="Arial" w:hint="default"/>
                <w:sz w:val="24"/>
                <w:szCs w:val="24"/>
              </w:rPr>
            </w:pPr>
            <w:r>
              <w:rPr>
                <w:rFonts w:ascii="Arial"/>
                <w:sz w:val="24"/>
              </w:rPr>
              <w:t>2,015</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4,363</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32" w:right="0"/>
              <w:jc w:val="left"/>
              <w:rPr>
                <w:rFonts w:ascii="Arial" w:hAnsi="Arial" w:cs="Arial" w:eastAsia="Arial" w:hint="default"/>
                <w:sz w:val="24"/>
                <w:szCs w:val="24"/>
              </w:rPr>
            </w:pPr>
            <w:r>
              <w:rPr>
                <w:rFonts w:ascii="Arial"/>
                <w:sz w:val="24"/>
              </w:rPr>
              <w:t>72</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spacing w:val="-1"/>
                <w:w w:val="95"/>
                <w:sz w:val="24"/>
              </w:rPr>
              <w:t>348</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65" w:right="0"/>
              <w:jc w:val="left"/>
              <w:rPr>
                <w:rFonts w:ascii="Arial" w:hAnsi="Arial" w:cs="Arial" w:eastAsia="Arial" w:hint="default"/>
                <w:sz w:val="24"/>
                <w:szCs w:val="24"/>
              </w:rPr>
            </w:pPr>
            <w:r>
              <w:rPr>
                <w:rFonts w:ascii="Arial"/>
                <w:w w:val="99"/>
                <w:sz w:val="24"/>
              </w:rPr>
              <w:t>4</w:t>
            </w:r>
            <w:r>
              <w:rPr>
                <w:rFonts w:ascii="Arial"/>
                <w:sz w:val="24"/>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spacing w:val="-1"/>
                <w:w w:val="95"/>
                <w:sz w:val="24"/>
              </w:rPr>
              <w:t>598</w:t>
            </w:r>
            <w:r>
              <w:rPr>
                <w:rFonts w:ascii="Arial"/>
                <w:sz w:val="24"/>
              </w:rPr>
            </w:r>
          </w:p>
        </w:tc>
      </w:tr>
      <w:tr>
        <w:trPr>
          <w:trHeight w:val="313"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tabs>
                <w:tab w:pos="3392" w:val="left" w:leader="none"/>
                <w:tab w:pos="5633" w:val="left" w:leader="none"/>
              </w:tabs>
              <w:spacing w:line="259" w:lineRule="exact"/>
              <w:ind w:left="237" w:right="-1866"/>
              <w:jc w:val="left"/>
              <w:rPr>
                <w:rFonts w:ascii="Arial" w:hAnsi="Arial" w:cs="Arial" w:eastAsia="Arial" w:hint="default"/>
                <w:sz w:val="24"/>
                <w:szCs w:val="24"/>
              </w:rPr>
            </w:pPr>
            <w:r>
              <w:rPr>
                <w:rFonts w:ascii="宋体" w:hAnsi="宋体" w:cs="宋体" w:eastAsia="宋体" w:hint="default"/>
                <w:position w:val="2"/>
                <w:sz w:val="24"/>
                <w:szCs w:val="24"/>
              </w:rPr>
              <w:t>石家庄苏宁房地产开发</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828" w:type="dxa"/>
            <w:tcBorders>
              <w:top w:val="nil" w:sz="6" w:space="0" w:color="auto"/>
              <w:left w:val="nil" w:sz="6" w:space="0" w:color="auto"/>
              <w:bottom w:val="nil" w:sz="6" w:space="0" w:color="auto"/>
              <w:right w:val="nil" w:sz="6" w:space="0" w:color="auto"/>
            </w:tcBorders>
          </w:tcPr>
          <w:p>
            <w:pPr>
              <w:pStyle w:val="TableParagraph"/>
              <w:tabs>
                <w:tab w:pos="2646" w:val="left" w:leader="none"/>
                <w:tab w:pos="4331" w:val="left" w:leader="none"/>
              </w:tabs>
              <w:spacing w:line="240" w:lineRule="auto" w:before="19"/>
              <w:ind w:left="1865" w:right="-1504"/>
              <w:jc w:val="left"/>
              <w:rPr>
                <w:rFonts w:ascii="Arial" w:hAnsi="Arial" w:cs="Arial" w:eastAsia="Arial" w:hint="default"/>
                <w:sz w:val="24"/>
                <w:szCs w:val="24"/>
              </w:rPr>
            </w:pPr>
            <w:r>
              <w:rPr>
                <w:rFonts w:ascii="Arial"/>
                <w:w w:val="99"/>
                <w:sz w:val="24"/>
              </w:rPr>
            </w:r>
            <w:r>
              <w:rPr>
                <w:rFonts w:ascii="Arial"/>
                <w:sz w:val="24"/>
                <w:u w:val="single" w:color="000000"/>
              </w:rPr>
              <w:t>4 </w:t>
            </w:r>
            <w:r>
              <w:rPr>
                <w:rFonts w:ascii="Arial"/>
                <w:spacing w:val="-26"/>
                <w:sz w:val="24"/>
                <w:u w:val="single" w:color="000000"/>
              </w:rPr>
              <w:t> </w:t>
            </w:r>
            <w:r>
              <w:rPr>
                <w:rFonts w:ascii="Arial"/>
                <w:spacing w:val="-26"/>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04" w:type="dxa"/>
            <w:tcBorders>
              <w:top w:val="nil" w:sz="6" w:space="0" w:color="auto"/>
              <w:left w:val="nil" w:sz="6" w:space="0" w:color="auto"/>
              <w:bottom w:val="nil" w:sz="6" w:space="0" w:color="auto"/>
              <w:right w:val="nil" w:sz="6" w:space="0" w:color="auto"/>
            </w:tcBorders>
          </w:tcPr>
          <w:p>
            <w:pPr>
              <w:pStyle w:val="TableParagraph"/>
              <w:tabs>
                <w:tab w:pos="507" w:val="left" w:leader="none"/>
              </w:tabs>
              <w:spacing w:line="240" w:lineRule="auto" w:before="19"/>
              <w:ind w:right="90"/>
              <w:jc w:val="right"/>
              <w:rPr>
                <w:rFonts w:ascii="Arial" w:hAnsi="Arial" w:cs="Arial" w:eastAsia="Arial" w:hint="default"/>
                <w:sz w:val="24"/>
                <w:szCs w:val="24"/>
              </w:rPr>
            </w:pPr>
            <w:r>
              <w:rPr>
                <w:rFonts w:ascii="Arial"/>
                <w:w w:val="99"/>
                <w:sz w:val="24"/>
              </w:rPr>
            </w:r>
            <w:r>
              <w:rPr>
                <w:rFonts w:ascii="Arial"/>
                <w:spacing w:val="-1"/>
                <w:sz w:val="24"/>
                <w:u w:val="single" w:color="000000"/>
              </w:rPr>
              <w:t>291</w:t>
              <w:tab/>
            </w:r>
            <w:r>
              <w:rPr>
                <w:rFonts w:ascii="Arial"/>
                <w:spacing w:val="-1"/>
                <w:sz w:val="24"/>
              </w:rPr>
            </w:r>
          </w:p>
        </w:tc>
      </w:tr>
      <w:tr>
        <w:trPr>
          <w:trHeight w:val="434" w:hRule="exact"/>
        </w:trPr>
        <w:tc>
          <w:tcPr>
            <w:tcW w:w="711" w:type="dxa"/>
            <w:tcBorders>
              <w:top w:val="nil" w:sz="6" w:space="0" w:color="auto"/>
              <w:left w:val="nil" w:sz="6" w:space="0" w:color="auto"/>
              <w:bottom w:val="nil" w:sz="6" w:space="0" w:color="auto"/>
              <w:right w:val="nil" w:sz="6" w:space="0" w:color="auto"/>
            </w:tcBorders>
          </w:tcPr>
          <w:p>
            <w:pPr/>
          </w:p>
        </w:tc>
        <w:tc>
          <w:tcPr>
            <w:tcW w:w="6596" w:type="dxa"/>
            <w:gridSpan w:val="2"/>
            <w:tcBorders>
              <w:top w:val="nil" w:sz="6" w:space="0" w:color="auto"/>
              <w:left w:val="nil" w:sz="6" w:space="0" w:color="auto"/>
              <w:bottom w:val="nil" w:sz="6" w:space="0" w:color="auto"/>
              <w:right w:val="nil" w:sz="6" w:space="0" w:color="auto"/>
            </w:tcBorders>
          </w:tcPr>
          <w:p>
            <w:pPr>
              <w:pStyle w:val="TableParagraph"/>
              <w:tabs>
                <w:tab w:pos="5032" w:val="left" w:leader="none"/>
                <w:tab w:pos="6414" w:val="left" w:leader="none"/>
                <w:tab w:pos="7764" w:val="left" w:leader="none"/>
              </w:tabs>
              <w:spacing w:line="268" w:lineRule="exact"/>
              <w:ind w:left="3393" w:right="-116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78,547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4"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68" w:lineRule="exact"/>
              <w:ind w:right="90"/>
              <w:jc w:val="right"/>
              <w:rPr>
                <w:rFonts w:ascii="Arial" w:hAnsi="Arial" w:cs="Arial" w:eastAsia="Arial" w:hint="default"/>
                <w:sz w:val="24"/>
                <w:szCs w:val="24"/>
              </w:rPr>
            </w:pPr>
            <w:r>
              <w:rPr>
                <w:rFonts w:ascii="Arial"/>
                <w:w w:val="99"/>
                <w:sz w:val="24"/>
              </w:rPr>
            </w:r>
            <w:r>
              <w:rPr>
                <w:rFonts w:ascii="Arial"/>
                <w:spacing w:val="-1"/>
                <w:sz w:val="24"/>
                <w:u w:val="thick" w:color="000000"/>
              </w:rPr>
              <w:t>72,357</w:t>
              <w:tab/>
            </w:r>
            <w:r>
              <w:rPr>
                <w:rFonts w:ascii="Arial"/>
                <w:spacing w:val="-1"/>
                <w:sz w:val="24"/>
              </w:rPr>
            </w:r>
          </w:p>
        </w:tc>
      </w:tr>
      <w:tr>
        <w:trPr>
          <w:trHeight w:val="592"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(i)</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37" w:right="0"/>
              <w:jc w:val="left"/>
              <w:rPr>
                <w:rFonts w:ascii="宋体" w:hAnsi="宋体" w:cs="宋体" w:eastAsia="宋体" w:hint="default"/>
                <w:sz w:val="24"/>
                <w:szCs w:val="24"/>
              </w:rPr>
            </w:pPr>
            <w:r>
              <w:rPr>
                <w:rFonts w:ascii="宋体" w:hAnsi="宋体" w:cs="宋体" w:eastAsia="宋体" w:hint="default"/>
                <w:sz w:val="24"/>
                <w:szCs w:val="24"/>
              </w:rPr>
              <w:t>接受物业服务</w:t>
            </w:r>
          </w:p>
        </w:tc>
        <w:tc>
          <w:tcPr>
            <w:tcW w:w="2828"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r>
      <w:tr>
        <w:trPr>
          <w:trHeight w:val="593"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24"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744"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tabs>
                <w:tab w:pos="3392" w:val="left" w:leader="none"/>
                <w:tab w:pos="4898" w:val="left" w:leader="none"/>
              </w:tabs>
              <w:spacing w:line="240" w:lineRule="auto" w:before="89"/>
              <w:ind w:left="237" w:right="-1131"/>
              <w:jc w:val="left"/>
              <w:rPr>
                <w:rFonts w:ascii="Arial" w:hAnsi="Arial" w:cs="Arial" w:eastAsia="Arial" w:hint="default"/>
                <w:sz w:val="24"/>
                <w:szCs w:val="24"/>
              </w:rPr>
            </w:pPr>
            <w:r>
              <w:rPr>
                <w:rFonts w:ascii="宋体" w:hAnsi="宋体" w:cs="宋体" w:eastAsia="宋体" w:hint="default"/>
                <w:position w:val="2"/>
                <w:sz w:val="24"/>
                <w:szCs w:val="24"/>
              </w:rPr>
              <w:t>江苏银河物业</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828" w:type="dxa"/>
            <w:tcBorders>
              <w:top w:val="nil" w:sz="6" w:space="0" w:color="auto"/>
              <w:left w:val="nil" w:sz="6" w:space="0" w:color="auto"/>
              <w:bottom w:val="nil" w:sz="6" w:space="0" w:color="auto"/>
              <w:right w:val="nil" w:sz="6" w:space="0" w:color="auto"/>
            </w:tcBorders>
          </w:tcPr>
          <w:p>
            <w:pPr>
              <w:pStyle w:val="TableParagraph"/>
              <w:tabs>
                <w:tab w:pos="2646" w:val="left" w:leader="none"/>
                <w:tab w:pos="3998" w:val="left" w:leader="none"/>
              </w:tabs>
              <w:spacing w:line="240" w:lineRule="auto" w:before="165"/>
              <w:ind w:left="1130" w:right="-1170"/>
              <w:jc w:val="left"/>
              <w:rPr>
                <w:rFonts w:ascii="Arial" w:hAnsi="Arial" w:cs="Arial" w:eastAsia="Arial" w:hint="default"/>
                <w:sz w:val="24"/>
                <w:szCs w:val="24"/>
              </w:rPr>
            </w:pPr>
            <w:r>
              <w:rPr>
                <w:rFonts w:ascii="Arial"/>
                <w:w w:val="99"/>
                <w:sz w:val="24"/>
              </w:rPr>
            </w:r>
            <w:r>
              <w:rPr>
                <w:rFonts w:ascii="Arial"/>
                <w:sz w:val="24"/>
                <w:u w:val="thick" w:color="000000"/>
              </w:rPr>
              <w:t>106,410 </w:t>
            </w:r>
            <w:r>
              <w:rPr>
                <w:rFonts w:ascii="Arial"/>
                <w:spacing w:val="-24"/>
                <w:sz w:val="24"/>
                <w:u w:val="thick" w:color="000000"/>
              </w:rPr>
              <w:t> </w:t>
            </w:r>
            <w:r>
              <w:rPr>
                <w:rFonts w:ascii="Arial"/>
                <w:spacing w:val="-24"/>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4" w:type="dxa"/>
            <w:tcBorders>
              <w:top w:val="nil" w:sz="6" w:space="0" w:color="auto"/>
              <w:left w:val="nil" w:sz="6" w:space="0" w:color="auto"/>
              <w:bottom w:val="nil" w:sz="6" w:space="0" w:color="auto"/>
              <w:right w:val="nil" w:sz="6" w:space="0" w:color="auto"/>
            </w:tcBorders>
          </w:tcPr>
          <w:p>
            <w:pPr>
              <w:pStyle w:val="TableParagraph"/>
              <w:tabs>
                <w:tab w:pos="841" w:val="left" w:leader="none"/>
              </w:tabs>
              <w:spacing w:line="240" w:lineRule="auto" w:before="165"/>
              <w:ind w:right="90"/>
              <w:jc w:val="right"/>
              <w:rPr>
                <w:rFonts w:ascii="Arial" w:hAnsi="Arial" w:cs="Arial" w:eastAsia="Arial" w:hint="default"/>
                <w:sz w:val="24"/>
                <w:szCs w:val="24"/>
              </w:rPr>
            </w:pPr>
            <w:r>
              <w:rPr>
                <w:rFonts w:ascii="Arial"/>
                <w:w w:val="99"/>
                <w:sz w:val="24"/>
              </w:rPr>
            </w:r>
            <w:r>
              <w:rPr>
                <w:rFonts w:ascii="Arial"/>
                <w:w w:val="95"/>
                <w:sz w:val="24"/>
                <w:u w:val="thick" w:color="000000"/>
              </w:rPr>
              <w:t>46,918</w:t>
            </w:r>
            <w:r>
              <w:rPr>
                <w:rFonts w:ascii="Arial"/>
                <w:sz w:val="24"/>
                <w:u w:val="thick" w:color="000000"/>
              </w:rPr>
              <w:tab/>
            </w:r>
            <w:r>
              <w:rPr>
                <w:rFonts w:ascii="Arial"/>
                <w:sz w:val="24"/>
              </w:rPr>
            </w:r>
          </w:p>
        </w:tc>
      </w:tr>
      <w:tr>
        <w:trPr>
          <w:trHeight w:val="730"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Arial" w:hAnsi="Arial" w:cs="Arial" w:eastAsia="Arial" w:hint="default"/>
                <w:sz w:val="24"/>
                <w:szCs w:val="24"/>
              </w:rPr>
            </w:pPr>
            <w:r>
              <w:rPr>
                <w:rFonts w:ascii="Arial"/>
                <w:sz w:val="24"/>
              </w:rPr>
              <w:t>(j)</w:t>
            </w:r>
          </w:p>
        </w:tc>
        <w:tc>
          <w:tcPr>
            <w:tcW w:w="65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07" w:right="0"/>
              <w:jc w:val="left"/>
              <w:rPr>
                <w:rFonts w:ascii="宋体" w:hAnsi="宋体" w:cs="宋体" w:eastAsia="宋体" w:hint="default"/>
                <w:sz w:val="24"/>
                <w:szCs w:val="24"/>
              </w:rPr>
            </w:pPr>
            <w:r>
              <w:rPr>
                <w:rFonts w:ascii="宋体" w:hAnsi="宋体" w:cs="宋体" w:eastAsia="宋体" w:hint="default"/>
                <w:sz w:val="24"/>
                <w:szCs w:val="24"/>
              </w:rPr>
              <w:t>关联方为本集团提供的餐饮会务服务</w:t>
            </w:r>
          </w:p>
        </w:tc>
        <w:tc>
          <w:tcPr>
            <w:tcW w:w="2104" w:type="dxa"/>
            <w:tcBorders>
              <w:top w:val="nil" w:sz="6" w:space="0" w:color="auto"/>
              <w:left w:val="nil" w:sz="6" w:space="0" w:color="auto"/>
              <w:bottom w:val="nil" w:sz="6" w:space="0" w:color="auto"/>
              <w:right w:val="nil" w:sz="6" w:space="0" w:color="auto"/>
            </w:tcBorders>
          </w:tcPr>
          <w:p>
            <w:pPr/>
          </w:p>
        </w:tc>
      </w:tr>
      <w:tr>
        <w:trPr>
          <w:trHeight w:val="593"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24"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7"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282" w:right="0"/>
              <w:jc w:val="left"/>
              <w:rPr>
                <w:rFonts w:ascii="Arial" w:hAnsi="Arial" w:cs="Arial" w:eastAsia="Arial" w:hint="default"/>
                <w:sz w:val="24"/>
                <w:szCs w:val="24"/>
              </w:rPr>
            </w:pPr>
            <w:r>
              <w:rPr>
                <w:rFonts w:ascii="Arial"/>
                <w:spacing w:val="-4"/>
                <w:sz w:val="24"/>
              </w:rPr>
              <w:t>11,961</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5"/>
                <w:sz w:val="24"/>
              </w:rPr>
              <w:t>8,615</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银河诺富特酒店</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8" w:right="0"/>
              <w:jc w:val="left"/>
              <w:rPr>
                <w:rFonts w:ascii="Arial" w:hAnsi="Arial" w:cs="Arial" w:eastAsia="Arial" w:hint="default"/>
                <w:sz w:val="24"/>
                <w:szCs w:val="24"/>
              </w:rPr>
            </w:pPr>
            <w:r>
              <w:rPr>
                <w:rFonts w:ascii="Arial"/>
                <w:sz w:val="24"/>
              </w:rPr>
              <w:t>4,583</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3,870</w:t>
            </w:r>
            <w:r>
              <w:rPr>
                <w:rFonts w:ascii="Arial"/>
                <w:sz w:val="24"/>
              </w:rPr>
            </w:r>
          </w:p>
        </w:tc>
      </w:tr>
      <w:tr>
        <w:trPr>
          <w:trHeight w:val="312"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98" w:right="0"/>
              <w:jc w:val="left"/>
              <w:rPr>
                <w:rFonts w:ascii="Arial" w:hAnsi="Arial" w:cs="Arial" w:eastAsia="Arial" w:hint="default"/>
                <w:sz w:val="24"/>
                <w:szCs w:val="24"/>
              </w:rPr>
            </w:pPr>
            <w:r>
              <w:rPr>
                <w:rFonts w:ascii="Arial"/>
                <w:sz w:val="24"/>
              </w:rPr>
              <w:t>1,770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2,565</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华商会议中心</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8" w:right="0"/>
              <w:jc w:val="left"/>
              <w:rPr>
                <w:rFonts w:ascii="Arial" w:hAnsi="Arial" w:cs="Arial" w:eastAsia="Arial" w:hint="default"/>
                <w:sz w:val="24"/>
                <w:szCs w:val="24"/>
              </w:rPr>
            </w:pPr>
            <w:r>
              <w:rPr>
                <w:rFonts w:ascii="Arial"/>
                <w:sz w:val="24"/>
              </w:rPr>
              <w:t>1,010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1,814</w:t>
            </w:r>
            <w:r>
              <w:rPr>
                <w:rFonts w:ascii="Arial"/>
                <w:sz w:val="24"/>
              </w:rPr>
            </w:r>
          </w:p>
        </w:tc>
      </w:tr>
      <w:tr>
        <w:trPr>
          <w:trHeight w:val="312"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98" w:right="0"/>
              <w:jc w:val="left"/>
              <w:rPr>
                <w:rFonts w:ascii="Arial" w:hAnsi="Arial" w:cs="Arial" w:eastAsia="Arial" w:hint="default"/>
                <w:sz w:val="24"/>
                <w:szCs w:val="24"/>
              </w:rPr>
            </w:pPr>
            <w:r>
              <w:rPr>
                <w:rFonts w:ascii="Arial"/>
                <w:sz w:val="24"/>
              </w:rPr>
              <w:t>996</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4,323</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新街口诺富特酒店</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98" w:right="0"/>
              <w:jc w:val="left"/>
              <w:rPr>
                <w:rFonts w:ascii="Arial" w:hAnsi="Arial" w:cs="Arial" w:eastAsia="Arial" w:hint="default"/>
                <w:sz w:val="24"/>
                <w:szCs w:val="24"/>
              </w:rPr>
            </w:pPr>
            <w:r>
              <w:rPr>
                <w:rFonts w:ascii="Arial"/>
                <w:sz w:val="24"/>
              </w:rPr>
              <w:t>227</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spacing w:val="-1"/>
                <w:w w:val="95"/>
                <w:sz w:val="24"/>
              </w:rPr>
              <w:t>14</w:t>
            </w:r>
            <w:r>
              <w:rPr>
                <w:rFonts w:ascii="Arial"/>
                <w:sz w:val="24"/>
              </w:rPr>
            </w:r>
          </w:p>
        </w:tc>
      </w:tr>
      <w:tr>
        <w:trPr>
          <w:trHeight w:val="313"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tabs>
                <w:tab w:pos="3404" w:val="left" w:leader="none"/>
                <w:tab w:pos="5500" w:val="left" w:leader="none"/>
              </w:tabs>
              <w:spacing w:line="258" w:lineRule="exact"/>
              <w:ind w:left="207" w:right="-1733"/>
              <w:jc w:val="left"/>
              <w:rPr>
                <w:rFonts w:ascii="Arial" w:hAnsi="Arial" w:cs="Arial" w:eastAsia="Arial" w:hint="default"/>
                <w:sz w:val="24"/>
                <w:szCs w:val="24"/>
              </w:rPr>
            </w:pPr>
            <w:r>
              <w:rPr>
                <w:rFonts w:ascii="宋体" w:hAnsi="宋体" w:cs="宋体" w:eastAsia="宋体" w:hint="default"/>
                <w:position w:val="2"/>
                <w:sz w:val="24"/>
                <w:szCs w:val="24"/>
              </w:rPr>
              <w:t>银河国际购物广场</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828" w:type="dxa"/>
            <w:tcBorders>
              <w:top w:val="nil" w:sz="6" w:space="0" w:color="auto"/>
              <w:left w:val="nil" w:sz="6" w:space="0" w:color="auto"/>
              <w:bottom w:val="nil" w:sz="6" w:space="0" w:color="auto"/>
              <w:right w:val="nil" w:sz="6" w:space="0" w:color="auto"/>
            </w:tcBorders>
          </w:tcPr>
          <w:p>
            <w:pPr>
              <w:pStyle w:val="TableParagraph"/>
              <w:tabs>
                <w:tab w:pos="2646" w:val="left" w:leader="none"/>
                <w:tab w:pos="4464" w:val="left" w:leader="none"/>
              </w:tabs>
              <w:spacing w:line="240" w:lineRule="auto" w:before="18"/>
              <w:ind w:left="1732" w:right="-1637"/>
              <w:jc w:val="left"/>
              <w:rPr>
                <w:rFonts w:ascii="Arial" w:hAnsi="Arial" w:cs="Arial" w:eastAsia="Arial" w:hint="default"/>
                <w:sz w:val="24"/>
                <w:szCs w:val="24"/>
              </w:rPr>
            </w:pPr>
            <w:r>
              <w:rPr>
                <w:rFonts w:ascii="Arial"/>
                <w:w w:val="99"/>
                <w:sz w:val="24"/>
              </w:rPr>
            </w:r>
            <w:r>
              <w:rPr>
                <w:rFonts w:ascii="Arial"/>
                <w:sz w:val="24"/>
                <w:u w:val="single" w:color="000000"/>
              </w:rPr>
              <w:t>34 </w:t>
            </w:r>
            <w:r>
              <w:rPr>
                <w:rFonts w:ascii="Arial"/>
                <w:spacing w:val="-32"/>
                <w:sz w:val="24"/>
                <w:u w:val="single" w:color="000000"/>
              </w:rPr>
              <w:t> </w:t>
            </w:r>
            <w:r>
              <w:rPr>
                <w:rFonts w:ascii="Arial"/>
                <w:spacing w:val="-32"/>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04"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18"/>
              <w:ind w:right="90"/>
              <w:jc w:val="right"/>
              <w:rPr>
                <w:rFonts w:ascii="Arial" w:hAnsi="Arial" w:cs="Arial" w:eastAsia="Arial" w:hint="default"/>
                <w:sz w:val="24"/>
                <w:szCs w:val="24"/>
              </w:rPr>
            </w:pPr>
            <w:r>
              <w:rPr>
                <w:rFonts w:ascii="Arial"/>
                <w:w w:val="99"/>
                <w:sz w:val="24"/>
              </w:rPr>
            </w:r>
            <w:r>
              <w:rPr>
                <w:rFonts w:ascii="Arial"/>
                <w:spacing w:val="-1"/>
                <w:sz w:val="24"/>
                <w:u w:val="single" w:color="000000"/>
              </w:rPr>
              <w:t>10</w:t>
              <w:tab/>
            </w:r>
            <w:r>
              <w:rPr>
                <w:rFonts w:ascii="Arial"/>
                <w:spacing w:val="-1"/>
                <w:sz w:val="24"/>
              </w:rPr>
            </w:r>
          </w:p>
        </w:tc>
      </w:tr>
      <w:tr>
        <w:trPr>
          <w:trHeight w:val="263" w:hRule="exact"/>
        </w:trPr>
        <w:tc>
          <w:tcPr>
            <w:tcW w:w="711" w:type="dxa"/>
            <w:tcBorders>
              <w:top w:val="nil" w:sz="6" w:space="0" w:color="auto"/>
              <w:left w:val="nil" w:sz="6" w:space="0" w:color="auto"/>
              <w:bottom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
        </w:tc>
        <w:tc>
          <w:tcPr>
            <w:tcW w:w="2828" w:type="dxa"/>
            <w:tcBorders>
              <w:top w:val="nil" w:sz="6" w:space="0" w:color="auto"/>
              <w:left w:val="nil" w:sz="6" w:space="0" w:color="auto"/>
              <w:bottom w:val="nil" w:sz="6" w:space="0" w:color="auto"/>
              <w:right w:val="nil" w:sz="6" w:space="0" w:color="auto"/>
            </w:tcBorders>
          </w:tcPr>
          <w:p>
            <w:pPr>
              <w:pStyle w:val="TableParagraph"/>
              <w:tabs>
                <w:tab w:pos="1258" w:val="left" w:leader="none"/>
                <w:tab w:pos="2646" w:val="left" w:leader="none"/>
                <w:tab w:pos="4016" w:val="left" w:leader="none"/>
              </w:tabs>
              <w:spacing w:line="269" w:lineRule="exact"/>
              <w:ind w:left="-364" w:right="-118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20,581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4"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69" w:lineRule="exact"/>
              <w:ind w:right="90"/>
              <w:jc w:val="right"/>
              <w:rPr>
                <w:rFonts w:ascii="Arial" w:hAnsi="Arial" w:cs="Arial" w:eastAsia="Arial" w:hint="default"/>
                <w:sz w:val="24"/>
                <w:szCs w:val="24"/>
              </w:rPr>
            </w:pPr>
            <w:r>
              <w:rPr>
                <w:rFonts w:ascii="Arial"/>
                <w:w w:val="99"/>
                <w:sz w:val="24"/>
              </w:rPr>
            </w:r>
            <w:r>
              <w:rPr>
                <w:rFonts w:ascii="Arial"/>
                <w:spacing w:val="-4"/>
                <w:sz w:val="24"/>
                <w:u w:val="thick" w:color="000000"/>
              </w:rPr>
              <w:t>21,211</w:t>
              <w:tab/>
            </w:r>
            <w:r>
              <w:rPr>
                <w:rFonts w:ascii="Arial"/>
                <w:spacing w:val="-4"/>
                <w:sz w:val="24"/>
              </w:rPr>
            </w:r>
          </w:p>
        </w:tc>
      </w:tr>
    </w:tbl>
    <w:p>
      <w:pPr>
        <w:spacing w:after="0" w:line="269" w:lineRule="exact"/>
        <w:jc w:val="right"/>
        <w:rPr>
          <w:rFonts w:ascii="Arial" w:hAnsi="Arial" w:cs="Arial" w:eastAsia="Arial" w:hint="default"/>
          <w:sz w:val="24"/>
          <w:szCs w:val="24"/>
        </w:rPr>
        <w:sectPr>
          <w:pgSz w:w="11910" w:h="16840"/>
          <w:pgMar w:header="755" w:footer="914" w:top="1860" w:bottom="1180" w:left="140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740"/>
        <w:gridCol w:w="4022"/>
        <w:gridCol w:w="2542"/>
        <w:gridCol w:w="2106"/>
      </w:tblGrid>
      <w:tr>
        <w:trPr>
          <w:trHeight w:val="416"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exact"/>
              <w:ind w:right="99"/>
              <w:jc w:val="center"/>
              <w:rPr>
                <w:rFonts w:ascii="黑体" w:hAnsi="黑体" w:cs="黑体" w:eastAsia="黑体" w:hint="default"/>
                <w:sz w:val="24"/>
                <w:szCs w:val="24"/>
              </w:rPr>
            </w:pPr>
            <w:r>
              <w:rPr>
                <w:rFonts w:ascii="黑体" w:hAnsi="黑体" w:cs="黑体" w:eastAsia="黑体" w:hint="default"/>
                <w:sz w:val="24"/>
                <w:szCs w:val="24"/>
              </w:rPr>
              <w:t>八</w:t>
            </w:r>
          </w:p>
        </w:tc>
        <w:tc>
          <w:tcPr>
            <w:tcW w:w="4022" w:type="dxa"/>
            <w:tcBorders>
              <w:top w:val="nil" w:sz="6" w:space="0" w:color="auto"/>
              <w:left w:val="nil" w:sz="6" w:space="0" w:color="auto"/>
              <w:bottom w:val="nil" w:sz="6" w:space="0" w:color="auto"/>
              <w:right w:val="nil" w:sz="6" w:space="0" w:color="auto"/>
            </w:tcBorders>
          </w:tcPr>
          <w:p>
            <w:pPr>
              <w:pStyle w:val="TableParagraph"/>
              <w:spacing w:line="257" w:lineRule="exact"/>
              <w:ind w:left="178"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42"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r>
      <w:tr>
        <w:trPr>
          <w:trHeight w:val="588"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4"/>
              <w:jc w:val="center"/>
              <w:rPr>
                <w:rFonts w:ascii="Arial" w:hAnsi="Arial" w:cs="Arial" w:eastAsia="Arial" w:hint="default"/>
                <w:sz w:val="24"/>
                <w:szCs w:val="24"/>
              </w:rPr>
            </w:pPr>
            <w:r>
              <w:rPr>
                <w:rFonts w:ascii="Arial"/>
                <w:sz w:val="24"/>
              </w:rPr>
              <w:t>(6)</w:t>
            </w:r>
          </w:p>
        </w:tc>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8"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42"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r>
      <w:tr>
        <w:trPr>
          <w:trHeight w:val="585"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7"/>
              <w:jc w:val="center"/>
              <w:rPr>
                <w:rFonts w:ascii="Arial" w:hAnsi="Arial" w:cs="Arial" w:eastAsia="Arial" w:hint="default"/>
                <w:sz w:val="24"/>
                <w:szCs w:val="24"/>
              </w:rPr>
            </w:pPr>
            <w:r>
              <w:rPr>
                <w:rFonts w:ascii="Arial"/>
                <w:sz w:val="24"/>
              </w:rPr>
              <w:t>(k)</w:t>
            </w:r>
          </w:p>
        </w:tc>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8" w:right="0"/>
              <w:jc w:val="left"/>
              <w:rPr>
                <w:rFonts w:ascii="宋体" w:hAnsi="宋体" w:cs="宋体" w:eastAsia="宋体" w:hint="default"/>
                <w:sz w:val="24"/>
                <w:szCs w:val="24"/>
              </w:rPr>
            </w:pPr>
            <w:r>
              <w:rPr>
                <w:rFonts w:ascii="宋体" w:hAnsi="宋体" w:cs="宋体" w:eastAsia="宋体" w:hint="default"/>
                <w:sz w:val="24"/>
                <w:szCs w:val="24"/>
              </w:rPr>
              <w:t>接受代售自建店配套物业服务</w:t>
            </w:r>
          </w:p>
        </w:tc>
        <w:tc>
          <w:tcPr>
            <w:tcW w:w="2542"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r>
      <w:tr>
        <w:trPr>
          <w:trHeight w:val="593"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3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78"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110" w:right="0"/>
              <w:jc w:val="left"/>
              <w:rPr>
                <w:rFonts w:ascii="Arial" w:hAnsi="Arial" w:cs="Arial" w:eastAsia="Arial" w:hint="default"/>
                <w:sz w:val="24"/>
                <w:szCs w:val="24"/>
              </w:rPr>
            </w:pPr>
            <w:r>
              <w:rPr>
                <w:rFonts w:ascii="Arial"/>
                <w:sz w:val="24"/>
              </w:rPr>
              <w:t>5,520</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8"/>
              <w:jc w:val="right"/>
              <w:rPr>
                <w:rFonts w:ascii="Arial" w:hAnsi="Arial" w:cs="Arial" w:eastAsia="Arial" w:hint="default"/>
                <w:sz w:val="24"/>
                <w:szCs w:val="24"/>
              </w:rPr>
            </w:pPr>
            <w:r>
              <w:rPr>
                <w:rFonts w:ascii="Arial"/>
                <w:w w:val="95"/>
                <w:sz w:val="24"/>
              </w:rPr>
              <w:t>6,600</w:t>
            </w:r>
            <w:r>
              <w:rPr>
                <w:rFonts w:ascii="Arial"/>
                <w:sz w:val="24"/>
              </w:rPr>
            </w:r>
          </w:p>
        </w:tc>
      </w:tr>
      <w:tr>
        <w:trPr>
          <w:trHeight w:val="312"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Style w:val="TableParagraph"/>
              <w:spacing w:line="262" w:lineRule="exact"/>
              <w:ind w:left="178"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10" w:right="0"/>
              <w:jc w:val="left"/>
              <w:rPr>
                <w:rFonts w:ascii="Arial" w:hAnsi="Arial" w:cs="Arial" w:eastAsia="Arial" w:hint="default"/>
                <w:sz w:val="24"/>
                <w:szCs w:val="24"/>
              </w:rPr>
            </w:pPr>
            <w:r>
              <w:rPr>
                <w:rFonts w:ascii="Arial"/>
                <w:sz w:val="24"/>
              </w:rPr>
              <w:t>3,171</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3,792</w:t>
            </w:r>
            <w:r>
              <w:rPr>
                <w:rFonts w:ascii="Arial"/>
                <w:sz w:val="24"/>
              </w:rPr>
            </w:r>
          </w:p>
        </w:tc>
      </w:tr>
      <w:tr>
        <w:trPr>
          <w:trHeight w:val="312"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Style w:val="TableParagraph"/>
              <w:tabs>
                <w:tab w:pos="3581" w:val="left" w:leader="none"/>
                <w:tab w:pos="5331" w:val="left" w:leader="none"/>
              </w:tabs>
              <w:spacing w:line="257" w:lineRule="exact"/>
              <w:ind w:left="178" w:right="-1310"/>
              <w:jc w:val="left"/>
              <w:rPr>
                <w:rFonts w:ascii="Arial" w:hAnsi="Arial" w:cs="Arial" w:eastAsia="Arial" w:hint="default"/>
                <w:sz w:val="24"/>
                <w:szCs w:val="24"/>
              </w:rPr>
            </w:pPr>
            <w:r>
              <w:rPr>
                <w:rFonts w:ascii="宋体" w:hAnsi="宋体" w:cs="宋体" w:eastAsia="宋体" w:hint="default"/>
                <w:position w:val="2"/>
                <w:sz w:val="24"/>
                <w:szCs w:val="24"/>
              </w:rPr>
              <w:t>北京苏宁置业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542" w:type="dxa"/>
            <w:tcBorders>
              <w:top w:val="nil" w:sz="6" w:space="0" w:color="auto"/>
              <w:left w:val="nil" w:sz="6" w:space="0" w:color="auto"/>
              <w:bottom w:val="nil" w:sz="6" w:space="0" w:color="auto"/>
              <w:right w:val="nil" w:sz="6" w:space="0" w:color="auto"/>
            </w:tcBorders>
          </w:tcPr>
          <w:p>
            <w:pPr>
              <w:pStyle w:val="TableParagraph"/>
              <w:tabs>
                <w:tab w:pos="1054" w:val="left" w:leader="none"/>
                <w:tab w:pos="3058" w:val="left" w:leader="none"/>
              </w:tabs>
              <w:spacing w:line="240" w:lineRule="auto" w:before="18"/>
              <w:ind w:right="-1826"/>
              <w:jc w:val="right"/>
              <w:rPr>
                <w:rFonts w:ascii="Arial" w:hAnsi="Arial" w:cs="Arial" w:eastAsia="Arial" w:hint="default"/>
                <w:sz w:val="24"/>
                <w:szCs w:val="24"/>
              </w:rPr>
            </w:pPr>
            <w:r>
              <w:rPr>
                <w:rFonts w:ascii="Arial"/>
                <w:w w:val="99"/>
                <w:sz w:val="24"/>
              </w:rPr>
            </w:r>
            <w:r>
              <w:rPr>
                <w:rFonts w:ascii="Arial"/>
                <w:spacing w:val="-1"/>
                <w:sz w:val="24"/>
                <w:u w:val="single" w:color="000000"/>
              </w:rPr>
              <w:t>200 </w:t>
            </w:r>
            <w:r>
              <w:rPr>
                <w:rFonts w:ascii="Arial"/>
                <w:spacing w:val="-25"/>
                <w:sz w:val="24"/>
                <w:u w:val="single" w:color="000000"/>
              </w:rPr>
              <w:t> </w:t>
            </w:r>
            <w:r>
              <w:rPr>
                <w:rFonts w:ascii="Arial"/>
                <w:spacing w:val="-25"/>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06" w:type="dxa"/>
            <w:tcBorders>
              <w:top w:val="nil" w:sz="6" w:space="0" w:color="auto"/>
              <w:left w:val="nil" w:sz="6" w:space="0" w:color="auto"/>
              <w:bottom w:val="nil" w:sz="6" w:space="0" w:color="auto"/>
              <w:right w:val="nil" w:sz="6" w:space="0" w:color="auto"/>
            </w:tcBorders>
          </w:tcPr>
          <w:p>
            <w:pPr>
              <w:pStyle w:val="TableParagraph"/>
              <w:tabs>
                <w:tab w:pos="188" w:val="left" w:leader="none"/>
              </w:tabs>
              <w:spacing w:line="240" w:lineRule="auto" w:before="18"/>
              <w:ind w:right="90"/>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r>
      <w:tr>
        <w:trPr>
          <w:trHeight w:val="434" w:hRule="exact"/>
        </w:trPr>
        <w:tc>
          <w:tcPr>
            <w:tcW w:w="740" w:type="dxa"/>
            <w:tcBorders>
              <w:top w:val="nil" w:sz="6" w:space="0" w:color="auto"/>
              <w:left w:val="nil" w:sz="6" w:space="0" w:color="auto"/>
              <w:bottom w:val="nil" w:sz="6" w:space="0" w:color="auto"/>
              <w:right w:val="nil" w:sz="6" w:space="0" w:color="auto"/>
            </w:tcBorders>
          </w:tcPr>
          <w:p>
            <w:pPr/>
          </w:p>
        </w:tc>
        <w:tc>
          <w:tcPr>
            <w:tcW w:w="6564" w:type="dxa"/>
            <w:gridSpan w:val="2"/>
            <w:tcBorders>
              <w:top w:val="nil" w:sz="6" w:space="0" w:color="auto"/>
              <w:left w:val="nil" w:sz="6" w:space="0" w:color="auto"/>
              <w:bottom w:val="nil" w:sz="6" w:space="0" w:color="auto"/>
              <w:right w:val="nil" w:sz="6" w:space="0" w:color="auto"/>
            </w:tcBorders>
          </w:tcPr>
          <w:p>
            <w:pPr>
              <w:pStyle w:val="TableParagraph"/>
              <w:tabs>
                <w:tab w:pos="5131" w:val="left" w:leader="none"/>
                <w:tab w:pos="6385" w:val="left" w:leader="none"/>
                <w:tab w:pos="7735" w:val="left" w:leader="none"/>
              </w:tabs>
              <w:spacing w:line="268" w:lineRule="exact"/>
              <w:ind w:left="3581" w:right="-117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8,891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6"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68" w:lineRule="exact"/>
              <w:ind w:right="90"/>
              <w:jc w:val="right"/>
              <w:rPr>
                <w:rFonts w:ascii="Arial" w:hAnsi="Arial" w:cs="Arial" w:eastAsia="Arial" w:hint="default"/>
                <w:sz w:val="24"/>
                <w:szCs w:val="24"/>
              </w:rPr>
            </w:pPr>
            <w:r>
              <w:rPr>
                <w:rFonts w:ascii="Arial"/>
                <w:w w:val="99"/>
                <w:sz w:val="24"/>
              </w:rPr>
            </w:r>
            <w:r>
              <w:rPr>
                <w:rFonts w:ascii="Arial"/>
                <w:w w:val="95"/>
                <w:sz w:val="24"/>
                <w:u w:val="thick" w:color="000000"/>
              </w:rPr>
              <w:t>10,392</w:t>
            </w:r>
            <w:r>
              <w:rPr>
                <w:rFonts w:ascii="Arial"/>
                <w:sz w:val="24"/>
                <w:u w:val="thick" w:color="000000"/>
              </w:rPr>
              <w:tab/>
            </w:r>
            <w:r>
              <w:rPr>
                <w:rFonts w:ascii="Arial"/>
                <w:sz w:val="24"/>
              </w:rPr>
            </w:r>
          </w:p>
        </w:tc>
      </w:tr>
      <w:tr>
        <w:trPr>
          <w:trHeight w:val="592"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24"/>
              <w:jc w:val="center"/>
              <w:rPr>
                <w:rFonts w:ascii="Arial" w:hAnsi="Arial" w:cs="Arial" w:eastAsia="Arial" w:hint="default"/>
                <w:sz w:val="24"/>
                <w:szCs w:val="24"/>
              </w:rPr>
            </w:pPr>
            <w:r>
              <w:rPr>
                <w:rFonts w:ascii="Arial"/>
                <w:sz w:val="24"/>
              </w:rPr>
              <w:t>(l)</w:t>
            </w:r>
          </w:p>
        </w:tc>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78" w:right="0"/>
              <w:jc w:val="left"/>
              <w:rPr>
                <w:rFonts w:ascii="宋体" w:hAnsi="宋体" w:cs="宋体" w:eastAsia="宋体" w:hint="default"/>
                <w:sz w:val="24"/>
                <w:szCs w:val="24"/>
              </w:rPr>
            </w:pPr>
            <w:r>
              <w:rPr>
                <w:rFonts w:ascii="宋体" w:hAnsi="宋体" w:cs="宋体" w:eastAsia="宋体" w:hint="default"/>
                <w:sz w:val="24"/>
                <w:szCs w:val="24"/>
              </w:rPr>
              <w:t>接受市场推广服务</w:t>
            </w:r>
          </w:p>
        </w:tc>
        <w:tc>
          <w:tcPr>
            <w:tcW w:w="2542"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r>
      <w:tr>
        <w:trPr>
          <w:trHeight w:val="593"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3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06"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Style w:val="TableParagraph"/>
              <w:tabs>
                <w:tab w:pos="3581" w:val="left" w:leader="none"/>
                <w:tab w:pos="4997" w:val="left" w:leader="none"/>
              </w:tabs>
              <w:spacing w:line="240" w:lineRule="auto" w:before="89"/>
              <w:ind w:left="178" w:right="-976"/>
              <w:jc w:val="left"/>
              <w:rPr>
                <w:rFonts w:ascii="Arial" w:hAnsi="Arial" w:cs="Arial" w:eastAsia="Arial" w:hint="default"/>
                <w:sz w:val="24"/>
                <w:szCs w:val="24"/>
              </w:rPr>
            </w:pPr>
            <w:r>
              <w:rPr>
                <w:rFonts w:ascii="宋体" w:hAnsi="宋体" w:cs="宋体" w:eastAsia="宋体" w:hint="default"/>
                <w:position w:val="2"/>
                <w:sz w:val="24"/>
                <w:szCs w:val="24"/>
              </w:rPr>
              <w:t>苏宁消费金融</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542" w:type="dxa"/>
            <w:tcBorders>
              <w:top w:val="nil" w:sz="6" w:space="0" w:color="auto"/>
              <w:left w:val="nil" w:sz="6" w:space="0" w:color="auto"/>
              <w:bottom w:val="nil" w:sz="6" w:space="0" w:color="auto"/>
              <w:right w:val="nil" w:sz="6" w:space="0" w:color="auto"/>
            </w:tcBorders>
          </w:tcPr>
          <w:p>
            <w:pPr>
              <w:pStyle w:val="TableParagraph"/>
              <w:tabs>
                <w:tab w:pos="1388" w:val="left" w:leader="none"/>
                <w:tab w:pos="3392" w:val="left" w:leader="none"/>
              </w:tabs>
              <w:spacing w:line="240" w:lineRule="auto" w:before="164"/>
              <w:ind w:right="-1826"/>
              <w:jc w:val="right"/>
              <w:rPr>
                <w:rFonts w:ascii="Arial" w:hAnsi="Arial" w:cs="Arial" w:eastAsia="Arial" w:hint="default"/>
                <w:sz w:val="24"/>
                <w:szCs w:val="24"/>
              </w:rPr>
            </w:pPr>
            <w:r>
              <w:rPr>
                <w:rFonts w:ascii="Arial"/>
                <w:w w:val="99"/>
                <w:sz w:val="24"/>
              </w:rPr>
            </w:r>
            <w:r>
              <w:rPr>
                <w:rFonts w:ascii="Arial"/>
                <w:w w:val="95"/>
                <w:sz w:val="24"/>
                <w:u w:val="thick" w:color="000000"/>
              </w:rPr>
              <w:t>18,524</w:t>
            </w:r>
            <w:r>
              <w:rPr>
                <w:rFonts w:ascii="Arial"/>
                <w:sz w:val="24"/>
                <w:u w:val="thick" w:color="000000"/>
              </w:rPr>
              <w:t>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6" w:type="dxa"/>
            <w:tcBorders>
              <w:top w:val="nil" w:sz="6" w:space="0" w:color="auto"/>
              <w:left w:val="nil" w:sz="6" w:space="0" w:color="auto"/>
              <w:bottom w:val="nil" w:sz="6" w:space="0" w:color="auto"/>
              <w:right w:val="nil" w:sz="6" w:space="0" w:color="auto"/>
            </w:tcBorders>
          </w:tcPr>
          <w:p>
            <w:pPr>
              <w:pStyle w:val="TableParagraph"/>
              <w:tabs>
                <w:tab w:pos="188" w:val="left" w:leader="none"/>
              </w:tabs>
              <w:spacing w:line="240" w:lineRule="auto" w:before="164"/>
              <w:ind w:right="90"/>
              <w:jc w:val="right"/>
              <w:rPr>
                <w:rFonts w:ascii="Arial" w:hAnsi="Arial" w:cs="Arial" w:eastAsia="Arial" w:hint="default"/>
                <w:sz w:val="24"/>
                <w:szCs w:val="24"/>
              </w:rPr>
            </w:pPr>
            <w:r>
              <w:rPr>
                <w:rFonts w:ascii="Arial"/>
                <w:w w:val="99"/>
                <w:sz w:val="24"/>
              </w:rPr>
            </w:r>
            <w:r>
              <w:rPr>
                <w:rFonts w:ascii="Arial"/>
                <w:sz w:val="24"/>
                <w:u w:val="thick" w:color="000000"/>
              </w:rPr>
              <w:t>-</w:t>
              <w:tab/>
            </w:r>
            <w:r>
              <w:rPr>
                <w:rFonts w:ascii="Arial"/>
                <w:sz w:val="24"/>
              </w:rPr>
            </w:r>
          </w:p>
        </w:tc>
      </w:tr>
      <w:tr>
        <w:trPr>
          <w:trHeight w:val="593"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1" w:right="0"/>
              <w:jc w:val="center"/>
              <w:rPr>
                <w:rFonts w:ascii="Arial" w:hAnsi="Arial" w:cs="Arial" w:eastAsia="Arial" w:hint="default"/>
                <w:sz w:val="24"/>
                <w:szCs w:val="24"/>
              </w:rPr>
            </w:pPr>
            <w:r>
              <w:rPr>
                <w:rFonts w:ascii="Arial"/>
                <w:sz w:val="24"/>
              </w:rPr>
              <w:t>(m)</w:t>
            </w:r>
          </w:p>
        </w:tc>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78" w:right="0"/>
              <w:jc w:val="left"/>
              <w:rPr>
                <w:rFonts w:ascii="宋体" w:hAnsi="宋体" w:cs="宋体" w:eastAsia="宋体" w:hint="default"/>
                <w:sz w:val="24"/>
                <w:szCs w:val="24"/>
              </w:rPr>
            </w:pPr>
            <w:r>
              <w:rPr>
                <w:rFonts w:ascii="宋体" w:hAnsi="宋体" w:cs="宋体" w:eastAsia="宋体" w:hint="default"/>
                <w:sz w:val="24"/>
                <w:szCs w:val="24"/>
              </w:rPr>
              <w:t>向关联方转让股权</w:t>
            </w:r>
          </w:p>
        </w:tc>
        <w:tc>
          <w:tcPr>
            <w:tcW w:w="2542"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r>
      <w:tr>
        <w:trPr>
          <w:trHeight w:val="593"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3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06"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Style w:val="TableParagraph"/>
              <w:tabs>
                <w:tab w:pos="3581" w:val="left" w:leader="none"/>
                <w:tab w:pos="4663" w:val="left" w:leader="none"/>
              </w:tabs>
              <w:spacing w:line="240" w:lineRule="auto" w:before="89"/>
              <w:ind w:left="178" w:right="-642"/>
              <w:jc w:val="left"/>
              <w:rPr>
                <w:rFonts w:ascii="Arial" w:hAnsi="Arial" w:cs="Arial" w:eastAsia="Arial" w:hint="default"/>
                <w:sz w:val="24"/>
                <w:szCs w:val="24"/>
              </w:rPr>
            </w:pPr>
            <w:r>
              <w:rPr>
                <w:rFonts w:ascii="宋体" w:hAnsi="宋体" w:cs="宋体" w:eastAsia="宋体" w:hint="default"/>
                <w:position w:val="2"/>
                <w:sz w:val="24"/>
                <w:szCs w:val="24"/>
              </w:rPr>
              <w:t>苏宁文化</w:t>
            </w:r>
            <w:r>
              <w:rPr>
                <w:rFonts w:ascii="Arial" w:hAnsi="Arial" w:cs="Arial" w:eastAsia="Arial" w:hint="default"/>
                <w:position w:val="2"/>
                <w:sz w:val="24"/>
                <w:szCs w:val="24"/>
              </w:rPr>
              <w:t>(</w:t>
            </w:r>
            <w:r>
              <w:rPr>
                <w:rFonts w:ascii="宋体" w:hAnsi="宋体" w:cs="宋体" w:eastAsia="宋体" w:hint="default"/>
                <w:position w:val="2"/>
                <w:sz w:val="24"/>
                <w:szCs w:val="24"/>
              </w:rPr>
              <w:t>附注</w:t>
            </w:r>
            <w:r>
              <w:rPr>
                <w:rFonts w:ascii="Arial" w:hAnsi="Arial" w:cs="Arial" w:eastAsia="Arial" w:hint="default"/>
                <w:position w:val="2"/>
                <w:sz w:val="24"/>
                <w:szCs w:val="24"/>
              </w:rPr>
              <w:t>(</w:t>
            </w:r>
            <w:r>
              <w:rPr>
                <w:rFonts w:ascii="宋体" w:hAnsi="宋体" w:cs="宋体" w:eastAsia="宋体" w:hint="default"/>
                <w:position w:val="2"/>
                <w:sz w:val="24"/>
                <w:szCs w:val="24"/>
              </w:rPr>
              <w:t>五</w:t>
            </w:r>
            <w:r>
              <w:rPr>
                <w:rFonts w:ascii="Arial" w:hAnsi="Arial" w:cs="Arial" w:eastAsia="Arial" w:hint="default"/>
                <w:position w:val="2"/>
                <w:sz w:val="24"/>
                <w:szCs w:val="24"/>
              </w:rPr>
              <w:t>)(2)(b))</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542" w:type="dxa"/>
            <w:tcBorders>
              <w:top w:val="nil" w:sz="6" w:space="0" w:color="auto"/>
              <w:left w:val="nil" w:sz="6" w:space="0" w:color="auto"/>
              <w:bottom w:val="nil" w:sz="6" w:space="0" w:color="auto"/>
              <w:right w:val="nil" w:sz="6" w:space="0" w:color="auto"/>
            </w:tcBorders>
          </w:tcPr>
          <w:p>
            <w:pPr>
              <w:pStyle w:val="TableParagraph"/>
              <w:tabs>
                <w:tab w:pos="1722" w:val="left" w:leader="none"/>
                <w:tab w:pos="3726" w:val="left" w:leader="none"/>
              </w:tabs>
              <w:spacing w:line="240" w:lineRule="auto" w:before="164"/>
              <w:ind w:right="-1826"/>
              <w:jc w:val="right"/>
              <w:rPr>
                <w:rFonts w:ascii="Arial" w:hAnsi="Arial" w:cs="Arial" w:eastAsia="Arial" w:hint="default"/>
                <w:sz w:val="24"/>
                <w:szCs w:val="24"/>
              </w:rPr>
            </w:pPr>
            <w:r>
              <w:rPr>
                <w:rFonts w:ascii="Arial"/>
                <w:w w:val="99"/>
                <w:sz w:val="24"/>
              </w:rPr>
            </w:r>
            <w:r>
              <w:rPr>
                <w:rFonts w:ascii="Arial"/>
                <w:spacing w:val="-1"/>
                <w:sz w:val="24"/>
                <w:u w:val="thick" w:color="000000"/>
              </w:rPr>
              <w:t>2,585,483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6" w:type="dxa"/>
            <w:tcBorders>
              <w:top w:val="nil" w:sz="6" w:space="0" w:color="auto"/>
              <w:left w:val="nil" w:sz="6" w:space="0" w:color="auto"/>
              <w:bottom w:val="nil" w:sz="6" w:space="0" w:color="auto"/>
              <w:right w:val="nil" w:sz="6" w:space="0" w:color="auto"/>
            </w:tcBorders>
          </w:tcPr>
          <w:p>
            <w:pPr>
              <w:pStyle w:val="TableParagraph"/>
              <w:tabs>
                <w:tab w:pos="188" w:val="left" w:leader="none"/>
              </w:tabs>
              <w:spacing w:line="240" w:lineRule="auto" w:before="164"/>
              <w:ind w:right="90"/>
              <w:jc w:val="right"/>
              <w:rPr>
                <w:rFonts w:ascii="Arial" w:hAnsi="Arial" w:cs="Arial" w:eastAsia="Arial" w:hint="default"/>
                <w:sz w:val="24"/>
                <w:szCs w:val="24"/>
              </w:rPr>
            </w:pPr>
            <w:r>
              <w:rPr>
                <w:rFonts w:ascii="Arial"/>
                <w:w w:val="99"/>
                <w:sz w:val="24"/>
              </w:rPr>
            </w:r>
            <w:r>
              <w:rPr>
                <w:rFonts w:ascii="Arial"/>
                <w:sz w:val="24"/>
                <w:u w:val="thick" w:color="000000"/>
              </w:rPr>
              <w:t>-</w:t>
              <w:tab/>
            </w:r>
            <w:r>
              <w:rPr>
                <w:rFonts w:ascii="Arial"/>
                <w:sz w:val="24"/>
              </w:rPr>
            </w:r>
          </w:p>
        </w:tc>
      </w:tr>
      <w:tr>
        <w:trPr>
          <w:trHeight w:val="592"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4"/>
              <w:jc w:val="center"/>
              <w:rPr>
                <w:rFonts w:ascii="Arial" w:hAnsi="Arial" w:cs="Arial" w:eastAsia="Arial" w:hint="default"/>
                <w:sz w:val="24"/>
                <w:szCs w:val="24"/>
              </w:rPr>
            </w:pPr>
            <w:r>
              <w:rPr>
                <w:rFonts w:ascii="Arial"/>
                <w:sz w:val="24"/>
              </w:rPr>
              <w:t>(n)</w:t>
            </w:r>
          </w:p>
        </w:tc>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78" w:right="0"/>
              <w:jc w:val="left"/>
              <w:rPr>
                <w:rFonts w:ascii="宋体" w:hAnsi="宋体" w:cs="宋体" w:eastAsia="宋体" w:hint="default"/>
                <w:sz w:val="24"/>
                <w:szCs w:val="24"/>
              </w:rPr>
            </w:pPr>
            <w:r>
              <w:rPr>
                <w:rFonts w:ascii="宋体" w:hAnsi="宋体" w:cs="宋体" w:eastAsia="宋体" w:hint="default"/>
                <w:sz w:val="24"/>
                <w:szCs w:val="24"/>
              </w:rPr>
              <w:t>收购关联方持有的股权</w:t>
            </w:r>
          </w:p>
        </w:tc>
        <w:tc>
          <w:tcPr>
            <w:tcW w:w="2542"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r>
      <w:tr>
        <w:trPr>
          <w:trHeight w:val="593"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3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07" w:hRule="exact"/>
        </w:trPr>
        <w:tc>
          <w:tcPr>
            <w:tcW w:w="740" w:type="dxa"/>
            <w:tcBorders>
              <w:top w:val="nil" w:sz="6" w:space="0" w:color="auto"/>
              <w:left w:val="nil" w:sz="6" w:space="0" w:color="auto"/>
              <w:bottom w:val="nil" w:sz="6" w:space="0" w:color="auto"/>
              <w:right w:val="nil" w:sz="6" w:space="0" w:color="auto"/>
            </w:tcBorders>
          </w:tcPr>
          <w:p>
            <w:pPr/>
          </w:p>
        </w:tc>
        <w:tc>
          <w:tcPr>
            <w:tcW w:w="4022" w:type="dxa"/>
            <w:tcBorders>
              <w:top w:val="nil" w:sz="6" w:space="0" w:color="auto"/>
              <w:left w:val="nil" w:sz="6" w:space="0" w:color="auto"/>
              <w:bottom w:val="nil" w:sz="6" w:space="0" w:color="auto"/>
              <w:right w:val="nil" w:sz="6" w:space="0" w:color="auto"/>
            </w:tcBorders>
          </w:tcPr>
          <w:p>
            <w:pPr>
              <w:pStyle w:val="TableParagraph"/>
              <w:tabs>
                <w:tab w:pos="3581" w:val="left" w:leader="none"/>
                <w:tab w:pos="4997" w:val="left" w:leader="none"/>
              </w:tabs>
              <w:spacing w:line="240" w:lineRule="auto" w:before="90"/>
              <w:ind w:left="178" w:right="-976"/>
              <w:jc w:val="left"/>
              <w:rPr>
                <w:rFonts w:ascii="Arial" w:hAnsi="Arial" w:cs="Arial" w:eastAsia="Arial" w:hint="default"/>
                <w:sz w:val="24"/>
                <w:szCs w:val="24"/>
              </w:rPr>
            </w:pPr>
            <w:r>
              <w:rPr>
                <w:rFonts w:ascii="宋体" w:hAnsi="宋体" w:cs="宋体" w:eastAsia="宋体" w:hint="default"/>
                <w:position w:val="2"/>
                <w:sz w:val="24"/>
                <w:szCs w:val="24"/>
              </w:rPr>
              <w:t>苏宁电器集团</w:t>
            </w:r>
            <w:r>
              <w:rPr>
                <w:rFonts w:ascii="Arial" w:hAnsi="Arial" w:cs="Arial" w:eastAsia="Arial" w:hint="default"/>
                <w:position w:val="2"/>
                <w:sz w:val="24"/>
                <w:szCs w:val="24"/>
              </w:rPr>
              <w:t>(</w:t>
            </w:r>
            <w:r>
              <w:rPr>
                <w:rFonts w:ascii="宋体" w:hAnsi="宋体" w:cs="宋体" w:eastAsia="宋体" w:hint="default"/>
                <w:position w:val="2"/>
                <w:sz w:val="24"/>
                <w:szCs w:val="24"/>
              </w:rPr>
              <w:t>附注</w:t>
            </w:r>
            <w:r>
              <w:rPr>
                <w:rFonts w:ascii="Arial" w:hAnsi="Arial" w:cs="Arial" w:eastAsia="Arial" w:hint="default"/>
                <w:position w:val="2"/>
                <w:sz w:val="24"/>
                <w:szCs w:val="24"/>
              </w:rPr>
              <w:t>(</w:t>
            </w:r>
            <w:r>
              <w:rPr>
                <w:rFonts w:ascii="宋体" w:hAnsi="宋体" w:cs="宋体" w:eastAsia="宋体" w:hint="default"/>
                <w:position w:val="2"/>
                <w:sz w:val="24"/>
                <w:szCs w:val="24"/>
              </w:rPr>
              <w:t>四</w:t>
            </w:r>
            <w:r>
              <w:rPr>
                <w:rFonts w:ascii="Arial" w:hAnsi="Arial" w:cs="Arial" w:eastAsia="Arial" w:hint="default"/>
                <w:position w:val="2"/>
                <w:sz w:val="24"/>
                <w:szCs w:val="24"/>
              </w:rPr>
              <w:t>)(40)(a))</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542" w:type="dxa"/>
            <w:tcBorders>
              <w:top w:val="nil" w:sz="6" w:space="0" w:color="auto"/>
              <w:left w:val="nil" w:sz="6" w:space="0" w:color="auto"/>
              <w:bottom w:val="nil" w:sz="6" w:space="0" w:color="auto"/>
              <w:right w:val="nil" w:sz="6" w:space="0" w:color="auto"/>
            </w:tcBorders>
          </w:tcPr>
          <w:p>
            <w:pPr>
              <w:pStyle w:val="TableParagraph"/>
              <w:tabs>
                <w:tab w:pos="1388" w:val="left" w:leader="none"/>
                <w:tab w:pos="3392" w:val="left" w:leader="none"/>
              </w:tabs>
              <w:spacing w:line="240" w:lineRule="auto" w:before="165"/>
              <w:ind w:right="-1826"/>
              <w:jc w:val="right"/>
              <w:rPr>
                <w:rFonts w:ascii="Arial" w:hAnsi="Arial" w:cs="Arial" w:eastAsia="Arial" w:hint="default"/>
                <w:sz w:val="24"/>
                <w:szCs w:val="24"/>
              </w:rPr>
            </w:pPr>
            <w:r>
              <w:rPr>
                <w:rFonts w:ascii="Arial"/>
                <w:w w:val="99"/>
                <w:sz w:val="24"/>
              </w:rPr>
            </w:r>
            <w:r>
              <w:rPr>
                <w:rFonts w:ascii="Arial"/>
                <w:w w:val="95"/>
                <w:sz w:val="24"/>
                <w:u w:val="thick" w:color="000000"/>
              </w:rPr>
              <w:t>78,148</w:t>
            </w:r>
            <w:r>
              <w:rPr>
                <w:rFonts w:ascii="Arial"/>
                <w:sz w:val="24"/>
                <w:u w:val="thick" w:color="000000"/>
              </w:rPr>
              <w:t>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6" w:type="dxa"/>
            <w:tcBorders>
              <w:top w:val="nil" w:sz="6" w:space="0" w:color="auto"/>
              <w:left w:val="nil" w:sz="6" w:space="0" w:color="auto"/>
              <w:bottom w:val="nil" w:sz="6" w:space="0" w:color="auto"/>
              <w:right w:val="nil" w:sz="6" w:space="0" w:color="auto"/>
            </w:tcBorders>
          </w:tcPr>
          <w:p>
            <w:pPr>
              <w:pStyle w:val="TableParagraph"/>
              <w:tabs>
                <w:tab w:pos="188" w:val="left" w:leader="none"/>
              </w:tabs>
              <w:spacing w:line="240" w:lineRule="auto" w:before="165"/>
              <w:ind w:right="90"/>
              <w:jc w:val="right"/>
              <w:rPr>
                <w:rFonts w:ascii="Arial" w:hAnsi="Arial" w:cs="Arial" w:eastAsia="Arial" w:hint="default"/>
                <w:sz w:val="24"/>
                <w:szCs w:val="24"/>
              </w:rPr>
            </w:pPr>
            <w:r>
              <w:rPr>
                <w:rFonts w:ascii="Arial"/>
                <w:w w:val="99"/>
                <w:sz w:val="24"/>
              </w:rPr>
            </w:r>
            <w:r>
              <w:rPr>
                <w:rFonts w:ascii="Arial"/>
                <w:sz w:val="24"/>
                <w:u w:val="thick" w:color="000000"/>
              </w:rPr>
              <w:t>-</w:t>
              <w:tab/>
            </w:r>
            <w:r>
              <w:rPr>
                <w:rFonts w:ascii="Arial"/>
                <w:sz w:val="24"/>
              </w:rPr>
            </w:r>
          </w:p>
        </w:tc>
      </w:tr>
      <w:tr>
        <w:trPr>
          <w:trHeight w:val="592"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4"/>
              <w:jc w:val="center"/>
              <w:rPr>
                <w:rFonts w:ascii="Arial" w:hAnsi="Arial" w:cs="Arial" w:eastAsia="Arial" w:hint="default"/>
                <w:sz w:val="24"/>
                <w:szCs w:val="24"/>
              </w:rPr>
            </w:pPr>
            <w:r>
              <w:rPr>
                <w:rFonts w:ascii="Arial"/>
                <w:sz w:val="24"/>
              </w:rPr>
              <w:t>(o)</w:t>
            </w:r>
          </w:p>
        </w:tc>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78" w:right="0"/>
              <w:jc w:val="left"/>
              <w:rPr>
                <w:rFonts w:ascii="宋体" w:hAnsi="宋体" w:cs="宋体" w:eastAsia="宋体" w:hint="default"/>
                <w:sz w:val="24"/>
                <w:szCs w:val="24"/>
              </w:rPr>
            </w:pPr>
            <w:r>
              <w:rPr>
                <w:rFonts w:ascii="宋体" w:hAnsi="宋体" w:cs="宋体" w:eastAsia="宋体" w:hint="default"/>
                <w:sz w:val="24"/>
                <w:szCs w:val="24"/>
              </w:rPr>
              <w:t>商标使用许可协议</w:t>
            </w:r>
          </w:p>
        </w:tc>
        <w:tc>
          <w:tcPr>
            <w:tcW w:w="2542"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r>
      <w:tr>
        <w:trPr>
          <w:trHeight w:val="1048" w:hRule="exact"/>
        </w:trPr>
        <w:tc>
          <w:tcPr>
            <w:tcW w:w="740" w:type="dxa"/>
            <w:tcBorders>
              <w:top w:val="nil" w:sz="6" w:space="0" w:color="auto"/>
              <w:left w:val="nil" w:sz="6" w:space="0" w:color="auto"/>
              <w:bottom w:val="nil" w:sz="6" w:space="0" w:color="auto"/>
              <w:right w:val="nil" w:sz="6" w:space="0" w:color="auto"/>
            </w:tcBorders>
          </w:tcPr>
          <w:p>
            <w:pPr/>
          </w:p>
        </w:tc>
        <w:tc>
          <w:tcPr>
            <w:tcW w:w="8671" w:type="dxa"/>
            <w:gridSpan w:val="3"/>
            <w:tcBorders>
              <w:top w:val="nil" w:sz="6" w:space="0" w:color="auto"/>
              <w:left w:val="nil" w:sz="6" w:space="0" w:color="auto"/>
              <w:bottom w:val="nil" w:sz="6" w:space="0" w:color="auto"/>
              <w:right w:val="nil" w:sz="6" w:space="0" w:color="auto"/>
            </w:tcBorders>
          </w:tcPr>
          <w:p>
            <w:pPr>
              <w:pStyle w:val="TableParagraph"/>
              <w:spacing w:line="232" w:lineRule="auto" w:before="107"/>
              <w:ind w:left="178" w:right="229"/>
              <w:jc w:val="both"/>
              <w:rPr>
                <w:rFonts w:ascii="宋体" w:hAnsi="宋体" w:cs="宋体" w:eastAsia="宋体" w:hint="default"/>
                <w:sz w:val="24"/>
                <w:szCs w:val="24"/>
              </w:rPr>
            </w:pPr>
            <w:r>
              <w:rPr>
                <w:rFonts w:ascii="Arial" w:hAnsi="Arial" w:cs="Arial" w:eastAsia="Arial" w:hint="default"/>
                <w:sz w:val="24"/>
                <w:szCs w:val="24"/>
              </w:rPr>
              <w:t>(1)</w:t>
            </w: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2002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4</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20</w:t>
            </w:r>
            <w:r>
              <w:rPr>
                <w:rFonts w:ascii="Arial" w:hAnsi="Arial" w:cs="Arial" w:eastAsia="Arial" w:hint="default"/>
                <w:spacing w:val="-5"/>
                <w:sz w:val="24"/>
                <w:szCs w:val="24"/>
              </w:rPr>
              <w:t> </w:t>
            </w:r>
            <w:r>
              <w:rPr>
                <w:rFonts w:ascii="宋体" w:hAnsi="宋体" w:cs="宋体" w:eastAsia="宋体" w:hint="default"/>
                <w:sz w:val="24"/>
                <w:szCs w:val="24"/>
              </w:rPr>
              <w:t>日，经本集团</w:t>
            </w:r>
            <w:r>
              <w:rPr>
                <w:rFonts w:ascii="宋体" w:hAnsi="宋体" w:cs="宋体" w:eastAsia="宋体" w:hint="default"/>
                <w:spacing w:val="-59"/>
                <w:sz w:val="24"/>
                <w:szCs w:val="24"/>
              </w:rPr>
              <w:t> </w:t>
            </w:r>
            <w:r>
              <w:rPr>
                <w:rFonts w:ascii="Arial" w:hAnsi="Arial" w:cs="Arial" w:eastAsia="Arial" w:hint="default"/>
                <w:sz w:val="24"/>
                <w:szCs w:val="24"/>
              </w:rPr>
              <w:t>2001</w:t>
            </w:r>
            <w:r>
              <w:rPr>
                <w:rFonts w:ascii="Arial" w:hAnsi="Arial" w:cs="Arial" w:eastAsia="Arial" w:hint="default"/>
                <w:spacing w:val="-6"/>
                <w:sz w:val="24"/>
                <w:szCs w:val="24"/>
              </w:rPr>
              <w:t> </w:t>
            </w:r>
            <w:r>
              <w:rPr>
                <w:rFonts w:ascii="宋体" w:hAnsi="宋体" w:cs="宋体" w:eastAsia="宋体" w:hint="default"/>
                <w:sz w:val="24"/>
                <w:szCs w:val="24"/>
              </w:rPr>
              <w:t>年年度股东大会批准，同意环球集团 </w:t>
            </w:r>
            <w:r>
              <w:rPr>
                <w:rFonts w:ascii="宋体" w:hAnsi="宋体" w:cs="宋体" w:eastAsia="宋体" w:hint="default"/>
                <w:spacing w:val="2"/>
                <w:sz w:val="24"/>
                <w:szCs w:val="24"/>
              </w:rPr>
              <w:t>及其全资、控股子公司和具有实际控制权的公司在规定的投资行业中，无偿使</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用</w:t>
            </w:r>
            <w:r>
              <w:rPr>
                <w:rFonts w:ascii="Arial" w:hAnsi="Arial" w:cs="Arial" w:eastAsia="Arial" w:hint="default"/>
                <w:sz w:val="24"/>
                <w:szCs w:val="24"/>
              </w:rPr>
              <w:t>“</w:t>
            </w:r>
            <w:r>
              <w:rPr>
                <w:rFonts w:ascii="宋体" w:hAnsi="宋体" w:cs="宋体" w:eastAsia="宋体" w:hint="default"/>
                <w:sz w:val="24"/>
                <w:szCs w:val="24"/>
              </w:rPr>
              <w:t>蘇寧</w:t>
            </w:r>
            <w:r>
              <w:rPr>
                <w:rFonts w:ascii="Arial" w:hAnsi="Arial" w:cs="Arial" w:eastAsia="Arial" w:hint="default"/>
                <w:sz w:val="24"/>
                <w:szCs w:val="24"/>
              </w:rPr>
              <w:t>”</w:t>
            </w:r>
            <w:r>
              <w:rPr>
                <w:rFonts w:ascii="宋体" w:hAnsi="宋体" w:cs="宋体" w:eastAsia="宋体" w:hint="default"/>
                <w:sz w:val="24"/>
                <w:szCs w:val="24"/>
              </w:rPr>
              <w:t>、</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及</w:t>
            </w:r>
            <w:r>
              <w:rPr>
                <w:rFonts w:ascii="Arial" w:hAnsi="Arial" w:cs="Arial" w:eastAsia="Arial" w:hint="default"/>
                <w:sz w:val="24"/>
                <w:szCs w:val="24"/>
              </w:rPr>
              <w:t>“NS”</w:t>
            </w:r>
            <w:r>
              <w:rPr>
                <w:rFonts w:ascii="宋体" w:hAnsi="宋体" w:cs="宋体" w:eastAsia="宋体" w:hint="default"/>
                <w:sz w:val="24"/>
                <w:szCs w:val="24"/>
              </w:rPr>
              <w:t>组合的系列注册商标。</w:t>
            </w:r>
          </w:p>
        </w:tc>
      </w:tr>
    </w:tbl>
    <w:p>
      <w:pPr>
        <w:spacing w:after="0" w:line="232" w:lineRule="auto"/>
        <w:jc w:val="both"/>
        <w:rPr>
          <w:rFonts w:ascii="宋体" w:hAnsi="宋体" w:cs="宋体" w:eastAsia="宋体" w:hint="default"/>
          <w:sz w:val="24"/>
          <w:szCs w:val="24"/>
        </w:rPr>
        <w:sectPr>
          <w:pgSz w:w="11910" w:h="16840"/>
          <w:pgMar w:header="755" w:footer="914" w:top="1860" w:bottom="1180" w:left="140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706"/>
        <w:gridCol w:w="8674"/>
      </w:tblGrid>
      <w:tr>
        <w:trPr>
          <w:trHeight w:val="496"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8674" w:type="dxa"/>
            <w:tcBorders>
              <w:top w:val="nil" w:sz="6" w:space="0" w:color="auto"/>
              <w:left w:val="nil" w:sz="6" w:space="0" w:color="auto"/>
              <w:bottom w:val="nil" w:sz="6" w:space="0" w:color="auto"/>
              <w:right w:val="nil" w:sz="6" w:space="0" w:color="auto"/>
            </w:tcBorders>
          </w:tcPr>
          <w:p>
            <w:pPr>
              <w:pStyle w:val="TableParagraph"/>
              <w:spacing w:line="257" w:lineRule="exact"/>
              <w:ind w:left="21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(6)</w:t>
            </w:r>
          </w:p>
        </w:tc>
        <w:tc>
          <w:tcPr>
            <w:tcW w:w="867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(o)</w:t>
            </w:r>
          </w:p>
        </w:tc>
        <w:tc>
          <w:tcPr>
            <w:tcW w:w="867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2" w:right="0"/>
              <w:jc w:val="left"/>
              <w:rPr>
                <w:rFonts w:ascii="Arial" w:hAnsi="Arial" w:cs="Arial" w:eastAsia="Arial" w:hint="default"/>
                <w:sz w:val="24"/>
                <w:szCs w:val="24"/>
              </w:rPr>
            </w:pPr>
            <w:r>
              <w:rPr>
                <w:rFonts w:ascii="宋体" w:hAnsi="宋体" w:cs="宋体" w:eastAsia="宋体" w:hint="default"/>
                <w:sz w:val="24"/>
                <w:szCs w:val="24"/>
              </w:rPr>
              <w:t>商标使用许可协议</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215" w:hRule="exact"/>
        </w:trPr>
        <w:tc>
          <w:tcPr>
            <w:tcW w:w="706" w:type="dxa"/>
            <w:tcBorders>
              <w:top w:val="nil" w:sz="6" w:space="0" w:color="auto"/>
              <w:left w:val="nil" w:sz="6" w:space="0" w:color="auto"/>
              <w:bottom w:val="nil" w:sz="6" w:space="0" w:color="auto"/>
              <w:right w:val="nil" w:sz="6" w:space="0" w:color="auto"/>
            </w:tcBorders>
          </w:tcPr>
          <w:p>
            <w:pPr/>
          </w:p>
        </w:tc>
        <w:tc>
          <w:tcPr>
            <w:tcW w:w="8674" w:type="dxa"/>
            <w:tcBorders>
              <w:top w:val="nil" w:sz="6" w:space="0" w:color="auto"/>
              <w:left w:val="nil" w:sz="6" w:space="0" w:color="auto"/>
              <w:bottom w:val="nil" w:sz="6" w:space="0" w:color="auto"/>
              <w:right w:val="nil" w:sz="6" w:space="0" w:color="auto"/>
            </w:tcBorders>
          </w:tcPr>
          <w:p>
            <w:pPr>
              <w:pStyle w:val="TableParagraph"/>
              <w:spacing w:line="232" w:lineRule="auto" w:before="181"/>
              <w:ind w:left="212" w:right="198"/>
              <w:jc w:val="both"/>
              <w:rPr>
                <w:rFonts w:ascii="宋体" w:hAnsi="宋体" w:cs="宋体" w:eastAsia="宋体" w:hint="default"/>
                <w:sz w:val="24"/>
                <w:szCs w:val="24"/>
              </w:rPr>
            </w:pPr>
            <w:r>
              <w:rPr>
                <w:rFonts w:ascii="Arial" w:hAnsi="Arial" w:cs="Arial" w:eastAsia="Arial" w:hint="default"/>
                <w:sz w:val="24"/>
                <w:szCs w:val="24"/>
              </w:rPr>
              <w:t>(2)</w:t>
            </w: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2008</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3</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20</w:t>
            </w:r>
            <w:r>
              <w:rPr>
                <w:rFonts w:ascii="Arial" w:hAnsi="Arial" w:cs="Arial" w:eastAsia="Arial" w:hint="default"/>
                <w:spacing w:val="-5"/>
                <w:sz w:val="24"/>
                <w:szCs w:val="24"/>
              </w:rPr>
              <w:t> </w:t>
            </w:r>
            <w:r>
              <w:rPr>
                <w:rFonts w:ascii="宋体" w:hAnsi="宋体" w:cs="宋体" w:eastAsia="宋体" w:hint="default"/>
                <w:sz w:val="24"/>
                <w:szCs w:val="24"/>
              </w:rPr>
              <w:t>日，经本公司</w:t>
            </w:r>
            <w:r>
              <w:rPr>
                <w:rFonts w:ascii="宋体" w:hAnsi="宋体" w:cs="宋体" w:eastAsia="宋体" w:hint="default"/>
                <w:spacing w:val="-59"/>
                <w:sz w:val="24"/>
                <w:szCs w:val="24"/>
              </w:rPr>
              <w:t> </w:t>
            </w:r>
            <w:r>
              <w:rPr>
                <w:rFonts w:ascii="Arial" w:hAnsi="Arial" w:cs="Arial" w:eastAsia="Arial" w:hint="default"/>
                <w:sz w:val="24"/>
                <w:szCs w:val="24"/>
              </w:rPr>
              <w:t>2007</w:t>
            </w:r>
            <w:r>
              <w:rPr>
                <w:rFonts w:ascii="Arial" w:hAnsi="Arial" w:cs="Arial" w:eastAsia="Arial" w:hint="default"/>
                <w:spacing w:val="-6"/>
                <w:sz w:val="24"/>
                <w:szCs w:val="24"/>
              </w:rPr>
              <w:t> </w:t>
            </w:r>
            <w:r>
              <w:rPr>
                <w:rFonts w:ascii="宋体" w:hAnsi="宋体" w:cs="宋体" w:eastAsia="宋体" w:hint="default"/>
                <w:sz w:val="24"/>
                <w:szCs w:val="24"/>
              </w:rPr>
              <w:t>年年度股东大会批准，同意许可苏宁 </w:t>
            </w:r>
            <w:r>
              <w:rPr>
                <w:rFonts w:ascii="宋体" w:hAnsi="宋体" w:cs="宋体" w:eastAsia="宋体" w:hint="default"/>
                <w:spacing w:val="2"/>
                <w:sz w:val="24"/>
                <w:szCs w:val="24"/>
              </w:rPr>
              <w:t>电器集团有限公司及其全资、控股子公司和具有实际控制权的公司使用本公司</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已注册的部分</w:t>
            </w:r>
            <w:r>
              <w:rPr>
                <w:rFonts w:ascii="Arial" w:hAnsi="Arial" w:cs="Arial" w:eastAsia="Arial" w:hint="default"/>
                <w:sz w:val="24"/>
                <w:szCs w:val="24"/>
              </w:rPr>
              <w:t>“</w:t>
            </w:r>
            <w:r>
              <w:rPr>
                <w:rFonts w:ascii="宋体" w:hAnsi="宋体" w:cs="宋体" w:eastAsia="宋体" w:hint="default"/>
                <w:sz w:val="24"/>
                <w:szCs w:val="24"/>
              </w:rPr>
              <w:t>蘇寧</w:t>
            </w:r>
            <w:r>
              <w:rPr>
                <w:rFonts w:ascii="Arial" w:hAnsi="Arial" w:cs="Arial" w:eastAsia="Arial" w:hint="default"/>
                <w:sz w:val="24"/>
                <w:szCs w:val="24"/>
              </w:rPr>
              <w:t>”</w:t>
            </w:r>
            <w:r>
              <w:rPr>
                <w:rFonts w:ascii="宋体" w:hAnsi="宋体" w:cs="宋体" w:eastAsia="宋体" w:hint="default"/>
                <w:sz w:val="24"/>
                <w:szCs w:val="24"/>
              </w:rPr>
              <w:t>系列注册商标以及部分</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及</w:t>
            </w:r>
            <w:r>
              <w:rPr>
                <w:rFonts w:ascii="Arial" w:hAnsi="Arial" w:cs="Arial" w:eastAsia="Arial" w:hint="default"/>
                <w:sz w:val="24"/>
                <w:szCs w:val="24"/>
              </w:rPr>
              <w:t>“NS”</w:t>
            </w:r>
            <w:r>
              <w:rPr>
                <w:rFonts w:ascii="宋体" w:hAnsi="宋体" w:cs="宋体" w:eastAsia="宋体" w:hint="default"/>
                <w:sz w:val="24"/>
                <w:szCs w:val="24"/>
              </w:rPr>
              <w:t>组合的系列注册商标。</w:t>
            </w: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321" w:lineRule="exact"/>
              <w:ind w:left="212"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2008</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15</w:t>
            </w:r>
            <w:r>
              <w:rPr>
                <w:rFonts w:ascii="Arial" w:hAnsi="Arial" w:cs="Arial" w:eastAsia="Arial" w:hint="default"/>
                <w:spacing w:val="-7"/>
                <w:sz w:val="24"/>
                <w:szCs w:val="24"/>
              </w:rPr>
              <w:t> </w:t>
            </w:r>
            <w:r>
              <w:rPr>
                <w:rFonts w:ascii="宋体" w:hAnsi="宋体" w:cs="宋体" w:eastAsia="宋体" w:hint="default"/>
                <w:sz w:val="24"/>
                <w:szCs w:val="24"/>
              </w:rPr>
              <w:t>日，本公司与苏宁电器集团有限公司签订《商标使用许可协</w:t>
            </w:r>
          </w:p>
          <w:p>
            <w:pPr>
              <w:pStyle w:val="TableParagraph"/>
              <w:spacing w:line="230" w:lineRule="auto" w:before="1"/>
              <w:ind w:left="212" w:right="198"/>
              <w:jc w:val="both"/>
              <w:rPr>
                <w:rFonts w:ascii="宋体" w:hAnsi="宋体" w:cs="宋体" w:eastAsia="宋体" w:hint="default"/>
                <w:sz w:val="24"/>
                <w:szCs w:val="24"/>
              </w:rPr>
            </w:pPr>
            <w:r>
              <w:rPr>
                <w:rFonts w:ascii="宋体" w:hAnsi="宋体" w:cs="宋体" w:eastAsia="宋体" w:hint="default"/>
                <w:spacing w:val="-20"/>
                <w:sz w:val="24"/>
                <w:szCs w:val="24"/>
              </w:rPr>
              <w:t>议》，约定自</w:t>
            </w:r>
            <w:r>
              <w:rPr>
                <w:rFonts w:ascii="宋体" w:hAnsi="宋体" w:cs="宋体" w:eastAsia="宋体" w:hint="default"/>
                <w:spacing w:val="-40"/>
                <w:sz w:val="24"/>
                <w:szCs w:val="24"/>
              </w:rPr>
              <w:t> </w:t>
            </w:r>
            <w:r>
              <w:rPr>
                <w:rFonts w:ascii="Arial" w:hAnsi="Arial" w:cs="Arial" w:eastAsia="Arial" w:hint="default"/>
                <w:spacing w:val="-1"/>
                <w:w w:val="99"/>
                <w:sz w:val="24"/>
                <w:szCs w:val="24"/>
              </w:rPr>
              <w:t>2008</w:t>
            </w:r>
            <w:r>
              <w:rPr>
                <w:rFonts w:ascii="Arial" w:hAnsi="Arial" w:cs="Arial" w:eastAsia="Arial" w:hint="default"/>
                <w:spacing w:val="14"/>
                <w:w w:val="99"/>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Arial" w:hAnsi="Arial" w:cs="Arial" w:eastAsia="Arial" w:hint="default"/>
                <w:w w:val="99"/>
                <w:sz w:val="24"/>
                <w:szCs w:val="24"/>
              </w:rPr>
              <w:t>6</w:t>
            </w:r>
            <w:r>
              <w:rPr>
                <w:rFonts w:ascii="Arial" w:hAnsi="Arial" w:cs="Arial" w:eastAsia="Arial" w:hint="default"/>
                <w:spacing w:val="12"/>
                <w:w w:val="99"/>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Arial" w:hAnsi="Arial" w:cs="Arial" w:eastAsia="Arial" w:hint="default"/>
                <w:w w:val="99"/>
                <w:sz w:val="24"/>
                <w:szCs w:val="24"/>
              </w:rPr>
              <w:t>1</w:t>
            </w:r>
            <w:r>
              <w:rPr>
                <w:rFonts w:ascii="Arial" w:hAnsi="Arial" w:cs="Arial" w:eastAsia="Arial" w:hint="default"/>
                <w:spacing w:val="12"/>
                <w:w w:val="99"/>
                <w:sz w:val="24"/>
                <w:szCs w:val="24"/>
              </w:rPr>
              <w:t> </w:t>
            </w:r>
            <w:r>
              <w:rPr>
                <w:rFonts w:ascii="宋体" w:hAnsi="宋体" w:cs="宋体" w:eastAsia="宋体" w:hint="default"/>
                <w:spacing w:val="-1"/>
                <w:sz w:val="24"/>
                <w:szCs w:val="24"/>
              </w:rPr>
              <w:t>日起，在本公司拥有的</w:t>
            </w:r>
            <w:r>
              <w:rPr>
                <w:rFonts w:ascii="Arial" w:hAnsi="Arial" w:cs="Arial" w:eastAsia="Arial" w:hint="default"/>
                <w:spacing w:val="-1"/>
                <w:sz w:val="24"/>
                <w:szCs w:val="24"/>
              </w:rPr>
              <w:t>“</w:t>
            </w:r>
            <w:r>
              <w:rPr>
                <w:rFonts w:ascii="宋体" w:hAnsi="宋体" w:cs="宋体" w:eastAsia="宋体" w:hint="default"/>
                <w:spacing w:val="-1"/>
                <w:sz w:val="24"/>
                <w:szCs w:val="24"/>
              </w:rPr>
              <w:t>蘇寧</w:t>
            </w:r>
            <w:r>
              <w:rPr>
                <w:rFonts w:ascii="Arial" w:hAnsi="Arial" w:cs="Arial" w:eastAsia="Arial" w:hint="default"/>
                <w:spacing w:val="-1"/>
                <w:sz w:val="24"/>
                <w:szCs w:val="24"/>
              </w:rPr>
              <w:t>”</w:t>
            </w:r>
            <w:r>
              <w:rPr>
                <w:rFonts w:ascii="宋体" w:hAnsi="宋体" w:cs="宋体" w:eastAsia="宋体" w:hint="default"/>
                <w:spacing w:val="-1"/>
                <w:sz w:val="24"/>
                <w:szCs w:val="24"/>
              </w:rPr>
              <w:t>系列注册商标以及部</w:t>
            </w:r>
            <w:r>
              <w:rPr>
                <w:rFonts w:ascii="宋体" w:hAnsi="宋体" w:cs="宋体" w:eastAsia="宋体" w:hint="default"/>
                <w:sz w:val="24"/>
                <w:szCs w:val="24"/>
              </w:rPr>
              <w:t> </w:t>
            </w:r>
            <w:r>
              <w:rPr>
                <w:rFonts w:ascii="宋体" w:hAnsi="宋体" w:cs="宋体" w:eastAsia="宋体" w:hint="default"/>
                <w:spacing w:val="-2"/>
                <w:sz w:val="24"/>
                <w:szCs w:val="24"/>
              </w:rPr>
              <w:t>分</w:t>
            </w:r>
            <w:r>
              <w:rPr>
                <w:rFonts w:ascii="Arial" w:hAnsi="Arial" w:cs="Arial" w:eastAsia="Arial" w:hint="default"/>
                <w:spacing w:val="-2"/>
                <w:sz w:val="24"/>
                <w:szCs w:val="24"/>
              </w:rPr>
              <w:t>“</w:t>
            </w:r>
            <w:r>
              <w:rPr>
                <w:rFonts w:ascii="宋体" w:hAnsi="宋体" w:cs="宋体" w:eastAsia="宋体" w:hint="default"/>
                <w:spacing w:val="-2"/>
                <w:sz w:val="24"/>
                <w:szCs w:val="24"/>
              </w:rPr>
              <w:t>苏宁</w:t>
            </w:r>
            <w:r>
              <w:rPr>
                <w:rFonts w:ascii="Arial" w:hAnsi="Arial" w:cs="Arial" w:eastAsia="Arial" w:hint="default"/>
                <w:spacing w:val="-2"/>
                <w:sz w:val="24"/>
                <w:szCs w:val="24"/>
              </w:rPr>
              <w:t>”</w:t>
            </w:r>
            <w:r>
              <w:rPr>
                <w:rFonts w:ascii="宋体" w:hAnsi="宋体" w:cs="宋体" w:eastAsia="宋体" w:hint="default"/>
                <w:spacing w:val="-2"/>
                <w:sz w:val="24"/>
                <w:szCs w:val="24"/>
              </w:rPr>
              <w:t>及</w:t>
            </w:r>
            <w:r>
              <w:rPr>
                <w:rFonts w:ascii="Arial" w:hAnsi="Arial" w:cs="Arial" w:eastAsia="Arial" w:hint="default"/>
                <w:spacing w:val="-2"/>
                <w:sz w:val="24"/>
                <w:szCs w:val="24"/>
              </w:rPr>
              <w:t>“NS”</w:t>
            </w:r>
            <w:r>
              <w:rPr>
                <w:rFonts w:ascii="宋体" w:hAnsi="宋体" w:cs="宋体" w:eastAsia="宋体" w:hint="default"/>
                <w:spacing w:val="-2"/>
                <w:sz w:val="24"/>
                <w:szCs w:val="24"/>
              </w:rPr>
              <w:t>组合的系列注册商标的专用权期限内，许可苏宁电器集团有限公</w:t>
            </w:r>
            <w:r>
              <w:rPr>
                <w:rFonts w:ascii="宋体" w:hAnsi="宋体" w:cs="宋体" w:eastAsia="宋体" w:hint="default"/>
                <w:sz w:val="24"/>
                <w:szCs w:val="24"/>
              </w:rPr>
              <w:t> </w:t>
            </w:r>
            <w:r>
              <w:rPr>
                <w:rFonts w:ascii="宋体" w:hAnsi="宋体" w:cs="宋体" w:eastAsia="宋体" w:hint="default"/>
                <w:spacing w:val="2"/>
                <w:sz w:val="24"/>
                <w:szCs w:val="24"/>
              </w:rPr>
              <w:t>司无限期有偿使用部分注册商标，苏宁电器集团有限公司每年支付本公司商标</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使用费人民币</w:t>
            </w:r>
            <w:r>
              <w:rPr>
                <w:rFonts w:ascii="宋体" w:hAnsi="宋体" w:cs="宋体" w:eastAsia="宋体" w:hint="default"/>
                <w:spacing w:val="-62"/>
                <w:sz w:val="24"/>
                <w:szCs w:val="24"/>
              </w:rPr>
              <w:t> </w:t>
            </w:r>
            <w:r>
              <w:rPr>
                <w:rFonts w:ascii="Arial" w:hAnsi="Arial" w:cs="Arial" w:eastAsia="Arial" w:hint="default"/>
                <w:sz w:val="24"/>
                <w:szCs w:val="24"/>
              </w:rPr>
              <w:t>100</w:t>
            </w:r>
            <w:r>
              <w:rPr>
                <w:rFonts w:ascii="Arial" w:hAnsi="Arial" w:cs="Arial" w:eastAsia="Arial" w:hint="default"/>
                <w:spacing w:val="-9"/>
                <w:sz w:val="24"/>
                <w:szCs w:val="24"/>
              </w:rPr>
              <w:t> </w:t>
            </w:r>
            <w:r>
              <w:rPr>
                <w:rFonts w:ascii="宋体" w:hAnsi="宋体" w:cs="宋体" w:eastAsia="宋体" w:hint="default"/>
                <w:sz w:val="24"/>
                <w:szCs w:val="24"/>
              </w:rPr>
              <w:t>万元。</w:t>
            </w:r>
          </w:p>
          <w:p>
            <w:pPr>
              <w:pStyle w:val="TableParagraph"/>
              <w:spacing w:line="240" w:lineRule="auto" w:before="10"/>
              <w:ind w:right="0"/>
              <w:jc w:val="left"/>
              <w:rPr>
                <w:rFonts w:ascii="Times New Roman" w:hAnsi="Times New Roman" w:cs="Times New Roman" w:eastAsia="Times New Roman" w:hint="default"/>
                <w:sz w:val="30"/>
                <w:szCs w:val="30"/>
              </w:rPr>
            </w:pPr>
          </w:p>
          <w:p>
            <w:pPr>
              <w:pStyle w:val="TableParagraph"/>
              <w:spacing w:line="225" w:lineRule="auto"/>
              <w:ind w:left="212" w:right="198"/>
              <w:jc w:val="both"/>
              <w:rPr>
                <w:rFonts w:ascii="宋体" w:hAnsi="宋体" w:cs="宋体" w:eastAsia="宋体" w:hint="default"/>
                <w:sz w:val="24"/>
                <w:szCs w:val="24"/>
              </w:rPr>
            </w:pPr>
            <w:r>
              <w:rPr>
                <w:rFonts w:ascii="Arial" w:hAnsi="Arial" w:cs="Arial" w:eastAsia="Arial" w:hint="default"/>
                <w:sz w:val="24"/>
                <w:szCs w:val="24"/>
              </w:rPr>
              <w:t>(3)</w:t>
            </w: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2009</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3</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日，经本公司</w:t>
            </w:r>
            <w:r>
              <w:rPr>
                <w:rFonts w:ascii="宋体" w:hAnsi="宋体" w:cs="宋体" w:eastAsia="宋体" w:hint="default"/>
                <w:spacing w:val="-59"/>
                <w:sz w:val="24"/>
                <w:szCs w:val="24"/>
              </w:rPr>
              <w:t> </w:t>
            </w:r>
            <w:r>
              <w:rPr>
                <w:rFonts w:ascii="Arial" w:hAnsi="Arial" w:cs="Arial" w:eastAsia="Arial" w:hint="default"/>
                <w:sz w:val="24"/>
                <w:szCs w:val="24"/>
              </w:rPr>
              <w:t>2008</w:t>
            </w:r>
            <w:r>
              <w:rPr>
                <w:rFonts w:ascii="Arial" w:hAnsi="Arial" w:cs="Arial" w:eastAsia="Arial" w:hint="default"/>
                <w:spacing w:val="-6"/>
                <w:sz w:val="24"/>
                <w:szCs w:val="24"/>
              </w:rPr>
              <w:t> </w:t>
            </w:r>
            <w:r>
              <w:rPr>
                <w:rFonts w:ascii="宋体" w:hAnsi="宋体" w:cs="宋体" w:eastAsia="宋体" w:hint="default"/>
                <w:sz w:val="24"/>
                <w:szCs w:val="24"/>
              </w:rPr>
              <w:t>年年度股东大会批准，同意许可苏宁 电器集团有限公司及其直接或间接持有 </w:t>
            </w:r>
            <w:r>
              <w:rPr>
                <w:rFonts w:ascii="Arial" w:hAnsi="Arial" w:cs="Arial" w:eastAsia="Arial" w:hint="default"/>
                <w:sz w:val="24"/>
                <w:szCs w:val="24"/>
              </w:rPr>
              <w:t>20%</w:t>
            </w:r>
            <w:r>
              <w:rPr>
                <w:rFonts w:ascii="宋体" w:hAnsi="宋体" w:cs="宋体" w:eastAsia="宋体" w:hint="default"/>
                <w:sz w:val="24"/>
                <w:szCs w:val="24"/>
              </w:rPr>
              <w:t>以上</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66"/>
                <w:sz w:val="24"/>
                <w:szCs w:val="24"/>
              </w:rPr>
              <w:t> </w:t>
            </w:r>
            <w:r>
              <w:rPr>
                <w:rFonts w:ascii="Arial" w:hAnsi="Arial" w:cs="Arial" w:eastAsia="Arial" w:hint="default"/>
                <w:sz w:val="24"/>
                <w:szCs w:val="24"/>
              </w:rPr>
              <w:t>20%)</w:t>
            </w:r>
            <w:r>
              <w:rPr>
                <w:rFonts w:ascii="宋体" w:hAnsi="宋体" w:cs="宋体" w:eastAsia="宋体" w:hint="default"/>
                <w:sz w:val="24"/>
                <w:szCs w:val="24"/>
              </w:rPr>
              <w:t>股份的公司使用本公</w:t>
            </w:r>
            <w:r>
              <w:rPr>
                <w:rFonts w:ascii="宋体" w:hAnsi="宋体" w:cs="宋体" w:eastAsia="宋体" w:hint="default"/>
                <w:w w:val="99"/>
                <w:sz w:val="24"/>
                <w:szCs w:val="24"/>
              </w:rPr>
              <w:t> </w:t>
            </w:r>
            <w:r>
              <w:rPr>
                <w:rFonts w:ascii="宋体" w:hAnsi="宋体" w:cs="宋体" w:eastAsia="宋体" w:hint="default"/>
                <w:sz w:val="24"/>
                <w:szCs w:val="24"/>
              </w:rPr>
              <w:t>司已注册的部分</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以及</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的汉语拼音</w:t>
            </w:r>
            <w:r>
              <w:rPr>
                <w:rFonts w:ascii="Arial" w:hAnsi="Arial" w:cs="Arial" w:eastAsia="Arial" w:hint="default"/>
                <w:sz w:val="24"/>
                <w:szCs w:val="24"/>
              </w:rPr>
              <w:t>“SUNING”</w:t>
            </w:r>
            <w:r>
              <w:rPr>
                <w:rFonts w:ascii="宋体" w:hAnsi="宋体" w:cs="宋体" w:eastAsia="宋体" w:hint="default"/>
                <w:sz w:val="24"/>
                <w:szCs w:val="24"/>
              </w:rPr>
              <w:t>系列商标。</w:t>
            </w:r>
          </w:p>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228" w:lineRule="auto"/>
              <w:ind w:left="212" w:right="19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2009</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26</w:t>
            </w:r>
            <w:r>
              <w:rPr>
                <w:rFonts w:ascii="Arial" w:hAnsi="Arial" w:cs="Arial" w:eastAsia="Arial" w:hint="default"/>
                <w:spacing w:val="-7"/>
                <w:sz w:val="24"/>
                <w:szCs w:val="24"/>
              </w:rPr>
              <w:t> </w:t>
            </w:r>
            <w:r>
              <w:rPr>
                <w:rFonts w:ascii="宋体" w:hAnsi="宋体" w:cs="宋体" w:eastAsia="宋体" w:hint="default"/>
                <w:sz w:val="24"/>
                <w:szCs w:val="24"/>
              </w:rPr>
              <w:t>日，本公司与苏宁电器集团有限公司签订《商标使用许可协 </w:t>
            </w:r>
            <w:r>
              <w:rPr>
                <w:rFonts w:ascii="宋体" w:hAnsi="宋体" w:cs="宋体" w:eastAsia="宋体" w:hint="default"/>
                <w:spacing w:val="6"/>
                <w:sz w:val="24"/>
                <w:szCs w:val="24"/>
              </w:rPr>
              <w:t>议》，约定自签订协议之日起，在本公司拥有的</w:t>
            </w:r>
            <w:r>
              <w:rPr>
                <w:rFonts w:ascii="Arial" w:hAnsi="Arial" w:cs="Arial" w:eastAsia="Arial" w:hint="default"/>
                <w:spacing w:val="6"/>
                <w:sz w:val="24"/>
                <w:szCs w:val="24"/>
              </w:rPr>
              <w:t>“</w:t>
            </w:r>
            <w:r>
              <w:rPr>
                <w:rFonts w:ascii="宋体" w:hAnsi="宋体" w:cs="宋体" w:eastAsia="宋体" w:hint="default"/>
                <w:spacing w:val="6"/>
                <w:sz w:val="24"/>
                <w:szCs w:val="24"/>
              </w:rPr>
              <w:t>苏宁</w:t>
            </w:r>
            <w:r>
              <w:rPr>
                <w:rFonts w:ascii="Arial" w:hAnsi="Arial" w:cs="Arial" w:eastAsia="Arial" w:hint="default"/>
                <w:spacing w:val="6"/>
                <w:sz w:val="24"/>
                <w:szCs w:val="24"/>
              </w:rPr>
              <w:t>”</w:t>
            </w:r>
            <w:r>
              <w:rPr>
                <w:rFonts w:ascii="宋体" w:hAnsi="宋体" w:cs="宋体" w:eastAsia="宋体" w:hint="default"/>
                <w:spacing w:val="6"/>
                <w:sz w:val="24"/>
                <w:szCs w:val="24"/>
              </w:rPr>
              <w:t>以及</w:t>
            </w:r>
            <w:r>
              <w:rPr>
                <w:rFonts w:ascii="Arial" w:hAnsi="Arial" w:cs="Arial" w:eastAsia="Arial" w:hint="default"/>
                <w:spacing w:val="6"/>
                <w:sz w:val="24"/>
                <w:szCs w:val="24"/>
              </w:rPr>
              <w:t>“</w:t>
            </w:r>
            <w:r>
              <w:rPr>
                <w:rFonts w:ascii="宋体" w:hAnsi="宋体" w:cs="宋体" w:eastAsia="宋体" w:hint="default"/>
                <w:spacing w:val="6"/>
                <w:sz w:val="24"/>
                <w:szCs w:val="24"/>
              </w:rPr>
              <w:t>苏宁</w:t>
            </w:r>
            <w:r>
              <w:rPr>
                <w:rFonts w:ascii="Arial" w:hAnsi="Arial" w:cs="Arial" w:eastAsia="Arial" w:hint="default"/>
                <w:spacing w:val="6"/>
                <w:sz w:val="24"/>
                <w:szCs w:val="24"/>
              </w:rPr>
              <w:t>”</w:t>
            </w:r>
            <w:r>
              <w:rPr>
                <w:rFonts w:ascii="宋体" w:hAnsi="宋体" w:cs="宋体" w:eastAsia="宋体" w:hint="default"/>
                <w:spacing w:val="6"/>
                <w:sz w:val="24"/>
                <w:szCs w:val="24"/>
              </w:rPr>
              <w:t>的汉语拼音</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Arial" w:hAnsi="Arial" w:cs="Arial" w:eastAsia="Arial" w:hint="default"/>
                <w:spacing w:val="-1"/>
                <w:sz w:val="24"/>
                <w:szCs w:val="24"/>
              </w:rPr>
              <w:t>“</w:t>
            </w:r>
            <w:r>
              <w:rPr>
                <w:rFonts w:ascii="Arial" w:hAnsi="Arial" w:cs="Arial" w:eastAsia="Arial" w:hint="default"/>
                <w:spacing w:val="-1"/>
                <w:sz w:val="24"/>
                <w:szCs w:val="24"/>
              </w:rPr>
              <w:t>SUNING</w:t>
            </w:r>
            <w:r>
              <w:rPr>
                <w:rFonts w:ascii="Arial" w:hAnsi="Arial" w:cs="Arial" w:eastAsia="Arial" w:hint="default"/>
                <w:spacing w:val="-1"/>
                <w:sz w:val="24"/>
                <w:szCs w:val="24"/>
              </w:rPr>
              <w:t>”</w:t>
            </w:r>
            <w:r>
              <w:rPr>
                <w:rFonts w:ascii="宋体" w:hAnsi="宋体" w:cs="宋体" w:eastAsia="宋体" w:hint="default"/>
                <w:spacing w:val="-1"/>
                <w:sz w:val="24"/>
                <w:szCs w:val="24"/>
              </w:rPr>
              <w:t>系列注册商标的专用权期限内，许可苏宁电器集团有限公司无限期有</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偿使用部分注册商标，苏宁电器集团有限公司每年支付本公司商标使用费人民</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币</w:t>
            </w:r>
            <w:r>
              <w:rPr>
                <w:rFonts w:ascii="宋体" w:hAnsi="宋体" w:cs="宋体" w:eastAsia="宋体" w:hint="default"/>
                <w:spacing w:val="-62"/>
                <w:sz w:val="24"/>
                <w:szCs w:val="24"/>
              </w:rPr>
              <w:t> </w:t>
            </w:r>
            <w:r>
              <w:rPr>
                <w:rFonts w:ascii="Arial" w:hAnsi="Arial" w:cs="Arial" w:eastAsia="Arial" w:hint="default"/>
                <w:sz w:val="24"/>
                <w:szCs w:val="24"/>
              </w:rPr>
              <w:t>100</w:t>
            </w:r>
            <w:r>
              <w:rPr>
                <w:rFonts w:ascii="Arial" w:hAnsi="Arial" w:cs="Arial" w:eastAsia="Arial" w:hint="default"/>
                <w:spacing w:val="-9"/>
                <w:sz w:val="24"/>
                <w:szCs w:val="24"/>
              </w:rPr>
              <w:t> </w:t>
            </w:r>
            <w:r>
              <w:rPr>
                <w:rFonts w:ascii="宋体" w:hAnsi="宋体" w:cs="宋体" w:eastAsia="宋体" w:hint="default"/>
                <w:sz w:val="24"/>
                <w:szCs w:val="24"/>
              </w:rPr>
              <w:t>万元。</w:t>
            </w:r>
          </w:p>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322" w:lineRule="exact"/>
              <w:ind w:left="212" w:right="0"/>
              <w:jc w:val="both"/>
              <w:rPr>
                <w:rFonts w:ascii="宋体" w:hAnsi="宋体" w:cs="宋体" w:eastAsia="宋体" w:hint="default"/>
                <w:sz w:val="24"/>
                <w:szCs w:val="24"/>
              </w:rPr>
            </w:pPr>
            <w:r>
              <w:rPr>
                <w:rFonts w:ascii="宋体" w:hAnsi="宋体" w:cs="宋体" w:eastAsia="宋体" w:hint="default"/>
                <w:spacing w:val="-4"/>
                <w:sz w:val="24"/>
                <w:szCs w:val="24"/>
              </w:rPr>
              <w:t>本报告期内，苏宁电器集团有限公司向本公司支付了</w:t>
            </w:r>
            <w:r>
              <w:rPr>
                <w:rFonts w:ascii="宋体" w:hAnsi="宋体" w:cs="宋体" w:eastAsia="宋体" w:hint="default"/>
                <w:spacing w:val="-53"/>
                <w:sz w:val="24"/>
                <w:szCs w:val="24"/>
              </w:rPr>
              <w:t> </w:t>
            </w:r>
            <w:r>
              <w:rPr>
                <w:rFonts w:ascii="Arial" w:hAnsi="Arial" w:cs="Arial" w:eastAsia="Arial" w:hint="default"/>
                <w:sz w:val="24"/>
                <w:szCs w:val="24"/>
              </w:rPr>
              <w:t>2015 </w:t>
            </w:r>
            <w:r>
              <w:rPr>
                <w:rFonts w:ascii="宋体" w:hAnsi="宋体" w:cs="宋体" w:eastAsia="宋体" w:hint="default"/>
                <w:sz w:val="24"/>
                <w:szCs w:val="24"/>
              </w:rPr>
              <w:t>年度商标使用许可费</w:t>
            </w:r>
          </w:p>
          <w:p>
            <w:pPr>
              <w:pStyle w:val="TableParagraph"/>
              <w:spacing w:line="322" w:lineRule="exact"/>
              <w:ind w:left="212" w:right="0"/>
              <w:jc w:val="both"/>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2"/>
                <w:sz w:val="24"/>
                <w:szCs w:val="24"/>
              </w:rPr>
              <w:t> </w:t>
            </w:r>
            <w:r>
              <w:rPr>
                <w:rFonts w:ascii="Arial" w:hAnsi="Arial" w:cs="Arial" w:eastAsia="Arial" w:hint="default"/>
                <w:sz w:val="24"/>
                <w:szCs w:val="24"/>
              </w:rPr>
              <w:t>200</w:t>
            </w:r>
            <w:r>
              <w:rPr>
                <w:rFonts w:ascii="Arial" w:hAnsi="Arial" w:cs="Arial" w:eastAsia="Arial" w:hint="default"/>
                <w:spacing w:val="-9"/>
                <w:sz w:val="24"/>
                <w:szCs w:val="24"/>
              </w:rPr>
              <w:t> </w:t>
            </w:r>
            <w:r>
              <w:rPr>
                <w:rFonts w:ascii="宋体" w:hAnsi="宋体" w:cs="宋体" w:eastAsia="宋体" w:hint="default"/>
                <w:sz w:val="24"/>
                <w:szCs w:val="24"/>
              </w:rPr>
              <w:t>万元。</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193" w:type="dxa"/>
        <w:tblLayout w:type="fixed"/>
        <w:tblCellMar>
          <w:top w:w="0" w:type="dxa"/>
          <w:left w:w="0" w:type="dxa"/>
          <w:bottom w:w="0" w:type="dxa"/>
          <w:right w:w="0" w:type="dxa"/>
        </w:tblCellMar>
        <w:tblLook w:val="01E0"/>
      </w:tblPr>
      <w:tblGrid>
        <w:gridCol w:w="658"/>
        <w:gridCol w:w="4345"/>
        <w:gridCol w:w="2201"/>
        <w:gridCol w:w="229"/>
        <w:gridCol w:w="2201"/>
      </w:tblGrid>
      <w:tr>
        <w:trPr>
          <w:trHeight w:val="501" w:hRule="exact"/>
        </w:trPr>
        <w:tc>
          <w:tcPr>
            <w:tcW w:w="65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(p)</w:t>
            </w:r>
          </w:p>
        </w:tc>
        <w:tc>
          <w:tcPr>
            <w:tcW w:w="4345" w:type="dxa"/>
            <w:tcBorders>
              <w:top w:val="nil" w:sz="6" w:space="0" w:color="auto"/>
              <w:left w:val="nil" w:sz="6" w:space="0" w:color="auto"/>
              <w:bottom w:val="nil" w:sz="6" w:space="0" w:color="auto"/>
              <w:right w:val="nil" w:sz="6" w:space="0" w:color="auto"/>
            </w:tcBorders>
          </w:tcPr>
          <w:p>
            <w:pPr>
              <w:pStyle w:val="TableParagraph"/>
              <w:spacing w:line="247" w:lineRule="exact"/>
              <w:ind w:left="164"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2201"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r>
      <w:tr>
        <w:trPr>
          <w:trHeight w:val="753" w:hRule="exact"/>
        </w:trPr>
        <w:tc>
          <w:tcPr>
            <w:tcW w:w="658"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6"/>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8" w:hRule="exact"/>
        </w:trPr>
        <w:tc>
          <w:tcPr>
            <w:tcW w:w="658"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64"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220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24"/>
                <w:szCs w:val="24"/>
              </w:rPr>
            </w:pPr>
            <w:r>
              <w:rPr>
                <w:rFonts w:ascii="Arial"/>
                <w:spacing w:val="-1"/>
                <w:sz w:val="24"/>
              </w:rPr>
              <w:t>8,550</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24"/>
                <w:szCs w:val="24"/>
              </w:rPr>
            </w:pPr>
            <w:r>
              <w:rPr>
                <w:rFonts w:ascii="Arial"/>
                <w:spacing w:val="-1"/>
                <w:sz w:val="24"/>
              </w:rPr>
              <w:t>8,550</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14" w:top="1860" w:bottom="1180" w:left="140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59" w:type="dxa"/>
        <w:tblLayout w:type="fixed"/>
        <w:tblCellMar>
          <w:top w:w="0" w:type="dxa"/>
          <w:left w:w="0" w:type="dxa"/>
          <w:bottom w:w="0" w:type="dxa"/>
          <w:right w:w="0" w:type="dxa"/>
        </w:tblCellMar>
        <w:tblLook w:val="01E0"/>
      </w:tblPr>
      <w:tblGrid>
        <w:gridCol w:w="695"/>
        <w:gridCol w:w="3015"/>
      </w:tblGrid>
      <w:tr>
        <w:trPr>
          <w:trHeight w:val="252"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015" w:type="dxa"/>
            <w:tcBorders>
              <w:top w:val="nil" w:sz="6" w:space="0" w:color="auto"/>
              <w:left w:val="nil" w:sz="6" w:space="0" w:color="auto"/>
              <w:bottom w:val="nil" w:sz="6" w:space="0" w:color="auto"/>
              <w:right w:val="nil" w:sz="6" w:space="0" w:color="auto"/>
            </w:tcBorders>
          </w:tcPr>
          <w:p>
            <w:pPr>
              <w:pStyle w:val="TableParagraph"/>
              <w:spacing w:line="257" w:lineRule="exact"/>
              <w:ind w:left="25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718"/>
        <w:gridCol w:w="3304"/>
      </w:tblGrid>
      <w:tr>
        <w:trPr>
          <w:trHeight w:val="247"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(7)</w:t>
            </w:r>
          </w:p>
        </w:tc>
        <w:tc>
          <w:tcPr>
            <w:tcW w:w="3304" w:type="dxa"/>
            <w:tcBorders>
              <w:top w:val="nil" w:sz="6" w:space="0" w:color="auto"/>
              <w:left w:val="nil" w:sz="6" w:space="0" w:color="auto"/>
              <w:bottom w:val="nil" w:sz="6" w:space="0" w:color="auto"/>
              <w:right w:val="nil" w:sz="6" w:space="0" w:color="auto"/>
            </w:tcBorders>
          </w:tcPr>
          <w:p>
            <w:pPr>
              <w:pStyle w:val="TableParagraph"/>
              <w:spacing w:line="247" w:lineRule="exact"/>
              <w:ind w:left="224" w:right="0"/>
              <w:jc w:val="left"/>
              <w:rPr>
                <w:rFonts w:ascii="黑体" w:hAnsi="黑体" w:cs="黑体" w:eastAsia="黑体" w:hint="default"/>
                <w:sz w:val="24"/>
                <w:szCs w:val="24"/>
              </w:rPr>
            </w:pPr>
            <w:r>
              <w:rPr>
                <w:rFonts w:ascii="黑体" w:hAnsi="黑体" w:cs="黑体" w:eastAsia="黑体" w:hint="default"/>
                <w:sz w:val="24"/>
                <w:szCs w:val="24"/>
              </w:rPr>
              <w:t>应收、应付关联方款项余额</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855" w:type="dxa"/>
        <w:tblLayout w:type="fixed"/>
        <w:tblCellMar>
          <w:top w:w="0" w:type="dxa"/>
          <w:left w:w="0" w:type="dxa"/>
          <w:bottom w:w="0" w:type="dxa"/>
          <w:right w:w="0" w:type="dxa"/>
        </w:tblCellMar>
        <w:tblLook w:val="01E0"/>
      </w:tblPr>
      <w:tblGrid>
        <w:gridCol w:w="1514"/>
        <w:gridCol w:w="2834"/>
        <w:gridCol w:w="2187"/>
        <w:gridCol w:w="203"/>
        <w:gridCol w:w="2274"/>
      </w:tblGrid>
      <w:tr>
        <w:trPr>
          <w:trHeight w:val="413" w:hRule="exact"/>
        </w:trPr>
        <w:tc>
          <w:tcPr>
            <w:tcW w:w="9012" w:type="dxa"/>
            <w:gridSpan w:val="5"/>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应收关联方款项：</w:t>
            </w:r>
          </w:p>
        </w:tc>
      </w:tr>
      <w:tr>
        <w:trPr>
          <w:trHeight w:val="593" w:hRule="exact"/>
        </w:trPr>
        <w:tc>
          <w:tcPr>
            <w:tcW w:w="1514" w:type="dxa"/>
            <w:tcBorders>
              <w:top w:val="nil" w:sz="6" w:space="0" w:color="auto"/>
              <w:left w:val="nil" w:sz="6" w:space="0" w:color="auto"/>
              <w:bottom w:val="nil" w:sz="6" w:space="0" w:color="auto"/>
              <w:right w:val="nil" w:sz="6" w:space="0" w:color="auto"/>
            </w:tcBorders>
          </w:tcPr>
          <w:p>
            <w:pPr/>
          </w:p>
        </w:tc>
        <w:tc>
          <w:tcPr>
            <w:tcW w:w="5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2841"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3" w:right="0"/>
              <w:jc w:val="left"/>
              <w:rPr>
                <w:rFonts w:ascii="宋体" w:hAnsi="宋体" w:cs="宋体" w:eastAsia="宋体" w:hint="default"/>
                <w:sz w:val="24"/>
                <w:szCs w:val="24"/>
              </w:rPr>
            </w:pPr>
            <w:r>
              <w:rPr>
                <w:rFonts w:ascii="宋体" w:hAnsi="宋体" w:cs="宋体" w:eastAsia="宋体" w:hint="default"/>
                <w:sz w:val="24"/>
                <w:szCs w:val="24"/>
              </w:rPr>
              <w:t>江苏苏宁建材</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33"/>
              <w:jc w:val="right"/>
              <w:rPr>
                <w:rFonts w:ascii="Arial" w:hAnsi="Arial" w:cs="Arial" w:eastAsia="Arial" w:hint="default"/>
                <w:sz w:val="24"/>
                <w:szCs w:val="24"/>
              </w:rPr>
            </w:pPr>
            <w:r>
              <w:rPr>
                <w:rFonts w:ascii="Arial"/>
                <w:spacing w:val="-4"/>
                <w:sz w:val="24"/>
              </w:rPr>
              <w:t>11,771</w:t>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上海突触</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24"/>
                <w:szCs w:val="24"/>
              </w:rPr>
            </w:pPr>
            <w:r>
              <w:rPr>
                <w:rFonts w:ascii="Arial"/>
                <w:spacing w:val="-4"/>
                <w:sz w:val="24"/>
              </w:rPr>
              <w:t>11,573</w:t>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上海聚力</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Arial" w:hAnsi="Arial" w:cs="Arial" w:eastAsia="Arial" w:hint="default"/>
                <w:sz w:val="24"/>
                <w:szCs w:val="24"/>
              </w:rPr>
            </w:pPr>
            <w:r>
              <w:rPr>
                <w:rFonts w:ascii="Arial"/>
                <w:w w:val="95"/>
                <w:sz w:val="24"/>
              </w:rPr>
              <w:t>9,160</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上海通视铭泰</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Arial" w:hAnsi="Arial" w:cs="Arial" w:eastAsia="Arial" w:hint="default"/>
                <w:sz w:val="24"/>
                <w:szCs w:val="24"/>
              </w:rPr>
            </w:pPr>
            <w:r>
              <w:rPr>
                <w:rFonts w:ascii="Arial"/>
                <w:spacing w:val="-1"/>
                <w:sz w:val="24"/>
              </w:rPr>
              <w:t>3,154</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钟山高尔夫置业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24"/>
                <w:szCs w:val="24"/>
              </w:rPr>
            </w:pPr>
            <w:r>
              <w:rPr>
                <w:rFonts w:ascii="Arial"/>
                <w:spacing w:val="-1"/>
                <w:w w:val="95"/>
                <w:sz w:val="24"/>
              </w:rPr>
              <w:t>786</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spacing w:val="-1"/>
                <w:w w:val="95"/>
                <w:sz w:val="24"/>
              </w:rPr>
              <w:t>232</w:t>
            </w:r>
            <w:r>
              <w:rPr>
                <w:rFonts w:ascii="Arial"/>
                <w:sz w:val="24"/>
              </w:rPr>
            </w:r>
          </w:p>
        </w:tc>
      </w:tr>
      <w:tr>
        <w:trPr>
          <w:trHeight w:val="3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24"/>
                <w:szCs w:val="24"/>
              </w:rPr>
            </w:pPr>
            <w:r>
              <w:rPr>
                <w:rFonts w:ascii="Arial"/>
                <w:spacing w:val="-1"/>
                <w:w w:val="95"/>
                <w:sz w:val="24"/>
              </w:rPr>
              <w:t>732</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24"/>
                <w:szCs w:val="24"/>
              </w:rPr>
            </w:pPr>
            <w:r>
              <w:rPr>
                <w:rFonts w:ascii="Arial"/>
                <w:spacing w:val="-1"/>
                <w:w w:val="95"/>
                <w:sz w:val="24"/>
              </w:rPr>
              <w:t>494</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spacing w:val="-1"/>
                <w:w w:val="95"/>
                <w:sz w:val="24"/>
              </w:rPr>
              <w:t>264</w:t>
            </w:r>
            <w:r>
              <w:rPr>
                <w:rFonts w:ascii="Arial"/>
                <w:sz w:val="24"/>
              </w:rPr>
            </w:r>
          </w:p>
        </w:tc>
      </w:tr>
      <w:tr>
        <w:trPr>
          <w:trHeight w:val="312"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24"/>
                <w:szCs w:val="24"/>
              </w:rPr>
            </w:pPr>
            <w:r>
              <w:rPr>
                <w:rFonts w:ascii="Arial"/>
                <w:spacing w:val="-1"/>
                <w:w w:val="95"/>
                <w:sz w:val="24"/>
              </w:rPr>
              <w:t>188</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spacing w:val="-1"/>
                <w:w w:val="95"/>
                <w:sz w:val="24"/>
              </w:rPr>
              <w:t>137</w:t>
            </w:r>
            <w:r>
              <w:rPr>
                <w:rFonts w:ascii="Arial"/>
                <w:sz w:val="24"/>
              </w:rPr>
            </w:r>
          </w:p>
        </w:tc>
      </w:tr>
      <w:tr>
        <w:trPr>
          <w:trHeight w:val="3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24"/>
                <w:szCs w:val="24"/>
              </w:rPr>
            </w:pPr>
            <w:r>
              <w:rPr>
                <w:rFonts w:ascii="Arial"/>
                <w:spacing w:val="-1"/>
                <w:w w:val="95"/>
                <w:sz w:val="24"/>
              </w:rPr>
              <w:t>149</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5"/>
                <w:sz w:val="24"/>
              </w:rPr>
              <w:t>2,415</w:t>
            </w:r>
            <w:r>
              <w:rPr>
                <w:rFonts w:ascii="Arial"/>
                <w:sz w:val="24"/>
              </w:rPr>
            </w:r>
          </w:p>
        </w:tc>
      </w:tr>
      <w:tr>
        <w:trPr>
          <w:trHeight w:val="312"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24"/>
                <w:szCs w:val="24"/>
              </w:rPr>
            </w:pPr>
            <w:r>
              <w:rPr>
                <w:rFonts w:ascii="Arial"/>
                <w:spacing w:val="-7"/>
                <w:sz w:val="24"/>
              </w:rPr>
              <w:t>118</w:t>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Arial" w:hAnsi="Arial" w:cs="Arial" w:eastAsia="Arial" w:hint="default"/>
                <w:sz w:val="24"/>
                <w:szCs w:val="24"/>
              </w:rPr>
            </w:pPr>
            <w:r>
              <w:rPr>
                <w:rFonts w:ascii="Arial"/>
                <w:spacing w:val="-1"/>
                <w:w w:val="95"/>
                <w:sz w:val="24"/>
              </w:rPr>
              <w:t>77</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07"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沃德置业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Arial" w:hAnsi="Arial" w:cs="Arial" w:eastAsia="Arial" w:hint="default"/>
                <w:sz w:val="24"/>
                <w:szCs w:val="24"/>
              </w:rPr>
            </w:pPr>
            <w:r>
              <w:rPr>
                <w:rFonts w:ascii="Arial"/>
                <w:spacing w:val="-1"/>
                <w:w w:val="95"/>
                <w:sz w:val="24"/>
              </w:rPr>
              <w:t>50</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spacing w:val="-1"/>
                <w:w w:val="95"/>
                <w:sz w:val="24"/>
              </w:rPr>
              <w:t>13</w:t>
            </w:r>
            <w:r>
              <w:rPr>
                <w:rFonts w:ascii="Arial"/>
                <w:sz w:val="24"/>
              </w:rPr>
            </w:r>
          </w:p>
        </w:tc>
      </w:tr>
      <w:tr>
        <w:trPr>
          <w:trHeight w:val="312"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5" w:lineRule="exact"/>
              <w:ind w:left="353" w:right="0"/>
              <w:jc w:val="left"/>
              <w:rPr>
                <w:rFonts w:ascii="宋体" w:hAnsi="宋体" w:cs="宋体" w:eastAsia="宋体" w:hint="default"/>
                <w:sz w:val="24"/>
                <w:szCs w:val="24"/>
              </w:rPr>
            </w:pPr>
            <w:r>
              <w:rPr>
                <w:rFonts w:ascii="宋体" w:hAnsi="宋体" w:cs="宋体" w:eastAsia="宋体" w:hint="default"/>
                <w:sz w:val="24"/>
                <w:szCs w:val="24"/>
              </w:rPr>
              <w:t>徐州苏宁置业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2"/>
              <w:jc w:val="right"/>
              <w:rPr>
                <w:rFonts w:ascii="Arial" w:hAnsi="Arial" w:cs="Arial" w:eastAsia="Arial" w:hint="default"/>
                <w:sz w:val="24"/>
                <w:szCs w:val="24"/>
              </w:rPr>
            </w:pPr>
            <w:r>
              <w:rPr>
                <w:rFonts w:ascii="Arial"/>
                <w:spacing w:val="-1"/>
                <w:w w:val="95"/>
                <w:sz w:val="24"/>
              </w:rPr>
              <w:t>34</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63" w:lineRule="exact"/>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5" w:lineRule="exact"/>
              <w:ind w:left="353"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2"/>
              <w:jc w:val="right"/>
              <w:rPr>
                <w:rFonts w:ascii="Arial" w:hAnsi="Arial" w:cs="Arial" w:eastAsia="Arial" w:hint="default"/>
                <w:sz w:val="24"/>
                <w:szCs w:val="24"/>
              </w:rPr>
            </w:pPr>
            <w:r>
              <w:rPr>
                <w:rFonts w:ascii="Arial"/>
                <w:spacing w:val="-1"/>
                <w:w w:val="95"/>
                <w:sz w:val="24"/>
              </w:rPr>
              <w:t>32</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63" w:lineRule="exact"/>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5"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5" w:lineRule="exact"/>
              <w:ind w:left="353" w:right="0"/>
              <w:jc w:val="left"/>
              <w:rPr>
                <w:rFonts w:ascii="宋体" w:hAnsi="宋体" w:cs="宋体" w:eastAsia="宋体" w:hint="default"/>
                <w:sz w:val="24"/>
                <w:szCs w:val="24"/>
              </w:rPr>
            </w:pPr>
            <w:r>
              <w:rPr>
                <w:rFonts w:ascii="宋体" w:hAnsi="宋体" w:cs="宋体" w:eastAsia="宋体" w:hint="default"/>
                <w:sz w:val="24"/>
                <w:szCs w:val="24"/>
              </w:rPr>
              <w:t>无锡苏宁商业管理</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2"/>
              <w:jc w:val="right"/>
              <w:rPr>
                <w:rFonts w:ascii="Arial" w:hAnsi="Arial" w:cs="Arial" w:eastAsia="Arial" w:hint="default"/>
                <w:sz w:val="24"/>
                <w:szCs w:val="24"/>
              </w:rPr>
            </w:pPr>
            <w:r>
              <w:rPr>
                <w:rFonts w:ascii="Arial"/>
                <w:spacing w:val="-1"/>
                <w:w w:val="95"/>
                <w:sz w:val="24"/>
              </w:rPr>
              <w:t>24</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63" w:lineRule="exact"/>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2"/>
              <w:jc w:val="right"/>
              <w:rPr>
                <w:rFonts w:ascii="Arial" w:hAnsi="Arial" w:cs="Arial" w:eastAsia="Arial" w:hint="default"/>
                <w:sz w:val="24"/>
                <w:szCs w:val="24"/>
              </w:rPr>
            </w:pPr>
            <w:r>
              <w:rPr>
                <w:rFonts w:ascii="Arial"/>
                <w:spacing w:val="-1"/>
                <w:w w:val="95"/>
                <w:sz w:val="24"/>
              </w:rPr>
              <w:t>17</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w w:val="95"/>
                <w:sz w:val="24"/>
              </w:rPr>
              <w:t>2,201</w:t>
            </w:r>
            <w:r>
              <w:rPr>
                <w:rFonts w:ascii="Arial"/>
                <w:sz w:val="24"/>
              </w:rPr>
            </w:r>
          </w:p>
        </w:tc>
      </w:tr>
      <w:tr>
        <w:trPr>
          <w:trHeight w:val="307"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2" w:lineRule="exact"/>
              <w:ind w:left="353"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Arial" w:hAnsi="Arial" w:cs="Arial" w:eastAsia="Arial" w:hint="default"/>
                <w:sz w:val="24"/>
                <w:szCs w:val="24"/>
              </w:rPr>
            </w:pPr>
            <w:r>
              <w:rPr>
                <w:rFonts w:ascii="Arial"/>
                <w:w w:val="99"/>
                <w:sz w:val="24"/>
              </w:rPr>
              <w:t>2</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spacing w:val="-1"/>
                <w:w w:val="95"/>
                <w:sz w:val="24"/>
              </w:rPr>
              <w:t>36</w:t>
            </w:r>
            <w:r>
              <w:rPr>
                <w:rFonts w:ascii="Arial"/>
                <w:sz w:val="24"/>
              </w:rPr>
            </w:r>
          </w:p>
        </w:tc>
      </w:tr>
      <w:tr>
        <w:trPr>
          <w:trHeight w:val="312"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5" w:lineRule="exact"/>
              <w:ind w:left="353" w:right="0"/>
              <w:jc w:val="left"/>
              <w:rPr>
                <w:rFonts w:ascii="宋体" w:hAnsi="宋体" w:cs="宋体" w:eastAsia="宋体" w:hint="default"/>
                <w:sz w:val="24"/>
                <w:szCs w:val="24"/>
              </w:rPr>
            </w:pPr>
            <w:r>
              <w:rPr>
                <w:rFonts w:ascii="宋体" w:hAnsi="宋体" w:cs="宋体" w:eastAsia="宋体" w:hint="default"/>
                <w:sz w:val="24"/>
                <w:szCs w:val="24"/>
              </w:rPr>
              <w:t>连云港苏宁置业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63" w:lineRule="exact"/>
              <w:ind w:right="132"/>
              <w:jc w:val="right"/>
              <w:rPr>
                <w:rFonts w:ascii="Arial" w:hAnsi="Arial" w:cs="Arial" w:eastAsia="Arial" w:hint="default"/>
                <w:sz w:val="24"/>
                <w:szCs w:val="24"/>
              </w:rPr>
            </w:pPr>
            <w:r>
              <w:rPr>
                <w:rFonts w:ascii="Arial"/>
                <w:w w:val="99"/>
                <w:sz w:val="24"/>
              </w:rPr>
              <w:t>-</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Arial" w:hAnsi="Arial" w:cs="Arial" w:eastAsia="Arial" w:hint="default"/>
                <w:sz w:val="24"/>
                <w:szCs w:val="24"/>
              </w:rPr>
            </w:pPr>
            <w:r>
              <w:rPr>
                <w:rFonts w:ascii="Arial"/>
                <w:w w:val="95"/>
                <w:sz w:val="24"/>
              </w:rPr>
              <w:t>4,438</w:t>
            </w:r>
            <w:r>
              <w:rPr>
                <w:rFonts w:ascii="Arial"/>
                <w:sz w:val="24"/>
              </w:rPr>
            </w:r>
          </w:p>
        </w:tc>
      </w:tr>
      <w:tr>
        <w:trPr>
          <w:trHeight w:val="3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5" w:lineRule="exact"/>
              <w:ind w:left="353"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63" w:lineRule="exact"/>
              <w:ind w:right="132"/>
              <w:jc w:val="right"/>
              <w:rPr>
                <w:rFonts w:ascii="Arial" w:hAnsi="Arial" w:cs="Arial" w:eastAsia="Arial" w:hint="default"/>
                <w:sz w:val="24"/>
                <w:szCs w:val="24"/>
              </w:rPr>
            </w:pPr>
            <w:r>
              <w:rPr>
                <w:rFonts w:ascii="Arial"/>
                <w:w w:val="99"/>
                <w:sz w:val="24"/>
              </w:rPr>
              <w:t>-</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6"/>
              <w:jc w:val="right"/>
              <w:rPr>
                <w:rFonts w:ascii="Arial" w:hAnsi="Arial" w:cs="Arial" w:eastAsia="Arial" w:hint="default"/>
                <w:sz w:val="24"/>
                <w:szCs w:val="24"/>
              </w:rPr>
            </w:pPr>
            <w:r>
              <w:rPr>
                <w:rFonts w:ascii="Arial"/>
                <w:spacing w:val="-1"/>
                <w:w w:val="95"/>
                <w:sz w:val="24"/>
              </w:rPr>
              <w:t>349</w:t>
            </w:r>
            <w:r>
              <w:rPr>
                <w:rFonts w:ascii="Arial"/>
                <w:sz w:val="24"/>
              </w:rPr>
            </w:r>
          </w:p>
        </w:tc>
      </w:tr>
      <w:tr>
        <w:trPr>
          <w:trHeight w:val="306"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5" w:lineRule="exact"/>
              <w:ind w:left="353"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187" w:type="dxa"/>
            <w:tcBorders>
              <w:top w:val="nil" w:sz="6" w:space="0" w:color="auto"/>
              <w:left w:val="nil" w:sz="6" w:space="0" w:color="auto"/>
              <w:bottom w:val="single" w:sz="4" w:space="0" w:color="000000"/>
              <w:right w:val="nil" w:sz="6" w:space="0" w:color="auto"/>
            </w:tcBorders>
          </w:tcPr>
          <w:p>
            <w:pPr>
              <w:pStyle w:val="TableParagraph"/>
              <w:spacing w:line="263" w:lineRule="exact"/>
              <w:ind w:right="132"/>
              <w:jc w:val="right"/>
              <w:rPr>
                <w:rFonts w:ascii="Arial" w:hAnsi="Arial" w:cs="Arial" w:eastAsia="Arial" w:hint="default"/>
                <w:sz w:val="24"/>
                <w:szCs w:val="24"/>
              </w:rPr>
            </w:pPr>
            <w:r>
              <w:rPr>
                <w:rFonts w:ascii="Arial"/>
                <w:w w:val="99"/>
                <w:sz w:val="24"/>
              </w:rPr>
              <w:t>-</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55"/>
              <w:jc w:val="right"/>
              <w:rPr>
                <w:rFonts w:ascii="Arial" w:hAnsi="Arial" w:cs="Arial" w:eastAsia="Arial" w:hint="default"/>
                <w:sz w:val="24"/>
                <w:szCs w:val="24"/>
              </w:rPr>
            </w:pPr>
            <w:r>
              <w:rPr>
                <w:rFonts w:ascii="Arial"/>
                <w:spacing w:val="-1"/>
                <w:w w:val="95"/>
                <w:sz w:val="24"/>
              </w:rPr>
              <w:t>13</w:t>
            </w:r>
            <w:r>
              <w:rPr>
                <w:rFonts w:ascii="Arial"/>
                <w:sz w:val="24"/>
              </w:rPr>
            </w:r>
          </w:p>
        </w:tc>
      </w:tr>
      <w:tr>
        <w:trPr>
          <w:trHeight w:val="297" w:hRule="exact"/>
        </w:trPr>
        <w:tc>
          <w:tcPr>
            <w:tcW w:w="1514"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32"/>
              <w:jc w:val="right"/>
              <w:rPr>
                <w:rFonts w:ascii="Arial" w:hAnsi="Arial" w:cs="Arial" w:eastAsia="Arial" w:hint="default"/>
                <w:sz w:val="24"/>
                <w:szCs w:val="24"/>
              </w:rPr>
            </w:pPr>
            <w:r>
              <w:rPr>
                <w:rFonts w:ascii="Arial"/>
                <w:w w:val="95"/>
                <w:sz w:val="24"/>
              </w:rPr>
              <w:t>38,361</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56"/>
              <w:jc w:val="right"/>
              <w:rPr>
                <w:rFonts w:ascii="Arial" w:hAnsi="Arial" w:cs="Arial" w:eastAsia="Arial" w:hint="default"/>
                <w:sz w:val="24"/>
                <w:szCs w:val="24"/>
              </w:rPr>
            </w:pPr>
            <w:r>
              <w:rPr>
                <w:rFonts w:ascii="Arial"/>
                <w:w w:val="95"/>
                <w:sz w:val="24"/>
              </w:rPr>
              <w:t>10,098</w:t>
            </w:r>
            <w:r>
              <w:rPr>
                <w:rFonts w:ascii="Arial"/>
                <w:sz w:val="24"/>
              </w:rPr>
            </w:r>
          </w:p>
        </w:tc>
      </w:tr>
      <w:tr>
        <w:trPr>
          <w:trHeight w:val="6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3" w:right="0"/>
              <w:jc w:val="left"/>
              <w:rPr>
                <w:rFonts w:ascii="宋体" w:hAnsi="宋体" w:cs="宋体" w:eastAsia="宋体" w:hint="default"/>
                <w:sz w:val="24"/>
                <w:szCs w:val="24"/>
              </w:rPr>
            </w:pPr>
            <w:r>
              <w:rPr>
                <w:rFonts w:ascii="宋体" w:hAnsi="宋体" w:cs="宋体" w:eastAsia="宋体" w:hint="default"/>
                <w:sz w:val="24"/>
                <w:szCs w:val="24"/>
              </w:rPr>
              <w:t>锤子科技</w:t>
            </w:r>
          </w:p>
        </w:tc>
        <w:tc>
          <w:tcPr>
            <w:tcW w:w="2187"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3"/>
              <w:jc w:val="right"/>
              <w:rPr>
                <w:rFonts w:ascii="Arial" w:hAnsi="Arial" w:cs="Arial" w:eastAsia="Arial" w:hint="default"/>
                <w:sz w:val="24"/>
                <w:szCs w:val="24"/>
              </w:rPr>
            </w:pPr>
            <w:r>
              <w:rPr>
                <w:rFonts w:ascii="Arial"/>
                <w:spacing w:val="-1"/>
                <w:sz w:val="24"/>
              </w:rPr>
              <w:t>10,573</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7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5" w:lineRule="exact"/>
              <w:ind w:left="353"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24"/>
                <w:szCs w:val="24"/>
              </w:rPr>
            </w:pPr>
            <w:r>
              <w:rPr>
                <w:rFonts w:ascii="Arial"/>
                <w:w w:val="95"/>
                <w:sz w:val="24"/>
              </w:rPr>
              <w:t>1,000</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63" w:lineRule="exact"/>
              <w:ind w:right="76"/>
              <w:jc w:val="right"/>
              <w:rPr>
                <w:rFonts w:ascii="Arial" w:hAnsi="Arial" w:cs="Arial" w:eastAsia="Arial" w:hint="default"/>
                <w:sz w:val="24"/>
                <w:szCs w:val="24"/>
              </w:rPr>
            </w:pPr>
            <w:r>
              <w:rPr>
                <w:rFonts w:ascii="Arial"/>
                <w:w w:val="99"/>
                <w:sz w:val="24"/>
              </w:rPr>
              <w:t>-</w:t>
            </w:r>
            <w:r>
              <w:rPr>
                <w:rFonts w:ascii="Arial"/>
                <w:sz w:val="24"/>
              </w:rPr>
            </w:r>
          </w:p>
        </w:tc>
      </w:tr>
      <w:tr>
        <w:trPr>
          <w:trHeight w:val="307"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2834" w:type="dxa"/>
            <w:tcBorders>
              <w:top w:val="nil" w:sz="6" w:space="0" w:color="auto"/>
              <w:left w:val="nil" w:sz="6" w:space="0" w:color="auto"/>
              <w:bottom w:val="nil" w:sz="6" w:space="0" w:color="auto"/>
              <w:right w:val="nil" w:sz="6" w:space="0" w:color="auto"/>
            </w:tcBorders>
          </w:tcPr>
          <w:p>
            <w:pPr>
              <w:pStyle w:val="TableParagraph"/>
              <w:spacing w:line="265" w:lineRule="exact"/>
              <w:ind w:left="353" w:right="0"/>
              <w:jc w:val="left"/>
              <w:rPr>
                <w:rFonts w:ascii="宋体" w:hAnsi="宋体" w:cs="宋体" w:eastAsia="宋体" w:hint="default"/>
                <w:sz w:val="24"/>
                <w:szCs w:val="24"/>
              </w:rPr>
            </w:pPr>
            <w:r>
              <w:rPr>
                <w:rFonts w:ascii="宋体" w:hAnsi="宋体" w:cs="宋体" w:eastAsia="宋体" w:hint="default"/>
                <w:sz w:val="24"/>
                <w:szCs w:val="24"/>
              </w:rPr>
              <w:t>上海聚力</w:t>
            </w:r>
          </w:p>
        </w:tc>
        <w:tc>
          <w:tcPr>
            <w:tcW w:w="2187" w:type="dxa"/>
            <w:tcBorders>
              <w:top w:val="nil" w:sz="6" w:space="0" w:color="auto"/>
              <w:left w:val="nil" w:sz="6" w:space="0" w:color="auto"/>
              <w:bottom w:val="nil" w:sz="6" w:space="0" w:color="auto"/>
              <w:right w:val="nil" w:sz="6" w:space="0" w:color="auto"/>
            </w:tcBorders>
          </w:tcPr>
          <w:p>
            <w:pPr>
              <w:pStyle w:val="TableParagraph"/>
              <w:tabs>
                <w:tab w:pos="1651" w:val="left" w:leader="none"/>
                <w:tab w:pos="2186" w:val="left" w:leader="none"/>
              </w:tabs>
              <w:spacing w:line="240" w:lineRule="auto" w:before="23"/>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102</w:t>
              <w:tab/>
            </w:r>
            <w:r>
              <w:rPr>
                <w:rFonts w:ascii="Arial"/>
                <w:spacing w:val="-1"/>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63" w:lineRule="exact"/>
              <w:ind w:right="76"/>
              <w:jc w:val="right"/>
              <w:rPr>
                <w:rFonts w:ascii="Arial" w:hAnsi="Arial" w:cs="Arial" w:eastAsia="Arial" w:hint="default"/>
                <w:sz w:val="24"/>
                <w:szCs w:val="24"/>
              </w:rPr>
            </w:pPr>
            <w:r>
              <w:rPr>
                <w:rFonts w:ascii="Arial"/>
                <w:w w:val="99"/>
                <w:sz w:val="24"/>
              </w:rPr>
              <w:t>-</w:t>
            </w:r>
            <w:r>
              <w:rPr>
                <w:rFonts w:ascii="Arial"/>
                <w:sz w:val="24"/>
              </w:rPr>
            </w:r>
          </w:p>
        </w:tc>
      </w:tr>
      <w:tr>
        <w:trPr>
          <w:trHeight w:val="296" w:hRule="exact"/>
        </w:trPr>
        <w:tc>
          <w:tcPr>
            <w:tcW w:w="1514"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133"/>
              <w:jc w:val="right"/>
              <w:rPr>
                <w:rFonts w:ascii="Arial" w:hAnsi="Arial" w:cs="Arial" w:eastAsia="Arial" w:hint="default"/>
                <w:sz w:val="24"/>
                <w:szCs w:val="24"/>
              </w:rPr>
            </w:pPr>
            <w:r>
              <w:rPr>
                <w:rFonts w:ascii="Arial"/>
                <w:spacing w:val="-4"/>
                <w:sz w:val="24"/>
              </w:rPr>
              <w:t>11,675</w:t>
            </w:r>
            <w:r>
              <w:rPr>
                <w:rFonts w:ascii="Arial"/>
                <w:sz w:val="24"/>
              </w:rPr>
            </w:r>
          </w:p>
        </w:tc>
        <w:tc>
          <w:tcPr>
            <w:tcW w:w="203" w:type="dxa"/>
            <w:tcBorders>
              <w:top w:val="nil" w:sz="6" w:space="0" w:color="auto"/>
              <w:left w:val="nil" w:sz="6" w:space="0" w:color="auto"/>
              <w:bottom w:val="nil" w:sz="6" w:space="0" w:color="auto"/>
              <w:right w:val="nil" w:sz="6" w:space="0" w:color="auto"/>
            </w:tcBorders>
          </w:tcPr>
          <w:p>
            <w:pPr/>
          </w:p>
        </w:tc>
        <w:tc>
          <w:tcPr>
            <w:tcW w:w="2274"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76"/>
              <w:jc w:val="right"/>
              <w:rPr>
                <w:rFonts w:ascii="Arial" w:hAnsi="Arial" w:cs="Arial" w:eastAsia="Arial" w:hint="default"/>
                <w:sz w:val="24"/>
                <w:szCs w:val="24"/>
              </w:rPr>
            </w:pPr>
            <w:r>
              <w:rPr>
                <w:rFonts w:ascii="Arial"/>
                <w:w w:val="99"/>
                <w:sz w:val="24"/>
              </w:rPr>
              <w:t>-</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855" w:type="dxa"/>
        <w:tblLayout w:type="fixed"/>
        <w:tblCellMar>
          <w:top w:w="0" w:type="dxa"/>
          <w:left w:w="0" w:type="dxa"/>
          <w:bottom w:w="0" w:type="dxa"/>
          <w:right w:w="0" w:type="dxa"/>
        </w:tblCellMar>
        <w:tblLook w:val="01E0"/>
      </w:tblPr>
      <w:tblGrid>
        <w:gridCol w:w="1514"/>
        <w:gridCol w:w="2820"/>
        <w:gridCol w:w="2201"/>
        <w:gridCol w:w="196"/>
        <w:gridCol w:w="2281"/>
      </w:tblGrid>
      <w:tr>
        <w:trPr>
          <w:trHeight w:val="338"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2820" w:type="dxa"/>
            <w:tcBorders>
              <w:top w:val="nil" w:sz="6" w:space="0" w:color="auto"/>
              <w:left w:val="nil" w:sz="6" w:space="0" w:color="auto"/>
              <w:bottom w:val="nil" w:sz="6" w:space="0" w:color="auto"/>
              <w:right w:val="nil" w:sz="6" w:space="0" w:color="auto"/>
            </w:tcBorders>
          </w:tcPr>
          <w:p>
            <w:pPr>
              <w:pStyle w:val="TableParagraph"/>
              <w:spacing w:line="248" w:lineRule="exact"/>
              <w:ind w:left="354"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201"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left="1466" w:right="0"/>
              <w:jc w:val="left"/>
              <w:rPr>
                <w:rFonts w:ascii="Arial" w:hAnsi="Arial" w:cs="Arial" w:eastAsia="Arial" w:hint="default"/>
                <w:sz w:val="24"/>
                <w:szCs w:val="24"/>
              </w:rPr>
            </w:pPr>
            <w:r>
              <w:rPr>
                <w:rFonts w:ascii="Arial"/>
                <w:sz w:val="24"/>
              </w:rPr>
              <w:t>5,635</w:t>
            </w:r>
          </w:p>
        </w:tc>
        <w:tc>
          <w:tcPr>
            <w:tcW w:w="196"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single" w:sz="12" w:space="0" w:color="000000"/>
              <w:right w:val="nil" w:sz="6" w:space="0" w:color="auto"/>
            </w:tcBorders>
          </w:tcPr>
          <w:p>
            <w:pPr>
              <w:pStyle w:val="TableParagraph"/>
              <w:spacing w:line="245" w:lineRule="exact"/>
              <w:ind w:right="76"/>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5" w:lineRule="exact"/>
        <w:jc w:val="right"/>
        <w:rPr>
          <w:rFonts w:ascii="Arial" w:hAnsi="Arial" w:cs="Arial" w:eastAsia="Arial" w:hint="default"/>
          <w:sz w:val="24"/>
          <w:szCs w:val="24"/>
        </w:rPr>
        <w:sectPr>
          <w:pgSz w:w="11910" w:h="16840"/>
          <w:pgMar w:header="755" w:footer="914" w:top="1860" w:bottom="1180" w:left="136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13"/>
        <w:gridCol w:w="1801"/>
        <w:gridCol w:w="2562"/>
        <w:gridCol w:w="2211"/>
        <w:gridCol w:w="190"/>
        <w:gridCol w:w="2268"/>
      </w:tblGrid>
      <w:tr>
        <w:trPr>
          <w:trHeight w:val="416"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436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19"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11"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591"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(7)</w:t>
            </w:r>
          </w:p>
        </w:tc>
        <w:tc>
          <w:tcPr>
            <w:tcW w:w="43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219" w:right="0"/>
              <w:jc w:val="left"/>
              <w:rPr>
                <w:rFonts w:ascii="Arial" w:hAnsi="Arial" w:cs="Arial" w:eastAsia="Arial" w:hint="default"/>
                <w:sz w:val="24"/>
                <w:szCs w:val="24"/>
              </w:rPr>
            </w:pPr>
            <w:r>
              <w:rPr>
                <w:rFonts w:ascii="黑体" w:hAnsi="黑体" w:cs="黑体" w:eastAsia="黑体" w:hint="default"/>
                <w:sz w:val="24"/>
                <w:szCs w:val="24"/>
              </w:rPr>
              <w:t>应收、应付关联方款项余额</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11"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449" w:hRule="exact"/>
        </w:trPr>
        <w:tc>
          <w:tcPr>
            <w:tcW w:w="713" w:type="dxa"/>
            <w:tcBorders>
              <w:top w:val="nil" w:sz="6" w:space="0" w:color="auto"/>
              <w:left w:val="nil" w:sz="6" w:space="0" w:color="auto"/>
              <w:bottom w:val="nil" w:sz="6" w:space="0" w:color="auto"/>
              <w:right w:val="nil" w:sz="6" w:space="0" w:color="auto"/>
            </w:tcBorders>
          </w:tcPr>
          <w:p>
            <w:pPr/>
          </w:p>
        </w:tc>
        <w:tc>
          <w:tcPr>
            <w:tcW w:w="43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219" w:right="0"/>
              <w:jc w:val="left"/>
              <w:rPr>
                <w:rFonts w:ascii="宋体" w:hAnsi="宋体" w:cs="宋体" w:eastAsia="宋体" w:hint="default"/>
                <w:sz w:val="24"/>
                <w:szCs w:val="24"/>
              </w:rPr>
            </w:pPr>
            <w:r>
              <w:rPr>
                <w:rFonts w:ascii="宋体" w:hAnsi="宋体" w:cs="宋体" w:eastAsia="宋体" w:hint="default"/>
                <w:sz w:val="24"/>
                <w:szCs w:val="24"/>
              </w:rPr>
              <w:t>应收关联方款项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2211"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449"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c>
          <w:tcPr>
            <w:tcW w:w="4963" w:type="dxa"/>
            <w:gridSpan w:val="3"/>
            <w:tcBorders>
              <w:top w:val="nil" w:sz="6" w:space="0" w:color="auto"/>
              <w:left w:val="nil" w:sz="6" w:space="0" w:color="auto"/>
              <w:bottom w:val="nil" w:sz="6" w:space="0" w:color="auto"/>
              <w:right w:val="nil" w:sz="6" w:space="0" w:color="auto"/>
            </w:tcBorders>
          </w:tcPr>
          <w:p>
            <w:pPr>
              <w:pStyle w:val="TableParagraph"/>
              <w:spacing w:line="287" w:lineRule="exact"/>
              <w:ind w:left="2618"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z w:val="24"/>
                <w:szCs w:val="24"/>
              </w:rPr>
              <w:t>12</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z w:val="24"/>
                <w:szCs w:val="24"/>
              </w:rPr>
              <w:t>31</w:t>
            </w:r>
            <w:r>
              <w:rPr>
                <w:rFonts w:ascii="Arial" w:hAnsi="Arial" w:cs="Arial" w:eastAsia="Arial" w:hint="default"/>
                <w:spacing w:val="-13"/>
                <w:sz w:val="24"/>
                <w:szCs w:val="24"/>
              </w:rPr>
              <w:t> </w:t>
            </w:r>
            <w:r>
              <w:rPr>
                <w:rFonts w:ascii="宋体" w:hAnsi="宋体" w:cs="宋体" w:eastAsia="宋体" w:hint="default"/>
                <w:sz w:val="24"/>
                <w:szCs w:val="24"/>
              </w:rPr>
              <w:t>日</w:t>
            </w:r>
          </w:p>
        </w:tc>
        <w:tc>
          <w:tcPr>
            <w:tcW w:w="2268" w:type="dxa"/>
            <w:tcBorders>
              <w:top w:val="nil" w:sz="6" w:space="0" w:color="auto"/>
              <w:left w:val="nil" w:sz="6" w:space="0" w:color="auto"/>
              <w:bottom w:val="nil" w:sz="6" w:space="0" w:color="auto"/>
              <w:right w:val="nil" w:sz="6" w:space="0" w:color="auto"/>
            </w:tcBorders>
          </w:tcPr>
          <w:p>
            <w:pPr>
              <w:pStyle w:val="TableParagraph"/>
              <w:spacing w:line="287" w:lineRule="exact"/>
              <w:ind w:right="5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1"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447" w:right="0"/>
              <w:jc w:val="left"/>
              <w:rPr>
                <w:rFonts w:ascii="Arial" w:hAnsi="Arial" w:cs="Arial" w:eastAsia="Arial" w:hint="default"/>
                <w:sz w:val="24"/>
                <w:szCs w:val="24"/>
              </w:rPr>
            </w:pPr>
            <w:r>
              <w:rPr>
                <w:rFonts w:ascii="Arial"/>
                <w:sz w:val="24"/>
              </w:rPr>
              <w:t>7,857</w:t>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无锡苏宁商业管理</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47" w:right="0"/>
              <w:jc w:val="left"/>
              <w:rPr>
                <w:rFonts w:ascii="Arial" w:hAnsi="Arial" w:cs="Arial" w:eastAsia="Arial" w:hint="default"/>
                <w:sz w:val="24"/>
                <w:szCs w:val="24"/>
              </w:rPr>
            </w:pPr>
            <w:r>
              <w:rPr>
                <w:rFonts w:ascii="Arial"/>
                <w:sz w:val="24"/>
              </w:rPr>
              <w:t>6,776</w:t>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w w:val="95"/>
                <w:sz w:val="24"/>
              </w:rPr>
              <w:t>7,374</w:t>
            </w:r>
            <w:r>
              <w:rPr>
                <w:rFonts w:ascii="Arial"/>
                <w:sz w:val="24"/>
              </w:rPr>
            </w:r>
          </w:p>
        </w:tc>
      </w:tr>
      <w:tr>
        <w:trPr>
          <w:trHeight w:val="311"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苏宁电器集团</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47" w:right="0"/>
              <w:jc w:val="left"/>
              <w:rPr>
                <w:rFonts w:ascii="Arial" w:hAnsi="Arial" w:cs="Arial" w:eastAsia="Arial" w:hint="default"/>
                <w:sz w:val="24"/>
                <w:szCs w:val="24"/>
              </w:rPr>
            </w:pPr>
            <w:r>
              <w:rPr>
                <w:rFonts w:ascii="Arial"/>
                <w:sz w:val="24"/>
              </w:rPr>
              <w:t>2,043</w:t>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5"/>
                <w:sz w:val="24"/>
              </w:rPr>
              <w:t>4,505</w:t>
            </w:r>
            <w:r>
              <w:rPr>
                <w:rFonts w:ascii="Arial"/>
                <w:sz w:val="24"/>
              </w:rPr>
            </w:r>
          </w:p>
        </w:tc>
      </w:tr>
      <w:tr>
        <w:trPr>
          <w:trHeight w:val="311"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47" w:right="0"/>
              <w:jc w:val="left"/>
              <w:rPr>
                <w:rFonts w:ascii="Arial" w:hAnsi="Arial" w:cs="Arial" w:eastAsia="Arial" w:hint="default"/>
                <w:sz w:val="24"/>
                <w:szCs w:val="24"/>
              </w:rPr>
            </w:pPr>
            <w:r>
              <w:rPr>
                <w:rFonts w:ascii="Arial"/>
                <w:sz w:val="24"/>
              </w:rPr>
              <w:t>1,798</w:t>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5"/>
                <w:sz w:val="24"/>
              </w:rPr>
              <w:t>2,944</w:t>
            </w:r>
            <w:r>
              <w:rPr>
                <w:rFonts w:ascii="Arial"/>
                <w:sz w:val="24"/>
              </w:rPr>
            </w:r>
          </w:p>
        </w:tc>
      </w:tr>
      <w:tr>
        <w:trPr>
          <w:trHeight w:val="312"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2"/>
              <w:jc w:val="right"/>
              <w:rPr>
                <w:rFonts w:ascii="Arial" w:hAnsi="Arial" w:cs="Arial" w:eastAsia="Arial" w:hint="default"/>
                <w:sz w:val="24"/>
                <w:szCs w:val="24"/>
              </w:rPr>
            </w:pPr>
            <w:r>
              <w:rPr>
                <w:rFonts w:ascii="Arial"/>
                <w:spacing w:val="-1"/>
                <w:w w:val="95"/>
                <w:sz w:val="24"/>
              </w:rPr>
              <w:t>919</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w w:val="95"/>
                <w:sz w:val="24"/>
              </w:rPr>
              <w:t>1,646</w:t>
            </w:r>
            <w:r>
              <w:rPr>
                <w:rFonts w:ascii="Arial"/>
                <w:sz w:val="24"/>
              </w:rPr>
            </w:r>
          </w:p>
        </w:tc>
      </w:tr>
      <w:tr>
        <w:trPr>
          <w:trHeight w:val="307"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1"/>
              <w:jc w:val="right"/>
              <w:rPr>
                <w:rFonts w:ascii="Arial" w:hAnsi="Arial" w:cs="Arial" w:eastAsia="Arial" w:hint="default"/>
                <w:sz w:val="24"/>
                <w:szCs w:val="24"/>
              </w:rPr>
            </w:pPr>
            <w:r>
              <w:rPr>
                <w:rFonts w:ascii="Arial"/>
                <w:spacing w:val="-1"/>
                <w:w w:val="95"/>
                <w:sz w:val="24"/>
              </w:rPr>
              <w:t>10</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5"/>
                <w:sz w:val="24"/>
              </w:rPr>
              <w:t>1,150</w:t>
            </w:r>
            <w:r>
              <w:rPr>
                <w:rFonts w:ascii="Arial"/>
                <w:sz w:val="24"/>
              </w:rPr>
            </w:r>
          </w:p>
        </w:tc>
      </w:tr>
      <w:tr>
        <w:trPr>
          <w:trHeight w:val="312"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5" w:lineRule="exact"/>
              <w:ind w:left="21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62" w:type="dxa"/>
            <w:tcBorders>
              <w:top w:val="nil" w:sz="6" w:space="0" w:color="auto"/>
              <w:left w:val="nil" w:sz="6" w:space="0" w:color="auto"/>
              <w:bottom w:val="nil" w:sz="6" w:space="0" w:color="auto"/>
              <w:right w:val="nil" w:sz="6" w:space="0" w:color="auto"/>
            </w:tcBorders>
          </w:tcPr>
          <w:p>
            <w:pPr>
              <w:pStyle w:val="TableParagraph"/>
              <w:spacing w:line="265" w:lineRule="exact"/>
              <w:ind w:left="141"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211" w:type="dxa"/>
            <w:tcBorders>
              <w:top w:val="nil" w:sz="6" w:space="0" w:color="auto"/>
              <w:left w:val="nil" w:sz="6" w:space="0" w:color="auto"/>
              <w:bottom w:val="nil" w:sz="6" w:space="0" w:color="auto"/>
              <w:right w:val="nil" w:sz="6" w:space="0" w:color="auto"/>
            </w:tcBorders>
          </w:tcPr>
          <w:p>
            <w:pPr>
              <w:pStyle w:val="TableParagraph"/>
              <w:spacing w:line="263" w:lineRule="exact"/>
              <w:ind w:right="161"/>
              <w:jc w:val="right"/>
              <w:rPr>
                <w:rFonts w:ascii="Arial" w:hAnsi="Arial" w:cs="Arial" w:eastAsia="Arial" w:hint="default"/>
                <w:sz w:val="24"/>
                <w:szCs w:val="24"/>
              </w:rPr>
            </w:pPr>
            <w:r>
              <w:rPr>
                <w:rFonts w:ascii="Arial"/>
                <w:w w:val="99"/>
                <w:sz w:val="24"/>
              </w:rPr>
              <w:t>-</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Arial" w:hAnsi="Arial" w:cs="Arial" w:eastAsia="Arial" w:hint="default"/>
                <w:sz w:val="24"/>
                <w:szCs w:val="24"/>
              </w:rPr>
            </w:pPr>
            <w:r>
              <w:rPr>
                <w:rFonts w:ascii="Arial"/>
                <w:w w:val="95"/>
                <w:sz w:val="24"/>
              </w:rPr>
              <w:t>6,875</w:t>
            </w:r>
            <w:r>
              <w:rPr>
                <w:rFonts w:ascii="Arial"/>
                <w:sz w:val="24"/>
              </w:rPr>
            </w:r>
          </w:p>
        </w:tc>
      </w:tr>
      <w:tr>
        <w:trPr>
          <w:trHeight w:val="311"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5" w:lineRule="exact"/>
              <w:ind w:left="21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62" w:type="dxa"/>
            <w:tcBorders>
              <w:top w:val="nil" w:sz="6" w:space="0" w:color="auto"/>
              <w:left w:val="nil" w:sz="6" w:space="0" w:color="auto"/>
              <w:bottom w:val="nil" w:sz="6" w:space="0" w:color="auto"/>
              <w:right w:val="nil" w:sz="6" w:space="0" w:color="auto"/>
            </w:tcBorders>
          </w:tcPr>
          <w:p>
            <w:pPr>
              <w:pStyle w:val="TableParagraph"/>
              <w:spacing w:line="265" w:lineRule="exact"/>
              <w:ind w:left="141"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211" w:type="dxa"/>
            <w:tcBorders>
              <w:top w:val="nil" w:sz="6" w:space="0" w:color="auto"/>
              <w:left w:val="nil" w:sz="6" w:space="0" w:color="auto"/>
              <w:bottom w:val="nil" w:sz="6" w:space="0" w:color="auto"/>
              <w:right w:val="nil" w:sz="6" w:space="0" w:color="auto"/>
            </w:tcBorders>
          </w:tcPr>
          <w:p>
            <w:pPr>
              <w:pStyle w:val="TableParagraph"/>
              <w:spacing w:line="263" w:lineRule="exact"/>
              <w:ind w:right="161"/>
              <w:jc w:val="right"/>
              <w:rPr>
                <w:rFonts w:ascii="Arial" w:hAnsi="Arial" w:cs="Arial" w:eastAsia="Arial" w:hint="default"/>
                <w:sz w:val="24"/>
                <w:szCs w:val="24"/>
              </w:rPr>
            </w:pPr>
            <w:r>
              <w:rPr>
                <w:rFonts w:ascii="Arial"/>
                <w:w w:val="99"/>
                <w:sz w:val="24"/>
              </w:rPr>
              <w:t>-</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5"/>
              <w:jc w:val="right"/>
              <w:rPr>
                <w:rFonts w:ascii="Arial" w:hAnsi="Arial" w:cs="Arial" w:eastAsia="Arial" w:hint="default"/>
                <w:sz w:val="24"/>
                <w:szCs w:val="24"/>
              </w:rPr>
            </w:pPr>
            <w:r>
              <w:rPr>
                <w:rFonts w:ascii="Arial"/>
                <w:w w:val="95"/>
                <w:sz w:val="24"/>
              </w:rPr>
              <w:t>2,965</w:t>
            </w:r>
            <w:r>
              <w:rPr>
                <w:rFonts w:ascii="Arial"/>
                <w:sz w:val="24"/>
              </w:rPr>
            </w:r>
          </w:p>
        </w:tc>
      </w:tr>
      <w:tr>
        <w:trPr>
          <w:trHeight w:val="297"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c>
          <w:tcPr>
            <w:tcW w:w="2562" w:type="dxa"/>
            <w:vMerge w:val="restart"/>
            <w:tcBorders>
              <w:top w:val="nil" w:sz="6" w:space="0" w:color="auto"/>
              <w:left w:val="nil" w:sz="6" w:space="0" w:color="auto"/>
              <w:right w:val="nil" w:sz="6" w:space="0" w:color="auto"/>
            </w:tcBorders>
          </w:tcPr>
          <w:p>
            <w:pPr>
              <w:pStyle w:val="TableParagraph"/>
              <w:spacing w:line="264" w:lineRule="exact"/>
              <w:ind w:left="141" w:right="0"/>
              <w:jc w:val="left"/>
              <w:rPr>
                <w:rFonts w:ascii="宋体" w:hAnsi="宋体" w:cs="宋体" w:eastAsia="宋体" w:hint="default"/>
                <w:sz w:val="24"/>
                <w:szCs w:val="24"/>
              </w:rPr>
            </w:pPr>
            <w:r>
              <w:rPr>
                <w:rFonts w:ascii="宋体" w:hAnsi="宋体" w:cs="宋体" w:eastAsia="宋体" w:hint="default"/>
                <w:sz w:val="24"/>
                <w:szCs w:val="24"/>
              </w:rPr>
              <w:t>石家庄苏宁房地产</w:t>
            </w:r>
          </w:p>
          <w:p>
            <w:pPr>
              <w:pStyle w:val="TableParagraph"/>
              <w:spacing w:line="312" w:lineRule="exact"/>
              <w:ind w:left="381" w:right="0"/>
              <w:jc w:val="left"/>
              <w:rPr>
                <w:rFonts w:ascii="宋体" w:hAnsi="宋体" w:cs="宋体" w:eastAsia="宋体" w:hint="default"/>
                <w:sz w:val="24"/>
                <w:szCs w:val="24"/>
              </w:rPr>
            </w:pPr>
            <w:r>
              <w:rPr>
                <w:rFonts w:ascii="宋体" w:hAnsi="宋体" w:cs="宋体" w:eastAsia="宋体" w:hint="default"/>
                <w:sz w:val="24"/>
                <w:szCs w:val="24"/>
              </w:rPr>
              <w:t>开发</w:t>
            </w:r>
          </w:p>
        </w:tc>
        <w:tc>
          <w:tcPr>
            <w:tcW w:w="2211" w:type="dxa"/>
            <w:tcBorders>
              <w:top w:val="nil" w:sz="6" w:space="0" w:color="auto"/>
              <w:left w:val="nil" w:sz="6" w:space="0" w:color="auto"/>
              <w:bottom w:val="nil" w:sz="6" w:space="0" w:color="auto"/>
              <w:right w:val="nil" w:sz="6" w:space="0" w:color="auto"/>
            </w:tcBorders>
          </w:tcPr>
          <w:p>
            <w:pPr>
              <w:pStyle w:val="TableParagraph"/>
              <w:spacing w:line="263" w:lineRule="exact"/>
              <w:ind w:right="161"/>
              <w:jc w:val="right"/>
              <w:rPr>
                <w:rFonts w:ascii="Arial" w:hAnsi="Arial" w:cs="Arial" w:eastAsia="Arial" w:hint="default"/>
                <w:sz w:val="24"/>
                <w:szCs w:val="24"/>
              </w:rPr>
            </w:pPr>
            <w:r>
              <w:rPr>
                <w:rFonts w:ascii="Arial"/>
                <w:w w:val="99"/>
                <w:sz w:val="24"/>
              </w:rPr>
              <w:t>-</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30"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79" w:lineRule="exact"/>
              <w:ind w:left="21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62" w:type="dxa"/>
            <w:vMerge/>
            <w:tcBorders>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tabs>
                <w:tab w:pos="2238" w:val="left" w:leader="none"/>
              </w:tabs>
              <w:spacing w:line="240" w:lineRule="auto" w:before="21"/>
              <w:ind w:right="-28"/>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1809" w:val="left" w:leader="none"/>
              </w:tabs>
              <w:spacing w:line="240" w:lineRule="auto" w:before="37"/>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694</w:t>
            </w:r>
            <w:r>
              <w:rPr>
                <w:rFonts w:ascii="Arial"/>
                <w:sz w:val="24"/>
              </w:rPr>
            </w:r>
          </w:p>
        </w:tc>
      </w:tr>
      <w:tr>
        <w:trPr>
          <w:trHeight w:val="438"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c>
          <w:tcPr>
            <w:tcW w:w="4963" w:type="dxa"/>
            <w:gridSpan w:val="3"/>
            <w:tcBorders>
              <w:top w:val="nil" w:sz="6" w:space="0" w:color="auto"/>
              <w:left w:val="nil" w:sz="6" w:space="0" w:color="auto"/>
              <w:bottom w:val="nil" w:sz="6" w:space="0" w:color="auto"/>
              <w:right w:val="nil" w:sz="6" w:space="0" w:color="auto"/>
            </w:tcBorders>
          </w:tcPr>
          <w:p>
            <w:pPr>
              <w:pStyle w:val="TableParagraph"/>
              <w:tabs>
                <w:tab w:pos="3875" w:val="left" w:leader="none"/>
                <w:tab w:pos="4745" w:val="left" w:leader="none"/>
              </w:tabs>
              <w:spacing w:line="268" w:lineRule="exact"/>
              <w:ind w:left="256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19,403</w:t>
              <w:tab/>
            </w:r>
            <w:r>
              <w:rPr>
                <w:rFonts w:ascii="Arial"/>
                <w:sz w:val="24"/>
              </w:rPr>
            </w:r>
          </w:p>
        </w:tc>
        <w:tc>
          <w:tcPr>
            <w:tcW w:w="2268"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68" w:lineRule="exact"/>
              <w:ind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28,153</w:t>
            </w:r>
            <w:r>
              <w:rPr>
                <w:rFonts w:ascii="Arial"/>
                <w:sz w:val="24"/>
              </w:rPr>
            </w:r>
          </w:p>
        </w:tc>
      </w:tr>
      <w:tr>
        <w:trPr>
          <w:trHeight w:val="614" w:hRule="exact"/>
        </w:trPr>
        <w:tc>
          <w:tcPr>
            <w:tcW w:w="713" w:type="dxa"/>
            <w:tcBorders>
              <w:top w:val="nil" w:sz="6" w:space="0" w:color="auto"/>
              <w:left w:val="nil" w:sz="6" w:space="0" w:color="auto"/>
              <w:bottom w:val="nil" w:sz="6" w:space="0" w:color="auto"/>
              <w:right w:val="nil" w:sz="6" w:space="0" w:color="auto"/>
            </w:tcBorders>
          </w:tcPr>
          <w:p>
            <w:pPr/>
          </w:p>
        </w:tc>
        <w:tc>
          <w:tcPr>
            <w:tcW w:w="43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219" w:right="0"/>
              <w:jc w:val="left"/>
              <w:rPr>
                <w:rFonts w:ascii="宋体" w:hAnsi="宋体" w:cs="宋体" w:eastAsia="宋体" w:hint="default"/>
                <w:sz w:val="24"/>
                <w:szCs w:val="24"/>
              </w:rPr>
            </w:pPr>
            <w:r>
              <w:rPr>
                <w:rFonts w:ascii="宋体" w:hAnsi="宋体" w:cs="宋体" w:eastAsia="宋体" w:hint="default"/>
                <w:sz w:val="24"/>
                <w:szCs w:val="24"/>
              </w:rPr>
              <w:t>应付关联方款项：</w:t>
            </w:r>
          </w:p>
        </w:tc>
        <w:tc>
          <w:tcPr>
            <w:tcW w:w="2211"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619"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c>
          <w:tcPr>
            <w:tcW w:w="496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5"/>
              <w:ind w:left="2685"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3"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9"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1" w:right="0"/>
              <w:jc w:val="left"/>
              <w:rPr>
                <w:rFonts w:ascii="宋体" w:hAnsi="宋体" w:cs="宋体" w:eastAsia="宋体" w:hint="default"/>
                <w:sz w:val="24"/>
                <w:szCs w:val="24"/>
              </w:rPr>
            </w:pPr>
            <w:r>
              <w:rPr>
                <w:rFonts w:ascii="宋体" w:hAnsi="宋体" w:cs="宋体" w:eastAsia="宋体" w:hint="default"/>
                <w:sz w:val="24"/>
                <w:szCs w:val="24"/>
              </w:rPr>
              <w:t>上海通视铭泰</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363" w:right="0"/>
              <w:jc w:val="left"/>
              <w:rPr>
                <w:rFonts w:ascii="Arial" w:hAnsi="Arial" w:cs="Arial" w:eastAsia="Arial" w:hint="default"/>
                <w:sz w:val="24"/>
                <w:szCs w:val="24"/>
              </w:rPr>
            </w:pPr>
            <w:r>
              <w:rPr>
                <w:rFonts w:ascii="Arial"/>
                <w:sz w:val="24"/>
              </w:rPr>
              <w:t>44,565</w:t>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34"/>
              <w:jc w:val="right"/>
              <w:rPr>
                <w:rFonts w:ascii="Arial" w:hAnsi="Arial" w:cs="Arial" w:eastAsia="Arial" w:hint="default"/>
                <w:sz w:val="24"/>
                <w:szCs w:val="24"/>
              </w:rPr>
            </w:pPr>
            <w:r>
              <w:rPr>
                <w:rFonts w:ascii="Arial"/>
                <w:w w:val="99"/>
                <w:sz w:val="24"/>
              </w:rPr>
              <w:t>-</w:t>
            </w:r>
            <w:r>
              <w:rPr>
                <w:rFonts w:ascii="Arial"/>
                <w:sz w:val="24"/>
              </w:rPr>
            </w:r>
          </w:p>
        </w:tc>
      </w:tr>
      <w:tr>
        <w:trPr>
          <w:trHeight w:val="313"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上海骋娱</w:t>
            </w:r>
          </w:p>
        </w:tc>
        <w:tc>
          <w:tcPr>
            <w:tcW w:w="2211"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19"/>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45,291</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2051" w:val="left" w:leader="none"/>
                <w:tab w:pos="2267" w:val="left" w:leader="none"/>
              </w:tabs>
              <w:spacing w:line="240" w:lineRule="auto" w:before="19"/>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38"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c>
          <w:tcPr>
            <w:tcW w:w="4963" w:type="dxa"/>
            <w:gridSpan w:val="3"/>
            <w:tcBorders>
              <w:top w:val="nil" w:sz="6" w:space="0" w:color="auto"/>
              <w:left w:val="nil" w:sz="6" w:space="0" w:color="auto"/>
              <w:bottom w:val="nil" w:sz="6" w:space="0" w:color="auto"/>
              <w:right w:val="nil" w:sz="6" w:space="0" w:color="auto"/>
            </w:tcBorders>
          </w:tcPr>
          <w:p>
            <w:pPr>
              <w:pStyle w:val="TableParagraph"/>
              <w:tabs>
                <w:tab w:pos="3925" w:val="left" w:leader="none"/>
              </w:tabs>
              <w:spacing w:line="268" w:lineRule="exact"/>
              <w:ind w:left="256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89,856</w:t>
            </w:r>
            <w:r>
              <w:rPr>
                <w:rFonts w:ascii="Arial"/>
                <w:sz w:val="24"/>
              </w:rPr>
            </w:r>
          </w:p>
        </w:tc>
        <w:tc>
          <w:tcPr>
            <w:tcW w:w="2268" w:type="dxa"/>
            <w:tcBorders>
              <w:top w:val="nil" w:sz="6" w:space="0" w:color="auto"/>
              <w:left w:val="nil" w:sz="6" w:space="0" w:color="auto"/>
              <w:bottom w:val="nil" w:sz="6" w:space="0" w:color="auto"/>
              <w:right w:val="nil" w:sz="6" w:space="0" w:color="auto"/>
            </w:tcBorders>
          </w:tcPr>
          <w:p>
            <w:pPr>
              <w:pStyle w:val="TableParagraph"/>
              <w:tabs>
                <w:tab w:pos="2051" w:val="left" w:leader="none"/>
                <w:tab w:pos="2267" w:val="left" w:leader="none"/>
              </w:tabs>
              <w:spacing w:line="268" w:lineRule="exact"/>
              <w:ind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r>
      <w:tr>
        <w:trPr>
          <w:trHeight w:val="464"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9"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1"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10"/>
              <w:jc w:val="right"/>
              <w:rPr>
                <w:rFonts w:ascii="Arial" w:hAnsi="Arial" w:cs="Arial" w:eastAsia="Arial" w:hint="default"/>
                <w:sz w:val="24"/>
                <w:szCs w:val="24"/>
              </w:rPr>
            </w:pPr>
            <w:r>
              <w:rPr>
                <w:rFonts w:ascii="Arial"/>
                <w:w w:val="95"/>
                <w:sz w:val="24"/>
              </w:rPr>
              <w:t>1,568</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33"/>
              <w:jc w:val="right"/>
              <w:rPr>
                <w:rFonts w:ascii="Arial" w:hAnsi="Arial" w:cs="Arial" w:eastAsia="Arial" w:hint="default"/>
                <w:sz w:val="24"/>
                <w:szCs w:val="24"/>
              </w:rPr>
            </w:pPr>
            <w:r>
              <w:rPr>
                <w:rFonts w:ascii="Arial"/>
                <w:w w:val="95"/>
                <w:sz w:val="24"/>
              </w:rPr>
              <w:t>1,177</w:t>
            </w:r>
            <w:r>
              <w:rPr>
                <w:rFonts w:ascii="Arial"/>
                <w:sz w:val="24"/>
              </w:rPr>
            </w:r>
          </w:p>
        </w:tc>
      </w:tr>
      <w:tr>
        <w:trPr>
          <w:trHeight w:val="312"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3"/>
              <w:jc w:val="right"/>
              <w:rPr>
                <w:rFonts w:ascii="Arial" w:hAnsi="Arial" w:cs="Arial" w:eastAsia="Arial" w:hint="default"/>
                <w:sz w:val="24"/>
                <w:szCs w:val="24"/>
              </w:rPr>
            </w:pPr>
            <w:r>
              <w:rPr>
                <w:rFonts w:ascii="Arial"/>
                <w:spacing w:val="-1"/>
                <w:w w:val="95"/>
                <w:sz w:val="24"/>
              </w:rPr>
              <w:t>612</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4"/>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3"/>
              <w:jc w:val="right"/>
              <w:rPr>
                <w:rFonts w:ascii="Arial" w:hAnsi="Arial" w:cs="Arial" w:eastAsia="Arial" w:hint="default"/>
                <w:sz w:val="24"/>
                <w:szCs w:val="24"/>
              </w:rPr>
            </w:pPr>
            <w:r>
              <w:rPr>
                <w:rFonts w:ascii="Arial"/>
                <w:spacing w:val="-1"/>
                <w:w w:val="95"/>
                <w:sz w:val="24"/>
              </w:rPr>
              <w:t>224</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3"/>
              <w:jc w:val="right"/>
              <w:rPr>
                <w:rFonts w:ascii="Arial" w:hAnsi="Arial" w:cs="Arial" w:eastAsia="Arial" w:hint="default"/>
                <w:sz w:val="24"/>
                <w:szCs w:val="24"/>
              </w:rPr>
            </w:pPr>
            <w:r>
              <w:rPr>
                <w:rFonts w:ascii="Arial"/>
                <w:spacing w:val="-1"/>
                <w:w w:val="95"/>
                <w:sz w:val="24"/>
              </w:rPr>
              <w:t>104</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24"/>
                <w:szCs w:val="24"/>
              </w:rPr>
            </w:pPr>
            <w:r>
              <w:rPr>
                <w:rFonts w:ascii="Arial"/>
                <w:w w:val="99"/>
                <w:sz w:val="24"/>
              </w:rPr>
              <w:t>-</w:t>
            </w:r>
            <w:r>
              <w:rPr>
                <w:rFonts w:ascii="Arial"/>
                <w:sz w:val="24"/>
              </w:rPr>
            </w:r>
          </w:p>
        </w:tc>
      </w:tr>
      <w:tr>
        <w:trPr>
          <w:trHeight w:val="308"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562"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0"/>
              <w:jc w:val="right"/>
              <w:rPr>
                <w:rFonts w:ascii="Arial" w:hAnsi="Arial" w:cs="Arial" w:eastAsia="Arial" w:hint="default"/>
                <w:sz w:val="24"/>
                <w:szCs w:val="24"/>
              </w:rPr>
            </w:pPr>
            <w:r>
              <w:rPr>
                <w:rFonts w:ascii="Arial"/>
                <w:spacing w:val="-1"/>
                <w:w w:val="95"/>
                <w:sz w:val="24"/>
              </w:rPr>
              <w:t>26</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24"/>
                <w:szCs w:val="24"/>
              </w:rPr>
            </w:pPr>
            <w:r>
              <w:rPr>
                <w:rFonts w:ascii="Arial"/>
                <w:spacing w:val="-1"/>
                <w:w w:val="95"/>
                <w:sz w:val="24"/>
              </w:rPr>
              <w:t>25</w:t>
            </w:r>
            <w:r>
              <w:rPr>
                <w:rFonts w:ascii="Arial"/>
                <w:sz w:val="24"/>
              </w:rPr>
            </w:r>
          </w:p>
        </w:tc>
      </w:tr>
      <w:tr>
        <w:trPr>
          <w:trHeight w:val="315"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5" w:lineRule="exact"/>
              <w:ind w:left="219"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562" w:type="dxa"/>
            <w:tcBorders>
              <w:top w:val="nil" w:sz="6" w:space="0" w:color="auto"/>
              <w:left w:val="nil" w:sz="6" w:space="0" w:color="auto"/>
              <w:bottom w:val="nil" w:sz="6" w:space="0" w:color="auto"/>
              <w:right w:val="nil" w:sz="6" w:space="0" w:color="auto"/>
            </w:tcBorders>
          </w:tcPr>
          <w:p>
            <w:pPr>
              <w:pStyle w:val="TableParagraph"/>
              <w:spacing w:line="265" w:lineRule="exact"/>
              <w:ind w:left="141" w:right="0"/>
              <w:jc w:val="left"/>
              <w:rPr>
                <w:rFonts w:ascii="宋体" w:hAnsi="宋体" w:cs="宋体" w:eastAsia="宋体" w:hint="default"/>
                <w:sz w:val="24"/>
                <w:szCs w:val="24"/>
              </w:rPr>
            </w:pPr>
            <w:r>
              <w:rPr>
                <w:rFonts w:ascii="宋体" w:hAnsi="宋体" w:cs="宋体" w:eastAsia="宋体" w:hint="default"/>
                <w:sz w:val="24"/>
                <w:szCs w:val="24"/>
              </w:rPr>
              <w:t>玄武苏宁置业</w:t>
            </w:r>
          </w:p>
        </w:tc>
        <w:tc>
          <w:tcPr>
            <w:tcW w:w="2211" w:type="dxa"/>
            <w:tcBorders>
              <w:top w:val="nil" w:sz="6" w:space="0" w:color="auto"/>
              <w:left w:val="nil" w:sz="6" w:space="0" w:color="auto"/>
              <w:bottom w:val="nil" w:sz="6" w:space="0" w:color="auto"/>
              <w:right w:val="nil" w:sz="6" w:space="0" w:color="auto"/>
            </w:tcBorders>
          </w:tcPr>
          <w:p>
            <w:pPr>
              <w:pStyle w:val="TableParagraph"/>
              <w:spacing w:line="263" w:lineRule="exact"/>
              <w:ind w:right="111"/>
              <w:jc w:val="right"/>
              <w:rPr>
                <w:rFonts w:ascii="Arial" w:hAnsi="Arial" w:cs="Arial" w:eastAsia="Arial" w:hint="default"/>
                <w:sz w:val="24"/>
                <w:szCs w:val="24"/>
              </w:rPr>
            </w:pPr>
            <w:r>
              <w:rPr>
                <w:rFonts w:ascii="Arial"/>
                <w:w w:val="99"/>
                <w:sz w:val="24"/>
              </w:rPr>
              <w:t>-</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Arial" w:hAnsi="Arial" w:cs="Arial" w:eastAsia="Arial" w:hint="default"/>
                <w:sz w:val="24"/>
                <w:szCs w:val="24"/>
              </w:rPr>
            </w:pPr>
            <w:r>
              <w:rPr>
                <w:rFonts w:ascii="Arial"/>
                <w:spacing w:val="-1"/>
                <w:w w:val="95"/>
                <w:sz w:val="24"/>
              </w:rPr>
              <w:t>233</w:t>
            </w:r>
            <w:r>
              <w:rPr>
                <w:rFonts w:ascii="Arial"/>
                <w:sz w:val="24"/>
              </w:rPr>
            </w:r>
          </w:p>
        </w:tc>
      </w:tr>
      <w:tr>
        <w:trPr>
          <w:trHeight w:val="276"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562" w:type="dxa"/>
            <w:vMerge w:val="restart"/>
            <w:tcBorders>
              <w:top w:val="nil" w:sz="6" w:space="0" w:color="auto"/>
              <w:left w:val="nil" w:sz="6" w:space="0" w:color="auto"/>
              <w:right w:val="nil" w:sz="6" w:space="0" w:color="auto"/>
            </w:tcBorders>
          </w:tcPr>
          <w:p>
            <w:pPr>
              <w:pStyle w:val="TableParagraph"/>
              <w:spacing w:line="260" w:lineRule="exact"/>
              <w:ind w:left="141" w:right="0"/>
              <w:jc w:val="left"/>
              <w:rPr>
                <w:rFonts w:ascii="宋体" w:hAnsi="宋体" w:cs="宋体" w:eastAsia="宋体" w:hint="default"/>
                <w:sz w:val="24"/>
                <w:szCs w:val="24"/>
              </w:rPr>
            </w:pPr>
            <w:r>
              <w:rPr>
                <w:rFonts w:ascii="宋体" w:hAnsi="宋体" w:cs="宋体" w:eastAsia="宋体" w:hint="default"/>
                <w:sz w:val="24"/>
                <w:szCs w:val="24"/>
              </w:rPr>
              <w:t>鼓楼国际软件与服</w:t>
            </w:r>
          </w:p>
          <w:p>
            <w:pPr>
              <w:pStyle w:val="TableParagraph"/>
              <w:spacing w:line="312" w:lineRule="exact"/>
              <w:ind w:left="381" w:right="0"/>
              <w:jc w:val="left"/>
              <w:rPr>
                <w:rFonts w:ascii="宋体" w:hAnsi="宋体" w:cs="宋体" w:eastAsia="宋体" w:hint="default"/>
                <w:sz w:val="24"/>
                <w:szCs w:val="24"/>
              </w:rPr>
            </w:pPr>
            <w:r>
              <w:rPr>
                <w:rFonts w:ascii="宋体" w:hAnsi="宋体" w:cs="宋体" w:eastAsia="宋体" w:hint="default"/>
                <w:sz w:val="24"/>
                <w:szCs w:val="24"/>
              </w:rPr>
              <w:t>务外包</w:t>
            </w:r>
          </w:p>
        </w:tc>
        <w:tc>
          <w:tcPr>
            <w:tcW w:w="2211"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38"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c>
          <w:tcPr>
            <w:tcW w:w="2562" w:type="dxa"/>
            <w:vMerge/>
            <w:tcBorders>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4" w:space="0" w:color="000000"/>
              <w:right w:val="nil" w:sz="6" w:space="0" w:color="auto"/>
            </w:tcBorders>
          </w:tcPr>
          <w:p>
            <w:pPr>
              <w:pStyle w:val="TableParagraph"/>
              <w:spacing w:line="260" w:lineRule="exact"/>
              <w:ind w:right="111"/>
              <w:jc w:val="right"/>
              <w:rPr>
                <w:rFonts w:ascii="Arial" w:hAnsi="Arial" w:cs="Arial" w:eastAsia="Arial" w:hint="default"/>
                <w:sz w:val="24"/>
                <w:szCs w:val="24"/>
              </w:rPr>
            </w:pPr>
            <w:r>
              <w:rPr>
                <w:rFonts w:ascii="Arial"/>
                <w:w w:val="99"/>
                <w:sz w:val="24"/>
              </w:rPr>
              <w:t>-</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33"/>
              <w:jc w:val="right"/>
              <w:rPr>
                <w:rFonts w:ascii="Arial" w:hAnsi="Arial" w:cs="Arial" w:eastAsia="Arial" w:hint="default"/>
                <w:sz w:val="24"/>
                <w:szCs w:val="24"/>
              </w:rPr>
            </w:pPr>
            <w:r>
              <w:rPr>
                <w:rFonts w:ascii="Arial"/>
                <w:spacing w:val="-1"/>
                <w:w w:val="95"/>
                <w:sz w:val="24"/>
              </w:rPr>
              <w:t>109</w:t>
            </w:r>
            <w:r>
              <w:rPr>
                <w:rFonts w:ascii="Arial"/>
                <w:sz w:val="24"/>
              </w:rPr>
            </w:r>
          </w:p>
        </w:tc>
      </w:tr>
      <w:tr>
        <w:trPr>
          <w:trHeight w:val="296" w:hRule="exact"/>
        </w:trPr>
        <w:tc>
          <w:tcPr>
            <w:tcW w:w="713"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c>
          <w:tcPr>
            <w:tcW w:w="2562" w:type="dxa"/>
            <w:tcBorders>
              <w:top w:val="nil" w:sz="6" w:space="0" w:color="auto"/>
              <w:left w:val="nil" w:sz="6" w:space="0" w:color="auto"/>
              <w:bottom w:val="nil" w:sz="6" w:space="0" w:color="auto"/>
              <w:right w:val="nil" w:sz="6" w:space="0" w:color="auto"/>
            </w:tcBorders>
          </w:tcPr>
          <w:p>
            <w:pPr/>
          </w:p>
        </w:tc>
        <w:tc>
          <w:tcPr>
            <w:tcW w:w="2211"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110"/>
              <w:jc w:val="right"/>
              <w:rPr>
                <w:rFonts w:ascii="Arial" w:hAnsi="Arial" w:cs="Arial" w:eastAsia="Arial" w:hint="default"/>
                <w:sz w:val="24"/>
                <w:szCs w:val="24"/>
              </w:rPr>
            </w:pPr>
            <w:r>
              <w:rPr>
                <w:rFonts w:ascii="Arial"/>
                <w:spacing w:val="-1"/>
                <w:sz w:val="24"/>
              </w:rPr>
              <w:t>2,534</w:t>
            </w:r>
            <w:r>
              <w:rPr>
                <w:rFonts w:ascii="Arial"/>
                <w:sz w:val="24"/>
              </w:rPr>
            </w:r>
          </w:p>
        </w:tc>
        <w:tc>
          <w:tcPr>
            <w:tcW w:w="190"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133"/>
              <w:jc w:val="right"/>
              <w:rPr>
                <w:rFonts w:ascii="Arial" w:hAnsi="Arial" w:cs="Arial" w:eastAsia="Arial" w:hint="default"/>
                <w:sz w:val="24"/>
                <w:szCs w:val="24"/>
              </w:rPr>
            </w:pPr>
            <w:r>
              <w:rPr>
                <w:rFonts w:ascii="Arial"/>
                <w:spacing w:val="-1"/>
                <w:sz w:val="24"/>
              </w:rPr>
              <w:t>1,544</w:t>
            </w:r>
          </w:p>
        </w:tc>
      </w:tr>
    </w:tbl>
    <w:p>
      <w:pPr>
        <w:spacing w:after="0" w:line="273" w:lineRule="exact"/>
        <w:jc w:val="right"/>
        <w:rPr>
          <w:rFonts w:ascii="Arial" w:hAnsi="Arial" w:cs="Arial" w:eastAsia="Arial" w:hint="default"/>
          <w:sz w:val="24"/>
          <w:szCs w:val="24"/>
        </w:rPr>
        <w:sectPr>
          <w:pgSz w:w="11910" w:h="16840"/>
          <w:pgMar w:header="755" w:footer="914" w:top="1860" w:bottom="1180" w:left="13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699"/>
        <w:gridCol w:w="1799"/>
        <w:gridCol w:w="2578"/>
        <w:gridCol w:w="2165"/>
        <w:gridCol w:w="245"/>
        <w:gridCol w:w="2268"/>
      </w:tblGrid>
      <w:tr>
        <w:trPr>
          <w:trHeight w:val="416" w:hRule="exact"/>
        </w:trPr>
        <w:tc>
          <w:tcPr>
            <w:tcW w:w="6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437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05"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65"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591" w:hRule="exact"/>
        </w:trPr>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(7)</w:t>
            </w:r>
          </w:p>
        </w:tc>
        <w:tc>
          <w:tcPr>
            <w:tcW w:w="43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205" w:right="0"/>
              <w:jc w:val="left"/>
              <w:rPr>
                <w:rFonts w:ascii="Arial" w:hAnsi="Arial" w:cs="Arial" w:eastAsia="Arial" w:hint="default"/>
                <w:sz w:val="24"/>
                <w:szCs w:val="24"/>
              </w:rPr>
            </w:pPr>
            <w:r>
              <w:rPr>
                <w:rFonts w:ascii="黑体" w:hAnsi="黑体" w:cs="黑体" w:eastAsia="黑体" w:hint="default"/>
                <w:sz w:val="24"/>
                <w:szCs w:val="24"/>
              </w:rPr>
              <w:t>应收、应付关联方款项余额</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65"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587" w:hRule="exact"/>
        </w:trPr>
        <w:tc>
          <w:tcPr>
            <w:tcW w:w="699" w:type="dxa"/>
            <w:tcBorders>
              <w:top w:val="nil" w:sz="6" w:space="0" w:color="auto"/>
              <w:left w:val="nil" w:sz="6" w:space="0" w:color="auto"/>
              <w:bottom w:val="nil" w:sz="6" w:space="0" w:color="auto"/>
              <w:right w:val="nil" w:sz="6" w:space="0" w:color="auto"/>
            </w:tcBorders>
          </w:tcPr>
          <w:p>
            <w:pPr/>
          </w:p>
        </w:tc>
        <w:tc>
          <w:tcPr>
            <w:tcW w:w="43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205" w:right="0"/>
              <w:jc w:val="left"/>
              <w:rPr>
                <w:rFonts w:ascii="宋体" w:hAnsi="宋体" w:cs="宋体" w:eastAsia="宋体" w:hint="default"/>
                <w:sz w:val="24"/>
                <w:szCs w:val="24"/>
              </w:rPr>
            </w:pPr>
            <w:r>
              <w:rPr>
                <w:rFonts w:ascii="宋体" w:hAnsi="宋体" w:cs="宋体" w:eastAsia="宋体" w:hint="default"/>
                <w:sz w:val="24"/>
                <w:szCs w:val="24"/>
              </w:rPr>
              <w:t>应付关联方款项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2165"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587"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47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2639"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5"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44"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07"/>
              <w:jc w:val="right"/>
              <w:rPr>
                <w:rFonts w:ascii="Arial" w:hAnsi="Arial" w:cs="Arial" w:eastAsia="Arial" w:hint="default"/>
                <w:sz w:val="24"/>
                <w:szCs w:val="24"/>
              </w:rPr>
            </w:pPr>
            <w:r>
              <w:rPr>
                <w:rFonts w:ascii="Arial"/>
                <w:w w:val="95"/>
                <w:sz w:val="24"/>
              </w:rPr>
              <w:t>70,980</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24"/>
              <w:jc w:val="right"/>
              <w:rPr>
                <w:rFonts w:ascii="Arial" w:hAnsi="Arial" w:cs="Arial" w:eastAsia="Arial" w:hint="default"/>
                <w:sz w:val="24"/>
                <w:szCs w:val="24"/>
              </w:rPr>
            </w:pPr>
            <w:r>
              <w:rPr>
                <w:rFonts w:ascii="Arial"/>
                <w:w w:val="95"/>
                <w:sz w:val="24"/>
              </w:rPr>
              <w:t>32,725</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w w:val="95"/>
                <w:sz w:val="24"/>
              </w:rPr>
              <w:t>22,803</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1"/>
              <w:jc w:val="right"/>
              <w:rPr>
                <w:rFonts w:ascii="Arial" w:hAnsi="Arial" w:cs="Arial" w:eastAsia="Arial" w:hint="default"/>
                <w:sz w:val="24"/>
                <w:szCs w:val="24"/>
              </w:rPr>
            </w:pPr>
            <w:r>
              <w:rPr>
                <w:rFonts w:ascii="Arial"/>
                <w:w w:val="95"/>
                <w:sz w:val="24"/>
              </w:rPr>
              <w:t>7,363</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w w:val="95"/>
                <w:sz w:val="24"/>
              </w:rPr>
              <w:t>12,067</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1"/>
              <w:jc w:val="right"/>
              <w:rPr>
                <w:rFonts w:ascii="Arial" w:hAnsi="Arial" w:cs="Arial" w:eastAsia="Arial" w:hint="default"/>
                <w:sz w:val="24"/>
                <w:szCs w:val="24"/>
              </w:rPr>
            </w:pPr>
            <w:r>
              <w:rPr>
                <w:rFonts w:ascii="Arial"/>
                <w:w w:val="95"/>
                <w:sz w:val="24"/>
              </w:rPr>
              <w:t>6,177</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228" w:right="0"/>
              <w:jc w:val="left"/>
              <w:rPr>
                <w:rFonts w:ascii="宋体" w:hAnsi="宋体" w:cs="宋体" w:eastAsia="宋体" w:hint="default"/>
                <w:sz w:val="24"/>
                <w:szCs w:val="24"/>
              </w:rPr>
            </w:pPr>
            <w:r>
              <w:rPr>
                <w:rFonts w:ascii="宋体" w:hAnsi="宋体" w:cs="宋体" w:eastAsia="宋体" w:hint="default"/>
                <w:sz w:val="24"/>
                <w:szCs w:val="24"/>
              </w:rPr>
              <w:t>天津聚力</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Arial" w:hAnsi="Arial" w:cs="Arial" w:eastAsia="Arial" w:hint="default"/>
                <w:sz w:val="24"/>
                <w:szCs w:val="24"/>
              </w:rPr>
            </w:pPr>
            <w:r>
              <w:rPr>
                <w:rFonts w:ascii="Arial"/>
                <w:w w:val="95"/>
                <w:sz w:val="24"/>
              </w:rPr>
              <w:t>9,595</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7"/>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244"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24"/>
                <w:szCs w:val="24"/>
              </w:rPr>
            </w:pPr>
            <w:r>
              <w:rPr>
                <w:rFonts w:ascii="Arial"/>
                <w:w w:val="95"/>
                <w:sz w:val="24"/>
              </w:rPr>
              <w:t>5,401</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6"/>
              <w:jc w:val="right"/>
              <w:rPr>
                <w:rFonts w:ascii="Arial" w:hAnsi="Arial" w:cs="Arial" w:eastAsia="Arial" w:hint="default"/>
                <w:sz w:val="24"/>
                <w:szCs w:val="24"/>
              </w:rPr>
            </w:pPr>
            <w:r>
              <w:rPr>
                <w:rFonts w:ascii="Arial"/>
                <w:w w:val="95"/>
                <w:sz w:val="24"/>
              </w:rPr>
              <w:t>1,248</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208"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spacing w:val="-1"/>
                <w:sz w:val="24"/>
              </w:rPr>
              <w:t>3,482</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7"/>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204"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24"/>
                <w:szCs w:val="24"/>
              </w:rPr>
            </w:pPr>
            <w:r>
              <w:rPr>
                <w:rFonts w:ascii="Arial"/>
                <w:w w:val="95"/>
                <w:sz w:val="24"/>
              </w:rPr>
              <w:t>2,079</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1"/>
              <w:jc w:val="right"/>
              <w:rPr>
                <w:rFonts w:ascii="Arial" w:hAnsi="Arial" w:cs="Arial" w:eastAsia="Arial" w:hint="default"/>
                <w:sz w:val="24"/>
                <w:szCs w:val="24"/>
              </w:rPr>
            </w:pPr>
            <w:r>
              <w:rPr>
                <w:rFonts w:ascii="Arial"/>
                <w:w w:val="95"/>
                <w:sz w:val="24"/>
              </w:rPr>
              <w:t>1,537</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205"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Arial" w:hAnsi="Arial" w:cs="Arial" w:eastAsia="Arial" w:hint="default"/>
                <w:sz w:val="24"/>
                <w:szCs w:val="24"/>
              </w:rPr>
            </w:pPr>
            <w:r>
              <w:rPr>
                <w:rFonts w:ascii="Arial"/>
                <w:w w:val="95"/>
                <w:sz w:val="24"/>
              </w:rPr>
              <w:t>1,970</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7"/>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4"/>
                <w:szCs w:val="24"/>
              </w:rPr>
            </w:pPr>
            <w:r>
              <w:rPr>
                <w:rFonts w:ascii="Arial"/>
                <w:spacing w:val="-1"/>
                <w:w w:val="95"/>
                <w:sz w:val="24"/>
              </w:rPr>
              <w:t>787</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2"/>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上海通视铭泰</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4"/>
                <w:szCs w:val="24"/>
              </w:rPr>
            </w:pPr>
            <w:r>
              <w:rPr>
                <w:rFonts w:ascii="Arial"/>
                <w:spacing w:val="-1"/>
                <w:w w:val="95"/>
                <w:sz w:val="24"/>
              </w:rPr>
              <w:t>773</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2"/>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4"/>
                <w:szCs w:val="24"/>
              </w:rPr>
            </w:pPr>
            <w:r>
              <w:rPr>
                <w:rFonts w:ascii="Arial"/>
                <w:spacing w:val="-1"/>
                <w:w w:val="95"/>
                <w:sz w:val="24"/>
              </w:rPr>
              <w:t>602</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3"/>
              <w:jc w:val="right"/>
              <w:rPr>
                <w:rFonts w:ascii="Arial" w:hAnsi="Arial" w:cs="Arial" w:eastAsia="Arial" w:hint="default"/>
                <w:sz w:val="24"/>
                <w:szCs w:val="24"/>
              </w:rPr>
            </w:pPr>
            <w:r>
              <w:rPr>
                <w:rFonts w:ascii="Arial"/>
                <w:spacing w:val="-1"/>
                <w:w w:val="95"/>
                <w:sz w:val="24"/>
              </w:rPr>
              <w:t>598</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4"/>
                <w:szCs w:val="24"/>
              </w:rPr>
            </w:pPr>
            <w:r>
              <w:rPr>
                <w:rFonts w:ascii="Arial"/>
                <w:spacing w:val="-1"/>
                <w:w w:val="95"/>
                <w:sz w:val="24"/>
              </w:rPr>
              <w:t>420</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3"/>
              <w:jc w:val="right"/>
              <w:rPr>
                <w:rFonts w:ascii="Arial" w:hAnsi="Arial" w:cs="Arial" w:eastAsia="Arial" w:hint="default"/>
                <w:sz w:val="24"/>
                <w:szCs w:val="24"/>
              </w:rPr>
            </w:pPr>
            <w:r>
              <w:rPr>
                <w:rFonts w:ascii="Arial"/>
                <w:spacing w:val="-1"/>
                <w:w w:val="95"/>
                <w:sz w:val="24"/>
              </w:rPr>
              <w:t>348</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上海聚力</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4"/>
                <w:szCs w:val="24"/>
              </w:rPr>
            </w:pPr>
            <w:r>
              <w:rPr>
                <w:rFonts w:ascii="Arial"/>
                <w:spacing w:val="-1"/>
                <w:w w:val="95"/>
                <w:sz w:val="24"/>
              </w:rPr>
              <w:t>160</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2"/>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银河诺富特酒店</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4"/>
                <w:szCs w:val="24"/>
              </w:rPr>
            </w:pPr>
            <w:r>
              <w:rPr>
                <w:rFonts w:ascii="Arial"/>
                <w:spacing w:val="-1"/>
                <w:w w:val="95"/>
                <w:sz w:val="24"/>
              </w:rPr>
              <w:t>138</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2"/>
              <w:jc w:val="right"/>
              <w:rPr>
                <w:rFonts w:ascii="Arial" w:hAnsi="Arial" w:cs="Arial" w:eastAsia="Arial" w:hint="default"/>
                <w:sz w:val="24"/>
                <w:szCs w:val="24"/>
              </w:rPr>
            </w:pPr>
            <w:r>
              <w:rPr>
                <w:rFonts w:ascii="Arial"/>
                <w:spacing w:val="-1"/>
                <w:w w:val="95"/>
                <w:sz w:val="24"/>
              </w:rPr>
              <w:t>404</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上海突触</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4"/>
                <w:szCs w:val="24"/>
              </w:rPr>
            </w:pPr>
            <w:r>
              <w:rPr>
                <w:rFonts w:ascii="Arial"/>
                <w:spacing w:val="-1"/>
                <w:w w:val="95"/>
                <w:sz w:val="24"/>
              </w:rPr>
              <w:t>105</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2"/>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67" w:right="0"/>
              <w:jc w:val="left"/>
              <w:rPr>
                <w:rFonts w:ascii="宋体" w:hAnsi="宋体" w:cs="宋体" w:eastAsia="宋体" w:hint="default"/>
                <w:sz w:val="24"/>
                <w:szCs w:val="24"/>
              </w:rPr>
            </w:pPr>
            <w:r>
              <w:rPr>
                <w:rFonts w:ascii="宋体" w:hAnsi="宋体" w:cs="宋体" w:eastAsia="宋体" w:hint="default"/>
                <w:sz w:val="24"/>
                <w:szCs w:val="24"/>
              </w:rPr>
              <w:t>新街口诺富特酒店</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Arial" w:hAnsi="Arial" w:cs="Arial" w:eastAsia="Arial" w:hint="default"/>
                <w:sz w:val="24"/>
                <w:szCs w:val="24"/>
              </w:rPr>
            </w:pPr>
            <w:r>
              <w:rPr>
                <w:rFonts w:ascii="Arial"/>
                <w:w w:val="99"/>
                <w:sz w:val="24"/>
              </w:rPr>
              <w:t>4</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1"/>
              <w:jc w:val="right"/>
              <w:rPr>
                <w:rFonts w:ascii="Arial" w:hAnsi="Arial" w:cs="Arial" w:eastAsia="Arial" w:hint="default"/>
                <w:sz w:val="24"/>
                <w:szCs w:val="24"/>
              </w:rPr>
            </w:pPr>
            <w:r>
              <w:rPr>
                <w:rFonts w:ascii="Arial"/>
                <w:w w:val="99"/>
                <w:sz w:val="24"/>
              </w:rPr>
              <w:t>4</w:t>
            </w:r>
            <w:r>
              <w:rPr>
                <w:rFonts w:ascii="Arial"/>
                <w:sz w:val="24"/>
              </w:rPr>
            </w:r>
          </w:p>
        </w:tc>
      </w:tr>
      <w:tr>
        <w:trPr>
          <w:trHeight w:val="623"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0" w:lineRule="exact"/>
              <w:ind w:left="167" w:right="0"/>
              <w:jc w:val="left"/>
              <w:rPr>
                <w:rFonts w:ascii="宋体" w:hAnsi="宋体" w:cs="宋体" w:eastAsia="宋体" w:hint="default"/>
                <w:sz w:val="24"/>
                <w:szCs w:val="24"/>
              </w:rPr>
            </w:pPr>
            <w:r>
              <w:rPr>
                <w:rFonts w:ascii="宋体" w:hAnsi="宋体" w:cs="宋体" w:eastAsia="宋体" w:hint="default"/>
                <w:sz w:val="24"/>
                <w:szCs w:val="24"/>
              </w:rPr>
              <w:t>石家庄苏宁房地产开</w:t>
            </w:r>
          </w:p>
          <w:p>
            <w:pPr>
              <w:pStyle w:val="TableParagraph"/>
              <w:spacing w:line="312" w:lineRule="exact"/>
              <w:ind w:left="407" w:right="0"/>
              <w:jc w:val="left"/>
              <w:rPr>
                <w:rFonts w:ascii="宋体" w:hAnsi="宋体" w:cs="宋体" w:eastAsia="宋体" w:hint="default"/>
                <w:sz w:val="24"/>
                <w:szCs w:val="24"/>
              </w:rPr>
            </w:pPr>
            <w:r>
              <w:rPr>
                <w:rFonts w:ascii="宋体" w:hAnsi="宋体" w:cs="宋体" w:eastAsia="宋体" w:hint="default"/>
                <w:sz w:val="24"/>
                <w:szCs w:val="24"/>
              </w:rPr>
              <w:t>发</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6"/>
              <w:jc w:val="right"/>
              <w:rPr>
                <w:rFonts w:ascii="Arial" w:hAnsi="Arial" w:cs="Arial" w:eastAsia="Arial" w:hint="default"/>
                <w:sz w:val="24"/>
                <w:szCs w:val="24"/>
              </w:rPr>
            </w:pPr>
            <w:r>
              <w:rPr>
                <w:rFonts w:ascii="Arial"/>
                <w:w w:val="99"/>
                <w:sz w:val="24"/>
              </w:rPr>
              <w:t>4</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42"/>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Arial" w:hAnsi="Arial" w:cs="Arial" w:eastAsia="Arial" w:hint="default"/>
                <w:sz w:val="24"/>
                <w:szCs w:val="24"/>
              </w:rPr>
            </w:pPr>
            <w:r>
              <w:rPr>
                <w:rFonts w:ascii="Arial"/>
                <w:w w:val="99"/>
                <w:sz w:val="24"/>
              </w:rPr>
              <w:t>2</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1"/>
              <w:jc w:val="right"/>
              <w:rPr>
                <w:rFonts w:ascii="Arial" w:hAnsi="Arial" w:cs="Arial" w:eastAsia="Arial" w:hint="default"/>
                <w:sz w:val="24"/>
                <w:szCs w:val="24"/>
              </w:rPr>
            </w:pPr>
            <w:r>
              <w:rPr>
                <w:rFonts w:ascii="Arial"/>
                <w:w w:val="99"/>
                <w:sz w:val="24"/>
              </w:rPr>
              <w:t>5</w:t>
            </w:r>
            <w:r>
              <w:rPr>
                <w:rFonts w:ascii="Arial"/>
                <w:sz w:val="24"/>
              </w:rPr>
            </w:r>
          </w:p>
        </w:tc>
      </w:tr>
      <w:tr>
        <w:trPr>
          <w:trHeight w:val="307"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219"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Arial" w:hAnsi="Arial" w:cs="Arial" w:eastAsia="Arial" w:hint="default"/>
                <w:sz w:val="24"/>
                <w:szCs w:val="24"/>
              </w:rPr>
            </w:pPr>
            <w:r>
              <w:rPr>
                <w:rFonts w:ascii="Arial"/>
                <w:w w:val="99"/>
                <w:sz w:val="24"/>
              </w:rPr>
              <w:t>1</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3"/>
              <w:jc w:val="right"/>
              <w:rPr>
                <w:rFonts w:ascii="Arial" w:hAnsi="Arial" w:cs="Arial" w:eastAsia="Arial" w:hint="default"/>
                <w:sz w:val="24"/>
                <w:szCs w:val="24"/>
              </w:rPr>
            </w:pPr>
            <w:r>
              <w:rPr>
                <w:rFonts w:ascii="Arial"/>
                <w:spacing w:val="-1"/>
                <w:w w:val="95"/>
                <w:sz w:val="24"/>
              </w:rPr>
              <w:t>448</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5"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5" w:lineRule="exact"/>
              <w:ind w:left="219" w:right="0"/>
              <w:jc w:val="left"/>
              <w:rPr>
                <w:rFonts w:ascii="宋体" w:hAnsi="宋体" w:cs="宋体" w:eastAsia="宋体" w:hint="default"/>
                <w:sz w:val="24"/>
                <w:szCs w:val="24"/>
              </w:rPr>
            </w:pPr>
            <w:r>
              <w:rPr>
                <w:rFonts w:ascii="宋体" w:hAnsi="宋体" w:cs="宋体" w:eastAsia="宋体" w:hint="default"/>
                <w:sz w:val="24"/>
                <w:szCs w:val="24"/>
              </w:rPr>
              <w:t>无锡苏宁商业管理</w:t>
            </w:r>
          </w:p>
        </w:tc>
        <w:tc>
          <w:tcPr>
            <w:tcW w:w="2165" w:type="dxa"/>
            <w:tcBorders>
              <w:top w:val="nil" w:sz="6" w:space="0" w:color="auto"/>
              <w:left w:val="nil" w:sz="6" w:space="0" w:color="auto"/>
              <w:bottom w:val="nil" w:sz="6" w:space="0" w:color="auto"/>
              <w:right w:val="nil" w:sz="6" w:space="0" w:color="auto"/>
            </w:tcBorders>
          </w:tcPr>
          <w:p>
            <w:pPr>
              <w:pStyle w:val="TableParagraph"/>
              <w:spacing w:line="263" w:lineRule="exact"/>
              <w:ind w:right="107"/>
              <w:jc w:val="right"/>
              <w:rPr>
                <w:rFonts w:ascii="Arial" w:hAnsi="Arial" w:cs="Arial" w:eastAsia="Arial" w:hint="default"/>
                <w:sz w:val="24"/>
                <w:szCs w:val="24"/>
              </w:rPr>
            </w:pPr>
            <w:r>
              <w:rPr>
                <w:rFonts w:ascii="Arial"/>
                <w:w w:val="99"/>
                <w:sz w:val="24"/>
              </w:rPr>
              <w:t>-</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1"/>
              <w:jc w:val="right"/>
              <w:rPr>
                <w:rFonts w:ascii="Arial" w:hAnsi="Arial" w:cs="Arial" w:eastAsia="Arial" w:hint="default"/>
                <w:sz w:val="24"/>
                <w:szCs w:val="24"/>
              </w:rPr>
            </w:pPr>
            <w:r>
              <w:rPr>
                <w:rFonts w:ascii="Arial"/>
                <w:w w:val="95"/>
                <w:sz w:val="24"/>
              </w:rPr>
              <w:t>2,062</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5"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5" w:lineRule="exact"/>
              <w:ind w:left="219" w:right="0"/>
              <w:jc w:val="left"/>
              <w:rPr>
                <w:rFonts w:ascii="宋体" w:hAnsi="宋体" w:cs="宋体" w:eastAsia="宋体" w:hint="default"/>
                <w:sz w:val="24"/>
                <w:szCs w:val="24"/>
              </w:rPr>
            </w:pPr>
            <w:r>
              <w:rPr>
                <w:rFonts w:ascii="宋体" w:hAnsi="宋体" w:cs="宋体" w:eastAsia="宋体" w:hint="default"/>
                <w:sz w:val="24"/>
                <w:szCs w:val="24"/>
              </w:rPr>
              <w:t>华商会议中心</w:t>
            </w:r>
          </w:p>
        </w:tc>
        <w:tc>
          <w:tcPr>
            <w:tcW w:w="2165" w:type="dxa"/>
            <w:tcBorders>
              <w:top w:val="nil" w:sz="6" w:space="0" w:color="auto"/>
              <w:left w:val="nil" w:sz="6" w:space="0" w:color="auto"/>
              <w:bottom w:val="nil" w:sz="6" w:space="0" w:color="auto"/>
              <w:right w:val="nil" w:sz="6" w:space="0" w:color="auto"/>
            </w:tcBorders>
          </w:tcPr>
          <w:p>
            <w:pPr>
              <w:pStyle w:val="TableParagraph"/>
              <w:spacing w:line="263" w:lineRule="exact"/>
              <w:ind w:right="107"/>
              <w:jc w:val="right"/>
              <w:rPr>
                <w:rFonts w:ascii="Arial" w:hAnsi="Arial" w:cs="Arial" w:eastAsia="Arial" w:hint="default"/>
                <w:sz w:val="24"/>
                <w:szCs w:val="24"/>
              </w:rPr>
            </w:pPr>
            <w:r>
              <w:rPr>
                <w:rFonts w:ascii="Arial"/>
                <w:w w:val="99"/>
                <w:sz w:val="24"/>
              </w:rPr>
              <w:t>-</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2"/>
              <w:jc w:val="right"/>
              <w:rPr>
                <w:rFonts w:ascii="Arial" w:hAnsi="Arial" w:cs="Arial" w:eastAsia="Arial" w:hint="default"/>
                <w:sz w:val="24"/>
                <w:szCs w:val="24"/>
              </w:rPr>
            </w:pPr>
            <w:r>
              <w:rPr>
                <w:rFonts w:ascii="Arial"/>
                <w:spacing w:val="-1"/>
                <w:w w:val="95"/>
                <w:sz w:val="24"/>
              </w:rPr>
              <w:t>29</w:t>
            </w:r>
            <w:r>
              <w:rPr>
                <w:rFonts w:ascii="Arial"/>
                <w:sz w:val="24"/>
              </w:rPr>
            </w:r>
          </w:p>
        </w:tc>
      </w:tr>
      <w:tr>
        <w:trPr>
          <w:trHeight w:val="307"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5"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5" w:lineRule="exact"/>
              <w:ind w:left="219"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2165" w:type="dxa"/>
            <w:tcBorders>
              <w:top w:val="nil" w:sz="6" w:space="0" w:color="auto"/>
              <w:left w:val="nil" w:sz="6" w:space="0" w:color="auto"/>
              <w:bottom w:val="single" w:sz="4" w:space="0" w:color="000000"/>
              <w:right w:val="nil" w:sz="6" w:space="0" w:color="auto"/>
            </w:tcBorders>
          </w:tcPr>
          <w:p>
            <w:pPr>
              <w:pStyle w:val="TableParagraph"/>
              <w:spacing w:line="263" w:lineRule="exact"/>
              <w:ind w:right="107"/>
              <w:jc w:val="right"/>
              <w:rPr>
                <w:rFonts w:ascii="Arial" w:hAnsi="Arial" w:cs="Arial" w:eastAsia="Arial" w:hint="default"/>
                <w:sz w:val="24"/>
                <w:szCs w:val="24"/>
              </w:rPr>
            </w:pPr>
            <w:r>
              <w:rPr>
                <w:rFonts w:ascii="Arial"/>
                <w:w w:val="99"/>
                <w:sz w:val="24"/>
              </w:rPr>
              <w:t>-</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41"/>
              <w:jc w:val="right"/>
              <w:rPr>
                <w:rFonts w:ascii="Arial" w:hAnsi="Arial" w:cs="Arial" w:eastAsia="Arial" w:hint="default"/>
                <w:sz w:val="24"/>
                <w:szCs w:val="24"/>
              </w:rPr>
            </w:pPr>
            <w:r>
              <w:rPr>
                <w:rFonts w:ascii="Arial"/>
                <w:w w:val="99"/>
                <w:sz w:val="24"/>
              </w:rPr>
              <w:t>5</w:t>
            </w:r>
            <w:r>
              <w:rPr>
                <w:rFonts w:ascii="Arial"/>
                <w:sz w:val="24"/>
              </w:rPr>
            </w:r>
          </w:p>
        </w:tc>
      </w:tr>
      <w:tr>
        <w:trPr>
          <w:trHeight w:val="296"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108"/>
              <w:jc w:val="right"/>
              <w:rPr>
                <w:rFonts w:ascii="Arial" w:hAnsi="Arial" w:cs="Arial" w:eastAsia="Arial" w:hint="default"/>
                <w:sz w:val="24"/>
                <w:szCs w:val="24"/>
              </w:rPr>
            </w:pPr>
            <w:r>
              <w:rPr>
                <w:rFonts w:ascii="Arial"/>
                <w:spacing w:val="-1"/>
                <w:sz w:val="24"/>
              </w:rPr>
              <w:t>131,373</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w w:val="95"/>
                <w:sz w:val="24"/>
              </w:rPr>
              <w:t>52,953</w:t>
            </w:r>
            <w:r>
              <w:rPr>
                <w:rFonts w:ascii="Arial"/>
                <w:sz w:val="24"/>
              </w:rPr>
            </w:r>
          </w:p>
        </w:tc>
      </w:tr>
      <w:tr>
        <w:trPr>
          <w:trHeight w:val="615"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91"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73"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165"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6"/>
              <w:jc w:val="right"/>
              <w:rPr>
                <w:rFonts w:ascii="Arial" w:hAnsi="Arial" w:cs="Arial" w:eastAsia="Arial" w:hint="default"/>
                <w:sz w:val="24"/>
                <w:szCs w:val="24"/>
              </w:rPr>
            </w:pPr>
            <w:r>
              <w:rPr>
                <w:rFonts w:ascii="Arial"/>
                <w:w w:val="95"/>
                <w:sz w:val="24"/>
              </w:rPr>
              <w:t>5,562</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73"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24"/>
                <w:szCs w:val="24"/>
              </w:rPr>
            </w:pPr>
            <w:r>
              <w:rPr>
                <w:rFonts w:ascii="Arial"/>
                <w:w w:val="95"/>
                <w:sz w:val="24"/>
              </w:rPr>
              <w:t>1,026</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2578" w:type="dxa"/>
            <w:vMerge w:val="restart"/>
            <w:tcBorders>
              <w:top w:val="nil" w:sz="6" w:space="0" w:color="auto"/>
              <w:left w:val="nil" w:sz="6" w:space="0" w:color="auto"/>
              <w:right w:val="nil" w:sz="6" w:space="0" w:color="auto"/>
            </w:tcBorders>
          </w:tcPr>
          <w:p>
            <w:pPr>
              <w:pStyle w:val="TableParagraph"/>
              <w:spacing w:line="260" w:lineRule="exact"/>
              <w:ind w:left="173" w:right="0"/>
              <w:jc w:val="left"/>
              <w:rPr>
                <w:rFonts w:ascii="宋体" w:hAnsi="宋体" w:cs="宋体" w:eastAsia="宋体" w:hint="default"/>
                <w:sz w:val="24"/>
                <w:szCs w:val="24"/>
              </w:rPr>
            </w:pPr>
            <w:r>
              <w:rPr>
                <w:rFonts w:ascii="宋体" w:hAnsi="宋体" w:cs="宋体" w:eastAsia="宋体" w:hint="default"/>
                <w:spacing w:val="14"/>
                <w:sz w:val="24"/>
                <w:szCs w:val="24"/>
              </w:rPr>
              <w:t>石家庄苏宁房地产开</w:t>
            </w:r>
          </w:p>
          <w:p>
            <w:pPr>
              <w:pStyle w:val="TableParagraph"/>
              <w:spacing w:line="313" w:lineRule="exact"/>
              <w:ind w:left="444" w:right="0"/>
              <w:jc w:val="left"/>
              <w:rPr>
                <w:rFonts w:ascii="宋体" w:hAnsi="宋体" w:cs="宋体" w:eastAsia="宋体" w:hint="default"/>
                <w:sz w:val="24"/>
                <w:szCs w:val="24"/>
              </w:rPr>
            </w:pPr>
            <w:r>
              <w:rPr>
                <w:rFonts w:ascii="宋体" w:hAnsi="宋体" w:cs="宋体" w:eastAsia="宋体" w:hint="default"/>
                <w:sz w:val="24"/>
                <w:szCs w:val="24"/>
              </w:rPr>
              <w:t>发</w:t>
            </w:r>
          </w:p>
        </w:tc>
        <w:tc>
          <w:tcPr>
            <w:tcW w:w="2165"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11"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2578" w:type="dxa"/>
            <w:vMerge/>
            <w:tcBorders>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4"/>
                <w:szCs w:val="24"/>
              </w:rPr>
            </w:pPr>
            <w:r>
              <w:rPr>
                <w:rFonts w:ascii="Arial"/>
                <w:spacing w:val="-1"/>
                <w:w w:val="95"/>
                <w:sz w:val="24"/>
              </w:rPr>
              <w:t>807</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313"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62"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73"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165" w:type="dxa"/>
            <w:tcBorders>
              <w:top w:val="nil" w:sz="6" w:space="0" w:color="auto"/>
              <w:left w:val="nil" w:sz="6" w:space="0" w:color="auto"/>
              <w:bottom w:val="nil" w:sz="6" w:space="0" w:color="auto"/>
              <w:right w:val="nil" w:sz="6" w:space="0" w:color="auto"/>
            </w:tcBorders>
          </w:tcPr>
          <w:p>
            <w:pPr>
              <w:pStyle w:val="TableParagraph"/>
              <w:tabs>
                <w:tab w:pos="1975" w:val="left" w:leader="none"/>
                <w:tab w:pos="2165"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1541" w:val="left" w:leader="none"/>
                <w:tab w:pos="2267"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1,692</w:t>
            </w:r>
            <w:r>
              <w:rPr>
                <w:rFonts w:ascii="Arial"/>
                <w:sz w:val="24"/>
                <w:u w:val="single" w:color="000000"/>
              </w:rPr>
              <w:tab/>
            </w:r>
            <w:r>
              <w:rPr>
                <w:rFonts w:ascii="Arial"/>
                <w:sz w:val="24"/>
              </w:rPr>
            </w:r>
          </w:p>
        </w:tc>
      </w:tr>
      <w:tr>
        <w:trPr>
          <w:trHeight w:val="263" w:hRule="exact"/>
        </w:trPr>
        <w:tc>
          <w:tcPr>
            <w:tcW w:w="699"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tabs>
                <w:tab w:pos="1455" w:val="left" w:leader="none"/>
                <w:tab w:pos="2165" w:val="left" w:leader="none"/>
              </w:tabs>
              <w:spacing w:line="268" w:lineRule="exact"/>
              <w:ind w:left="-15"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7,395</w:t>
            </w:r>
            <w:r>
              <w:rPr>
                <w:rFonts w:ascii="Arial"/>
                <w:sz w:val="24"/>
                <w:u w:val="thick" w:color="000000"/>
              </w:rPr>
              <w:tab/>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1541" w:val="left" w:leader="none"/>
                <w:tab w:pos="2267" w:val="left" w:leader="none"/>
              </w:tabs>
              <w:spacing w:line="268" w:lineRule="exact"/>
              <w:ind w:left="-15"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1,692</w:t>
            </w:r>
            <w:r>
              <w:rPr>
                <w:rFonts w:ascii="Arial"/>
                <w:sz w:val="24"/>
                <w:u w:val="thick" w:color="000000"/>
              </w:rPr>
              <w:tab/>
            </w:r>
            <w:r>
              <w:rPr>
                <w:rFonts w:ascii="Arial"/>
                <w:sz w:val="24"/>
              </w:rPr>
            </w:r>
          </w:p>
        </w:tc>
      </w:tr>
    </w:tbl>
    <w:p>
      <w:pPr>
        <w:spacing w:after="0" w:line="268" w:lineRule="exact"/>
        <w:jc w:val="right"/>
        <w:rPr>
          <w:rFonts w:ascii="Arial" w:hAnsi="Arial" w:cs="Arial" w:eastAsia="Arial" w:hint="default"/>
          <w:sz w:val="24"/>
          <w:szCs w:val="24"/>
        </w:rPr>
        <w:sectPr>
          <w:pgSz w:w="11910" w:h="16840"/>
          <w:pgMar w:header="755" w:footer="914" w:top="1860" w:bottom="1180" w:left="136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700"/>
        <w:gridCol w:w="1786"/>
        <w:gridCol w:w="2578"/>
        <w:gridCol w:w="2180"/>
        <w:gridCol w:w="229"/>
        <w:gridCol w:w="2282"/>
      </w:tblGrid>
      <w:tr>
        <w:trPr>
          <w:trHeight w:val="496"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exact"/>
              <w:ind w:right="207"/>
              <w:jc w:val="right"/>
              <w:rPr>
                <w:rFonts w:ascii="黑体" w:hAnsi="黑体" w:cs="黑体" w:eastAsia="黑体" w:hint="default"/>
                <w:sz w:val="24"/>
                <w:szCs w:val="24"/>
              </w:rPr>
            </w:pPr>
            <w:r>
              <w:rPr>
                <w:rFonts w:ascii="黑体" w:hAnsi="黑体" w:cs="黑体" w:eastAsia="黑体" w:hint="default"/>
                <w:sz w:val="24"/>
                <w:szCs w:val="24"/>
              </w:rPr>
              <w:t>八</w:t>
            </w:r>
          </w:p>
        </w:tc>
        <w:tc>
          <w:tcPr>
            <w:tcW w:w="4364"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78"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8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746"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04"/>
              <w:jc w:val="right"/>
              <w:rPr>
                <w:rFonts w:ascii="Arial" w:hAnsi="Arial" w:cs="Arial" w:eastAsia="Arial" w:hint="default"/>
                <w:sz w:val="24"/>
                <w:szCs w:val="24"/>
              </w:rPr>
            </w:pPr>
            <w:r>
              <w:rPr>
                <w:rFonts w:ascii="Arial"/>
                <w:spacing w:val="-1"/>
                <w:sz w:val="24"/>
              </w:rPr>
              <w:t>(8)</w:t>
            </w:r>
          </w:p>
        </w:tc>
        <w:tc>
          <w:tcPr>
            <w:tcW w:w="43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06" w:right="0"/>
              <w:jc w:val="left"/>
              <w:rPr>
                <w:rFonts w:ascii="黑体" w:hAnsi="黑体" w:cs="黑体" w:eastAsia="黑体" w:hint="default"/>
                <w:sz w:val="24"/>
                <w:szCs w:val="24"/>
              </w:rPr>
            </w:pPr>
            <w:r>
              <w:rPr>
                <w:rFonts w:ascii="黑体" w:hAnsi="黑体" w:cs="黑体" w:eastAsia="黑体" w:hint="default"/>
                <w:sz w:val="24"/>
                <w:szCs w:val="24"/>
              </w:rPr>
              <w:t>存放于关联方的存款</w:t>
            </w:r>
          </w:p>
        </w:tc>
        <w:tc>
          <w:tcPr>
            <w:tcW w:w="218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753" w:hRule="exact"/>
        </w:trPr>
        <w:tc>
          <w:tcPr>
            <w:tcW w:w="7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7"/>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8" w:hRule="exact"/>
        </w:trPr>
        <w:tc>
          <w:tcPr>
            <w:tcW w:w="7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06"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39"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180"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9"/>
              <w:jc w:val="right"/>
              <w:rPr>
                <w:rFonts w:ascii="Arial" w:hAnsi="Arial" w:cs="Arial" w:eastAsia="Arial" w:hint="default"/>
                <w:sz w:val="24"/>
                <w:szCs w:val="24"/>
              </w:rPr>
            </w:pPr>
            <w:r>
              <w:rPr>
                <w:rFonts w:ascii="Arial"/>
                <w:spacing w:val="-1"/>
                <w:sz w:val="24"/>
              </w:rPr>
              <w:t>1,170,000</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24"/>
              <w:jc w:val="right"/>
              <w:rPr>
                <w:rFonts w:ascii="Arial" w:hAnsi="Arial" w:cs="Arial" w:eastAsia="Arial" w:hint="default"/>
                <w:sz w:val="24"/>
                <w:szCs w:val="24"/>
              </w:rPr>
            </w:pPr>
            <w:r>
              <w:rPr>
                <w:rFonts w:ascii="Arial"/>
                <w:w w:val="99"/>
                <w:sz w:val="24"/>
              </w:rPr>
              <w:t>-</w:t>
            </w:r>
            <w:r>
              <w:rPr>
                <w:rFonts w:ascii="Arial"/>
                <w:sz w:val="24"/>
              </w:rPr>
            </w:r>
          </w:p>
        </w:tc>
      </w:tr>
    </w:tbl>
    <w:p>
      <w:pPr>
        <w:spacing w:line="240" w:lineRule="auto" w:before="4"/>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725"/>
        <w:gridCol w:w="8919"/>
      </w:tblGrid>
      <w:tr>
        <w:trPr>
          <w:trHeight w:val="421"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(9)</w:t>
            </w:r>
          </w:p>
        </w:tc>
        <w:tc>
          <w:tcPr>
            <w:tcW w:w="8919" w:type="dxa"/>
            <w:tcBorders>
              <w:top w:val="nil" w:sz="6" w:space="0" w:color="auto"/>
              <w:left w:val="nil" w:sz="6" w:space="0" w:color="auto"/>
              <w:bottom w:val="nil" w:sz="6" w:space="0" w:color="auto"/>
              <w:right w:val="nil" w:sz="6" w:space="0" w:color="auto"/>
            </w:tcBorders>
          </w:tcPr>
          <w:p>
            <w:pPr>
              <w:pStyle w:val="TableParagraph"/>
              <w:spacing w:line="247" w:lineRule="exact"/>
              <w:ind w:left="231" w:right="0"/>
              <w:jc w:val="left"/>
              <w:rPr>
                <w:rFonts w:ascii="黑体" w:hAnsi="黑体" w:cs="黑体" w:eastAsia="黑体" w:hint="default"/>
                <w:sz w:val="24"/>
                <w:szCs w:val="24"/>
              </w:rPr>
            </w:pPr>
            <w:r>
              <w:rPr>
                <w:rFonts w:ascii="黑体" w:hAnsi="黑体" w:cs="黑体" w:eastAsia="黑体" w:hint="default"/>
                <w:sz w:val="24"/>
                <w:szCs w:val="24"/>
              </w:rPr>
              <w:t>关联方承诺</w:t>
            </w:r>
          </w:p>
        </w:tc>
      </w:tr>
      <w:tr>
        <w:trPr>
          <w:trHeight w:val="724" w:hRule="exact"/>
        </w:trPr>
        <w:tc>
          <w:tcPr>
            <w:tcW w:w="725" w:type="dxa"/>
            <w:tcBorders>
              <w:top w:val="nil" w:sz="6" w:space="0" w:color="auto"/>
              <w:left w:val="nil" w:sz="6" w:space="0" w:color="auto"/>
              <w:bottom w:val="nil" w:sz="6" w:space="0" w:color="auto"/>
              <w:right w:val="nil" w:sz="6" w:space="0" w:color="auto"/>
            </w:tcBorders>
          </w:tcPr>
          <w:p>
            <w:pPr/>
          </w:p>
        </w:tc>
        <w:tc>
          <w:tcPr>
            <w:tcW w:w="8919"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231" w:right="198"/>
              <w:jc w:val="left"/>
              <w:rPr>
                <w:rFonts w:ascii="宋体" w:hAnsi="宋体" w:cs="宋体" w:eastAsia="宋体" w:hint="default"/>
                <w:sz w:val="24"/>
                <w:szCs w:val="24"/>
              </w:rPr>
            </w:pPr>
            <w:r>
              <w:rPr>
                <w:rFonts w:ascii="宋体" w:hAnsi="宋体" w:cs="宋体" w:eastAsia="宋体" w:hint="default"/>
                <w:spacing w:val="2"/>
                <w:sz w:val="24"/>
                <w:szCs w:val="24"/>
              </w:rPr>
              <w:t>以下为本集团于资产负债表日，已签约而尚不必在资产负债表上列示的与关联方</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有关的承诺事项：</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907" w:type="dxa"/>
        <w:tblLayout w:type="fixed"/>
        <w:tblCellMar>
          <w:top w:w="0" w:type="dxa"/>
          <w:left w:w="0" w:type="dxa"/>
          <w:bottom w:w="0" w:type="dxa"/>
          <w:right w:w="0" w:type="dxa"/>
        </w:tblCellMar>
        <w:tblLook w:val="01E0"/>
      </w:tblPr>
      <w:tblGrid>
        <w:gridCol w:w="4542"/>
        <w:gridCol w:w="1901"/>
        <w:gridCol w:w="2536"/>
      </w:tblGrid>
      <w:tr>
        <w:trPr>
          <w:trHeight w:val="413"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1901" w:type="dxa"/>
            <w:tcBorders>
              <w:top w:val="nil" w:sz="6" w:space="0" w:color="auto"/>
              <w:left w:val="nil" w:sz="6" w:space="0" w:color="auto"/>
              <w:bottom w:val="nil" w:sz="6" w:space="0" w:color="auto"/>
              <w:right w:val="nil" w:sz="6" w:space="0" w:color="auto"/>
            </w:tcBorders>
          </w:tcPr>
          <w:p>
            <w:pPr/>
          </w:p>
        </w:tc>
        <w:tc>
          <w:tcPr>
            <w:tcW w:w="2536" w:type="dxa"/>
            <w:tcBorders>
              <w:top w:val="nil" w:sz="6" w:space="0" w:color="auto"/>
              <w:left w:val="nil" w:sz="6" w:space="0" w:color="auto"/>
              <w:bottom w:val="nil" w:sz="6" w:space="0" w:color="auto"/>
              <w:right w:val="nil" w:sz="6" w:space="0" w:color="auto"/>
            </w:tcBorders>
          </w:tcPr>
          <w:p>
            <w:pPr/>
          </w:p>
        </w:tc>
      </w:tr>
      <w:tr>
        <w:trPr>
          <w:trHeight w:val="593" w:hRule="exact"/>
        </w:trPr>
        <w:tc>
          <w:tcPr>
            <w:tcW w:w="64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4107"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0"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项目管理服务</w:t>
            </w:r>
          </w:p>
        </w:tc>
        <w:tc>
          <w:tcPr>
            <w:tcW w:w="1901" w:type="dxa"/>
            <w:tcBorders>
              <w:top w:val="nil" w:sz="6" w:space="0" w:color="auto"/>
              <w:left w:val="nil" w:sz="6" w:space="0" w:color="auto"/>
              <w:bottom w:val="nil" w:sz="6" w:space="0" w:color="auto"/>
              <w:right w:val="nil" w:sz="6" w:space="0" w:color="auto"/>
            </w:tcBorders>
          </w:tcPr>
          <w:p>
            <w:pPr/>
          </w:p>
        </w:tc>
        <w:tc>
          <w:tcPr>
            <w:tcW w:w="2536" w:type="dxa"/>
            <w:tcBorders>
              <w:top w:val="nil" w:sz="6" w:space="0" w:color="auto"/>
              <w:left w:val="nil" w:sz="6" w:space="0" w:color="auto"/>
              <w:bottom w:val="nil" w:sz="6" w:space="0" w:color="auto"/>
              <w:right w:val="nil" w:sz="6" w:space="0" w:color="auto"/>
            </w:tcBorders>
          </w:tcPr>
          <w:p>
            <w:pPr/>
          </w:p>
        </w:tc>
      </w:tr>
      <w:tr>
        <w:trPr>
          <w:trHeight w:val="319"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70" w:lineRule="exact"/>
              <w:ind w:left="1270"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71" w:right="0"/>
              <w:jc w:val="left"/>
              <w:rPr>
                <w:rFonts w:ascii="Arial" w:hAnsi="Arial" w:cs="Arial" w:eastAsia="Arial" w:hint="default"/>
                <w:sz w:val="24"/>
                <w:szCs w:val="24"/>
              </w:rPr>
            </w:pPr>
            <w:r>
              <w:rPr>
                <w:rFonts w:ascii="Arial"/>
                <w:sz w:val="24"/>
              </w:rPr>
              <w:t>32,542</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5"/>
              <w:jc w:val="right"/>
              <w:rPr>
                <w:rFonts w:ascii="Arial" w:hAnsi="Arial" w:cs="Arial" w:eastAsia="Arial" w:hint="default"/>
                <w:sz w:val="24"/>
                <w:szCs w:val="24"/>
              </w:rPr>
            </w:pPr>
            <w:r>
              <w:rPr>
                <w:rFonts w:ascii="Arial"/>
                <w:spacing w:val="-1"/>
                <w:sz w:val="24"/>
              </w:rPr>
              <w:t>70,101</w:t>
            </w:r>
            <w:r>
              <w:rPr>
                <w:rFonts w:ascii="Arial"/>
                <w:sz w:val="24"/>
              </w:rPr>
            </w:r>
          </w:p>
        </w:tc>
      </w:tr>
      <w:tr>
        <w:trPr>
          <w:trHeight w:val="312"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62" w:lineRule="exact"/>
              <w:ind w:left="1270"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06" w:right="0"/>
              <w:jc w:val="left"/>
              <w:rPr>
                <w:rFonts w:ascii="Arial" w:hAnsi="Arial" w:cs="Arial" w:eastAsia="Arial" w:hint="default"/>
                <w:sz w:val="24"/>
                <w:szCs w:val="24"/>
              </w:rPr>
            </w:pPr>
            <w:r>
              <w:rPr>
                <w:rFonts w:ascii="Arial"/>
                <w:sz w:val="24"/>
              </w:rPr>
              <w:t>7,893</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3"/>
              <w:jc w:val="right"/>
              <w:rPr>
                <w:rFonts w:ascii="Arial" w:hAnsi="Arial" w:cs="Arial" w:eastAsia="Arial" w:hint="default"/>
                <w:sz w:val="24"/>
                <w:szCs w:val="24"/>
              </w:rPr>
            </w:pPr>
            <w:r>
              <w:rPr>
                <w:rFonts w:ascii="Arial"/>
                <w:w w:val="95"/>
                <w:sz w:val="24"/>
              </w:rPr>
              <w:t>12,175</w:t>
            </w:r>
            <w:r>
              <w:rPr>
                <w:rFonts w:ascii="Arial"/>
                <w:sz w:val="24"/>
              </w:rPr>
            </w:r>
          </w:p>
        </w:tc>
      </w:tr>
      <w:tr>
        <w:trPr>
          <w:trHeight w:val="311"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62" w:lineRule="exact"/>
              <w:ind w:left="1270"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06" w:right="0"/>
              <w:jc w:val="left"/>
              <w:rPr>
                <w:rFonts w:ascii="Arial" w:hAnsi="Arial" w:cs="Arial" w:eastAsia="Arial" w:hint="default"/>
                <w:sz w:val="24"/>
                <w:szCs w:val="24"/>
              </w:rPr>
            </w:pPr>
            <w:r>
              <w:rPr>
                <w:rFonts w:ascii="Arial"/>
                <w:sz w:val="24"/>
              </w:rPr>
              <w:t>2,644</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3"/>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62" w:lineRule="exact"/>
              <w:ind w:left="1270"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06" w:right="0"/>
              <w:jc w:val="left"/>
              <w:rPr>
                <w:rFonts w:ascii="Arial" w:hAnsi="Arial" w:cs="Arial" w:eastAsia="Arial" w:hint="default"/>
                <w:sz w:val="24"/>
                <w:szCs w:val="24"/>
              </w:rPr>
            </w:pPr>
            <w:r>
              <w:rPr>
                <w:rFonts w:ascii="Arial"/>
                <w:sz w:val="24"/>
              </w:rPr>
              <w:t>2,056</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2"/>
              <w:jc w:val="right"/>
              <w:rPr>
                <w:rFonts w:ascii="Arial" w:hAnsi="Arial" w:cs="Arial" w:eastAsia="Arial" w:hint="default"/>
                <w:sz w:val="24"/>
                <w:szCs w:val="24"/>
              </w:rPr>
            </w:pPr>
            <w:r>
              <w:rPr>
                <w:rFonts w:ascii="Arial"/>
                <w:w w:val="95"/>
                <w:sz w:val="24"/>
              </w:rPr>
              <w:t>4,067</w:t>
            </w:r>
            <w:r>
              <w:rPr>
                <w:rFonts w:ascii="Arial"/>
                <w:sz w:val="24"/>
              </w:rPr>
            </w:r>
          </w:p>
        </w:tc>
      </w:tr>
      <w:tr>
        <w:trPr>
          <w:trHeight w:val="311"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62" w:lineRule="exact"/>
              <w:ind w:left="1270"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06" w:right="0"/>
              <w:jc w:val="left"/>
              <w:rPr>
                <w:rFonts w:ascii="Arial" w:hAnsi="Arial" w:cs="Arial" w:eastAsia="Arial" w:hint="default"/>
                <w:sz w:val="24"/>
                <w:szCs w:val="24"/>
              </w:rPr>
            </w:pPr>
            <w:r>
              <w:rPr>
                <w:rFonts w:ascii="Arial"/>
                <w:sz w:val="24"/>
              </w:rPr>
              <w:t>1,534</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2"/>
              <w:jc w:val="right"/>
              <w:rPr>
                <w:rFonts w:ascii="Arial" w:hAnsi="Arial" w:cs="Arial" w:eastAsia="Arial" w:hint="default"/>
                <w:sz w:val="24"/>
                <w:szCs w:val="24"/>
              </w:rPr>
            </w:pPr>
            <w:r>
              <w:rPr>
                <w:rFonts w:ascii="Arial"/>
                <w:w w:val="95"/>
                <w:sz w:val="24"/>
              </w:rPr>
              <w:t>6,969</w:t>
            </w:r>
            <w:r>
              <w:rPr>
                <w:rFonts w:ascii="Arial"/>
                <w:sz w:val="24"/>
              </w:rPr>
            </w:r>
          </w:p>
        </w:tc>
      </w:tr>
      <w:tr>
        <w:trPr>
          <w:trHeight w:val="311"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62" w:lineRule="exact"/>
              <w:ind w:left="1270"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06" w:right="0"/>
              <w:jc w:val="left"/>
              <w:rPr>
                <w:rFonts w:ascii="Arial" w:hAnsi="Arial" w:cs="Arial" w:eastAsia="Arial" w:hint="default"/>
                <w:sz w:val="24"/>
                <w:szCs w:val="24"/>
              </w:rPr>
            </w:pPr>
            <w:r>
              <w:rPr>
                <w:rFonts w:ascii="Arial"/>
                <w:sz w:val="24"/>
              </w:rPr>
              <w:t>1,501</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3"/>
              <w:jc w:val="right"/>
              <w:rPr>
                <w:rFonts w:ascii="Arial" w:hAnsi="Arial" w:cs="Arial" w:eastAsia="Arial" w:hint="default"/>
                <w:sz w:val="24"/>
                <w:szCs w:val="24"/>
              </w:rPr>
            </w:pPr>
            <w:r>
              <w:rPr>
                <w:rFonts w:ascii="Arial"/>
                <w:w w:val="95"/>
                <w:sz w:val="24"/>
              </w:rPr>
              <w:t>12,737</w:t>
            </w:r>
            <w:r>
              <w:rPr>
                <w:rFonts w:ascii="Arial"/>
                <w:sz w:val="24"/>
              </w:rPr>
            </w:r>
          </w:p>
        </w:tc>
      </w:tr>
      <w:tr>
        <w:trPr>
          <w:trHeight w:val="312"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62" w:lineRule="exact"/>
              <w:ind w:left="1270"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05" w:right="0"/>
              <w:jc w:val="left"/>
              <w:rPr>
                <w:rFonts w:ascii="Arial" w:hAnsi="Arial" w:cs="Arial" w:eastAsia="Arial" w:hint="default"/>
                <w:sz w:val="24"/>
                <w:szCs w:val="24"/>
              </w:rPr>
            </w:pPr>
            <w:r>
              <w:rPr>
                <w:rFonts w:ascii="Arial"/>
                <w:sz w:val="24"/>
              </w:rPr>
              <w:t>680</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5"/>
              <w:jc w:val="right"/>
              <w:rPr>
                <w:rFonts w:ascii="Arial" w:hAnsi="Arial" w:cs="Arial" w:eastAsia="Arial" w:hint="default"/>
                <w:sz w:val="24"/>
                <w:szCs w:val="24"/>
              </w:rPr>
            </w:pPr>
            <w:r>
              <w:rPr>
                <w:rFonts w:ascii="Arial"/>
                <w:spacing w:val="-1"/>
                <w:w w:val="95"/>
                <w:sz w:val="24"/>
              </w:rPr>
              <w:t>752</w:t>
            </w:r>
            <w:r>
              <w:rPr>
                <w:rFonts w:ascii="Arial"/>
                <w:sz w:val="24"/>
              </w:rPr>
            </w:r>
          </w:p>
        </w:tc>
      </w:tr>
      <w:tr>
        <w:trPr>
          <w:trHeight w:val="311"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62" w:lineRule="exact"/>
              <w:ind w:left="1270"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5" w:right="0"/>
              <w:jc w:val="left"/>
              <w:rPr>
                <w:rFonts w:ascii="Arial" w:hAnsi="Arial" w:cs="Arial" w:eastAsia="Arial" w:hint="default"/>
                <w:sz w:val="24"/>
                <w:szCs w:val="24"/>
              </w:rPr>
            </w:pPr>
            <w:r>
              <w:rPr>
                <w:rFonts w:ascii="Arial"/>
                <w:sz w:val="24"/>
              </w:rPr>
              <w:t>678</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spacing w:val="-1"/>
                <w:w w:val="95"/>
                <w:sz w:val="24"/>
              </w:rPr>
              <w:t>682</w:t>
            </w:r>
            <w:r>
              <w:rPr>
                <w:rFonts w:ascii="Arial"/>
                <w:sz w:val="24"/>
              </w:rPr>
            </w:r>
          </w:p>
        </w:tc>
      </w:tr>
      <w:tr>
        <w:trPr>
          <w:trHeight w:val="311"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62" w:lineRule="exact"/>
              <w:ind w:left="1270"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5" w:right="0"/>
              <w:jc w:val="left"/>
              <w:rPr>
                <w:rFonts w:ascii="Arial" w:hAnsi="Arial" w:cs="Arial" w:eastAsia="Arial" w:hint="default"/>
                <w:sz w:val="24"/>
                <w:szCs w:val="24"/>
              </w:rPr>
            </w:pPr>
            <w:r>
              <w:rPr>
                <w:rFonts w:ascii="Arial"/>
                <w:sz w:val="24"/>
              </w:rPr>
              <w:t>308</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spacing w:val="-1"/>
                <w:w w:val="95"/>
                <w:sz w:val="24"/>
              </w:rPr>
              <w:t>312</w:t>
            </w:r>
            <w:r>
              <w:rPr>
                <w:rFonts w:ascii="Arial"/>
                <w:sz w:val="24"/>
              </w:rPr>
            </w:r>
          </w:p>
        </w:tc>
      </w:tr>
      <w:tr>
        <w:trPr>
          <w:trHeight w:val="313" w:hRule="exact"/>
        </w:trPr>
        <w:tc>
          <w:tcPr>
            <w:tcW w:w="4542" w:type="dxa"/>
            <w:tcBorders>
              <w:top w:val="nil" w:sz="6" w:space="0" w:color="auto"/>
              <w:left w:val="nil" w:sz="6" w:space="0" w:color="auto"/>
              <w:bottom w:val="nil" w:sz="6" w:space="0" w:color="auto"/>
              <w:right w:val="nil" w:sz="6" w:space="0" w:color="auto"/>
            </w:tcBorders>
          </w:tcPr>
          <w:p>
            <w:pPr>
              <w:pStyle w:val="TableParagraph"/>
              <w:tabs>
                <w:tab w:pos="3917" w:val="left" w:leader="none"/>
                <w:tab w:pos="5747" w:val="left" w:leader="none"/>
              </w:tabs>
              <w:spacing w:line="259" w:lineRule="exact"/>
              <w:ind w:left="1270" w:right="-1206"/>
              <w:jc w:val="left"/>
              <w:rPr>
                <w:rFonts w:ascii="Arial" w:hAnsi="Arial" w:cs="Arial" w:eastAsia="Arial" w:hint="default"/>
                <w:sz w:val="24"/>
                <w:szCs w:val="24"/>
              </w:rPr>
            </w:pPr>
            <w:r>
              <w:rPr>
                <w:rFonts w:ascii="宋体" w:hAnsi="宋体" w:cs="宋体" w:eastAsia="宋体" w:hint="default"/>
                <w:position w:val="2"/>
                <w:sz w:val="24"/>
                <w:szCs w:val="24"/>
              </w:rPr>
              <w:t>淮安苏宁置业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01"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19"/>
              <w:ind w:right="183"/>
              <w:jc w:val="right"/>
              <w:rPr>
                <w:rFonts w:ascii="Arial" w:hAnsi="Arial" w:cs="Arial" w:eastAsia="Arial" w:hint="default"/>
                <w:sz w:val="24"/>
                <w:szCs w:val="24"/>
              </w:rPr>
            </w:pPr>
            <w:r>
              <w:rPr>
                <w:rFonts w:ascii="Arial"/>
                <w:w w:val="99"/>
                <w:sz w:val="24"/>
              </w:rPr>
            </w:r>
            <w:r>
              <w:rPr>
                <w:rFonts w:ascii="Arial"/>
                <w:spacing w:val="-1"/>
                <w:sz w:val="24"/>
                <w:u w:val="single" w:color="000000"/>
              </w:rPr>
              <w:t>161</w:t>
              <w:tab/>
            </w:r>
            <w:r>
              <w:rPr>
                <w:rFonts w:ascii="Arial"/>
                <w:spacing w:val="-1"/>
                <w:sz w:val="24"/>
              </w:rPr>
            </w:r>
          </w:p>
        </w:tc>
        <w:tc>
          <w:tcPr>
            <w:tcW w:w="2536" w:type="dxa"/>
            <w:tcBorders>
              <w:top w:val="nil" w:sz="6" w:space="0" w:color="auto"/>
              <w:left w:val="nil" w:sz="6" w:space="0" w:color="auto"/>
              <w:bottom w:val="nil" w:sz="6" w:space="0" w:color="auto"/>
              <w:right w:val="nil" w:sz="6" w:space="0" w:color="auto"/>
            </w:tcBorders>
          </w:tcPr>
          <w:p>
            <w:pPr>
              <w:pStyle w:val="TableParagraph"/>
              <w:tabs>
                <w:tab w:pos="1604" w:val="left" w:leader="none"/>
                <w:tab w:pos="2312" w:val="left" w:leader="none"/>
              </w:tabs>
              <w:spacing w:line="240" w:lineRule="auto" w:before="19"/>
              <w:ind w:right="1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2,943</w:t>
            </w:r>
            <w:r>
              <w:rPr>
                <w:rFonts w:ascii="Arial"/>
                <w:sz w:val="24"/>
                <w:u w:val="single" w:color="000000"/>
              </w:rPr>
              <w:tab/>
            </w:r>
            <w:r>
              <w:rPr>
                <w:rFonts w:ascii="Arial"/>
                <w:sz w:val="24"/>
              </w:rPr>
            </w:r>
          </w:p>
        </w:tc>
      </w:tr>
      <w:tr>
        <w:trPr>
          <w:trHeight w:val="263" w:hRule="exact"/>
        </w:trPr>
        <w:tc>
          <w:tcPr>
            <w:tcW w:w="4542"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tabs>
                <w:tab w:pos="871" w:val="left" w:leader="none"/>
                <w:tab w:pos="1715" w:val="left" w:leader="none"/>
              </w:tabs>
              <w:spacing w:line="268" w:lineRule="exact"/>
              <w:ind w:left="-640" w:right="18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49,997</w:t>
            </w:r>
            <w:r>
              <w:rPr>
                <w:rFonts w:ascii="Arial"/>
                <w:sz w:val="24"/>
                <w:u w:val="thick" w:color="000000"/>
              </w:rPr>
              <w:tab/>
            </w:r>
            <w:r>
              <w:rPr>
                <w:rFonts w:ascii="Arial"/>
                <w:sz w:val="24"/>
              </w:rPr>
            </w:r>
          </w:p>
        </w:tc>
        <w:tc>
          <w:tcPr>
            <w:tcW w:w="2536" w:type="dxa"/>
            <w:tcBorders>
              <w:top w:val="nil" w:sz="6" w:space="0" w:color="auto"/>
              <w:left w:val="nil" w:sz="6" w:space="0" w:color="auto"/>
              <w:bottom w:val="nil" w:sz="6" w:space="0" w:color="auto"/>
              <w:right w:val="nil" w:sz="6" w:space="0" w:color="auto"/>
            </w:tcBorders>
          </w:tcPr>
          <w:p>
            <w:pPr>
              <w:pStyle w:val="TableParagraph"/>
              <w:tabs>
                <w:tab w:pos="1369" w:val="left" w:leader="none"/>
                <w:tab w:pos="2326" w:val="left" w:leader="none"/>
              </w:tabs>
              <w:spacing w:line="268" w:lineRule="exact"/>
              <w:ind w:right="1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110,738</w:t>
              <w:tab/>
            </w:r>
            <w:r>
              <w:rPr>
                <w:rFonts w:ascii="Arial"/>
                <w:spacing w:val="-3"/>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tbl>
      <w:tblPr>
        <w:tblW w:w="0" w:type="auto"/>
        <w:jc w:val="left"/>
        <w:tblInd w:w="907" w:type="dxa"/>
        <w:tblLayout w:type="fixed"/>
        <w:tblCellMar>
          <w:top w:w="0" w:type="dxa"/>
          <w:left w:w="0" w:type="dxa"/>
          <w:bottom w:w="0" w:type="dxa"/>
          <w:right w:w="0" w:type="dxa"/>
        </w:tblCellMar>
        <w:tblLook w:val="01E0"/>
      </w:tblPr>
      <w:tblGrid>
        <w:gridCol w:w="3918"/>
        <w:gridCol w:w="2340"/>
        <w:gridCol w:w="245"/>
        <w:gridCol w:w="2320"/>
      </w:tblGrid>
      <w:tr>
        <w:trPr>
          <w:trHeight w:val="499" w:hRule="exact"/>
        </w:trPr>
        <w:tc>
          <w:tcPr>
            <w:tcW w:w="625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4107"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5"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57" w:lineRule="exact"/>
              <w:ind w:right="41"/>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747"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00"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代售自建店配套物业服务</w:t>
            </w:r>
          </w:p>
        </w:tc>
        <w:tc>
          <w:tcPr>
            <w:tcW w:w="2340"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
        </w:tc>
      </w:tr>
      <w:tr>
        <w:trPr>
          <w:trHeight w:val="578"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270"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spacing w:val="-4"/>
                <w:sz w:val="24"/>
              </w:rPr>
              <w:t>11,191</w:t>
            </w:r>
          </w:p>
        </w:tc>
        <w:tc>
          <w:tcPr>
            <w:tcW w:w="245"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w w:val="95"/>
                <w:sz w:val="24"/>
              </w:rPr>
              <w:t>7,685</w:t>
            </w:r>
            <w:r>
              <w:rPr>
                <w:rFonts w:ascii="Arial"/>
                <w:sz w:val="24"/>
              </w:rPr>
            </w:r>
          </w:p>
        </w:tc>
      </w:tr>
      <w:tr>
        <w:trPr>
          <w:trHeight w:val="382"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1" w:lineRule="exact"/>
              <w:ind w:left="1270"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w w:val="95"/>
                <w:sz w:val="24"/>
              </w:rPr>
              <w:t>1,080</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5"/>
                <w:sz w:val="24"/>
              </w:rPr>
              <w:t>6,600</w:t>
            </w:r>
            <w:r>
              <w:rPr>
                <w:rFonts w:ascii="Arial"/>
                <w:sz w:val="24"/>
              </w:rPr>
            </w:r>
          </w:p>
        </w:tc>
      </w:tr>
      <w:tr>
        <w:trPr>
          <w:trHeight w:val="376" w:hRule="exact"/>
        </w:trPr>
        <w:tc>
          <w:tcPr>
            <w:tcW w:w="3918"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7"/>
              <w:jc w:val="right"/>
              <w:rPr>
                <w:rFonts w:ascii="Arial" w:hAnsi="Arial" w:cs="Arial" w:eastAsia="Arial" w:hint="default"/>
                <w:sz w:val="24"/>
                <w:szCs w:val="24"/>
              </w:rPr>
            </w:pPr>
            <w:r>
              <w:rPr>
                <w:rFonts w:ascii="Arial"/>
                <w:w w:val="95"/>
                <w:sz w:val="24"/>
              </w:rPr>
              <w:t>12,271</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32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6"/>
              <w:jc w:val="right"/>
              <w:rPr>
                <w:rFonts w:ascii="Arial" w:hAnsi="Arial" w:cs="Arial" w:eastAsia="Arial" w:hint="default"/>
                <w:sz w:val="24"/>
                <w:szCs w:val="24"/>
              </w:rPr>
            </w:pPr>
            <w:r>
              <w:rPr>
                <w:rFonts w:ascii="Arial"/>
                <w:w w:val="95"/>
                <w:sz w:val="24"/>
              </w:rPr>
              <w:t>14,285</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14" w:top="1860" w:bottom="1180" w:left="136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6"/>
        <w:gridCol w:w="3719"/>
        <w:gridCol w:w="2411"/>
        <w:gridCol w:w="275"/>
        <w:gridCol w:w="2560"/>
      </w:tblGrid>
      <w:tr>
        <w:trPr>
          <w:trHeight w:val="43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719" w:type="dxa"/>
            <w:tcBorders>
              <w:top w:val="nil" w:sz="6" w:space="0" w:color="auto"/>
              <w:left w:val="nil" w:sz="6" w:space="0" w:color="auto"/>
              <w:bottom w:val="nil" w:sz="6" w:space="0" w:color="auto"/>
              <w:right w:val="nil" w:sz="6" w:space="0" w:color="auto"/>
            </w:tcBorders>
          </w:tcPr>
          <w:p>
            <w:pPr>
              <w:pStyle w:val="TableParagraph"/>
              <w:spacing w:line="257" w:lineRule="exact"/>
              <w:ind w:left="191"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11"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
        </w:tc>
      </w:tr>
      <w:tr>
        <w:trPr>
          <w:trHeight w:val="687"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50" w:right="0"/>
              <w:jc w:val="left"/>
              <w:rPr>
                <w:rFonts w:ascii="Arial" w:hAnsi="Arial" w:cs="Arial" w:eastAsia="Arial" w:hint="default"/>
                <w:sz w:val="24"/>
                <w:szCs w:val="24"/>
              </w:rPr>
            </w:pPr>
            <w:r>
              <w:rPr>
                <w:rFonts w:ascii="Arial"/>
                <w:sz w:val="24"/>
              </w:rPr>
              <w:t>(9)</w:t>
            </w:r>
          </w:p>
        </w:tc>
        <w:tc>
          <w:tcPr>
            <w:tcW w:w="371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42" w:right="0"/>
              <w:jc w:val="left"/>
              <w:rPr>
                <w:rFonts w:ascii="Arial" w:hAnsi="Arial" w:cs="Arial" w:eastAsia="Arial" w:hint="default"/>
                <w:sz w:val="24"/>
                <w:szCs w:val="24"/>
              </w:rPr>
            </w:pPr>
            <w:r>
              <w:rPr>
                <w:rFonts w:ascii="黑体" w:hAnsi="黑体" w:cs="黑体" w:eastAsia="黑体" w:hint="default"/>
                <w:sz w:val="24"/>
                <w:szCs w:val="24"/>
              </w:rPr>
              <w:t>关联方承诺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11"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
        </w:tc>
      </w:tr>
      <w:tr>
        <w:trPr>
          <w:trHeight w:val="677"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29"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2411"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
        </w:tc>
      </w:tr>
      <w:tr>
        <w:trPr>
          <w:trHeight w:val="511" w:hRule="exact"/>
        </w:trPr>
        <w:tc>
          <w:tcPr>
            <w:tcW w:w="736" w:type="dxa"/>
            <w:tcBorders>
              <w:top w:val="nil" w:sz="6" w:space="0" w:color="auto"/>
              <w:left w:val="nil" w:sz="6" w:space="0" w:color="auto"/>
              <w:bottom w:val="nil" w:sz="6" w:space="0" w:color="auto"/>
              <w:right w:val="nil" w:sz="6" w:space="0" w:color="auto"/>
            </w:tcBorders>
          </w:tcPr>
          <w:p>
            <w:pPr/>
          </w:p>
        </w:tc>
        <w:tc>
          <w:tcPr>
            <w:tcW w:w="61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3972"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27" w:lineRule="exact"/>
              <w:ind w:left="229"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租入</w:t>
            </w:r>
          </w:p>
        </w:tc>
        <w:tc>
          <w:tcPr>
            <w:tcW w:w="2411"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
        </w:tc>
      </w:tr>
      <w:tr>
        <w:trPr>
          <w:trHeight w:val="399"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10" w:lineRule="exact"/>
              <w:ind w:left="1134" w:right="0"/>
              <w:jc w:val="left"/>
              <w:rPr>
                <w:rFonts w:ascii="宋体" w:hAnsi="宋体" w:cs="宋体" w:eastAsia="宋体" w:hint="default"/>
                <w:sz w:val="24"/>
                <w:szCs w:val="24"/>
              </w:rPr>
            </w:pPr>
            <w:r>
              <w:rPr>
                <w:rFonts w:ascii="宋体" w:hAnsi="宋体" w:cs="宋体" w:eastAsia="宋体" w:hint="default"/>
                <w:sz w:val="24"/>
                <w:szCs w:val="24"/>
              </w:rPr>
              <w:t>无锡苏宁商业管理</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8"/>
              <w:jc w:val="right"/>
              <w:rPr>
                <w:rFonts w:ascii="Arial" w:hAnsi="Arial" w:cs="Arial" w:eastAsia="Arial" w:hint="default"/>
                <w:sz w:val="24"/>
                <w:szCs w:val="24"/>
              </w:rPr>
            </w:pPr>
            <w:r>
              <w:rPr>
                <w:rFonts w:ascii="Arial"/>
                <w:spacing w:val="-1"/>
                <w:sz w:val="24"/>
              </w:rPr>
              <w:t>390,501</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40"/>
              <w:jc w:val="right"/>
              <w:rPr>
                <w:rFonts w:ascii="Arial" w:hAnsi="Arial" w:cs="Arial" w:eastAsia="Arial" w:hint="default"/>
                <w:sz w:val="24"/>
                <w:szCs w:val="24"/>
              </w:rPr>
            </w:pPr>
            <w:r>
              <w:rPr>
                <w:rFonts w:ascii="Arial"/>
                <w:spacing w:val="-1"/>
                <w:sz w:val="24"/>
              </w:rPr>
              <w:t>432,925</w:t>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34"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sz w:val="24"/>
              </w:rPr>
              <w:t>363,878</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0"/>
              <w:jc w:val="right"/>
              <w:rPr>
                <w:rFonts w:ascii="Arial" w:hAnsi="Arial" w:cs="Arial" w:eastAsia="Arial" w:hint="default"/>
                <w:sz w:val="24"/>
                <w:szCs w:val="24"/>
              </w:rPr>
            </w:pPr>
            <w:r>
              <w:rPr>
                <w:rFonts w:ascii="Arial"/>
                <w:spacing w:val="-1"/>
                <w:sz w:val="24"/>
              </w:rPr>
              <w:t>319,681</w:t>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34"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sz w:val="24"/>
              </w:rPr>
              <w:t>185,608</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1"/>
              <w:jc w:val="right"/>
              <w:rPr>
                <w:rFonts w:ascii="Arial" w:hAnsi="Arial" w:cs="Arial" w:eastAsia="Arial" w:hint="default"/>
                <w:sz w:val="24"/>
                <w:szCs w:val="24"/>
              </w:rPr>
            </w:pPr>
            <w:r>
              <w:rPr>
                <w:rFonts w:ascii="Arial"/>
                <w:spacing w:val="-1"/>
                <w:sz w:val="24"/>
              </w:rPr>
              <w:t>186,952</w:t>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31"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Arial" w:hAnsi="Arial" w:cs="Arial" w:eastAsia="Arial" w:hint="default"/>
                <w:sz w:val="24"/>
                <w:szCs w:val="24"/>
              </w:rPr>
            </w:pPr>
            <w:r>
              <w:rPr>
                <w:rFonts w:ascii="Arial"/>
                <w:spacing w:val="-1"/>
                <w:sz w:val="24"/>
              </w:rPr>
              <w:t>173,329</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9"/>
              <w:jc w:val="right"/>
              <w:rPr>
                <w:rFonts w:ascii="Arial" w:hAnsi="Arial" w:cs="Arial" w:eastAsia="Arial" w:hint="default"/>
                <w:sz w:val="24"/>
                <w:szCs w:val="24"/>
              </w:rPr>
            </w:pPr>
            <w:r>
              <w:rPr>
                <w:rFonts w:ascii="Arial"/>
                <w:spacing w:val="-1"/>
                <w:sz w:val="24"/>
              </w:rPr>
              <w:t>220,863</w:t>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44"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Arial" w:hAnsi="Arial" w:cs="Arial" w:eastAsia="Arial" w:hint="default"/>
                <w:sz w:val="24"/>
                <w:szCs w:val="24"/>
              </w:rPr>
            </w:pPr>
            <w:r>
              <w:rPr>
                <w:rFonts w:ascii="Arial"/>
                <w:spacing w:val="-1"/>
                <w:sz w:val="24"/>
              </w:rPr>
              <w:t>153,932</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5"/>
              <w:jc w:val="right"/>
              <w:rPr>
                <w:rFonts w:ascii="Arial" w:hAnsi="Arial" w:cs="Arial" w:eastAsia="Arial" w:hint="default"/>
                <w:sz w:val="24"/>
                <w:szCs w:val="24"/>
              </w:rPr>
            </w:pPr>
            <w:r>
              <w:rPr>
                <w:rFonts w:ascii="Arial"/>
                <w:spacing w:val="-1"/>
                <w:sz w:val="24"/>
              </w:rPr>
              <w:t>170,367</w:t>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34"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sz w:val="24"/>
              </w:rPr>
              <w:t>103,695</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1"/>
              <w:jc w:val="right"/>
              <w:rPr>
                <w:rFonts w:ascii="Arial" w:hAnsi="Arial" w:cs="Arial" w:eastAsia="Arial" w:hint="default"/>
                <w:sz w:val="24"/>
                <w:szCs w:val="24"/>
              </w:rPr>
            </w:pPr>
            <w:r>
              <w:rPr>
                <w:rFonts w:ascii="Arial"/>
                <w:spacing w:val="-1"/>
                <w:sz w:val="24"/>
              </w:rPr>
              <w:t>102,399</w:t>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44" w:right="0"/>
              <w:jc w:val="left"/>
              <w:rPr>
                <w:rFonts w:ascii="宋体" w:hAnsi="宋体" w:cs="宋体" w:eastAsia="宋体" w:hint="default"/>
                <w:sz w:val="24"/>
                <w:szCs w:val="24"/>
              </w:rPr>
            </w:pPr>
            <w:r>
              <w:rPr>
                <w:rFonts w:ascii="宋体" w:hAnsi="宋体" w:cs="宋体" w:eastAsia="宋体" w:hint="default"/>
                <w:sz w:val="24"/>
                <w:szCs w:val="24"/>
              </w:rPr>
              <w:t>苏宁电器集团</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Arial" w:hAnsi="Arial" w:cs="Arial" w:eastAsia="Arial" w:hint="default"/>
                <w:sz w:val="24"/>
                <w:szCs w:val="24"/>
              </w:rPr>
            </w:pPr>
            <w:r>
              <w:rPr>
                <w:rFonts w:ascii="Arial"/>
                <w:w w:val="95"/>
                <w:sz w:val="24"/>
              </w:rPr>
              <w:t>87,803</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5"/>
              <w:jc w:val="right"/>
              <w:rPr>
                <w:rFonts w:ascii="Arial" w:hAnsi="Arial" w:cs="Arial" w:eastAsia="Arial" w:hint="default"/>
                <w:sz w:val="24"/>
                <w:szCs w:val="24"/>
              </w:rPr>
            </w:pPr>
            <w:r>
              <w:rPr>
                <w:rFonts w:ascii="Arial"/>
                <w:spacing w:val="-1"/>
                <w:sz w:val="24"/>
              </w:rPr>
              <w:t>103,735</w:t>
            </w:r>
            <w:r>
              <w:rPr>
                <w:rFonts w:ascii="Arial"/>
                <w:sz w:val="24"/>
              </w:rPr>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31"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Arial" w:hAnsi="Arial" w:cs="Arial" w:eastAsia="Arial" w:hint="default"/>
                <w:sz w:val="24"/>
                <w:szCs w:val="24"/>
              </w:rPr>
            </w:pPr>
            <w:r>
              <w:rPr>
                <w:rFonts w:ascii="Arial"/>
                <w:w w:val="95"/>
                <w:sz w:val="24"/>
              </w:rPr>
              <w:t>72,886</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3"/>
              <w:jc w:val="right"/>
              <w:rPr>
                <w:rFonts w:ascii="Arial" w:hAnsi="Arial" w:cs="Arial" w:eastAsia="Arial" w:hint="default"/>
                <w:sz w:val="24"/>
                <w:szCs w:val="24"/>
              </w:rPr>
            </w:pPr>
            <w:r>
              <w:rPr>
                <w:rFonts w:ascii="Arial"/>
                <w:w w:val="95"/>
                <w:sz w:val="24"/>
              </w:rPr>
              <w:t>85,770</w:t>
            </w:r>
            <w:r>
              <w:rPr>
                <w:rFonts w:ascii="Arial"/>
                <w:sz w:val="24"/>
              </w:rPr>
            </w:r>
          </w:p>
        </w:tc>
      </w:tr>
      <w:tr>
        <w:trPr>
          <w:trHeight w:val="382"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31"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99"/>
              <w:jc w:val="right"/>
              <w:rPr>
                <w:rFonts w:ascii="Arial" w:hAnsi="Arial" w:cs="Arial" w:eastAsia="Arial" w:hint="default"/>
                <w:sz w:val="24"/>
                <w:szCs w:val="24"/>
              </w:rPr>
            </w:pPr>
            <w:r>
              <w:rPr>
                <w:rFonts w:ascii="Arial"/>
                <w:w w:val="95"/>
                <w:sz w:val="24"/>
              </w:rPr>
              <w:t>52,263</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73"/>
              <w:jc w:val="right"/>
              <w:rPr>
                <w:rFonts w:ascii="Arial" w:hAnsi="Arial" w:cs="Arial" w:eastAsia="Arial" w:hint="default"/>
                <w:sz w:val="24"/>
                <w:szCs w:val="24"/>
              </w:rPr>
            </w:pPr>
            <w:r>
              <w:rPr>
                <w:rFonts w:ascii="Arial"/>
                <w:w w:val="95"/>
                <w:sz w:val="24"/>
              </w:rPr>
              <w:t>74,670</w:t>
            </w:r>
            <w:r>
              <w:rPr>
                <w:rFonts w:ascii="Arial"/>
                <w:sz w:val="24"/>
              </w:rPr>
            </w:r>
          </w:p>
        </w:tc>
      </w:tr>
      <w:tr>
        <w:trPr>
          <w:trHeight w:val="376"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
        </w:tc>
        <w:tc>
          <w:tcPr>
            <w:tcW w:w="2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9"/>
              <w:jc w:val="right"/>
              <w:rPr>
                <w:rFonts w:ascii="Arial" w:hAnsi="Arial" w:cs="Arial" w:eastAsia="Arial" w:hint="default"/>
                <w:sz w:val="24"/>
                <w:szCs w:val="24"/>
              </w:rPr>
            </w:pPr>
            <w:r>
              <w:rPr>
                <w:rFonts w:ascii="Arial"/>
                <w:w w:val="95"/>
                <w:sz w:val="24"/>
              </w:rPr>
              <w:t>1,583,895</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38"/>
              <w:jc w:val="right"/>
              <w:rPr>
                <w:rFonts w:ascii="Arial" w:hAnsi="Arial" w:cs="Arial" w:eastAsia="Arial" w:hint="default"/>
                <w:sz w:val="24"/>
                <w:szCs w:val="24"/>
              </w:rPr>
            </w:pPr>
            <w:r>
              <w:rPr>
                <w:rFonts w:ascii="Arial"/>
                <w:w w:val="95"/>
                <w:sz w:val="24"/>
              </w:rPr>
              <w:t>1,697,362</w:t>
            </w:r>
            <w:r>
              <w:rPr>
                <w:rFonts w:ascii="Arial"/>
                <w:sz w:val="24"/>
              </w:rPr>
            </w:r>
          </w:p>
        </w:tc>
      </w:tr>
      <w:tr>
        <w:trPr>
          <w:trHeight w:val="965"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9"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租出</w:t>
            </w:r>
          </w:p>
        </w:tc>
        <w:tc>
          <w:tcPr>
            <w:tcW w:w="2411" w:type="dxa"/>
            <w:tcBorders>
              <w:top w:val="single" w:sz="12" w:space="0" w:color="000000"/>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single" w:sz="12" w:space="0" w:color="000000"/>
              <w:left w:val="nil" w:sz="6" w:space="0" w:color="auto"/>
              <w:bottom w:val="nil" w:sz="6" w:space="0" w:color="auto"/>
              <w:right w:val="nil" w:sz="6" w:space="0" w:color="auto"/>
            </w:tcBorders>
          </w:tcPr>
          <w:p>
            <w:pPr/>
          </w:p>
        </w:tc>
      </w:tr>
      <w:tr>
        <w:trPr>
          <w:trHeight w:val="399"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10" w:lineRule="exact"/>
              <w:ind w:left="1082" w:right="0"/>
              <w:jc w:val="left"/>
              <w:rPr>
                <w:rFonts w:ascii="宋体" w:hAnsi="宋体" w:cs="宋体" w:eastAsia="宋体" w:hint="default"/>
                <w:sz w:val="24"/>
                <w:szCs w:val="24"/>
              </w:rPr>
            </w:pPr>
            <w:r>
              <w:rPr>
                <w:rFonts w:ascii="宋体" w:hAnsi="宋体" w:cs="宋体" w:eastAsia="宋体" w:hint="default"/>
                <w:sz w:val="24"/>
                <w:szCs w:val="24"/>
              </w:rPr>
              <w:t>玄武苏宁置业</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1"/>
              <w:jc w:val="right"/>
              <w:rPr>
                <w:rFonts w:ascii="Arial" w:hAnsi="Arial" w:cs="Arial" w:eastAsia="Arial" w:hint="default"/>
                <w:sz w:val="24"/>
                <w:szCs w:val="24"/>
              </w:rPr>
            </w:pPr>
            <w:r>
              <w:rPr>
                <w:rFonts w:ascii="Arial"/>
                <w:spacing w:val="-1"/>
                <w:sz w:val="24"/>
              </w:rPr>
              <w:t>232,982</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8"/>
              <w:jc w:val="right"/>
              <w:rPr>
                <w:rFonts w:ascii="Arial" w:hAnsi="Arial" w:cs="Arial" w:eastAsia="Arial" w:hint="default"/>
                <w:sz w:val="24"/>
                <w:szCs w:val="24"/>
              </w:rPr>
            </w:pPr>
            <w:r>
              <w:rPr>
                <w:rFonts w:ascii="Arial"/>
                <w:spacing w:val="-1"/>
                <w:sz w:val="24"/>
              </w:rPr>
              <w:t>252,692</w:t>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34"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6,325</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4"/>
              <w:jc w:val="right"/>
              <w:rPr>
                <w:rFonts w:ascii="Arial" w:hAnsi="Arial" w:cs="Arial" w:eastAsia="Arial" w:hint="default"/>
                <w:sz w:val="24"/>
                <w:szCs w:val="24"/>
              </w:rPr>
            </w:pPr>
            <w:r>
              <w:rPr>
                <w:rFonts w:ascii="Arial"/>
                <w:w w:val="95"/>
                <w:sz w:val="24"/>
              </w:rPr>
              <w:t>7,038</w:t>
            </w:r>
            <w:r>
              <w:rPr>
                <w:rFonts w:ascii="Arial"/>
                <w:sz w:val="24"/>
              </w:rPr>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34"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982</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4"/>
              <w:jc w:val="right"/>
              <w:rPr>
                <w:rFonts w:ascii="Arial" w:hAnsi="Arial" w:cs="Arial" w:eastAsia="Arial" w:hint="default"/>
                <w:sz w:val="24"/>
                <w:szCs w:val="24"/>
              </w:rPr>
            </w:pPr>
            <w:r>
              <w:rPr>
                <w:rFonts w:ascii="Arial"/>
                <w:spacing w:val="-1"/>
                <w:w w:val="95"/>
                <w:sz w:val="24"/>
              </w:rPr>
              <w:t>624</w:t>
            </w:r>
            <w:r>
              <w:rPr>
                <w:rFonts w:ascii="Arial"/>
                <w:sz w:val="24"/>
              </w:rPr>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04"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Arial" w:hAnsi="Arial" w:cs="Arial" w:eastAsia="Arial" w:hint="default"/>
                <w:sz w:val="24"/>
                <w:szCs w:val="24"/>
              </w:rPr>
            </w:pPr>
            <w:r>
              <w:rPr>
                <w:rFonts w:ascii="Arial"/>
                <w:spacing w:val="-1"/>
                <w:w w:val="95"/>
                <w:sz w:val="24"/>
              </w:rPr>
              <w:t>902</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5"/>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04"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Arial" w:hAnsi="Arial" w:cs="Arial" w:eastAsia="Arial" w:hint="default"/>
                <w:sz w:val="24"/>
                <w:szCs w:val="24"/>
              </w:rPr>
            </w:pPr>
            <w:r>
              <w:rPr>
                <w:rFonts w:ascii="Arial"/>
                <w:spacing w:val="-7"/>
                <w:sz w:val="24"/>
              </w:rPr>
              <w:t>118</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5"/>
              <w:jc w:val="right"/>
              <w:rPr>
                <w:rFonts w:ascii="Arial" w:hAnsi="Arial" w:cs="Arial" w:eastAsia="Arial" w:hint="default"/>
                <w:sz w:val="24"/>
                <w:szCs w:val="24"/>
              </w:rPr>
            </w:pPr>
            <w:r>
              <w:rPr>
                <w:rFonts w:ascii="Arial"/>
                <w:w w:val="99"/>
                <w:sz w:val="24"/>
              </w:rPr>
              <w:t>-</w:t>
            </w:r>
            <w:r>
              <w:rPr>
                <w:rFonts w:ascii="Arial"/>
                <w:sz w:val="24"/>
              </w:rPr>
            </w:r>
          </w:p>
        </w:tc>
      </w:tr>
      <w:tr>
        <w:trPr>
          <w:trHeight w:val="382"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Style w:val="TableParagraph"/>
              <w:spacing w:line="302" w:lineRule="exact"/>
              <w:ind w:left="1104"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97"/>
              <w:jc w:val="right"/>
              <w:rPr>
                <w:rFonts w:ascii="Arial" w:hAnsi="Arial" w:cs="Arial" w:eastAsia="Arial" w:hint="default"/>
                <w:sz w:val="24"/>
                <w:szCs w:val="24"/>
              </w:rPr>
            </w:pPr>
            <w:r>
              <w:rPr>
                <w:rFonts w:ascii="Arial"/>
                <w:spacing w:val="-1"/>
                <w:w w:val="95"/>
                <w:sz w:val="24"/>
              </w:rPr>
              <w:t>26</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89"/>
              <w:jc w:val="right"/>
              <w:rPr>
                <w:rFonts w:ascii="Arial" w:hAnsi="Arial" w:cs="Arial" w:eastAsia="Arial" w:hint="default"/>
                <w:sz w:val="24"/>
                <w:szCs w:val="24"/>
              </w:rPr>
            </w:pPr>
            <w:r>
              <w:rPr>
                <w:rFonts w:ascii="Arial"/>
                <w:spacing w:val="-1"/>
                <w:w w:val="95"/>
                <w:sz w:val="24"/>
              </w:rPr>
              <w:t>105</w:t>
            </w:r>
            <w:r>
              <w:rPr>
                <w:rFonts w:ascii="Arial"/>
                <w:sz w:val="24"/>
              </w:rPr>
            </w:r>
          </w:p>
        </w:tc>
      </w:tr>
      <w:tr>
        <w:trPr>
          <w:trHeight w:val="376" w:hRule="exact"/>
        </w:trPr>
        <w:tc>
          <w:tcPr>
            <w:tcW w:w="736" w:type="dxa"/>
            <w:tcBorders>
              <w:top w:val="nil" w:sz="6" w:space="0" w:color="auto"/>
              <w:left w:val="nil" w:sz="6" w:space="0" w:color="auto"/>
              <w:bottom w:val="nil" w:sz="6" w:space="0" w:color="auto"/>
              <w:right w:val="nil" w:sz="6" w:space="0" w:color="auto"/>
            </w:tcBorders>
          </w:tcPr>
          <w:p>
            <w:pPr/>
          </w:p>
        </w:tc>
        <w:tc>
          <w:tcPr>
            <w:tcW w:w="3719" w:type="dxa"/>
            <w:tcBorders>
              <w:top w:val="nil" w:sz="6" w:space="0" w:color="auto"/>
              <w:left w:val="nil" w:sz="6" w:space="0" w:color="auto"/>
              <w:bottom w:val="nil" w:sz="6" w:space="0" w:color="auto"/>
              <w:right w:val="nil" w:sz="6" w:space="0" w:color="auto"/>
            </w:tcBorders>
          </w:tcPr>
          <w:p>
            <w:pPr/>
          </w:p>
        </w:tc>
        <w:tc>
          <w:tcPr>
            <w:tcW w:w="2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8"/>
              <w:jc w:val="right"/>
              <w:rPr>
                <w:rFonts w:ascii="Arial" w:hAnsi="Arial" w:cs="Arial" w:eastAsia="Arial" w:hint="default"/>
                <w:sz w:val="24"/>
                <w:szCs w:val="24"/>
              </w:rPr>
            </w:pPr>
            <w:r>
              <w:rPr>
                <w:rFonts w:ascii="Arial"/>
                <w:spacing w:val="-1"/>
                <w:sz w:val="24"/>
              </w:rPr>
              <w:t>241,335</w:t>
            </w:r>
          </w:p>
        </w:tc>
        <w:tc>
          <w:tcPr>
            <w:tcW w:w="275" w:type="dxa"/>
            <w:tcBorders>
              <w:top w:val="nil" w:sz="6" w:space="0" w:color="auto"/>
              <w:left w:val="nil" w:sz="6" w:space="0" w:color="auto"/>
              <w:bottom w:val="nil" w:sz="6" w:space="0" w:color="auto"/>
              <w:right w:val="nil" w:sz="6" w:space="0" w:color="auto"/>
            </w:tcBorders>
          </w:tcPr>
          <w:p>
            <w:pPr/>
          </w:p>
        </w:tc>
        <w:tc>
          <w:tcPr>
            <w:tcW w:w="2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0"/>
              <w:jc w:val="right"/>
              <w:rPr>
                <w:rFonts w:ascii="Arial" w:hAnsi="Arial" w:cs="Arial" w:eastAsia="Arial" w:hint="default"/>
                <w:sz w:val="24"/>
                <w:szCs w:val="24"/>
              </w:rPr>
            </w:pPr>
            <w:r>
              <w:rPr>
                <w:rFonts w:ascii="Arial"/>
                <w:spacing w:val="-1"/>
                <w:sz w:val="24"/>
              </w:rPr>
              <w:t>260,459</w:t>
            </w:r>
          </w:p>
        </w:tc>
      </w:tr>
    </w:tbl>
    <w:p>
      <w:pPr>
        <w:spacing w:after="0" w:line="240" w:lineRule="auto"/>
        <w:jc w:val="right"/>
        <w:rPr>
          <w:rFonts w:ascii="Arial" w:hAnsi="Arial" w:cs="Arial" w:eastAsia="Arial" w:hint="default"/>
          <w:sz w:val="24"/>
          <w:szCs w:val="24"/>
        </w:rPr>
        <w:sectPr>
          <w:pgSz w:w="11910" w:h="16840"/>
          <w:pgMar w:header="755" w:footer="914" w:top="1860" w:bottom="1180" w:left="1420" w:right="0"/>
        </w:sectPr>
      </w:pPr>
    </w:p>
    <w:p>
      <w:pPr>
        <w:spacing w:line="240" w:lineRule="auto" w:before="2"/>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677"/>
        <w:gridCol w:w="9181"/>
      </w:tblGrid>
      <w:tr>
        <w:trPr>
          <w:trHeight w:val="493"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九</w:t>
            </w:r>
          </w:p>
        </w:tc>
        <w:tc>
          <w:tcPr>
            <w:tcW w:w="9181" w:type="dxa"/>
            <w:tcBorders>
              <w:top w:val="nil" w:sz="6" w:space="0" w:color="auto"/>
              <w:left w:val="nil" w:sz="6" w:space="0" w:color="auto"/>
              <w:bottom w:val="nil" w:sz="6" w:space="0" w:color="auto"/>
              <w:right w:val="nil" w:sz="6" w:space="0" w:color="auto"/>
            </w:tcBorders>
          </w:tcPr>
          <w:p>
            <w:pPr>
              <w:pStyle w:val="TableParagraph"/>
              <w:spacing w:line="240" w:lineRule="exact"/>
              <w:ind w:left="237" w:right="0"/>
              <w:jc w:val="left"/>
              <w:rPr>
                <w:rFonts w:ascii="黑体" w:hAnsi="黑体" w:cs="黑体" w:eastAsia="黑体" w:hint="default"/>
                <w:sz w:val="24"/>
                <w:szCs w:val="24"/>
              </w:rPr>
            </w:pPr>
            <w:r>
              <w:rPr>
                <w:rFonts w:ascii="黑体" w:hAnsi="黑体" w:cs="黑体" w:eastAsia="黑体" w:hint="default"/>
                <w:sz w:val="24"/>
                <w:szCs w:val="24"/>
              </w:rPr>
              <w:t>其他重大交易和事项 </w:t>
            </w:r>
            <w:r>
              <w:rPr>
                <w:rFonts w:ascii="黑体" w:hAnsi="黑体" w:cs="黑体" w:eastAsia="黑体" w:hint="default"/>
                <w:sz w:val="24"/>
                <w:szCs w:val="24"/>
              </w:rPr>
              <w:t>- </w:t>
            </w:r>
            <w:r>
              <w:rPr>
                <w:rFonts w:ascii="黑体" w:hAnsi="黑体" w:cs="黑体" w:eastAsia="黑体" w:hint="default"/>
                <w:sz w:val="24"/>
                <w:szCs w:val="24"/>
              </w:rPr>
              <w:t>售后租回交易</w:t>
            </w:r>
          </w:p>
        </w:tc>
      </w:tr>
      <w:tr>
        <w:trPr>
          <w:trHeight w:val="4799" w:hRule="exact"/>
        </w:trPr>
        <w:tc>
          <w:tcPr>
            <w:tcW w:w="677" w:type="dxa"/>
            <w:tcBorders>
              <w:top w:val="nil" w:sz="6" w:space="0" w:color="auto"/>
              <w:left w:val="nil" w:sz="6" w:space="0" w:color="auto"/>
              <w:bottom w:val="nil" w:sz="6" w:space="0" w:color="auto"/>
              <w:right w:val="nil" w:sz="6" w:space="0" w:color="auto"/>
            </w:tcBorders>
          </w:tcPr>
          <w:p>
            <w:pPr/>
          </w:p>
        </w:tc>
        <w:tc>
          <w:tcPr>
            <w:tcW w:w="9181" w:type="dxa"/>
            <w:tcBorders>
              <w:top w:val="nil" w:sz="6" w:space="0" w:color="auto"/>
              <w:left w:val="nil" w:sz="6" w:space="0" w:color="auto"/>
              <w:bottom w:val="nil" w:sz="6" w:space="0" w:color="auto"/>
              <w:right w:val="nil" w:sz="6" w:space="0" w:color="auto"/>
            </w:tcBorders>
          </w:tcPr>
          <w:p>
            <w:pPr>
              <w:pStyle w:val="TableParagraph"/>
              <w:spacing w:line="225" w:lineRule="auto" w:before="195"/>
              <w:ind w:left="237" w:right="316"/>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5"/>
                <w:sz w:val="24"/>
                <w:szCs w:val="24"/>
              </w:rPr>
              <w:t> </w:t>
            </w:r>
            <w:r>
              <w:rPr>
                <w:rFonts w:ascii="Arial" w:hAnsi="Arial" w:cs="Arial" w:eastAsia="Arial" w:hint="default"/>
                <w:sz w:val="24"/>
                <w:szCs w:val="24"/>
              </w:rPr>
              <w:t>2015</w:t>
            </w:r>
            <w:r>
              <w:rPr>
                <w:rFonts w:ascii="Arial" w:hAnsi="Arial" w:cs="Arial" w:eastAsia="Arial" w:hint="default"/>
                <w:spacing w:val="-2"/>
                <w:sz w:val="24"/>
                <w:szCs w:val="24"/>
              </w:rPr>
              <w:t> </w:t>
            </w:r>
            <w:r>
              <w:rPr>
                <w:rFonts w:ascii="宋体" w:hAnsi="宋体" w:cs="宋体" w:eastAsia="宋体" w:hint="default"/>
                <w:sz w:val="24"/>
                <w:szCs w:val="24"/>
              </w:rPr>
              <w:t>年度，本集团开展售后租回交易，将</w:t>
            </w:r>
            <w:r>
              <w:rPr>
                <w:rFonts w:ascii="宋体" w:hAnsi="宋体" w:cs="宋体" w:eastAsia="宋体" w:hint="default"/>
                <w:spacing w:val="-55"/>
                <w:sz w:val="24"/>
                <w:szCs w:val="24"/>
              </w:rPr>
              <w:t> </w:t>
            </w:r>
            <w:r>
              <w:rPr>
                <w:rFonts w:ascii="Arial" w:hAnsi="Arial" w:cs="Arial" w:eastAsia="Arial" w:hint="default"/>
                <w:sz w:val="24"/>
                <w:szCs w:val="24"/>
              </w:rPr>
              <w:t>14</w:t>
            </w:r>
            <w:r>
              <w:rPr>
                <w:rFonts w:ascii="Arial" w:hAnsi="Arial" w:cs="Arial" w:eastAsia="Arial" w:hint="default"/>
                <w:spacing w:val="-2"/>
                <w:sz w:val="24"/>
                <w:szCs w:val="24"/>
              </w:rPr>
              <w:t> </w:t>
            </w:r>
            <w:r>
              <w:rPr>
                <w:rFonts w:ascii="宋体" w:hAnsi="宋体" w:cs="宋体" w:eastAsia="宋体" w:hint="default"/>
                <w:sz w:val="24"/>
                <w:szCs w:val="24"/>
              </w:rPr>
              <w:t>家门店物业</w:t>
            </w:r>
            <w:r>
              <w:rPr>
                <w:rFonts w:ascii="Arial" w:hAnsi="Arial" w:cs="Arial" w:eastAsia="Arial" w:hint="default"/>
                <w:sz w:val="24"/>
                <w:szCs w:val="24"/>
              </w:rPr>
              <w:t>(2014</w:t>
            </w:r>
            <w:r>
              <w:rPr>
                <w:rFonts w:ascii="Arial" w:hAnsi="Arial" w:cs="Arial" w:eastAsia="Arial" w:hint="default"/>
                <w:spacing w:val="-2"/>
                <w:sz w:val="24"/>
                <w:szCs w:val="24"/>
              </w:rPr>
              <w:t> </w:t>
            </w:r>
            <w:r>
              <w:rPr>
                <w:rFonts w:ascii="宋体" w:hAnsi="宋体" w:cs="宋体" w:eastAsia="宋体" w:hint="default"/>
                <w:spacing w:val="-4"/>
                <w:sz w:val="24"/>
                <w:szCs w:val="24"/>
              </w:rPr>
              <w:t>年度：</w:t>
            </w:r>
            <w:r>
              <w:rPr>
                <w:rFonts w:ascii="Arial" w:hAnsi="Arial" w:cs="Arial" w:eastAsia="Arial" w:hint="default"/>
                <w:spacing w:val="-4"/>
                <w:sz w:val="24"/>
                <w:szCs w:val="24"/>
              </w:rPr>
              <w:t>11</w:t>
            </w:r>
            <w:r>
              <w:rPr>
                <w:rFonts w:ascii="Arial" w:hAnsi="Arial" w:cs="Arial" w:eastAsia="Arial" w:hint="default"/>
                <w:spacing w:val="-2"/>
                <w:sz w:val="24"/>
                <w:szCs w:val="24"/>
              </w:rPr>
              <w:t> </w:t>
            </w:r>
            <w:r>
              <w:rPr>
                <w:rFonts w:ascii="宋体" w:hAnsi="宋体" w:cs="宋体" w:eastAsia="宋体" w:hint="default"/>
                <w:sz w:val="24"/>
                <w:szCs w:val="24"/>
              </w:rPr>
              <w:t>家</w:t>
            </w:r>
            <w:r>
              <w:rPr>
                <w:rFonts w:ascii="Arial" w:hAnsi="Arial" w:cs="Arial" w:eastAsia="Arial" w:hint="default"/>
                <w:sz w:val="24"/>
                <w:szCs w:val="24"/>
              </w:rPr>
              <w:t>)</w:t>
            </w:r>
            <w:r>
              <w:rPr>
                <w:rFonts w:ascii="宋体" w:hAnsi="宋体" w:cs="宋体" w:eastAsia="宋体" w:hint="default"/>
                <w:sz w:val="24"/>
                <w:szCs w:val="24"/>
              </w:rPr>
              <w:t>转 </w:t>
            </w:r>
            <w:r>
              <w:rPr>
                <w:rFonts w:ascii="宋体" w:hAnsi="宋体" w:cs="宋体" w:eastAsia="宋体" w:hint="default"/>
                <w:spacing w:val="-3"/>
                <w:sz w:val="24"/>
                <w:szCs w:val="24"/>
              </w:rPr>
              <w:t>让给中信金石基金管理有限公司</w:t>
            </w:r>
            <w:r>
              <w:rPr>
                <w:rFonts w:ascii="Arial" w:hAnsi="Arial" w:cs="Arial" w:eastAsia="Arial" w:hint="default"/>
                <w:spacing w:val="-3"/>
                <w:sz w:val="24"/>
                <w:szCs w:val="24"/>
              </w:rPr>
              <w:t>(</w:t>
            </w:r>
            <w:r>
              <w:rPr>
                <w:rFonts w:ascii="Arial" w:hAnsi="Arial" w:cs="Arial" w:eastAsia="Arial" w:hint="default"/>
                <w:spacing w:val="-3"/>
                <w:sz w:val="24"/>
                <w:szCs w:val="24"/>
              </w:rPr>
              <w:t>“</w:t>
            </w:r>
            <w:r>
              <w:rPr>
                <w:rFonts w:ascii="宋体" w:hAnsi="宋体" w:cs="宋体" w:eastAsia="宋体" w:hint="default"/>
                <w:spacing w:val="-3"/>
                <w:sz w:val="24"/>
                <w:szCs w:val="24"/>
              </w:rPr>
              <w:t>中信金石</w:t>
            </w:r>
            <w:r>
              <w:rPr>
                <w:rFonts w:ascii="Arial" w:hAnsi="Arial" w:cs="Arial" w:eastAsia="Arial" w:hint="default"/>
                <w:spacing w:val="-3"/>
                <w:sz w:val="24"/>
                <w:szCs w:val="24"/>
              </w:rPr>
              <w:t>”</w:t>
            </w:r>
            <w:r>
              <w:rPr>
                <w:rFonts w:ascii="Arial" w:hAnsi="Arial" w:cs="Arial" w:eastAsia="Arial" w:hint="default"/>
                <w:spacing w:val="-3"/>
                <w:sz w:val="24"/>
                <w:szCs w:val="24"/>
              </w:rPr>
              <w:t>)</w:t>
            </w:r>
            <w:r>
              <w:rPr>
                <w:rFonts w:ascii="宋体" w:hAnsi="宋体" w:cs="宋体" w:eastAsia="宋体" w:hint="default"/>
                <w:spacing w:val="-3"/>
                <w:sz w:val="24"/>
                <w:szCs w:val="24"/>
              </w:rPr>
              <w:t>发起设立的私募投资基金，以开展相关</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8"/>
                <w:sz w:val="24"/>
                <w:szCs w:val="24"/>
              </w:rPr>
              <w:t>创新型资产运作模式，即中信华夏苏宁云创资产支持专项计划</w:t>
            </w:r>
            <w:r>
              <w:rPr>
                <w:rFonts w:ascii="Arial" w:hAnsi="Arial" w:cs="Arial" w:eastAsia="Arial" w:hint="default"/>
                <w:spacing w:val="8"/>
                <w:sz w:val="24"/>
                <w:szCs w:val="24"/>
              </w:rPr>
              <w:t>(“</w:t>
            </w:r>
            <w:r>
              <w:rPr>
                <w:rFonts w:ascii="宋体" w:hAnsi="宋体" w:cs="宋体" w:eastAsia="宋体" w:hint="default"/>
                <w:spacing w:val="8"/>
                <w:sz w:val="24"/>
                <w:szCs w:val="24"/>
              </w:rPr>
              <w:t>资产支持专项计</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3"/>
                <w:sz w:val="24"/>
                <w:szCs w:val="24"/>
              </w:rPr>
              <w:t>划</w:t>
            </w:r>
            <w:r>
              <w:rPr>
                <w:rFonts w:ascii="Arial" w:hAnsi="Arial" w:cs="Arial" w:eastAsia="Arial" w:hint="default"/>
                <w:spacing w:val="-3"/>
                <w:sz w:val="24"/>
                <w:szCs w:val="24"/>
              </w:rPr>
              <w:t>”)</w:t>
            </w:r>
            <w:r>
              <w:rPr>
                <w:rFonts w:ascii="宋体" w:hAnsi="宋体" w:cs="宋体" w:eastAsia="宋体" w:hint="default"/>
                <w:spacing w:val="-3"/>
                <w:sz w:val="24"/>
                <w:szCs w:val="24"/>
              </w:rPr>
              <w:t>，并后续以稳定的市场租金和 </w:t>
            </w:r>
            <w:r>
              <w:rPr>
                <w:rFonts w:ascii="Arial" w:hAnsi="Arial" w:cs="Arial" w:eastAsia="Arial" w:hint="default"/>
                <w:sz w:val="24"/>
                <w:szCs w:val="24"/>
              </w:rPr>
              <w:t>12</w:t>
            </w:r>
            <w:r>
              <w:rPr>
                <w:rFonts w:ascii="Arial" w:hAnsi="Arial" w:cs="Arial" w:eastAsia="Arial" w:hint="default"/>
                <w:spacing w:val="-42"/>
                <w:sz w:val="24"/>
                <w:szCs w:val="24"/>
              </w:rPr>
              <w:t> </w:t>
            </w:r>
            <w:r>
              <w:rPr>
                <w:rFonts w:ascii="宋体" w:hAnsi="宋体" w:cs="宋体" w:eastAsia="宋体" w:hint="default"/>
                <w:spacing w:val="-3"/>
                <w:sz w:val="24"/>
                <w:szCs w:val="24"/>
              </w:rPr>
              <w:t>年租期的租约获得门店物业的长期使用权。该</w:t>
            </w:r>
          </w:p>
          <w:p>
            <w:pPr>
              <w:pStyle w:val="TableParagraph"/>
              <w:spacing w:line="232" w:lineRule="auto"/>
              <w:ind w:left="237" w:right="316"/>
              <w:jc w:val="both"/>
              <w:rPr>
                <w:rFonts w:ascii="宋体" w:hAnsi="宋体" w:cs="宋体" w:eastAsia="宋体" w:hint="default"/>
                <w:sz w:val="24"/>
                <w:szCs w:val="24"/>
              </w:rPr>
            </w:pPr>
            <w:r>
              <w:rPr>
                <w:rFonts w:ascii="Arial" w:hAnsi="Arial" w:cs="Arial" w:eastAsia="Arial" w:hint="default"/>
                <w:spacing w:val="-1"/>
                <w:w w:val="99"/>
                <w:sz w:val="24"/>
                <w:szCs w:val="24"/>
              </w:rPr>
              <w:t>14</w:t>
            </w:r>
            <w:r>
              <w:rPr>
                <w:rFonts w:ascii="Arial" w:hAnsi="Arial" w:cs="Arial" w:eastAsia="Arial" w:hint="default"/>
                <w:spacing w:val="-6"/>
                <w:w w:val="99"/>
                <w:sz w:val="24"/>
                <w:szCs w:val="24"/>
              </w:rPr>
              <w:t> </w:t>
            </w:r>
            <w:r>
              <w:rPr>
                <w:rFonts w:ascii="宋体" w:hAnsi="宋体" w:cs="宋体" w:eastAsia="宋体" w:hint="default"/>
                <w:spacing w:val="-3"/>
                <w:sz w:val="24"/>
                <w:szCs w:val="24"/>
              </w:rPr>
              <w:t>家门店物业的转让价格根据外部独立评估师的资产评估价值协商确定，该项资产</w:t>
            </w:r>
            <w:r>
              <w:rPr>
                <w:rFonts w:ascii="宋体" w:hAnsi="宋体" w:cs="宋体" w:eastAsia="宋体" w:hint="default"/>
                <w:sz w:val="24"/>
                <w:szCs w:val="24"/>
              </w:rPr>
              <w:t> </w:t>
            </w:r>
            <w:r>
              <w:rPr>
                <w:rFonts w:ascii="宋体" w:hAnsi="宋体" w:cs="宋体" w:eastAsia="宋体" w:hint="default"/>
                <w:spacing w:val="-1"/>
                <w:sz w:val="24"/>
                <w:szCs w:val="24"/>
              </w:rPr>
              <w:t>评估所采用的主要参数为市场租金、租金增长率、空置率及净运营收益及净收益折</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现率等。后续租回的价格参照周边地区类似物业的市场租金确定，租金在前六个租</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赁年度逐年上浮，每个租赁年度租金上浮标准为上一年租金的</w:t>
            </w:r>
            <w:r>
              <w:rPr>
                <w:rFonts w:ascii="宋体" w:hAnsi="宋体" w:cs="宋体" w:eastAsia="宋体" w:hint="default"/>
                <w:spacing w:val="-4"/>
                <w:sz w:val="24"/>
                <w:szCs w:val="24"/>
              </w:rPr>
              <w:t> </w:t>
            </w:r>
            <w:r>
              <w:rPr>
                <w:rFonts w:ascii="Arial" w:hAnsi="Arial" w:cs="Arial" w:eastAsia="Arial" w:hint="default"/>
                <w:sz w:val="24"/>
                <w:szCs w:val="24"/>
              </w:rPr>
              <w:t>3%</w:t>
            </w:r>
            <w:r>
              <w:rPr>
                <w:rFonts w:ascii="宋体" w:hAnsi="宋体" w:cs="宋体" w:eastAsia="宋体" w:hint="default"/>
                <w:sz w:val="24"/>
                <w:szCs w:val="24"/>
              </w:rPr>
              <w:t>，第七年至第十 </w:t>
            </w:r>
            <w:r>
              <w:rPr>
                <w:rFonts w:ascii="宋体" w:hAnsi="宋体" w:cs="宋体" w:eastAsia="宋体" w:hint="default"/>
                <w:spacing w:val="-1"/>
                <w:sz w:val="24"/>
                <w:szCs w:val="24"/>
              </w:rPr>
              <w:t>二年的租金按届时市场标准协商确定，但不低于首年租金。本公司认为该租赁合同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条款不符合融资租赁的判断标准，认定该售后租回交易为经营租赁，且该售后租回</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交易是按照公允价值达成的。此外，本集团将资产支持专项计划运作期间需承担的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流动性支持义务</w:t>
            </w:r>
            <w:r>
              <w:rPr>
                <w:rFonts w:ascii="Arial" w:hAnsi="Arial" w:cs="Arial" w:eastAsia="Arial" w:hint="default"/>
                <w:spacing w:val="3"/>
                <w:sz w:val="24"/>
                <w:szCs w:val="24"/>
              </w:rPr>
              <w:t>(“</w:t>
            </w:r>
            <w:r>
              <w:rPr>
                <w:rFonts w:ascii="宋体" w:hAnsi="宋体" w:cs="宋体" w:eastAsia="宋体" w:hint="default"/>
                <w:spacing w:val="3"/>
                <w:sz w:val="24"/>
                <w:szCs w:val="24"/>
              </w:rPr>
              <w:t>投资者回售选择权</w:t>
            </w:r>
            <w:r>
              <w:rPr>
                <w:rFonts w:ascii="Arial" w:hAnsi="Arial" w:cs="Arial" w:eastAsia="Arial" w:hint="default"/>
                <w:spacing w:val="3"/>
                <w:sz w:val="24"/>
                <w:szCs w:val="24"/>
              </w:rPr>
              <w:t>”)</w:t>
            </w:r>
            <w:r>
              <w:rPr>
                <w:rFonts w:ascii="宋体" w:hAnsi="宋体" w:cs="宋体" w:eastAsia="宋体" w:hint="default"/>
                <w:spacing w:val="3"/>
                <w:sz w:val="24"/>
                <w:szCs w:val="24"/>
              </w:rPr>
              <w:t>确认为以公允价值计量且其变动计入当期损</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益的金融负债</w:t>
            </w:r>
            <w:r>
              <w:rPr>
                <w:rFonts w:ascii="Arial" w:hAnsi="Arial" w:cs="Arial" w:eastAsia="Arial" w:hint="default"/>
                <w:spacing w:val="-3"/>
                <w:sz w:val="24"/>
                <w:szCs w:val="24"/>
              </w:rPr>
              <w:t>(</w:t>
            </w:r>
            <w:r>
              <w:rPr>
                <w:rFonts w:ascii="宋体" w:hAnsi="宋体" w:cs="宋体" w:eastAsia="宋体" w:hint="default"/>
                <w:spacing w:val="-3"/>
                <w:sz w:val="24"/>
                <w:szCs w:val="24"/>
              </w:rPr>
              <w:t>附注四</w:t>
            </w:r>
            <w:r>
              <w:rPr>
                <w:rFonts w:ascii="Arial" w:hAnsi="Arial" w:cs="Arial" w:eastAsia="Arial" w:hint="default"/>
                <w:spacing w:val="-3"/>
                <w:sz w:val="24"/>
                <w:szCs w:val="24"/>
              </w:rPr>
              <w:t>(23)(i))</w:t>
            </w:r>
            <w:r>
              <w:rPr>
                <w:rFonts w:ascii="宋体" w:hAnsi="宋体" w:cs="宋体" w:eastAsia="宋体" w:hint="default"/>
                <w:spacing w:val="-3"/>
                <w:sz w:val="24"/>
                <w:szCs w:val="24"/>
              </w:rPr>
              <w:t>。该售后租回交易确认营业外收入约人民币</w:t>
            </w:r>
            <w:r>
              <w:rPr>
                <w:rFonts w:ascii="宋体" w:hAnsi="宋体" w:cs="宋体" w:eastAsia="宋体" w:hint="default"/>
                <w:spacing w:val="-55"/>
                <w:sz w:val="24"/>
                <w:szCs w:val="24"/>
              </w:rPr>
              <w:t> </w:t>
            </w:r>
            <w:r>
              <w:rPr>
                <w:rFonts w:ascii="Arial" w:hAnsi="Arial" w:cs="Arial" w:eastAsia="Arial" w:hint="default"/>
                <w:sz w:val="24"/>
                <w:szCs w:val="24"/>
              </w:rPr>
              <w:t>13.88</w:t>
            </w:r>
            <w:r>
              <w:rPr>
                <w:rFonts w:ascii="Arial" w:hAnsi="Arial" w:cs="Arial" w:eastAsia="Arial" w:hint="default"/>
                <w:spacing w:val="-2"/>
                <w:sz w:val="24"/>
                <w:szCs w:val="24"/>
              </w:rPr>
              <w:t> </w:t>
            </w:r>
            <w:r>
              <w:rPr>
                <w:rFonts w:ascii="宋体" w:hAnsi="宋体" w:cs="宋体" w:eastAsia="宋体" w:hint="default"/>
                <w:sz w:val="24"/>
                <w:szCs w:val="24"/>
              </w:rPr>
              <w:t>亿元</w:t>
            </w:r>
          </w:p>
          <w:p>
            <w:pPr>
              <w:pStyle w:val="TableParagraph"/>
              <w:spacing w:line="314" w:lineRule="exact"/>
              <w:ind w:left="237" w:right="0"/>
              <w:jc w:val="both"/>
              <w:rPr>
                <w:rFonts w:ascii="宋体" w:hAnsi="宋体" w:cs="宋体" w:eastAsia="宋体"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(53)(a))</w:t>
            </w:r>
            <w:r>
              <w:rPr>
                <w:rFonts w:ascii="宋体" w:hAnsi="宋体" w:cs="宋体" w:eastAsia="宋体" w:hint="default"/>
                <w:sz w:val="24"/>
                <w:szCs w:val="24"/>
              </w:rPr>
              <w:t>计入</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年度非经常性损益中</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pacing w:val="-4"/>
                <w:sz w:val="24"/>
                <w:szCs w:val="24"/>
              </w:rPr>
              <w:t>年度：约人民币</w:t>
            </w:r>
            <w:r>
              <w:rPr>
                <w:rFonts w:ascii="宋体" w:hAnsi="宋体" w:cs="宋体" w:eastAsia="宋体" w:hint="default"/>
                <w:spacing w:val="-61"/>
                <w:sz w:val="24"/>
                <w:szCs w:val="24"/>
              </w:rPr>
              <w:t> </w:t>
            </w:r>
            <w:r>
              <w:rPr>
                <w:rFonts w:ascii="Arial" w:hAnsi="Arial" w:cs="Arial" w:eastAsia="Arial" w:hint="default"/>
                <w:sz w:val="24"/>
                <w:szCs w:val="24"/>
              </w:rPr>
              <w:t>23.81</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2044" w:hRule="exact"/>
        </w:trPr>
        <w:tc>
          <w:tcPr>
            <w:tcW w:w="677" w:type="dxa"/>
            <w:tcBorders>
              <w:top w:val="nil" w:sz="6" w:space="0" w:color="auto"/>
              <w:left w:val="nil" w:sz="6" w:space="0" w:color="auto"/>
              <w:bottom w:val="nil" w:sz="6" w:space="0" w:color="auto"/>
              <w:right w:val="nil" w:sz="6" w:space="0" w:color="auto"/>
            </w:tcBorders>
          </w:tcPr>
          <w:p>
            <w:pPr/>
          </w:p>
        </w:tc>
        <w:tc>
          <w:tcPr>
            <w:tcW w:w="9181" w:type="dxa"/>
            <w:tcBorders>
              <w:top w:val="nil" w:sz="6" w:space="0" w:color="auto"/>
              <w:left w:val="nil" w:sz="6" w:space="0" w:color="auto"/>
              <w:bottom w:val="nil" w:sz="6" w:space="0" w:color="auto"/>
              <w:right w:val="nil" w:sz="6" w:space="0" w:color="auto"/>
            </w:tcBorders>
          </w:tcPr>
          <w:p>
            <w:pPr>
              <w:pStyle w:val="TableParagraph"/>
              <w:spacing w:line="230" w:lineRule="auto" w:before="184"/>
              <w:ind w:left="237" w:right="316"/>
              <w:jc w:val="both"/>
              <w:rPr>
                <w:rFonts w:ascii="宋体" w:hAnsi="宋体" w:cs="宋体" w:eastAsia="宋体" w:hint="default"/>
                <w:sz w:val="24"/>
                <w:szCs w:val="24"/>
              </w:rPr>
            </w:pPr>
            <w:r>
              <w:rPr>
                <w:rFonts w:ascii="宋体" w:hAnsi="宋体" w:cs="宋体" w:eastAsia="宋体" w:hint="default"/>
                <w:sz w:val="24"/>
                <w:szCs w:val="24"/>
              </w:rPr>
              <w:t>同时，在于 </w:t>
            </w:r>
            <w:r>
              <w:rPr>
                <w:rFonts w:ascii="Arial" w:hAnsi="Arial" w:cs="Arial" w:eastAsia="Arial" w:hint="default"/>
                <w:sz w:val="24"/>
                <w:szCs w:val="24"/>
              </w:rPr>
              <w:t>2015 </w:t>
            </w:r>
            <w:r>
              <w:rPr>
                <w:rFonts w:ascii="宋体" w:hAnsi="宋体" w:cs="宋体" w:eastAsia="宋体" w:hint="default"/>
                <w:sz w:val="24"/>
                <w:szCs w:val="24"/>
              </w:rPr>
              <w:t>年度和 </w:t>
            </w:r>
            <w:r>
              <w:rPr>
                <w:rFonts w:ascii="Arial" w:hAnsi="Arial" w:cs="Arial" w:eastAsia="Arial" w:hint="default"/>
                <w:sz w:val="24"/>
                <w:szCs w:val="24"/>
              </w:rPr>
              <w:t>2014</w:t>
            </w:r>
            <w:r>
              <w:rPr>
                <w:rFonts w:ascii="Arial" w:hAnsi="Arial" w:cs="Arial" w:eastAsia="Arial" w:hint="default"/>
                <w:spacing w:val="-26"/>
                <w:sz w:val="24"/>
                <w:szCs w:val="24"/>
              </w:rPr>
              <w:t> </w:t>
            </w:r>
            <w:r>
              <w:rPr>
                <w:rFonts w:ascii="宋体" w:hAnsi="宋体" w:cs="宋体" w:eastAsia="宋体" w:hint="default"/>
                <w:sz w:val="24"/>
                <w:szCs w:val="24"/>
              </w:rPr>
              <w:t>年度开展的售后租回交易中，中信金石基金管理有 </w:t>
            </w:r>
            <w:r>
              <w:rPr>
                <w:rFonts w:ascii="宋体" w:hAnsi="宋体" w:cs="宋体" w:eastAsia="宋体" w:hint="default"/>
                <w:spacing w:val="-1"/>
                <w:sz w:val="24"/>
                <w:szCs w:val="24"/>
              </w:rPr>
              <w:t>限公司引入苏宁电器集团为资产支持专项计划相关的金融产品提供增信。即，根据</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苏宁电器集团与资产支持专项计划的计划管理人签订的《优先收购协议》，在资产</w:t>
            </w:r>
            <w:r>
              <w:rPr>
                <w:rFonts w:ascii="宋体" w:hAnsi="宋体" w:cs="宋体" w:eastAsia="宋体" w:hint="default"/>
                <w:sz w:val="24"/>
                <w:szCs w:val="24"/>
              </w:rPr>
              <w:t> 支持专项计划设立日起的</w:t>
            </w:r>
            <w:r>
              <w:rPr>
                <w:rFonts w:ascii="宋体" w:hAnsi="宋体" w:cs="宋体" w:eastAsia="宋体" w:hint="default"/>
                <w:spacing w:val="-75"/>
                <w:sz w:val="24"/>
                <w:szCs w:val="24"/>
              </w:rPr>
              <w:t> </w:t>
            </w:r>
            <w:r>
              <w:rPr>
                <w:rFonts w:ascii="Arial" w:hAnsi="Arial" w:cs="Arial" w:eastAsia="Arial" w:hint="default"/>
                <w:sz w:val="24"/>
                <w:szCs w:val="24"/>
              </w:rPr>
              <w:t>3</w:t>
            </w:r>
            <w:r>
              <w:rPr>
                <w:rFonts w:ascii="Arial" w:hAnsi="Arial" w:cs="Arial" w:eastAsia="Arial" w:hint="default"/>
                <w:spacing w:val="-22"/>
                <w:sz w:val="24"/>
                <w:szCs w:val="24"/>
              </w:rPr>
              <w:t> </w:t>
            </w:r>
            <w:r>
              <w:rPr>
                <w:rFonts w:ascii="宋体" w:hAnsi="宋体" w:cs="宋体" w:eastAsia="宋体" w:hint="default"/>
                <w:sz w:val="24"/>
                <w:szCs w:val="24"/>
              </w:rPr>
              <w:t>个计划年度之内，苏宁电器集团需分期支付优先收购权 权利对价金，从而享有优先收购权，可收购资产支持专项计划中</w:t>
            </w:r>
            <w:r>
              <w:rPr>
                <w:rFonts w:ascii="宋体" w:hAnsi="宋体" w:cs="宋体" w:eastAsia="宋体" w:hint="default"/>
                <w:spacing w:val="-88"/>
                <w:sz w:val="24"/>
                <w:szCs w:val="24"/>
              </w:rPr>
              <w:t> </w:t>
            </w:r>
            <w:r>
              <w:rPr>
                <w:rFonts w:ascii="Arial" w:hAnsi="Arial" w:cs="Arial" w:eastAsia="Arial" w:hint="default"/>
                <w:sz w:val="24"/>
                <w:szCs w:val="24"/>
              </w:rPr>
              <w:t>B</w:t>
            </w:r>
            <w:r>
              <w:rPr>
                <w:rFonts w:ascii="Arial" w:hAnsi="Arial" w:cs="Arial" w:eastAsia="Arial" w:hint="default"/>
                <w:spacing w:val="-35"/>
                <w:sz w:val="24"/>
                <w:szCs w:val="24"/>
              </w:rPr>
              <w:t> </w:t>
            </w:r>
            <w:r>
              <w:rPr>
                <w:rFonts w:ascii="宋体" w:hAnsi="宋体" w:cs="宋体" w:eastAsia="宋体" w:hint="default"/>
                <w:sz w:val="24"/>
                <w:szCs w:val="24"/>
              </w:rPr>
              <w:t>类证券所拥有的 门店物业相关的权益。</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670"/>
        <w:gridCol w:w="5878"/>
      </w:tblGrid>
      <w:tr>
        <w:trPr>
          <w:trHeight w:val="494"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w:t>
            </w:r>
          </w:p>
        </w:tc>
        <w:tc>
          <w:tcPr>
            <w:tcW w:w="5878" w:type="dxa"/>
            <w:tcBorders>
              <w:top w:val="nil" w:sz="6" w:space="0" w:color="auto"/>
              <w:left w:val="nil" w:sz="6" w:space="0" w:color="auto"/>
              <w:bottom w:val="nil" w:sz="6" w:space="0" w:color="auto"/>
              <w:right w:val="nil" w:sz="6" w:space="0" w:color="auto"/>
            </w:tcBorders>
          </w:tcPr>
          <w:p>
            <w:pPr>
              <w:pStyle w:val="TableParagraph"/>
              <w:spacing w:line="240" w:lineRule="exact"/>
              <w:ind w:left="229" w:right="0"/>
              <w:jc w:val="left"/>
              <w:rPr>
                <w:rFonts w:ascii="黑体" w:hAnsi="黑体" w:cs="黑体" w:eastAsia="黑体" w:hint="default"/>
                <w:sz w:val="24"/>
                <w:szCs w:val="24"/>
              </w:rPr>
            </w:pPr>
            <w:r>
              <w:rPr>
                <w:rFonts w:ascii="黑体" w:hAnsi="黑体" w:cs="黑体" w:eastAsia="黑体" w:hint="default"/>
                <w:sz w:val="24"/>
                <w:szCs w:val="24"/>
              </w:rPr>
              <w:t>或有事项</w:t>
            </w:r>
          </w:p>
        </w:tc>
      </w:tr>
      <w:tr>
        <w:trPr>
          <w:trHeight w:val="506" w:hRule="exact"/>
        </w:trPr>
        <w:tc>
          <w:tcPr>
            <w:tcW w:w="670" w:type="dxa"/>
            <w:tcBorders>
              <w:top w:val="nil" w:sz="6" w:space="0" w:color="auto"/>
              <w:left w:val="nil" w:sz="6" w:space="0" w:color="auto"/>
              <w:bottom w:val="nil" w:sz="6" w:space="0" w:color="auto"/>
              <w:right w:val="nil" w:sz="6" w:space="0" w:color="auto"/>
            </w:tcBorders>
          </w:tcPr>
          <w:p>
            <w:pPr/>
          </w:p>
        </w:tc>
        <w:tc>
          <w:tcPr>
            <w:tcW w:w="587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29"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2015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25"/>
                <w:sz w:val="24"/>
                <w:szCs w:val="24"/>
              </w:rPr>
              <w:t> </w:t>
            </w:r>
            <w:r>
              <w:rPr>
                <w:rFonts w:ascii="宋体" w:hAnsi="宋体" w:cs="宋体" w:eastAsia="宋体" w:hint="default"/>
                <w:sz w:val="24"/>
                <w:szCs w:val="24"/>
              </w:rPr>
              <w:t>日，本集团无重大或有事项。</w:t>
            </w:r>
          </w:p>
        </w:tc>
      </w:tr>
    </w:tbl>
    <w:p>
      <w:pPr>
        <w:spacing w:after="0" w:line="240" w:lineRule="auto"/>
        <w:jc w:val="left"/>
        <w:rPr>
          <w:rFonts w:ascii="宋体" w:hAnsi="宋体" w:cs="宋体" w:eastAsia="宋体" w:hint="default"/>
          <w:sz w:val="24"/>
          <w:szCs w:val="24"/>
        </w:rPr>
        <w:sectPr>
          <w:pgSz w:w="11910" w:h="16840"/>
          <w:pgMar w:header="755" w:footer="914" w:top="1860" w:bottom="1180" w:left="148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797"/>
        <w:gridCol w:w="3589"/>
        <w:gridCol w:w="2571"/>
        <w:gridCol w:w="2892"/>
      </w:tblGrid>
      <w:tr>
        <w:trPr>
          <w:trHeight w:val="410"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exact"/>
              <w:ind w:left="116" w:right="0"/>
              <w:jc w:val="left"/>
              <w:rPr>
                <w:rFonts w:ascii="黑体" w:hAnsi="黑体" w:cs="黑体" w:eastAsia="黑体" w:hint="default"/>
                <w:sz w:val="24"/>
                <w:szCs w:val="24"/>
              </w:rPr>
            </w:pPr>
            <w:r>
              <w:rPr>
                <w:rFonts w:ascii="黑体" w:hAnsi="黑体" w:cs="黑体" w:eastAsia="黑体" w:hint="default"/>
                <w:sz w:val="24"/>
                <w:szCs w:val="24"/>
              </w:rPr>
              <w:t>承诺事项</w:t>
            </w:r>
          </w:p>
        </w:tc>
        <w:tc>
          <w:tcPr>
            <w:tcW w:w="2571"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r>
      <w:tr>
        <w:trPr>
          <w:trHeight w:val="591"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(1)</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6" w:right="0"/>
              <w:jc w:val="left"/>
              <w:rPr>
                <w:rFonts w:ascii="黑体" w:hAnsi="黑体" w:cs="黑体" w:eastAsia="黑体" w:hint="default"/>
                <w:sz w:val="24"/>
                <w:szCs w:val="24"/>
              </w:rPr>
            </w:pPr>
            <w:r>
              <w:rPr>
                <w:rFonts w:ascii="黑体" w:hAnsi="黑体" w:cs="黑体" w:eastAsia="黑体" w:hint="default"/>
                <w:sz w:val="24"/>
                <w:szCs w:val="24"/>
              </w:rPr>
              <w:t>资本性支出承诺事项</w:t>
            </w:r>
          </w:p>
        </w:tc>
        <w:tc>
          <w:tcPr>
            <w:tcW w:w="2571"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r>
      <w:tr>
        <w:trPr>
          <w:trHeight w:val="899" w:hRule="exact"/>
        </w:trPr>
        <w:tc>
          <w:tcPr>
            <w:tcW w:w="9848"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0"/>
              <w:ind w:left="913" w:right="286"/>
              <w:jc w:val="left"/>
              <w:rPr>
                <w:rFonts w:ascii="宋体" w:hAnsi="宋体" w:cs="宋体" w:eastAsia="宋体" w:hint="default"/>
                <w:sz w:val="24"/>
                <w:szCs w:val="24"/>
              </w:rPr>
            </w:pPr>
            <w:r>
              <w:rPr>
                <w:rFonts w:ascii="宋体" w:hAnsi="宋体" w:cs="宋体" w:eastAsia="宋体" w:hint="default"/>
                <w:sz w:val="24"/>
                <w:szCs w:val="24"/>
              </w:rPr>
              <w:t>以下为本集团于资产负债表日，已签约而尚不必在资产负债表上列示的资本性支出 承诺：</w:t>
            </w:r>
          </w:p>
        </w:tc>
      </w:tr>
      <w:tr>
        <w:trPr>
          <w:trHeight w:val="593" w:hRule="exact"/>
        </w:trPr>
        <w:tc>
          <w:tcPr>
            <w:tcW w:w="797" w:type="dxa"/>
            <w:tcBorders>
              <w:top w:val="nil" w:sz="6" w:space="0" w:color="auto"/>
              <w:left w:val="nil" w:sz="6" w:space="0" w:color="auto"/>
              <w:bottom w:val="nil" w:sz="6" w:space="0" w:color="auto"/>
              <w:right w:val="nil" w:sz="6" w:space="0" w:color="auto"/>
            </w:tcBorders>
          </w:tcPr>
          <w:p>
            <w:pPr/>
          </w:p>
        </w:tc>
        <w:tc>
          <w:tcPr>
            <w:tcW w:w="61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536"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9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797"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6" w:right="0"/>
              <w:jc w:val="left"/>
              <w:rPr>
                <w:rFonts w:ascii="宋体" w:hAnsi="宋体" w:cs="宋体" w:eastAsia="宋体" w:hint="default"/>
                <w:sz w:val="24"/>
                <w:szCs w:val="24"/>
              </w:rPr>
            </w:pPr>
            <w:r>
              <w:rPr>
                <w:rFonts w:ascii="宋体" w:hAnsi="宋体" w:cs="宋体" w:eastAsia="宋体" w:hint="default"/>
                <w:sz w:val="24"/>
                <w:szCs w:val="24"/>
              </w:rPr>
              <w:t>房屋、建筑物及机器设备</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965" w:right="0"/>
              <w:jc w:val="left"/>
              <w:rPr>
                <w:rFonts w:ascii="Arial" w:hAnsi="Arial" w:cs="Arial" w:eastAsia="Arial" w:hint="default"/>
                <w:sz w:val="24"/>
                <w:szCs w:val="24"/>
              </w:rPr>
            </w:pPr>
            <w:r>
              <w:rPr>
                <w:rFonts w:ascii="Arial"/>
                <w:sz w:val="24"/>
              </w:rPr>
              <w:t>2,336,887</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07"/>
              <w:jc w:val="right"/>
              <w:rPr>
                <w:rFonts w:ascii="Arial" w:hAnsi="Arial" w:cs="Arial" w:eastAsia="Arial" w:hint="default"/>
                <w:sz w:val="24"/>
                <w:szCs w:val="24"/>
              </w:rPr>
            </w:pPr>
            <w:r>
              <w:rPr>
                <w:rFonts w:ascii="Arial"/>
                <w:w w:val="95"/>
                <w:sz w:val="24"/>
              </w:rPr>
              <w:t>3,622,105</w:t>
            </w:r>
            <w:r>
              <w:rPr>
                <w:rFonts w:ascii="Arial"/>
                <w:sz w:val="24"/>
              </w:rPr>
            </w:r>
          </w:p>
        </w:tc>
      </w:tr>
      <w:tr>
        <w:trPr>
          <w:trHeight w:val="312" w:hRule="exact"/>
        </w:trPr>
        <w:tc>
          <w:tcPr>
            <w:tcW w:w="797"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tabs>
                <w:tab w:pos="3024" w:val="left" w:leader="none"/>
                <w:tab w:pos="4756" w:val="left" w:leader="none"/>
              </w:tabs>
              <w:spacing w:line="257" w:lineRule="exact"/>
              <w:ind w:left="116" w:right="-1168"/>
              <w:jc w:val="left"/>
              <w:rPr>
                <w:rFonts w:ascii="Arial" w:hAnsi="Arial" w:cs="Arial" w:eastAsia="Arial" w:hint="default"/>
                <w:sz w:val="24"/>
                <w:szCs w:val="24"/>
              </w:rPr>
            </w:pPr>
            <w:r>
              <w:rPr>
                <w:rFonts w:ascii="宋体" w:hAnsi="宋体" w:cs="宋体" w:eastAsia="宋体" w:hint="default"/>
                <w:position w:val="2"/>
                <w:sz w:val="24"/>
                <w:szCs w:val="24"/>
              </w:rPr>
              <w:t>无形资产</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571" w:type="dxa"/>
            <w:tcBorders>
              <w:top w:val="nil" w:sz="6" w:space="0" w:color="auto"/>
              <w:left w:val="nil" w:sz="6" w:space="0" w:color="auto"/>
              <w:bottom w:val="nil" w:sz="6" w:space="0" w:color="auto"/>
              <w:right w:val="nil" w:sz="6" w:space="0" w:color="auto"/>
            </w:tcBorders>
          </w:tcPr>
          <w:p>
            <w:pPr>
              <w:pStyle w:val="TableParagraph"/>
              <w:tabs>
                <w:tab w:pos="2426" w:val="left" w:leader="none"/>
                <w:tab w:pos="4285" w:val="left" w:leader="none"/>
              </w:tabs>
              <w:spacing w:line="240" w:lineRule="auto" w:before="18"/>
              <w:ind w:left="1167" w:right="-1715"/>
              <w:jc w:val="left"/>
              <w:rPr>
                <w:rFonts w:ascii="Arial" w:hAnsi="Arial" w:cs="Arial" w:eastAsia="Arial" w:hint="default"/>
                <w:sz w:val="24"/>
                <w:szCs w:val="24"/>
              </w:rPr>
            </w:pPr>
            <w:r>
              <w:rPr>
                <w:rFonts w:ascii="Arial"/>
                <w:w w:val="99"/>
                <w:sz w:val="24"/>
              </w:rPr>
            </w:r>
            <w:r>
              <w:rPr>
                <w:rFonts w:ascii="Arial"/>
                <w:sz w:val="24"/>
                <w:u w:val="single" w:color="000000"/>
              </w:rPr>
              <w:t>390,625 </w:t>
            </w:r>
            <w:r>
              <w:rPr>
                <w:rFonts w:ascii="Arial"/>
                <w:spacing w:val="-26"/>
                <w:sz w:val="24"/>
                <w:u w:val="single" w:color="000000"/>
              </w:rPr>
              <w:t> </w:t>
            </w:r>
            <w:r>
              <w:rPr>
                <w:rFonts w:ascii="Arial"/>
                <w:spacing w:val="-26"/>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892"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18"/>
              <w:ind w:right="199"/>
              <w:jc w:val="right"/>
              <w:rPr>
                <w:rFonts w:ascii="Arial" w:hAnsi="Arial" w:cs="Arial" w:eastAsia="Arial" w:hint="default"/>
                <w:sz w:val="24"/>
                <w:szCs w:val="24"/>
              </w:rPr>
            </w:pPr>
            <w:r>
              <w:rPr>
                <w:rFonts w:ascii="Arial"/>
                <w:w w:val="99"/>
                <w:sz w:val="24"/>
              </w:rPr>
            </w:r>
            <w:r>
              <w:rPr>
                <w:rFonts w:ascii="Arial"/>
                <w:spacing w:val="-1"/>
                <w:sz w:val="24"/>
                <w:u w:val="single" w:color="000000"/>
              </w:rPr>
              <w:t>328,964</w:t>
              <w:tab/>
            </w:r>
            <w:r>
              <w:rPr>
                <w:rFonts w:ascii="Arial"/>
                <w:spacing w:val="-1"/>
                <w:sz w:val="24"/>
              </w:rPr>
            </w:r>
          </w:p>
        </w:tc>
      </w:tr>
      <w:tr>
        <w:trPr>
          <w:trHeight w:val="434" w:hRule="exact"/>
        </w:trPr>
        <w:tc>
          <w:tcPr>
            <w:tcW w:w="797" w:type="dxa"/>
            <w:tcBorders>
              <w:top w:val="nil" w:sz="6" w:space="0" w:color="auto"/>
              <w:left w:val="nil" w:sz="6" w:space="0" w:color="auto"/>
              <w:bottom w:val="nil" w:sz="6" w:space="0" w:color="auto"/>
              <w:right w:val="nil" w:sz="6" w:space="0" w:color="auto"/>
            </w:tcBorders>
          </w:tcPr>
          <w:p>
            <w:pPr/>
          </w:p>
        </w:tc>
        <w:tc>
          <w:tcPr>
            <w:tcW w:w="6160" w:type="dxa"/>
            <w:gridSpan w:val="2"/>
            <w:tcBorders>
              <w:top w:val="nil" w:sz="6" w:space="0" w:color="auto"/>
              <w:left w:val="nil" w:sz="6" w:space="0" w:color="auto"/>
              <w:bottom w:val="nil" w:sz="6" w:space="0" w:color="auto"/>
              <w:right w:val="nil" w:sz="6" w:space="0" w:color="auto"/>
            </w:tcBorders>
          </w:tcPr>
          <w:p>
            <w:pPr>
              <w:pStyle w:val="TableParagraph"/>
              <w:tabs>
                <w:tab w:pos="4555" w:val="left" w:leader="none"/>
                <w:tab w:pos="6016" w:val="left" w:leader="none"/>
                <w:tab w:pos="7674" w:val="left" w:leader="none"/>
              </w:tabs>
              <w:spacing w:line="268" w:lineRule="exact"/>
              <w:ind w:left="3024" w:right="-1515"/>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2,727,512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892" w:type="dxa"/>
            <w:tcBorders>
              <w:top w:val="nil" w:sz="6" w:space="0" w:color="auto"/>
              <w:left w:val="nil" w:sz="6" w:space="0" w:color="auto"/>
              <w:bottom w:val="nil" w:sz="6" w:space="0" w:color="auto"/>
              <w:right w:val="nil" w:sz="6" w:space="0" w:color="auto"/>
            </w:tcBorders>
          </w:tcPr>
          <w:p>
            <w:pPr>
              <w:pStyle w:val="TableParagraph"/>
              <w:tabs>
                <w:tab w:pos="1175" w:val="left" w:leader="none"/>
              </w:tabs>
              <w:spacing w:line="268" w:lineRule="exact"/>
              <w:ind w:right="199"/>
              <w:jc w:val="right"/>
              <w:rPr>
                <w:rFonts w:ascii="Arial" w:hAnsi="Arial" w:cs="Arial" w:eastAsia="Arial" w:hint="default"/>
                <w:sz w:val="24"/>
                <w:szCs w:val="24"/>
              </w:rPr>
            </w:pPr>
            <w:r>
              <w:rPr>
                <w:rFonts w:ascii="Arial"/>
                <w:w w:val="99"/>
                <w:sz w:val="24"/>
              </w:rPr>
            </w:r>
            <w:r>
              <w:rPr>
                <w:rFonts w:ascii="Arial"/>
                <w:w w:val="95"/>
                <w:sz w:val="24"/>
                <w:u w:val="thick" w:color="000000"/>
              </w:rPr>
              <w:t>3,951,069</w:t>
            </w:r>
            <w:r>
              <w:rPr>
                <w:rFonts w:ascii="Arial"/>
                <w:sz w:val="24"/>
                <w:u w:val="thick" w:color="000000"/>
              </w:rPr>
              <w:tab/>
            </w:r>
            <w:r>
              <w:rPr>
                <w:rFonts w:ascii="Arial"/>
                <w:sz w:val="24"/>
              </w:rPr>
            </w:r>
          </w:p>
        </w:tc>
      </w:tr>
      <w:tr>
        <w:trPr>
          <w:trHeight w:val="592"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(2)</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6" w:right="0"/>
              <w:jc w:val="left"/>
              <w:rPr>
                <w:rFonts w:ascii="黑体" w:hAnsi="黑体" w:cs="黑体" w:eastAsia="黑体" w:hint="default"/>
                <w:sz w:val="24"/>
                <w:szCs w:val="24"/>
              </w:rPr>
            </w:pPr>
            <w:r>
              <w:rPr>
                <w:rFonts w:ascii="黑体" w:hAnsi="黑体" w:cs="黑体" w:eastAsia="黑体" w:hint="default"/>
                <w:sz w:val="24"/>
                <w:szCs w:val="24"/>
              </w:rPr>
              <w:t>经营租赁承诺事项</w:t>
            </w:r>
          </w:p>
        </w:tc>
        <w:tc>
          <w:tcPr>
            <w:tcW w:w="2571"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r>
      <w:tr>
        <w:trPr>
          <w:trHeight w:val="587" w:hRule="exact"/>
        </w:trPr>
        <w:tc>
          <w:tcPr>
            <w:tcW w:w="98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913" w:right="0"/>
              <w:jc w:val="left"/>
              <w:rPr>
                <w:rFonts w:ascii="宋体" w:hAnsi="宋体" w:cs="宋体" w:eastAsia="宋体" w:hint="default"/>
                <w:sz w:val="24"/>
                <w:szCs w:val="24"/>
              </w:rPr>
            </w:pPr>
            <w:r>
              <w:rPr>
                <w:rFonts w:ascii="宋体" w:hAnsi="宋体" w:cs="宋体" w:eastAsia="宋体" w:hint="default"/>
                <w:sz w:val="24"/>
                <w:szCs w:val="24"/>
              </w:rPr>
              <w:t>根据已签订的经营性租赁合同，本集团未来最低应支付租金汇总如下：</w:t>
            </w:r>
          </w:p>
        </w:tc>
      </w:tr>
      <w:tr>
        <w:trPr>
          <w:trHeight w:val="593" w:hRule="exact"/>
        </w:trPr>
        <w:tc>
          <w:tcPr>
            <w:tcW w:w="797"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62"/>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797"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6"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985" w:right="0"/>
              <w:jc w:val="left"/>
              <w:rPr>
                <w:rFonts w:ascii="Arial" w:hAnsi="Arial" w:cs="Arial" w:eastAsia="Arial" w:hint="default"/>
                <w:sz w:val="24"/>
                <w:szCs w:val="24"/>
              </w:rPr>
            </w:pPr>
            <w:r>
              <w:rPr>
                <w:rFonts w:ascii="Arial"/>
                <w:spacing w:val="-3"/>
                <w:sz w:val="24"/>
              </w:rPr>
              <w:t>5,661,113</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06"/>
              <w:jc w:val="right"/>
              <w:rPr>
                <w:rFonts w:ascii="Arial" w:hAnsi="Arial" w:cs="Arial" w:eastAsia="Arial" w:hint="default"/>
                <w:sz w:val="24"/>
                <w:szCs w:val="24"/>
              </w:rPr>
            </w:pPr>
            <w:r>
              <w:rPr>
                <w:rFonts w:ascii="Arial"/>
                <w:w w:val="95"/>
                <w:sz w:val="24"/>
              </w:rPr>
              <w:t>5,190,405</w:t>
            </w:r>
            <w:r>
              <w:rPr>
                <w:rFonts w:ascii="Arial"/>
                <w:sz w:val="24"/>
              </w:rPr>
            </w:r>
          </w:p>
        </w:tc>
      </w:tr>
      <w:tr>
        <w:trPr>
          <w:trHeight w:val="311" w:hRule="exact"/>
        </w:trPr>
        <w:tc>
          <w:tcPr>
            <w:tcW w:w="797"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67" w:right="0"/>
              <w:jc w:val="left"/>
              <w:rPr>
                <w:rFonts w:ascii="Arial" w:hAnsi="Arial" w:cs="Arial" w:eastAsia="Arial" w:hint="default"/>
                <w:sz w:val="24"/>
                <w:szCs w:val="24"/>
              </w:rPr>
            </w:pPr>
            <w:r>
              <w:rPr>
                <w:rFonts w:ascii="Arial"/>
                <w:sz w:val="24"/>
              </w:rPr>
              <w:t>5,364,777</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7"/>
              <w:jc w:val="right"/>
              <w:rPr>
                <w:rFonts w:ascii="Arial" w:hAnsi="Arial" w:cs="Arial" w:eastAsia="Arial" w:hint="default"/>
                <w:sz w:val="24"/>
                <w:szCs w:val="24"/>
              </w:rPr>
            </w:pPr>
            <w:r>
              <w:rPr>
                <w:rFonts w:ascii="Arial"/>
                <w:spacing w:val="-3"/>
                <w:sz w:val="24"/>
              </w:rPr>
              <w:t>4,821,117</w:t>
            </w:r>
          </w:p>
        </w:tc>
      </w:tr>
      <w:tr>
        <w:trPr>
          <w:trHeight w:val="312" w:hRule="exact"/>
        </w:trPr>
        <w:tc>
          <w:tcPr>
            <w:tcW w:w="797"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67" w:right="0"/>
              <w:jc w:val="left"/>
              <w:rPr>
                <w:rFonts w:ascii="Arial" w:hAnsi="Arial" w:cs="Arial" w:eastAsia="Arial" w:hint="default"/>
                <w:sz w:val="24"/>
                <w:szCs w:val="24"/>
              </w:rPr>
            </w:pPr>
            <w:r>
              <w:rPr>
                <w:rFonts w:ascii="Arial"/>
                <w:sz w:val="24"/>
              </w:rPr>
              <w:t>4,705,517</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6"/>
              <w:jc w:val="right"/>
              <w:rPr>
                <w:rFonts w:ascii="Arial" w:hAnsi="Arial" w:cs="Arial" w:eastAsia="Arial" w:hint="default"/>
                <w:sz w:val="24"/>
                <w:szCs w:val="24"/>
              </w:rPr>
            </w:pPr>
            <w:r>
              <w:rPr>
                <w:rFonts w:ascii="Arial"/>
                <w:w w:val="95"/>
                <w:sz w:val="24"/>
              </w:rPr>
              <w:t>4,496,476</w:t>
            </w:r>
            <w:r>
              <w:rPr>
                <w:rFonts w:ascii="Arial"/>
                <w:sz w:val="24"/>
              </w:rPr>
            </w:r>
          </w:p>
        </w:tc>
      </w:tr>
      <w:tr>
        <w:trPr>
          <w:trHeight w:val="312" w:hRule="exact"/>
        </w:trPr>
        <w:tc>
          <w:tcPr>
            <w:tcW w:w="797"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tabs>
                <w:tab w:pos="3024" w:val="left" w:leader="none"/>
                <w:tab w:pos="4422" w:val="left" w:leader="none"/>
              </w:tabs>
              <w:spacing w:line="257" w:lineRule="exact"/>
              <w:ind w:left="116" w:right="-833"/>
              <w:jc w:val="left"/>
              <w:rPr>
                <w:rFonts w:ascii="Arial" w:hAnsi="Arial" w:cs="Arial" w:eastAsia="Arial" w:hint="default"/>
                <w:sz w:val="24"/>
                <w:szCs w:val="24"/>
              </w:rPr>
            </w:pPr>
            <w:r>
              <w:rPr>
                <w:rFonts w:ascii="宋体" w:hAnsi="宋体" w:cs="宋体" w:eastAsia="宋体" w:hint="default"/>
                <w:position w:val="2"/>
                <w:sz w:val="24"/>
                <w:szCs w:val="24"/>
              </w:rPr>
              <w:t>三年以上</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571" w:type="dxa"/>
            <w:tcBorders>
              <w:top w:val="nil" w:sz="6" w:space="0" w:color="auto"/>
              <w:left w:val="nil" w:sz="6" w:space="0" w:color="auto"/>
              <w:bottom w:val="nil" w:sz="6" w:space="0" w:color="auto"/>
              <w:right w:val="nil" w:sz="6" w:space="0" w:color="auto"/>
            </w:tcBorders>
          </w:tcPr>
          <w:p>
            <w:pPr>
              <w:pStyle w:val="TableParagraph"/>
              <w:tabs>
                <w:tab w:pos="2381" w:val="left" w:leader="none"/>
                <w:tab w:pos="3951" w:val="left" w:leader="none"/>
              </w:tabs>
              <w:spacing w:line="240" w:lineRule="auto" w:before="18"/>
              <w:ind w:left="832" w:right="-1382"/>
              <w:jc w:val="left"/>
              <w:rPr>
                <w:rFonts w:ascii="Arial" w:hAnsi="Arial" w:cs="Arial" w:eastAsia="Arial" w:hint="default"/>
                <w:sz w:val="24"/>
                <w:szCs w:val="24"/>
              </w:rPr>
            </w:pPr>
            <w:r>
              <w:rPr>
                <w:rFonts w:ascii="Arial"/>
                <w:w w:val="99"/>
                <w:sz w:val="24"/>
              </w:rPr>
            </w:r>
            <w:r>
              <w:rPr>
                <w:rFonts w:ascii="Arial"/>
                <w:sz w:val="24"/>
                <w:u w:val="single" w:color="000000"/>
              </w:rPr>
              <w:t>20,331,855 </w:t>
            </w:r>
            <w:r>
              <w:rPr>
                <w:rFonts w:ascii="Arial"/>
                <w:spacing w:val="-25"/>
                <w:sz w:val="24"/>
                <w:u w:val="single" w:color="000000"/>
              </w:rPr>
              <w:t> </w:t>
            </w:r>
            <w:r>
              <w:rPr>
                <w:rFonts w:ascii="Arial"/>
                <w:spacing w:val="-25"/>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892" w:type="dxa"/>
            <w:tcBorders>
              <w:top w:val="nil" w:sz="6" w:space="0" w:color="auto"/>
              <w:left w:val="nil" w:sz="6" w:space="0" w:color="auto"/>
              <w:bottom w:val="nil" w:sz="6" w:space="0" w:color="auto"/>
              <w:right w:val="nil" w:sz="6" w:space="0" w:color="auto"/>
            </w:tcBorders>
          </w:tcPr>
          <w:p>
            <w:pPr>
              <w:pStyle w:val="TableParagraph"/>
              <w:tabs>
                <w:tab w:pos="1309" w:val="left" w:leader="none"/>
              </w:tabs>
              <w:spacing w:line="240" w:lineRule="auto" w:before="18"/>
              <w:ind w:right="199"/>
              <w:jc w:val="right"/>
              <w:rPr>
                <w:rFonts w:ascii="Arial" w:hAnsi="Arial" w:cs="Arial" w:eastAsia="Arial" w:hint="default"/>
                <w:sz w:val="24"/>
                <w:szCs w:val="24"/>
              </w:rPr>
            </w:pPr>
            <w:r>
              <w:rPr>
                <w:rFonts w:ascii="Arial"/>
                <w:w w:val="99"/>
                <w:sz w:val="24"/>
              </w:rPr>
            </w:r>
            <w:r>
              <w:rPr>
                <w:rFonts w:ascii="Arial"/>
                <w:w w:val="95"/>
                <w:sz w:val="24"/>
                <w:u w:val="single" w:color="000000"/>
              </w:rPr>
              <w:t>23,122,789</w:t>
            </w:r>
            <w:r>
              <w:rPr>
                <w:rFonts w:ascii="Arial"/>
                <w:sz w:val="24"/>
                <w:u w:val="single" w:color="000000"/>
              </w:rPr>
              <w:tab/>
            </w:r>
            <w:r>
              <w:rPr>
                <w:rFonts w:ascii="Arial"/>
                <w:sz w:val="24"/>
              </w:rPr>
            </w:r>
          </w:p>
        </w:tc>
      </w:tr>
      <w:tr>
        <w:trPr>
          <w:trHeight w:val="434" w:hRule="exact"/>
        </w:trPr>
        <w:tc>
          <w:tcPr>
            <w:tcW w:w="797" w:type="dxa"/>
            <w:tcBorders>
              <w:top w:val="nil" w:sz="6" w:space="0" w:color="auto"/>
              <w:left w:val="nil" w:sz="6" w:space="0" w:color="auto"/>
              <w:bottom w:val="nil" w:sz="6" w:space="0" w:color="auto"/>
              <w:right w:val="nil" w:sz="6" w:space="0" w:color="auto"/>
            </w:tcBorders>
          </w:tcPr>
          <w:p>
            <w:pPr/>
          </w:p>
        </w:tc>
        <w:tc>
          <w:tcPr>
            <w:tcW w:w="6160" w:type="dxa"/>
            <w:gridSpan w:val="2"/>
            <w:tcBorders>
              <w:top w:val="nil" w:sz="6" w:space="0" w:color="auto"/>
              <w:left w:val="nil" w:sz="6" w:space="0" w:color="auto"/>
              <w:bottom w:val="nil" w:sz="6" w:space="0" w:color="auto"/>
              <w:right w:val="nil" w:sz="6" w:space="0" w:color="auto"/>
            </w:tcBorders>
          </w:tcPr>
          <w:p>
            <w:pPr>
              <w:pStyle w:val="TableParagraph"/>
              <w:tabs>
                <w:tab w:pos="4422" w:val="left" w:leader="none"/>
                <w:tab w:pos="5970" w:val="left" w:leader="none"/>
                <w:tab w:pos="7541" w:val="left" w:leader="none"/>
              </w:tabs>
              <w:spacing w:line="268" w:lineRule="exact"/>
              <w:ind w:left="3024" w:right="-138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36,063,262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892" w:type="dxa"/>
            <w:tcBorders>
              <w:top w:val="nil" w:sz="6" w:space="0" w:color="auto"/>
              <w:left w:val="nil" w:sz="6" w:space="0" w:color="auto"/>
              <w:bottom w:val="nil" w:sz="6" w:space="0" w:color="auto"/>
              <w:right w:val="nil" w:sz="6" w:space="0" w:color="auto"/>
            </w:tcBorders>
          </w:tcPr>
          <w:p>
            <w:pPr>
              <w:pStyle w:val="TableParagraph"/>
              <w:tabs>
                <w:tab w:pos="1309" w:val="left" w:leader="none"/>
              </w:tabs>
              <w:spacing w:line="268" w:lineRule="exact"/>
              <w:ind w:right="199"/>
              <w:jc w:val="right"/>
              <w:rPr>
                <w:rFonts w:ascii="Arial" w:hAnsi="Arial" w:cs="Arial" w:eastAsia="Arial" w:hint="default"/>
                <w:sz w:val="24"/>
                <w:szCs w:val="24"/>
              </w:rPr>
            </w:pPr>
            <w:r>
              <w:rPr>
                <w:rFonts w:ascii="Arial"/>
                <w:w w:val="99"/>
                <w:sz w:val="24"/>
              </w:rPr>
            </w:r>
            <w:r>
              <w:rPr>
                <w:rFonts w:ascii="Arial"/>
                <w:w w:val="95"/>
                <w:sz w:val="24"/>
                <w:u w:val="thick" w:color="000000"/>
              </w:rPr>
              <w:t>37,630,787</w:t>
            </w:r>
            <w:r>
              <w:rPr>
                <w:rFonts w:ascii="Arial"/>
                <w:sz w:val="24"/>
                <w:u w:val="thick" w:color="000000"/>
              </w:rPr>
              <w:tab/>
            </w:r>
            <w:r>
              <w:rPr>
                <w:rFonts w:ascii="Arial"/>
                <w:sz w:val="24"/>
              </w:rPr>
            </w:r>
          </w:p>
        </w:tc>
      </w:tr>
      <w:tr>
        <w:trPr>
          <w:trHeight w:val="589"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(3)</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6" w:right="0"/>
              <w:jc w:val="left"/>
              <w:rPr>
                <w:rFonts w:ascii="黑体" w:hAnsi="黑体" w:cs="黑体" w:eastAsia="黑体" w:hint="default"/>
                <w:sz w:val="24"/>
                <w:szCs w:val="24"/>
              </w:rPr>
            </w:pPr>
            <w:r>
              <w:rPr>
                <w:rFonts w:ascii="黑体" w:hAnsi="黑体" w:cs="黑体" w:eastAsia="黑体" w:hint="default"/>
                <w:sz w:val="24"/>
                <w:szCs w:val="24"/>
              </w:rPr>
              <w:t>对外投资承诺事项</w:t>
            </w:r>
          </w:p>
        </w:tc>
        <w:tc>
          <w:tcPr>
            <w:tcW w:w="2571"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r>
      <w:tr>
        <w:trPr>
          <w:trHeight w:val="1527"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(i)</w:t>
            </w:r>
          </w:p>
        </w:tc>
        <w:tc>
          <w:tcPr>
            <w:tcW w:w="9052"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03"/>
              <w:ind w:left="116" w:right="0"/>
              <w:jc w:val="left"/>
              <w:rPr>
                <w:rFonts w:ascii="宋体" w:hAnsi="宋体" w:cs="宋体" w:eastAsia="宋体" w:hint="default"/>
                <w:sz w:val="24"/>
                <w:szCs w:val="24"/>
              </w:rPr>
            </w:pPr>
            <w:r>
              <w:rPr>
                <w:rFonts w:ascii="宋体" w:hAnsi="宋体" w:cs="宋体" w:eastAsia="宋体" w:hint="default"/>
                <w:sz w:val="24"/>
                <w:szCs w:val="24"/>
              </w:rPr>
              <w:t>根据本公司与另外两位投资方于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6</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0</w:t>
            </w:r>
            <w:r>
              <w:rPr>
                <w:rFonts w:ascii="Arial" w:hAnsi="Arial" w:cs="Arial" w:eastAsia="Arial" w:hint="default"/>
                <w:spacing w:val="-7"/>
                <w:sz w:val="24"/>
                <w:szCs w:val="24"/>
              </w:rPr>
              <w:t> </w:t>
            </w:r>
            <w:r>
              <w:rPr>
                <w:rFonts w:ascii="宋体" w:hAnsi="宋体" w:cs="宋体" w:eastAsia="宋体" w:hint="default"/>
                <w:sz w:val="24"/>
                <w:szCs w:val="24"/>
              </w:rPr>
              <w:t>日签订的合资协议</w:t>
            </w:r>
            <w:r>
              <w:rPr>
                <w:rFonts w:ascii="宋体" w:hAnsi="宋体" w:cs="宋体" w:eastAsia="宋体" w:hint="default"/>
                <w:spacing w:val="-110"/>
                <w:sz w:val="24"/>
                <w:szCs w:val="24"/>
              </w:rPr>
              <w:t>，</w:t>
            </w:r>
            <w:r>
              <w:rPr>
                <w:rFonts w:ascii="宋体" w:hAnsi="宋体" w:cs="宋体" w:eastAsia="宋体" w:hint="default"/>
                <w:sz w:val="24"/>
                <w:szCs w:val="24"/>
              </w:rPr>
              <w:t>本公司承诺将</w:t>
            </w:r>
          </w:p>
          <w:p>
            <w:pPr>
              <w:pStyle w:val="TableParagraph"/>
              <w:spacing w:line="311" w:lineRule="exact"/>
              <w:ind w:left="116"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73"/>
                <w:sz w:val="24"/>
                <w:szCs w:val="24"/>
              </w:rPr>
              <w:t> </w:t>
            </w:r>
            <w:r>
              <w:rPr>
                <w:rFonts w:ascii="Arial" w:hAnsi="Arial" w:cs="Arial" w:eastAsia="Arial" w:hint="default"/>
                <w:sz w:val="24"/>
                <w:szCs w:val="24"/>
              </w:rPr>
              <w:t>2016</w:t>
            </w:r>
            <w:r>
              <w:rPr>
                <w:rFonts w:ascii="Arial" w:hAnsi="Arial" w:cs="Arial" w:eastAsia="Arial"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Arial" w:hAnsi="Arial" w:cs="Arial" w:eastAsia="Arial" w:hint="default"/>
                <w:sz w:val="24"/>
                <w:szCs w:val="24"/>
              </w:rPr>
              <w:t>2</w:t>
            </w:r>
            <w:r>
              <w:rPr>
                <w:rFonts w:ascii="Arial" w:hAnsi="Arial" w:cs="Arial" w:eastAsia="Arial" w:hint="default"/>
                <w:spacing w:val="-20"/>
                <w:sz w:val="24"/>
                <w:szCs w:val="24"/>
              </w:rPr>
              <w:t> </w:t>
            </w:r>
            <w:r>
              <w:rPr>
                <w:rFonts w:ascii="宋体" w:hAnsi="宋体" w:cs="宋体" w:eastAsia="宋体" w:hint="default"/>
                <w:sz w:val="24"/>
                <w:szCs w:val="24"/>
              </w:rPr>
              <w:t>月之前向北京身未动心已远旅行文化有限公司</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北京文化</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投资人民币</w:t>
            </w:r>
          </w:p>
          <w:p>
            <w:pPr>
              <w:pStyle w:val="TableParagraph"/>
              <w:spacing w:line="311" w:lineRule="exact"/>
              <w:ind w:left="116" w:right="0"/>
              <w:jc w:val="left"/>
              <w:rPr>
                <w:rFonts w:ascii="宋体" w:hAnsi="宋体" w:cs="宋体" w:eastAsia="宋体" w:hint="default"/>
                <w:sz w:val="24"/>
                <w:szCs w:val="24"/>
              </w:rPr>
            </w:pPr>
            <w:r>
              <w:rPr>
                <w:rFonts w:ascii="Arial" w:hAnsi="Arial" w:cs="Arial" w:eastAsia="Arial" w:hint="default"/>
                <w:sz w:val="24"/>
                <w:szCs w:val="24"/>
              </w:rPr>
              <w:t>600</w:t>
            </w:r>
            <w:r>
              <w:rPr>
                <w:rFonts w:ascii="Arial" w:hAnsi="Arial" w:cs="Arial" w:eastAsia="Arial" w:hint="default"/>
                <w:spacing w:val="-2"/>
                <w:sz w:val="24"/>
                <w:szCs w:val="24"/>
              </w:rPr>
              <w:t> </w:t>
            </w:r>
            <w:r>
              <w:rPr>
                <w:rFonts w:ascii="宋体" w:hAnsi="宋体" w:cs="宋体" w:eastAsia="宋体" w:hint="default"/>
                <w:sz w:val="24"/>
                <w:szCs w:val="24"/>
              </w:rPr>
              <w:t>万元。于</w:t>
            </w:r>
            <w:r>
              <w:rPr>
                <w:rFonts w:ascii="宋体" w:hAnsi="宋体" w:cs="宋体" w:eastAsia="宋体" w:hint="default"/>
                <w:spacing w:val="-55"/>
                <w:sz w:val="24"/>
                <w:szCs w:val="24"/>
              </w:rPr>
              <w:t> </w:t>
            </w:r>
            <w:r>
              <w:rPr>
                <w:rFonts w:ascii="Arial" w:hAnsi="Arial" w:cs="Arial" w:eastAsia="Arial" w:hint="default"/>
                <w:sz w:val="24"/>
                <w:szCs w:val="24"/>
              </w:rPr>
              <w:t>2015</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日，本公司尚未支付上述款项。截止</w:t>
            </w:r>
            <w:r>
              <w:rPr>
                <w:rFonts w:ascii="宋体" w:hAnsi="宋体" w:cs="宋体" w:eastAsia="宋体" w:hint="default"/>
                <w:spacing w:val="-55"/>
                <w:sz w:val="24"/>
                <w:szCs w:val="24"/>
              </w:rPr>
              <w:t> </w:t>
            </w:r>
            <w:r>
              <w:rPr>
                <w:rFonts w:ascii="Arial" w:hAnsi="Arial" w:cs="Arial" w:eastAsia="Arial" w:hint="default"/>
                <w:sz w:val="24"/>
                <w:szCs w:val="24"/>
              </w:rPr>
              <w:t>2016</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z w:val="24"/>
                <w:szCs w:val="24"/>
              </w:rPr>
              <w:t>月</w:t>
            </w:r>
          </w:p>
          <w:p>
            <w:pPr>
              <w:pStyle w:val="TableParagraph"/>
              <w:spacing w:line="322" w:lineRule="exact"/>
              <w:ind w:left="116" w:right="0"/>
              <w:jc w:val="left"/>
              <w:rPr>
                <w:rFonts w:ascii="宋体" w:hAnsi="宋体" w:cs="宋体" w:eastAsia="宋体" w:hint="default"/>
                <w:sz w:val="24"/>
                <w:szCs w:val="24"/>
              </w:rPr>
            </w:pPr>
            <w:r>
              <w:rPr>
                <w:rFonts w:ascii="Arial" w:hAnsi="Arial" w:cs="Arial" w:eastAsia="Arial" w:hint="default"/>
                <w:sz w:val="24"/>
                <w:szCs w:val="24"/>
              </w:rPr>
              <w:t>29</w:t>
            </w:r>
            <w:r>
              <w:rPr>
                <w:rFonts w:ascii="Arial" w:hAnsi="Arial" w:cs="Arial" w:eastAsia="Arial" w:hint="default"/>
                <w:spacing w:val="-9"/>
                <w:sz w:val="24"/>
                <w:szCs w:val="24"/>
              </w:rPr>
              <w:t> </w:t>
            </w:r>
            <w:r>
              <w:rPr>
                <w:rFonts w:ascii="宋体" w:hAnsi="宋体" w:cs="宋体" w:eastAsia="宋体" w:hint="default"/>
                <w:sz w:val="24"/>
                <w:szCs w:val="24"/>
              </w:rPr>
              <w:t>日止，北京文化处于筹建阶段，本公司尚未完成认缴资本的支付。</w:t>
            </w:r>
          </w:p>
        </w:tc>
      </w:tr>
      <w:tr>
        <w:trPr>
          <w:trHeight w:val="1980"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(ii)</w:t>
            </w:r>
          </w:p>
        </w:tc>
        <w:tc>
          <w:tcPr>
            <w:tcW w:w="9052" w:type="dxa"/>
            <w:gridSpan w:val="3"/>
            <w:tcBorders>
              <w:top w:val="nil" w:sz="6" w:space="0" w:color="auto"/>
              <w:left w:val="nil" w:sz="6" w:space="0" w:color="auto"/>
              <w:bottom w:val="nil" w:sz="6" w:space="0" w:color="auto"/>
              <w:right w:val="nil" w:sz="6" w:space="0" w:color="auto"/>
            </w:tcBorders>
          </w:tcPr>
          <w:p>
            <w:pPr>
              <w:pStyle w:val="TableParagraph"/>
              <w:spacing w:line="225" w:lineRule="auto" w:before="114"/>
              <w:ind w:left="116" w:right="198"/>
              <w:jc w:val="left"/>
              <w:rPr>
                <w:rFonts w:ascii="宋体" w:hAnsi="宋体" w:cs="宋体" w:eastAsia="宋体" w:hint="default"/>
                <w:sz w:val="24"/>
                <w:szCs w:val="24"/>
              </w:rPr>
            </w:pPr>
            <w:r>
              <w:rPr>
                <w:rFonts w:ascii="宋体" w:hAnsi="宋体" w:cs="宋体" w:eastAsia="宋体" w:hint="default"/>
                <w:spacing w:val="16"/>
                <w:sz w:val="24"/>
                <w:szCs w:val="24"/>
              </w:rPr>
              <w:t>根据日本</w:t>
            </w:r>
            <w:r>
              <w:rPr>
                <w:rFonts w:ascii="宋体" w:hAnsi="宋体" w:cs="宋体" w:eastAsia="宋体" w:hint="default"/>
                <w:spacing w:val="24"/>
                <w:sz w:val="24"/>
                <w:szCs w:val="24"/>
              </w:rPr>
              <w:t> </w:t>
            </w:r>
            <w:r>
              <w:rPr>
                <w:rFonts w:ascii="Arial" w:hAnsi="Arial" w:cs="Arial" w:eastAsia="Arial" w:hint="default"/>
                <w:sz w:val="24"/>
                <w:szCs w:val="24"/>
              </w:rPr>
              <w:t>LAOX</w:t>
            </w:r>
            <w:r>
              <w:rPr>
                <w:rFonts w:ascii="Arial" w:hAnsi="Arial" w:cs="Arial" w:eastAsia="Arial" w:hint="default"/>
                <w:spacing w:val="-45"/>
                <w:sz w:val="24"/>
                <w:szCs w:val="24"/>
              </w:rPr>
              <w:t> </w:t>
            </w:r>
            <w:r>
              <w:rPr>
                <w:rFonts w:ascii="宋体" w:hAnsi="宋体" w:cs="宋体" w:eastAsia="宋体" w:hint="default"/>
                <w:sz w:val="24"/>
                <w:szCs w:val="24"/>
              </w:rPr>
              <w:t>、</w:t>
            </w:r>
            <w:r>
              <w:rPr>
                <w:rFonts w:ascii="宋体" w:hAnsi="宋体" w:cs="宋体" w:eastAsia="宋体" w:hint="default"/>
                <w:spacing w:val="-98"/>
                <w:sz w:val="24"/>
                <w:szCs w:val="24"/>
              </w:rPr>
              <w:t> </w:t>
            </w:r>
            <w:r>
              <w:rPr>
                <w:rFonts w:ascii="宋体" w:hAnsi="宋体" w:cs="宋体" w:eastAsia="宋体" w:hint="default"/>
                <w:spacing w:val="19"/>
                <w:sz w:val="24"/>
                <w:szCs w:val="24"/>
              </w:rPr>
              <w:t>绿地香港投资集团有限公司</w:t>
            </w:r>
            <w:r>
              <w:rPr>
                <w:rFonts w:ascii="Arial" w:hAnsi="Arial" w:cs="Arial" w:eastAsia="Arial" w:hint="default"/>
                <w:spacing w:val="19"/>
                <w:sz w:val="24"/>
                <w:szCs w:val="24"/>
              </w:rPr>
              <w:t>(</w:t>
            </w:r>
            <w:r>
              <w:rPr>
                <w:rFonts w:ascii="Arial" w:hAnsi="Arial" w:cs="Arial" w:eastAsia="Arial" w:hint="default"/>
                <w:spacing w:val="19"/>
                <w:sz w:val="24"/>
                <w:szCs w:val="24"/>
              </w:rPr>
              <w:t>“</w:t>
            </w:r>
            <w:r>
              <w:rPr>
                <w:rFonts w:ascii="Arial" w:hAnsi="Arial" w:cs="Arial" w:eastAsia="Arial" w:hint="default"/>
                <w:spacing w:val="-44"/>
                <w:sz w:val="24"/>
                <w:szCs w:val="24"/>
              </w:rPr>
              <w:t> </w:t>
            </w:r>
            <w:r>
              <w:rPr>
                <w:rFonts w:ascii="宋体" w:hAnsi="宋体" w:cs="宋体" w:eastAsia="宋体" w:hint="default"/>
                <w:spacing w:val="14"/>
                <w:sz w:val="24"/>
                <w:szCs w:val="24"/>
              </w:rPr>
              <w:t>绿地香港</w:t>
            </w:r>
            <w:r>
              <w:rPr>
                <w:rFonts w:ascii="Arial" w:hAnsi="Arial" w:cs="Arial" w:eastAsia="Arial" w:hint="default"/>
                <w:spacing w:val="14"/>
                <w:sz w:val="24"/>
                <w:szCs w:val="24"/>
              </w:rPr>
              <w:t>”</w:t>
            </w:r>
            <w:r>
              <w:rPr>
                <w:rFonts w:ascii="Arial" w:hAnsi="Arial" w:cs="Arial" w:eastAsia="Arial" w:hint="default"/>
                <w:spacing w:val="14"/>
                <w:sz w:val="24"/>
                <w:szCs w:val="24"/>
              </w:rPr>
              <w:t>)</w:t>
            </w:r>
            <w:r>
              <w:rPr>
                <w:rFonts w:ascii="Arial" w:hAnsi="Arial" w:cs="Arial" w:eastAsia="Arial" w:hint="default"/>
                <w:spacing w:val="-44"/>
                <w:sz w:val="24"/>
                <w:szCs w:val="24"/>
              </w:rPr>
              <w:t> </w:t>
            </w:r>
            <w:r>
              <w:rPr>
                <w:rFonts w:ascii="宋体" w:hAnsi="宋体" w:cs="宋体" w:eastAsia="宋体" w:hint="default"/>
                <w:sz w:val="24"/>
                <w:szCs w:val="24"/>
              </w:rPr>
              <w:t>及</w:t>
            </w:r>
            <w:r>
              <w:rPr>
                <w:rFonts w:ascii="宋体" w:hAnsi="宋体" w:cs="宋体" w:eastAsia="宋体" w:hint="default"/>
                <w:spacing w:val="22"/>
                <w:sz w:val="24"/>
                <w:szCs w:val="24"/>
              </w:rPr>
              <w:t> </w:t>
            </w:r>
            <w:r>
              <w:rPr>
                <w:rFonts w:ascii="Arial" w:hAnsi="Arial" w:cs="Arial" w:eastAsia="Arial" w:hint="default"/>
                <w:sz w:val="24"/>
                <w:szCs w:val="24"/>
              </w:rPr>
              <w:t>Oxley</w:t>
            </w:r>
            <w:r>
              <w:rPr>
                <w:rFonts w:ascii="Arial" w:hAnsi="Arial" w:cs="Arial" w:eastAsia="Arial" w:hint="default"/>
                <w:spacing w:val="11"/>
                <w:sz w:val="24"/>
                <w:szCs w:val="24"/>
              </w:rPr>
              <w:t> </w:t>
            </w:r>
            <w:r>
              <w:rPr>
                <w:rFonts w:ascii="Arial" w:hAnsi="Arial" w:cs="Arial" w:eastAsia="Arial" w:hint="default"/>
                <w:sz w:val="24"/>
                <w:szCs w:val="24"/>
              </w:rPr>
              <w:t>Holding</w:t>
            </w:r>
            <w:r>
              <w:rPr>
                <w:rFonts w:ascii="Arial" w:hAnsi="Arial" w:cs="Arial" w:eastAsia="Arial" w:hint="default"/>
                <w:w w:val="99"/>
                <w:sz w:val="24"/>
                <w:szCs w:val="24"/>
              </w:rPr>
              <w:t> </w:t>
            </w:r>
            <w:r>
              <w:rPr>
                <w:rFonts w:ascii="Arial" w:hAnsi="Arial" w:cs="Arial" w:eastAsia="Arial" w:hint="default"/>
                <w:spacing w:val="-1"/>
                <w:w w:val="99"/>
                <w:sz w:val="24"/>
                <w:szCs w:val="24"/>
              </w:rPr>
              <w:t>Ltd(“Oxley</w:t>
            </w:r>
            <w:r>
              <w:rPr>
                <w:rFonts w:ascii="Arial" w:hAnsi="Arial" w:cs="Arial" w:eastAsia="Arial" w:hint="default"/>
                <w:spacing w:val="3"/>
                <w:w w:val="99"/>
                <w:sz w:val="24"/>
                <w:szCs w:val="24"/>
              </w:rPr>
              <w:t> </w:t>
            </w:r>
            <w:r>
              <w:rPr>
                <w:rFonts w:ascii="Arial" w:hAnsi="Arial" w:cs="Arial" w:eastAsia="Arial" w:hint="default"/>
                <w:w w:val="99"/>
                <w:sz w:val="24"/>
                <w:szCs w:val="24"/>
              </w:rPr>
              <w:t>Holding”)</w:t>
            </w:r>
            <w:r>
              <w:rPr>
                <w:rFonts w:ascii="宋体" w:hAnsi="宋体" w:cs="宋体" w:eastAsia="宋体" w:hint="default"/>
                <w:w w:val="99"/>
                <w:sz w:val="24"/>
                <w:szCs w:val="24"/>
              </w:rPr>
              <w:t>于</w:t>
            </w:r>
            <w:r>
              <w:rPr>
                <w:rFonts w:ascii="宋体" w:hAnsi="宋体" w:cs="宋体" w:eastAsia="宋体" w:hint="default"/>
                <w:spacing w:val="-57"/>
                <w:w w:val="99"/>
                <w:sz w:val="24"/>
                <w:szCs w:val="24"/>
              </w:rPr>
              <w:t> </w:t>
            </w:r>
            <w:r>
              <w:rPr>
                <w:rFonts w:ascii="Arial" w:hAnsi="Arial" w:cs="Arial" w:eastAsia="Arial" w:hint="default"/>
                <w:spacing w:val="-1"/>
                <w:w w:val="99"/>
                <w:sz w:val="24"/>
                <w:szCs w:val="24"/>
              </w:rPr>
              <w:t>2015</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pacing w:val="-1"/>
                <w:w w:val="99"/>
                <w:sz w:val="24"/>
                <w:szCs w:val="24"/>
              </w:rPr>
              <w:t>12</w:t>
            </w:r>
            <w:r>
              <w:rPr>
                <w:rFonts w:ascii="Arial" w:hAnsi="Arial" w:cs="Arial" w:eastAsia="Arial" w:hint="default"/>
                <w:spacing w:val="-4"/>
                <w:w w:val="99"/>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pacing w:val="-1"/>
                <w:w w:val="99"/>
                <w:sz w:val="24"/>
                <w:szCs w:val="24"/>
              </w:rPr>
              <w:t>18</w:t>
            </w:r>
            <w:r>
              <w:rPr>
                <w:rFonts w:ascii="Arial" w:hAnsi="Arial" w:cs="Arial" w:eastAsia="Arial" w:hint="default"/>
                <w:spacing w:val="-4"/>
                <w:w w:val="99"/>
                <w:sz w:val="24"/>
                <w:szCs w:val="24"/>
              </w:rPr>
              <w:t> </w:t>
            </w:r>
            <w:r>
              <w:rPr>
                <w:rFonts w:ascii="宋体" w:hAnsi="宋体" w:cs="宋体" w:eastAsia="宋体" w:hint="default"/>
                <w:spacing w:val="-7"/>
                <w:sz w:val="24"/>
                <w:szCs w:val="24"/>
              </w:rPr>
              <w:t>日签订的《千叶海港广场买卖框架协议》，</w:t>
            </w:r>
            <w:r>
              <w:rPr>
                <w:rFonts w:ascii="宋体" w:hAnsi="宋体" w:cs="宋体" w:eastAsia="宋体" w:hint="default"/>
                <w:sz w:val="24"/>
                <w:szCs w:val="24"/>
              </w:rPr>
              <w:t> 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和绿地香港以</w:t>
            </w:r>
            <w:r>
              <w:rPr>
                <w:rFonts w:ascii="宋体" w:hAnsi="宋体" w:cs="宋体" w:eastAsia="宋体" w:hint="default"/>
                <w:spacing w:val="-61"/>
                <w:sz w:val="24"/>
                <w:szCs w:val="24"/>
              </w:rPr>
              <w:t> </w:t>
            </w:r>
            <w:r>
              <w:rPr>
                <w:rFonts w:ascii="Arial" w:hAnsi="Arial" w:cs="Arial" w:eastAsia="Arial" w:hint="default"/>
                <w:sz w:val="24"/>
                <w:szCs w:val="24"/>
              </w:rPr>
              <w:t>6,000</w:t>
            </w:r>
            <w:r>
              <w:rPr>
                <w:rFonts w:ascii="Arial" w:hAnsi="Arial" w:cs="Arial" w:eastAsia="Arial" w:hint="default"/>
                <w:spacing w:val="-8"/>
                <w:sz w:val="24"/>
                <w:szCs w:val="24"/>
              </w:rPr>
              <w:t> </w:t>
            </w:r>
            <w:r>
              <w:rPr>
                <w:rFonts w:ascii="宋体" w:hAnsi="宋体" w:cs="宋体" w:eastAsia="宋体" w:hint="default"/>
                <w:sz w:val="24"/>
                <w:szCs w:val="24"/>
              </w:rPr>
              <w:t>万美元的对价收购</w:t>
            </w:r>
            <w:r>
              <w:rPr>
                <w:rFonts w:ascii="宋体" w:hAnsi="宋体" w:cs="宋体" w:eastAsia="宋体" w:hint="default"/>
                <w:spacing w:val="-61"/>
                <w:sz w:val="24"/>
                <w:szCs w:val="24"/>
              </w:rPr>
              <w:t> </w:t>
            </w:r>
            <w:r>
              <w:rPr>
                <w:rFonts w:ascii="Arial" w:hAnsi="Arial" w:cs="Arial" w:eastAsia="Arial" w:hint="default"/>
                <w:sz w:val="24"/>
                <w:szCs w:val="24"/>
              </w:rPr>
              <w:t>Oxley</w:t>
            </w:r>
            <w:r>
              <w:rPr>
                <w:rFonts w:ascii="Arial" w:hAnsi="Arial" w:cs="Arial" w:eastAsia="Arial" w:hint="default"/>
                <w:spacing w:val="8"/>
                <w:sz w:val="24"/>
                <w:szCs w:val="24"/>
              </w:rPr>
              <w:t> </w:t>
            </w:r>
            <w:r>
              <w:rPr>
                <w:rFonts w:ascii="Arial" w:hAnsi="Arial" w:cs="Arial" w:eastAsia="Arial" w:hint="default"/>
                <w:sz w:val="24"/>
                <w:szCs w:val="24"/>
              </w:rPr>
              <w:t>Holding</w:t>
            </w:r>
            <w:r>
              <w:rPr>
                <w:rFonts w:ascii="Arial" w:hAnsi="Arial" w:cs="Arial" w:eastAsia="Arial" w:hint="default"/>
                <w:spacing w:val="-7"/>
                <w:sz w:val="24"/>
                <w:szCs w:val="24"/>
              </w:rPr>
              <w:t> </w:t>
            </w:r>
            <w:r>
              <w:rPr>
                <w:rFonts w:ascii="宋体" w:hAnsi="宋体" w:cs="宋体" w:eastAsia="宋体" w:hint="default"/>
                <w:sz w:val="24"/>
                <w:szCs w:val="24"/>
              </w:rPr>
              <w:t>持有的日本千叶 </w:t>
            </w:r>
            <w:r>
              <w:rPr>
                <w:rFonts w:ascii="宋体" w:hAnsi="宋体" w:cs="宋体" w:eastAsia="宋体" w:hint="default"/>
                <w:spacing w:val="-3"/>
                <w:sz w:val="24"/>
                <w:szCs w:val="24"/>
              </w:rPr>
              <w:t>海港广场综合体项目，其中日本</w:t>
            </w:r>
            <w:r>
              <w:rPr>
                <w:rFonts w:ascii="宋体" w:hAnsi="宋体" w:cs="宋体" w:eastAsia="宋体" w:hint="default"/>
                <w:spacing w:val="-60"/>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承担收购对价的</w:t>
            </w:r>
            <w:r>
              <w:rPr>
                <w:rFonts w:ascii="宋体" w:hAnsi="宋体" w:cs="宋体" w:eastAsia="宋体" w:hint="default"/>
                <w:spacing w:val="-60"/>
                <w:sz w:val="24"/>
                <w:szCs w:val="24"/>
              </w:rPr>
              <w:t> </w:t>
            </w:r>
            <w:r>
              <w:rPr>
                <w:rFonts w:ascii="Arial" w:hAnsi="Arial" w:cs="Arial" w:eastAsia="Arial" w:hint="default"/>
                <w:spacing w:val="-9"/>
                <w:sz w:val="24"/>
                <w:szCs w:val="24"/>
              </w:rPr>
              <w:t>35%</w:t>
            </w:r>
            <w:r>
              <w:rPr>
                <w:rFonts w:ascii="宋体" w:hAnsi="宋体" w:cs="宋体" w:eastAsia="宋体" w:hint="default"/>
                <w:spacing w:val="-9"/>
                <w:sz w:val="24"/>
                <w:szCs w:val="24"/>
              </w:rPr>
              <w:t>，即</w:t>
            </w:r>
            <w:r>
              <w:rPr>
                <w:rFonts w:ascii="宋体" w:hAnsi="宋体" w:cs="宋体" w:eastAsia="宋体" w:hint="default"/>
                <w:spacing w:val="-60"/>
                <w:sz w:val="24"/>
                <w:szCs w:val="24"/>
              </w:rPr>
              <w:t> </w:t>
            </w:r>
            <w:r>
              <w:rPr>
                <w:rFonts w:ascii="Arial" w:hAnsi="Arial" w:cs="Arial" w:eastAsia="Arial" w:hint="default"/>
                <w:sz w:val="24"/>
                <w:szCs w:val="24"/>
              </w:rPr>
              <w:t>2,100</w:t>
            </w:r>
            <w:r>
              <w:rPr>
                <w:rFonts w:ascii="Arial" w:hAnsi="Arial" w:cs="Arial" w:eastAsia="Arial" w:hint="default"/>
                <w:spacing w:val="-7"/>
                <w:sz w:val="24"/>
                <w:szCs w:val="24"/>
              </w:rPr>
              <w:t> </w:t>
            </w:r>
            <w:r>
              <w:rPr>
                <w:rFonts w:ascii="宋体" w:hAnsi="宋体" w:cs="宋体" w:eastAsia="宋体" w:hint="default"/>
                <w:spacing w:val="-8"/>
                <w:sz w:val="24"/>
                <w:szCs w:val="24"/>
              </w:rPr>
              <w:t>万美元。于</w:t>
            </w:r>
            <w:r>
              <w:rPr>
                <w:rFonts w:ascii="宋体" w:hAnsi="宋体" w:cs="宋体" w:eastAsia="宋体" w:hint="default"/>
                <w:sz w:val="24"/>
                <w:szCs w:val="24"/>
              </w:rPr>
              <w:t> </w:t>
            </w:r>
            <w:r>
              <w:rPr>
                <w:rFonts w:ascii="Arial" w:hAnsi="Arial" w:cs="Arial" w:eastAsia="Arial" w:hint="default"/>
                <w:sz w:val="24"/>
                <w:szCs w:val="24"/>
              </w:rPr>
              <w:t>2015</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日，日本</w:t>
            </w:r>
            <w:r>
              <w:rPr>
                <w:rFonts w:ascii="宋体" w:hAnsi="宋体" w:cs="宋体" w:eastAsia="宋体" w:hint="default"/>
                <w:spacing w:val="-52"/>
                <w:sz w:val="24"/>
                <w:szCs w:val="24"/>
              </w:rPr>
              <w:t> </w:t>
            </w:r>
            <w:r>
              <w:rPr>
                <w:rFonts w:ascii="Arial" w:hAnsi="Arial" w:cs="Arial" w:eastAsia="Arial" w:hint="default"/>
                <w:sz w:val="24"/>
                <w:szCs w:val="24"/>
              </w:rPr>
              <w:t>LAOX</w:t>
            </w:r>
            <w:r>
              <w:rPr>
                <w:rFonts w:ascii="Arial" w:hAnsi="Arial" w:cs="Arial" w:eastAsia="Arial" w:hint="default"/>
                <w:spacing w:val="1"/>
                <w:sz w:val="24"/>
                <w:szCs w:val="24"/>
              </w:rPr>
              <w:t> </w:t>
            </w:r>
            <w:r>
              <w:rPr>
                <w:rFonts w:ascii="宋体" w:hAnsi="宋体" w:cs="宋体" w:eastAsia="宋体" w:hint="default"/>
                <w:sz w:val="24"/>
                <w:szCs w:val="24"/>
              </w:rPr>
              <w:t>已支付资产收购预付款</w:t>
            </w:r>
            <w:r>
              <w:rPr>
                <w:rFonts w:ascii="宋体" w:hAnsi="宋体" w:cs="宋体" w:eastAsia="宋体" w:hint="default"/>
                <w:spacing w:val="-51"/>
                <w:sz w:val="24"/>
                <w:szCs w:val="24"/>
              </w:rPr>
              <w:t> </w:t>
            </w:r>
            <w:r>
              <w:rPr>
                <w:rFonts w:ascii="Arial" w:hAnsi="Arial" w:cs="Arial" w:eastAsia="Arial" w:hint="default"/>
                <w:sz w:val="24"/>
                <w:szCs w:val="24"/>
              </w:rPr>
              <w:t>210</w:t>
            </w:r>
            <w:r>
              <w:rPr>
                <w:rFonts w:ascii="Arial" w:hAnsi="Arial" w:cs="Arial" w:eastAsia="Arial" w:hint="default"/>
                <w:spacing w:val="1"/>
                <w:sz w:val="24"/>
                <w:szCs w:val="24"/>
              </w:rPr>
              <w:t> </w:t>
            </w:r>
            <w:r>
              <w:rPr>
                <w:rFonts w:ascii="宋体" w:hAnsi="宋体" w:cs="宋体" w:eastAsia="宋体" w:hint="default"/>
                <w:sz w:val="24"/>
                <w:szCs w:val="24"/>
              </w:rPr>
              <w:t>万美元。截至</w:t>
            </w:r>
            <w:r>
              <w:rPr>
                <w:rFonts w:ascii="宋体" w:hAnsi="宋体" w:cs="宋体" w:eastAsia="宋体" w:hint="default"/>
                <w:spacing w:val="-52"/>
                <w:sz w:val="24"/>
                <w:szCs w:val="24"/>
              </w:rPr>
              <w:t> </w:t>
            </w:r>
            <w:r>
              <w:rPr>
                <w:rFonts w:ascii="Arial" w:hAnsi="Arial" w:cs="Arial" w:eastAsia="Arial" w:hint="default"/>
                <w:sz w:val="24"/>
                <w:szCs w:val="24"/>
              </w:rPr>
              <w:t>2016</w:t>
            </w:r>
            <w:r>
              <w:rPr>
                <w:rFonts w:ascii="Arial" w:hAnsi="Arial" w:cs="Arial" w:eastAsia="Arial" w:hint="default"/>
                <w:w w:val="9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29</w:t>
            </w:r>
            <w:r>
              <w:rPr>
                <w:rFonts w:ascii="Arial" w:hAnsi="Arial" w:cs="Arial" w:eastAsia="Arial" w:hint="default"/>
                <w:spacing w:val="-7"/>
                <w:sz w:val="24"/>
                <w:szCs w:val="24"/>
              </w:rPr>
              <w:t> </w:t>
            </w:r>
            <w:r>
              <w:rPr>
                <w:rFonts w:ascii="宋体" w:hAnsi="宋体" w:cs="宋体" w:eastAsia="宋体" w:hint="default"/>
                <w:sz w:val="24"/>
                <w:szCs w:val="24"/>
              </w:rPr>
              <w:t>日止，日本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pacing w:val="-7"/>
                <w:sz w:val="24"/>
                <w:szCs w:val="24"/>
              </w:rPr>
              <w:t> </w:t>
            </w:r>
            <w:r>
              <w:rPr>
                <w:rFonts w:ascii="宋体" w:hAnsi="宋体" w:cs="宋体" w:eastAsia="宋体" w:hint="default"/>
                <w:sz w:val="24"/>
                <w:szCs w:val="24"/>
              </w:rPr>
              <w:t>已完成全部收购款项的支付。</w:t>
            </w:r>
          </w:p>
        </w:tc>
      </w:tr>
    </w:tbl>
    <w:p>
      <w:pPr>
        <w:spacing w:after="0" w:line="225" w:lineRule="auto"/>
        <w:jc w:val="left"/>
        <w:rPr>
          <w:rFonts w:ascii="宋体" w:hAnsi="宋体" w:cs="宋体" w:eastAsia="宋体" w:hint="default"/>
          <w:sz w:val="24"/>
          <w:szCs w:val="24"/>
        </w:rPr>
        <w:sectPr>
          <w:pgSz w:w="11910" w:h="16840"/>
          <w:pgMar w:header="755" w:footer="914" w:top="1860" w:bottom="1180" w:left="148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818"/>
        <w:gridCol w:w="1346"/>
        <w:gridCol w:w="3603"/>
        <w:gridCol w:w="1413"/>
        <w:gridCol w:w="2239"/>
      </w:tblGrid>
      <w:tr>
        <w:trPr>
          <w:trHeight w:val="490"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十二</w:t>
            </w:r>
          </w:p>
        </w:tc>
        <w:tc>
          <w:tcPr>
            <w:tcW w:w="4949"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38" w:right="0"/>
              <w:jc w:val="left"/>
              <w:rPr>
                <w:rFonts w:ascii="黑体" w:hAnsi="黑体" w:cs="黑体" w:eastAsia="黑体" w:hint="default"/>
                <w:sz w:val="24"/>
                <w:szCs w:val="24"/>
              </w:rPr>
            </w:pPr>
            <w:r>
              <w:rPr>
                <w:rFonts w:ascii="黑体" w:hAnsi="黑体" w:cs="黑体" w:eastAsia="黑体" w:hint="default"/>
                <w:sz w:val="24"/>
                <w:szCs w:val="24"/>
              </w:rPr>
              <w:t>资产负债表日后事项</w:t>
            </w:r>
          </w:p>
        </w:tc>
        <w:tc>
          <w:tcPr>
            <w:tcW w:w="1413"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
        </w:tc>
      </w:tr>
      <w:tr>
        <w:trPr>
          <w:trHeight w:val="746"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w:t>
            </w:r>
          </w:p>
        </w:tc>
        <w:tc>
          <w:tcPr>
            <w:tcW w:w="4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38" w:right="0"/>
              <w:jc w:val="left"/>
              <w:rPr>
                <w:rFonts w:ascii="黑体" w:hAnsi="黑体" w:cs="黑体" w:eastAsia="黑体" w:hint="default"/>
                <w:sz w:val="24"/>
                <w:szCs w:val="24"/>
              </w:rPr>
            </w:pPr>
            <w:r>
              <w:rPr>
                <w:rFonts w:ascii="黑体" w:hAnsi="黑体" w:cs="黑体" w:eastAsia="黑体" w:hint="default"/>
                <w:sz w:val="24"/>
                <w:szCs w:val="24"/>
              </w:rPr>
              <w:t>重要的非调整事项</w:t>
            </w:r>
          </w:p>
        </w:tc>
        <w:tc>
          <w:tcPr>
            <w:tcW w:w="1413"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
        </w:tc>
      </w:tr>
      <w:tr>
        <w:trPr>
          <w:trHeight w:val="907" w:hRule="exact"/>
        </w:trPr>
        <w:tc>
          <w:tcPr>
            <w:tcW w:w="818"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内容</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74" w:right="11"/>
              <w:jc w:val="left"/>
              <w:rPr>
                <w:rFonts w:ascii="宋体" w:hAnsi="宋体" w:cs="宋体" w:eastAsia="宋体" w:hint="default"/>
                <w:sz w:val="18"/>
                <w:szCs w:val="18"/>
              </w:rPr>
            </w:pPr>
            <w:r>
              <w:rPr>
                <w:rFonts w:ascii="宋体" w:hAnsi="宋体" w:cs="宋体" w:eastAsia="宋体" w:hint="default"/>
                <w:spacing w:val="8"/>
                <w:sz w:val="18"/>
                <w:szCs w:val="18"/>
              </w:rPr>
              <w:t>对财务状况和经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营成果的影响数</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760" w:hRule="exact"/>
        </w:trPr>
        <w:tc>
          <w:tcPr>
            <w:tcW w:w="818"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38" w:right="106"/>
              <w:jc w:val="both"/>
              <w:rPr>
                <w:rFonts w:ascii="宋体" w:hAnsi="宋体" w:cs="宋体" w:eastAsia="宋体" w:hint="default"/>
                <w:sz w:val="18"/>
                <w:szCs w:val="18"/>
              </w:rPr>
            </w:pPr>
            <w:r>
              <w:rPr>
                <w:rFonts w:ascii="宋体" w:hAnsi="宋体" w:cs="宋体" w:eastAsia="宋体" w:hint="default"/>
                <w:spacing w:val="2"/>
                <w:sz w:val="18"/>
                <w:szCs w:val="18"/>
              </w:rPr>
              <w:t>本集团与阿里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巴巴之战略合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28" w:lineRule="auto"/>
              <w:ind w:left="108" w:right="72"/>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38"/>
                <w:sz w:val="18"/>
                <w:szCs w:val="18"/>
              </w:rPr>
              <w:t> </w:t>
            </w:r>
            <w:r>
              <w:rPr>
                <w:rFonts w:ascii="Arial" w:hAnsi="Arial" w:cs="Arial" w:eastAsia="Arial" w:hint="default"/>
                <w:sz w:val="18"/>
                <w:szCs w:val="18"/>
              </w:rPr>
              <w:t>2015</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Arial" w:hAnsi="Arial" w:cs="Arial" w:eastAsia="Arial" w:hint="default"/>
                <w:sz w:val="18"/>
                <w:szCs w:val="18"/>
              </w:rPr>
              <w:t>8</w:t>
            </w:r>
            <w:r>
              <w:rPr>
                <w:rFonts w:ascii="Arial" w:hAnsi="Arial" w:cs="Arial" w:eastAsia="Arial" w:hint="default"/>
                <w:spacing w:val="2"/>
                <w:sz w:val="18"/>
                <w:szCs w:val="18"/>
              </w:rPr>
              <w:t> </w:t>
            </w:r>
            <w:r>
              <w:rPr>
                <w:rFonts w:ascii="宋体" w:hAnsi="宋体" w:cs="宋体" w:eastAsia="宋体" w:hint="default"/>
                <w:sz w:val="18"/>
                <w:szCs w:val="18"/>
              </w:rPr>
              <w:t>月，本集团与淘宝</w:t>
            </w:r>
            <w:r>
              <w:rPr>
                <w:rFonts w:ascii="Arial" w:hAnsi="Arial" w:cs="Arial" w:eastAsia="Arial" w:hint="default"/>
                <w:sz w:val="18"/>
                <w:szCs w:val="18"/>
              </w:rPr>
              <w:t>(</w:t>
            </w:r>
            <w:r>
              <w:rPr>
                <w:rFonts w:ascii="宋体" w:hAnsi="宋体" w:cs="宋体" w:eastAsia="宋体" w:hint="default"/>
                <w:sz w:val="18"/>
                <w:szCs w:val="18"/>
              </w:rPr>
              <w:t>中国</w:t>
            </w:r>
            <w:r>
              <w:rPr>
                <w:rFonts w:ascii="Arial" w:hAnsi="Arial" w:cs="Arial" w:eastAsia="Arial" w:hint="default"/>
                <w:sz w:val="18"/>
                <w:szCs w:val="18"/>
              </w:rPr>
              <w:t>)</w:t>
            </w:r>
            <w:r>
              <w:rPr>
                <w:rFonts w:ascii="宋体" w:hAnsi="宋体" w:cs="宋体" w:eastAsia="宋体" w:hint="default"/>
                <w:sz w:val="18"/>
                <w:szCs w:val="18"/>
              </w:rPr>
              <w:t>软件 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淘宝</w:t>
            </w:r>
            <w:r>
              <w:rPr>
                <w:rFonts w:ascii="Arial" w:hAnsi="Arial" w:cs="Arial" w:eastAsia="Arial" w:hint="default"/>
                <w:sz w:val="18"/>
                <w:szCs w:val="18"/>
              </w:rPr>
              <w:t>(</w:t>
            </w:r>
            <w:r>
              <w:rPr>
                <w:rFonts w:ascii="宋体" w:hAnsi="宋体" w:cs="宋体" w:eastAsia="宋体" w:hint="default"/>
                <w:sz w:val="18"/>
                <w:szCs w:val="18"/>
              </w:rPr>
              <w:t>中国</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签署股份认购协议， </w:t>
            </w:r>
            <w:r>
              <w:rPr>
                <w:rFonts w:ascii="宋体" w:hAnsi="宋体" w:cs="宋体" w:eastAsia="宋体" w:hint="default"/>
                <w:spacing w:val="-3"/>
                <w:sz w:val="18"/>
                <w:szCs w:val="18"/>
              </w:rPr>
              <w:t>按照协议约定，淘宝</w:t>
            </w:r>
            <w:r>
              <w:rPr>
                <w:rFonts w:ascii="Arial" w:hAnsi="Arial" w:cs="Arial" w:eastAsia="Arial" w:hint="default"/>
                <w:spacing w:val="-3"/>
                <w:sz w:val="18"/>
                <w:szCs w:val="18"/>
              </w:rPr>
              <w:t>(</w:t>
            </w:r>
            <w:r>
              <w:rPr>
                <w:rFonts w:ascii="宋体" w:hAnsi="宋体" w:cs="宋体" w:eastAsia="宋体" w:hint="default"/>
                <w:spacing w:val="-3"/>
                <w:sz w:val="18"/>
                <w:szCs w:val="18"/>
              </w:rPr>
              <w:t>中国</w:t>
            </w:r>
            <w:r>
              <w:rPr>
                <w:rFonts w:ascii="Arial" w:hAnsi="Arial" w:cs="Arial" w:eastAsia="Arial" w:hint="default"/>
                <w:spacing w:val="-3"/>
                <w:sz w:val="18"/>
                <w:szCs w:val="18"/>
              </w:rPr>
              <w:t>)</w:t>
            </w:r>
            <w:r>
              <w:rPr>
                <w:rFonts w:ascii="宋体" w:hAnsi="宋体" w:cs="宋体" w:eastAsia="宋体" w:hint="default"/>
                <w:spacing w:val="-3"/>
                <w:sz w:val="18"/>
                <w:szCs w:val="18"/>
              </w:rPr>
              <w:t>将以约</w:t>
            </w:r>
            <w:r>
              <w:rPr>
                <w:rFonts w:ascii="宋体" w:hAnsi="宋体" w:cs="宋体" w:eastAsia="宋体" w:hint="default"/>
                <w:spacing w:val="-44"/>
                <w:sz w:val="18"/>
                <w:szCs w:val="18"/>
              </w:rPr>
              <w:t> </w:t>
            </w:r>
            <w:r>
              <w:rPr>
                <w:rFonts w:ascii="Arial" w:hAnsi="Arial" w:cs="Arial" w:eastAsia="Arial" w:hint="default"/>
                <w:sz w:val="18"/>
                <w:szCs w:val="18"/>
              </w:rPr>
              <w:t>283</w:t>
            </w:r>
            <w:r>
              <w:rPr>
                <w:rFonts w:ascii="Arial" w:hAnsi="Arial" w:cs="Arial" w:eastAsia="Arial" w:hint="default"/>
                <w:spacing w:val="-4"/>
                <w:sz w:val="18"/>
                <w:szCs w:val="18"/>
              </w:rPr>
              <w:t> </w:t>
            </w:r>
            <w:r>
              <w:rPr>
                <w:rFonts w:ascii="宋体" w:hAnsi="宋体" w:cs="宋体" w:eastAsia="宋体" w:hint="default"/>
                <w:sz w:val="18"/>
                <w:szCs w:val="18"/>
              </w:rPr>
              <w:t>亿元</w:t>
            </w:r>
            <w:r>
              <w:rPr>
                <w:rFonts w:ascii="宋体" w:hAnsi="宋体" w:cs="宋体" w:eastAsia="宋体" w:hint="default"/>
                <w:spacing w:val="-86"/>
                <w:sz w:val="18"/>
                <w:szCs w:val="18"/>
              </w:rPr>
              <w:t> </w:t>
            </w:r>
            <w:r>
              <w:rPr>
                <w:rFonts w:ascii="宋体" w:hAnsi="宋体" w:cs="宋体" w:eastAsia="宋体" w:hint="default"/>
                <w:spacing w:val="5"/>
                <w:sz w:val="18"/>
                <w:szCs w:val="18"/>
              </w:rPr>
              <w:t>人民币战略投资本集团，投资完成后淘宝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Arial" w:hAnsi="Arial" w:cs="Arial" w:eastAsia="Arial" w:hint="default"/>
                <w:spacing w:val="9"/>
                <w:sz w:val="18"/>
                <w:szCs w:val="18"/>
              </w:rPr>
              <w:t>(</w:t>
            </w:r>
            <w:r>
              <w:rPr>
                <w:rFonts w:ascii="宋体" w:hAnsi="宋体" w:cs="宋体" w:eastAsia="宋体" w:hint="default"/>
                <w:spacing w:val="9"/>
                <w:sz w:val="18"/>
                <w:szCs w:val="18"/>
              </w:rPr>
              <w:t>中国</w:t>
            </w:r>
            <w:r>
              <w:rPr>
                <w:rFonts w:ascii="Arial" w:hAnsi="Arial" w:cs="Arial" w:eastAsia="Arial" w:hint="default"/>
                <w:spacing w:val="9"/>
                <w:sz w:val="18"/>
                <w:szCs w:val="18"/>
              </w:rPr>
              <w:t>)</w:t>
            </w:r>
            <w:r>
              <w:rPr>
                <w:rFonts w:ascii="宋体" w:hAnsi="宋体" w:cs="宋体" w:eastAsia="宋体" w:hint="default"/>
                <w:spacing w:val="9"/>
                <w:sz w:val="18"/>
                <w:szCs w:val="18"/>
              </w:rPr>
              <w:t>将持有本集团发行后公司股本总额 </w:t>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Arial" w:hAnsi="Arial" w:cs="Arial" w:eastAsia="Arial" w:hint="default"/>
                <w:spacing w:val="-9"/>
                <w:sz w:val="18"/>
                <w:szCs w:val="18"/>
              </w:rPr>
              <w:t>19.99%</w:t>
            </w:r>
            <w:r>
              <w:rPr>
                <w:rFonts w:ascii="宋体" w:hAnsi="宋体" w:cs="宋体" w:eastAsia="宋体" w:hint="default"/>
                <w:spacing w:val="-9"/>
                <w:sz w:val="18"/>
                <w:szCs w:val="18"/>
              </w:rPr>
              <w:t>，同时，本集团与</w:t>
            </w:r>
            <w:r>
              <w:rPr>
                <w:rFonts w:ascii="宋体" w:hAnsi="宋体" w:cs="宋体" w:eastAsia="宋体" w:hint="default"/>
                <w:spacing w:val="-44"/>
                <w:sz w:val="18"/>
                <w:szCs w:val="18"/>
              </w:rPr>
              <w:t> </w:t>
            </w:r>
            <w:r>
              <w:rPr>
                <w:rFonts w:ascii="Arial" w:hAnsi="Arial" w:cs="Arial" w:eastAsia="Arial" w:hint="default"/>
                <w:sz w:val="18"/>
                <w:szCs w:val="18"/>
              </w:rPr>
              <w:t>Alibaba</w:t>
            </w:r>
            <w:r>
              <w:rPr>
                <w:rFonts w:ascii="Arial" w:hAnsi="Arial" w:cs="Arial" w:eastAsia="Arial" w:hint="default"/>
                <w:spacing w:val="-4"/>
                <w:sz w:val="18"/>
                <w:szCs w:val="18"/>
              </w:rPr>
              <w:t> </w:t>
            </w:r>
            <w:r>
              <w:rPr>
                <w:rFonts w:ascii="Arial" w:hAnsi="Arial" w:cs="Arial" w:eastAsia="Arial" w:hint="default"/>
                <w:sz w:val="18"/>
                <w:szCs w:val="18"/>
              </w:rPr>
              <w:t>Group</w:t>
            </w:r>
            <w:r>
              <w:rPr>
                <w:rFonts w:ascii="Arial" w:hAnsi="Arial" w:cs="Arial" w:eastAsia="Arial" w:hint="default"/>
                <w:spacing w:val="-47"/>
                <w:sz w:val="18"/>
                <w:szCs w:val="18"/>
              </w:rPr>
              <w:t> </w:t>
            </w:r>
            <w:r>
              <w:rPr>
                <w:rFonts w:ascii="Arial" w:hAnsi="Arial" w:cs="Arial" w:eastAsia="Arial" w:hint="default"/>
                <w:spacing w:val="-47"/>
                <w:sz w:val="18"/>
                <w:szCs w:val="18"/>
              </w:rPr>
            </w:r>
            <w:r>
              <w:rPr>
                <w:rFonts w:ascii="Arial" w:hAnsi="Arial" w:cs="Arial" w:eastAsia="Arial" w:hint="default"/>
                <w:sz w:val="18"/>
                <w:szCs w:val="18"/>
              </w:rPr>
              <w:t>Holding</w:t>
            </w:r>
            <w:r>
              <w:rPr>
                <w:rFonts w:ascii="Arial" w:hAnsi="Arial" w:cs="Arial" w:eastAsia="Arial" w:hint="default"/>
                <w:spacing w:val="9"/>
                <w:sz w:val="18"/>
                <w:szCs w:val="18"/>
              </w:rPr>
              <w:t> </w:t>
            </w:r>
            <w:r>
              <w:rPr>
                <w:rFonts w:ascii="Arial" w:hAnsi="Arial" w:cs="Arial" w:eastAsia="Arial" w:hint="default"/>
                <w:sz w:val="18"/>
                <w:szCs w:val="18"/>
              </w:rPr>
              <w:t>Limited(</w:t>
            </w:r>
            <w:r>
              <w:rPr>
                <w:rFonts w:ascii="Arial" w:hAnsi="Arial" w:cs="Arial" w:eastAsia="Arial" w:hint="default"/>
                <w:sz w:val="18"/>
                <w:szCs w:val="18"/>
              </w:rPr>
              <w:t>“</w:t>
            </w:r>
            <w:r>
              <w:rPr>
                <w:rFonts w:ascii="Arial" w:hAnsi="Arial" w:cs="Arial" w:eastAsia="Arial" w:hint="default"/>
                <w:spacing w:val="-31"/>
                <w:sz w:val="18"/>
                <w:szCs w:val="18"/>
              </w:rPr>
              <w:t> </w:t>
            </w:r>
            <w:r>
              <w:rPr>
                <w:rFonts w:ascii="宋体" w:hAnsi="宋体" w:cs="宋体" w:eastAsia="宋体" w:hint="default"/>
                <w:spacing w:val="12"/>
                <w:sz w:val="18"/>
                <w:szCs w:val="18"/>
              </w:rPr>
              <w:t>阿里集团</w:t>
            </w:r>
            <w:r>
              <w:rPr>
                <w:rFonts w:ascii="Arial" w:hAnsi="Arial" w:cs="Arial" w:eastAsia="Arial" w:hint="default"/>
                <w:spacing w:val="12"/>
                <w:sz w:val="18"/>
                <w:szCs w:val="18"/>
              </w:rPr>
              <w:t>”</w:t>
            </w:r>
            <w:r>
              <w:rPr>
                <w:rFonts w:ascii="Arial" w:hAnsi="Arial" w:cs="Arial" w:eastAsia="Arial" w:hint="default"/>
                <w:spacing w:val="12"/>
                <w:sz w:val="18"/>
                <w:szCs w:val="18"/>
              </w:rPr>
              <w:t>)</w:t>
            </w:r>
            <w:r>
              <w:rPr>
                <w:rFonts w:ascii="Arial" w:hAnsi="Arial" w:cs="Arial" w:eastAsia="Arial" w:hint="default"/>
                <w:spacing w:val="-30"/>
                <w:sz w:val="18"/>
                <w:szCs w:val="18"/>
              </w:rPr>
              <w:t> </w:t>
            </w:r>
            <w:r>
              <w:rPr>
                <w:rFonts w:ascii="宋体" w:hAnsi="宋体" w:cs="宋体" w:eastAsia="宋体" w:hint="default"/>
                <w:spacing w:val="15"/>
                <w:sz w:val="18"/>
                <w:szCs w:val="18"/>
              </w:rPr>
              <w:t>签署投资协</w:t>
            </w:r>
            <w:r>
              <w:rPr>
                <w:rFonts w:ascii="宋体" w:hAnsi="宋体" w:cs="宋体" w:eastAsia="宋体" w:hint="default"/>
                <w:spacing w:val="-71"/>
                <w:w w:val="99"/>
                <w:sz w:val="18"/>
                <w:szCs w:val="18"/>
              </w:rPr>
              <w:t> </w:t>
            </w:r>
            <w:r>
              <w:rPr>
                <w:rFonts w:ascii="宋体" w:hAnsi="宋体" w:cs="宋体" w:eastAsia="宋体" w:hint="default"/>
                <w:sz w:val="18"/>
                <w:szCs w:val="18"/>
              </w:rPr>
              <w:t>议，本集团将以 </w:t>
            </w:r>
            <w:r>
              <w:rPr>
                <w:rFonts w:ascii="Arial" w:hAnsi="Arial" w:cs="Arial" w:eastAsia="Arial" w:hint="default"/>
                <w:sz w:val="18"/>
                <w:szCs w:val="18"/>
              </w:rPr>
              <w:t>140</w:t>
            </w:r>
            <w:r>
              <w:rPr>
                <w:rFonts w:ascii="Arial" w:hAnsi="Arial" w:cs="Arial" w:eastAsia="Arial" w:hint="default"/>
                <w:spacing w:val="29"/>
                <w:sz w:val="18"/>
                <w:szCs w:val="18"/>
              </w:rPr>
              <w:t> </w:t>
            </w:r>
            <w:r>
              <w:rPr>
                <w:rFonts w:ascii="宋体" w:hAnsi="宋体" w:cs="宋体" w:eastAsia="宋体" w:hint="default"/>
                <w:sz w:val="18"/>
                <w:szCs w:val="18"/>
              </w:rPr>
              <w:t>亿元人民币认购不超</w:t>
            </w:r>
          </w:p>
          <w:p>
            <w:pPr>
              <w:pStyle w:val="TableParagraph"/>
              <w:spacing w:line="236" w:lineRule="exact"/>
              <w:ind w:left="108"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7"/>
                <w:sz w:val="18"/>
                <w:szCs w:val="18"/>
              </w:rPr>
              <w:t> </w:t>
            </w:r>
            <w:r>
              <w:rPr>
                <w:rFonts w:ascii="Arial" w:hAnsi="Arial" w:cs="Arial" w:eastAsia="Arial" w:hint="default"/>
                <w:sz w:val="18"/>
                <w:szCs w:val="18"/>
              </w:rPr>
              <w:t>2,780</w:t>
            </w:r>
            <w:r>
              <w:rPr>
                <w:rFonts w:ascii="Arial" w:hAnsi="Arial" w:cs="Arial" w:eastAsia="Arial" w:hint="default"/>
                <w:spacing w:val="-7"/>
                <w:sz w:val="18"/>
                <w:szCs w:val="18"/>
              </w:rPr>
              <w:t> </w:t>
            </w:r>
            <w:r>
              <w:rPr>
                <w:rFonts w:ascii="宋体" w:hAnsi="宋体" w:cs="宋体" w:eastAsia="宋体" w:hint="default"/>
                <w:sz w:val="18"/>
                <w:szCs w:val="18"/>
              </w:rPr>
              <w:t>万股阿里集团新发行的股份。</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2" w:lineRule="auto"/>
              <w:ind w:left="108" w:right="131"/>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9"/>
                <w:sz w:val="18"/>
                <w:szCs w:val="18"/>
              </w:rPr>
              <w:t> </w:t>
            </w:r>
            <w:r>
              <w:rPr>
                <w:rFonts w:ascii="Arial" w:hAnsi="Arial" w:cs="Arial" w:eastAsia="Arial" w:hint="default"/>
                <w:sz w:val="18"/>
                <w:szCs w:val="18"/>
              </w:rPr>
              <w:t>2016</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3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w:hAnsi="Arial" w:cs="Arial" w:eastAsia="Arial" w:hint="default"/>
                <w:sz w:val="18"/>
                <w:szCs w:val="18"/>
              </w:rPr>
              <w:t>29 </w:t>
            </w:r>
            <w:r>
              <w:rPr>
                <w:rFonts w:ascii="宋体" w:hAnsi="宋体" w:cs="宋体" w:eastAsia="宋体" w:hint="default"/>
                <w:sz w:val="18"/>
                <w:szCs w:val="18"/>
              </w:rPr>
              <w:t>日止，本集团本次非 </w:t>
            </w:r>
            <w:r>
              <w:rPr>
                <w:rFonts w:ascii="宋体" w:hAnsi="宋体" w:cs="宋体" w:eastAsia="宋体" w:hint="default"/>
                <w:spacing w:val="6"/>
                <w:sz w:val="18"/>
                <w:szCs w:val="18"/>
              </w:rPr>
              <w:t>公开发行股票已经获得中国证券监督委员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会发行审核委员会批准，待领取书面核准文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件。</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5" w:lineRule="auto"/>
              <w:ind w:left="74" w:right="0"/>
              <w:jc w:val="both"/>
              <w:rPr>
                <w:rFonts w:ascii="宋体" w:hAnsi="宋体" w:cs="宋体" w:eastAsia="宋体" w:hint="default"/>
                <w:sz w:val="18"/>
                <w:szCs w:val="18"/>
              </w:rPr>
            </w:pPr>
            <w:r>
              <w:rPr>
                <w:rFonts w:ascii="宋体" w:hAnsi="宋体" w:cs="宋体" w:eastAsia="宋体" w:hint="default"/>
                <w:spacing w:val="3"/>
                <w:sz w:val="18"/>
                <w:szCs w:val="18"/>
              </w:rPr>
              <w:t>影响 </w:t>
            </w:r>
            <w:r>
              <w:rPr>
                <w:rFonts w:ascii="Arial" w:hAnsi="Arial" w:cs="Arial" w:eastAsia="Arial" w:hint="default"/>
                <w:sz w:val="18"/>
                <w:szCs w:val="18"/>
              </w:rPr>
              <w:t>2016</w:t>
            </w:r>
            <w:r>
              <w:rPr>
                <w:rFonts w:ascii="Arial" w:hAnsi="Arial" w:cs="Arial" w:eastAsia="Arial" w:hint="default"/>
                <w:spacing w:val="47"/>
                <w:sz w:val="18"/>
                <w:szCs w:val="18"/>
              </w:rPr>
              <w:t> </w:t>
            </w:r>
            <w:r>
              <w:rPr>
                <w:rFonts w:ascii="宋体" w:hAnsi="宋体" w:cs="宋体" w:eastAsia="宋体" w:hint="default"/>
                <w:spacing w:val="7"/>
                <w:sz w:val="18"/>
                <w:szCs w:val="18"/>
              </w:rPr>
              <w:t>年度 </w:t>
            </w:r>
            <w:r>
              <w:rPr>
                <w:rFonts w:ascii="宋体" w:hAnsi="宋体" w:cs="宋体" w:eastAsia="宋体" w:hint="default"/>
                <w:spacing w:val="10"/>
                <w:sz w:val="18"/>
                <w:szCs w:val="18"/>
              </w:rPr>
              <w:t>实收资本、资本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公积和可供出售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金融资产等科目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的金额。</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2" w:lineRule="auto"/>
              <w:ind w:left="203" w:right="104"/>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7"/>
                <w:sz w:val="18"/>
                <w:szCs w:val="18"/>
              </w:rPr>
              <w:t> </w:t>
            </w:r>
            <w:r>
              <w:rPr>
                <w:rFonts w:ascii="Arial" w:hAnsi="Arial" w:cs="Arial" w:eastAsia="Arial" w:hint="default"/>
                <w:sz w:val="18"/>
                <w:szCs w:val="18"/>
              </w:rPr>
              <w:t>2016</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Arial" w:hAnsi="Arial" w:cs="Arial" w:eastAsia="Arial" w:hint="default"/>
                <w:sz w:val="18"/>
                <w:szCs w:val="18"/>
              </w:rPr>
              <w:t>3</w:t>
            </w:r>
            <w:r>
              <w:rPr>
                <w:rFonts w:ascii="Arial" w:hAnsi="Arial" w:cs="Arial" w:eastAsia="Arial"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Arial" w:hAnsi="Arial" w:cs="Arial" w:eastAsia="Arial" w:hint="default"/>
                <w:sz w:val="18"/>
                <w:szCs w:val="18"/>
              </w:rPr>
              <w:t>29</w:t>
            </w:r>
            <w:r>
              <w:rPr>
                <w:rFonts w:ascii="Arial" w:hAnsi="Arial" w:cs="Arial" w:eastAsia="Arial" w:hint="default"/>
                <w:spacing w:val="2"/>
                <w:sz w:val="18"/>
                <w:szCs w:val="18"/>
              </w:rPr>
              <w:t> </w:t>
            </w:r>
            <w:r>
              <w:rPr>
                <w:rFonts w:ascii="宋体" w:hAnsi="宋体" w:cs="宋体" w:eastAsia="宋体" w:hint="default"/>
                <w:sz w:val="18"/>
                <w:szCs w:val="18"/>
              </w:rPr>
              <w:t>日 </w:t>
            </w:r>
            <w:r>
              <w:rPr>
                <w:rFonts w:ascii="宋体" w:hAnsi="宋体" w:cs="宋体" w:eastAsia="宋体" w:hint="default"/>
                <w:spacing w:val="-5"/>
                <w:sz w:val="18"/>
                <w:szCs w:val="18"/>
              </w:rPr>
              <w:t>止，本集团本次非公开发</w:t>
            </w:r>
            <w:r>
              <w:rPr>
                <w:rFonts w:ascii="宋体" w:hAnsi="宋体" w:cs="宋体" w:eastAsia="宋体" w:hint="default"/>
                <w:sz w:val="18"/>
                <w:szCs w:val="18"/>
              </w:rPr>
              <w:t> </w:t>
            </w:r>
            <w:r>
              <w:rPr>
                <w:rFonts w:ascii="宋体" w:hAnsi="宋体" w:cs="宋体" w:eastAsia="宋体" w:hint="default"/>
                <w:spacing w:val="12"/>
                <w:sz w:val="18"/>
                <w:szCs w:val="18"/>
              </w:rPr>
              <w:t>行股票尚待领取书面核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准文件。</w:t>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37" w:lineRule="auto"/>
              <w:ind w:left="203" w:right="104"/>
              <w:jc w:val="both"/>
              <w:rPr>
                <w:rFonts w:ascii="宋体" w:hAnsi="宋体" w:cs="宋体" w:eastAsia="宋体" w:hint="default"/>
                <w:sz w:val="18"/>
                <w:szCs w:val="18"/>
              </w:rPr>
            </w:pPr>
            <w:r>
              <w:rPr>
                <w:rFonts w:ascii="宋体" w:hAnsi="宋体" w:cs="宋体" w:eastAsia="宋体" w:hint="default"/>
                <w:spacing w:val="12"/>
                <w:sz w:val="18"/>
                <w:szCs w:val="18"/>
              </w:rPr>
              <w:t>对阿里集团新发行股份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的认购尚未进行，可供出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售金融资产公允价值取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决于实际交割日期的阿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里集团的股价，目前尚无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法确定。</w:t>
            </w:r>
          </w:p>
        </w:tc>
      </w:tr>
      <w:tr>
        <w:trPr>
          <w:trHeight w:val="747"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20" w:right="0"/>
              <w:jc w:val="left"/>
              <w:rPr>
                <w:rFonts w:ascii="Arial" w:hAnsi="Arial" w:cs="Arial" w:eastAsia="Arial" w:hint="default"/>
                <w:sz w:val="24"/>
                <w:szCs w:val="24"/>
              </w:rPr>
            </w:pPr>
            <w:r>
              <w:rPr>
                <w:rFonts w:ascii="Arial"/>
                <w:sz w:val="24"/>
              </w:rPr>
              <w:t>(2)</w:t>
            </w:r>
          </w:p>
        </w:tc>
        <w:tc>
          <w:tcPr>
            <w:tcW w:w="4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138" w:right="0"/>
              <w:jc w:val="left"/>
              <w:rPr>
                <w:rFonts w:ascii="黑体" w:hAnsi="黑体" w:cs="黑体" w:eastAsia="黑体" w:hint="default"/>
                <w:sz w:val="24"/>
                <w:szCs w:val="24"/>
              </w:rPr>
            </w:pPr>
            <w:r>
              <w:rPr>
                <w:rFonts w:ascii="黑体" w:hAnsi="黑体" w:cs="黑体" w:eastAsia="黑体" w:hint="default"/>
                <w:sz w:val="24"/>
                <w:szCs w:val="24"/>
              </w:rPr>
              <w:t>利润分配情况说明</w:t>
            </w:r>
          </w:p>
        </w:tc>
        <w:tc>
          <w:tcPr>
            <w:tcW w:w="1413"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
        </w:tc>
      </w:tr>
      <w:tr>
        <w:trPr>
          <w:trHeight w:val="747" w:hRule="exact"/>
        </w:trPr>
        <w:tc>
          <w:tcPr>
            <w:tcW w:w="818"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宋体" w:hAnsi="宋体" w:cs="宋体" w:eastAsia="宋体" w:hint="default"/>
                <w:sz w:val="24"/>
                <w:szCs w:val="24"/>
              </w:rPr>
              <w:t>金额</w:t>
            </w:r>
          </w:p>
        </w:tc>
      </w:tr>
      <w:tr>
        <w:trPr>
          <w:trHeight w:val="584" w:hRule="exact"/>
        </w:trPr>
        <w:tc>
          <w:tcPr>
            <w:tcW w:w="818" w:type="dxa"/>
            <w:tcBorders>
              <w:top w:val="nil" w:sz="6" w:space="0" w:color="auto"/>
              <w:left w:val="nil" w:sz="6" w:space="0" w:color="auto"/>
              <w:bottom w:val="nil" w:sz="6" w:space="0" w:color="auto"/>
              <w:right w:val="nil" w:sz="6" w:space="0" w:color="auto"/>
            </w:tcBorders>
          </w:tcPr>
          <w:p>
            <w:pPr/>
          </w:p>
        </w:tc>
        <w:tc>
          <w:tcPr>
            <w:tcW w:w="4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138" w:right="0"/>
              <w:jc w:val="left"/>
              <w:rPr>
                <w:rFonts w:ascii="Arial" w:hAnsi="Arial" w:cs="Arial" w:eastAsia="Arial" w:hint="default"/>
                <w:sz w:val="24"/>
                <w:szCs w:val="24"/>
              </w:rPr>
            </w:pPr>
            <w:r>
              <w:rPr>
                <w:rFonts w:ascii="宋体" w:hAnsi="宋体" w:cs="宋体" w:eastAsia="宋体" w:hint="default"/>
                <w:sz w:val="24"/>
                <w:szCs w:val="24"/>
              </w:rPr>
              <w:t>拟分配的股利</w:t>
            </w:r>
            <w:r>
              <w:rPr>
                <w:rFonts w:ascii="Arial" w:hAnsi="Arial" w:cs="Arial" w:eastAsia="Arial" w:hint="default"/>
                <w:sz w:val="24"/>
                <w:szCs w:val="24"/>
              </w:rPr>
              <w:t>(a)</w:t>
            </w:r>
          </w:p>
        </w:tc>
        <w:tc>
          <w:tcPr>
            <w:tcW w:w="1413"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24"/>
                <w:szCs w:val="24"/>
              </w:rPr>
            </w:pPr>
            <w:r>
              <w:rPr>
                <w:rFonts w:ascii="Arial"/>
                <w:spacing w:val="-1"/>
                <w:sz w:val="24"/>
              </w:rPr>
              <w:t>442,983</w:t>
            </w:r>
          </w:p>
        </w:tc>
      </w:tr>
      <w:tr>
        <w:trPr>
          <w:trHeight w:val="1009" w:hRule="exact"/>
        </w:trPr>
        <w:tc>
          <w:tcPr>
            <w:tcW w:w="818" w:type="dxa"/>
            <w:tcBorders>
              <w:top w:val="nil" w:sz="6" w:space="0" w:color="auto"/>
              <w:left w:val="nil" w:sz="6" w:space="0" w:color="auto"/>
              <w:bottom w:val="nil" w:sz="6" w:space="0" w:color="auto"/>
              <w:right w:val="nil" w:sz="6" w:space="0" w:color="auto"/>
            </w:tcBorders>
          </w:tcPr>
          <w:p>
            <w:pPr/>
          </w:p>
        </w:tc>
        <w:tc>
          <w:tcPr>
            <w:tcW w:w="860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321" w:lineRule="exact"/>
              <w:ind w:left="138" w:right="0"/>
              <w:jc w:val="left"/>
              <w:rPr>
                <w:rFonts w:ascii="宋体" w:hAnsi="宋体" w:cs="宋体" w:eastAsia="宋体" w:hint="default"/>
                <w:sz w:val="24"/>
                <w:szCs w:val="24"/>
              </w:rPr>
            </w:pPr>
            <w:r>
              <w:rPr>
                <w:rFonts w:ascii="Arial" w:hAnsi="Arial" w:cs="Arial" w:eastAsia="Arial" w:hint="default"/>
                <w:sz w:val="24"/>
                <w:szCs w:val="24"/>
              </w:rPr>
              <w:t>(a)</w:t>
            </w:r>
            <w:r>
              <w:rPr>
                <w:rFonts w:ascii="Arial" w:hAnsi="Arial" w:cs="Arial" w:eastAsia="Arial" w:hint="default"/>
                <w:spacing w:val="58"/>
                <w:sz w:val="24"/>
                <w:szCs w:val="24"/>
              </w:rPr>
              <w:t> </w:t>
            </w:r>
            <w:r>
              <w:rPr>
                <w:rFonts w:ascii="宋体" w:hAnsi="宋体" w:cs="宋体" w:eastAsia="宋体" w:hint="default"/>
                <w:sz w:val="24"/>
                <w:szCs w:val="24"/>
              </w:rPr>
              <w:t>根据</w:t>
            </w:r>
            <w:r>
              <w:rPr>
                <w:rFonts w:ascii="宋体" w:hAnsi="宋体" w:cs="宋体" w:eastAsia="宋体" w:hint="default"/>
                <w:spacing w:val="-58"/>
                <w:sz w:val="24"/>
                <w:szCs w:val="24"/>
              </w:rPr>
              <w:t> </w:t>
            </w:r>
            <w:r>
              <w:rPr>
                <w:rFonts w:ascii="Arial" w:hAnsi="Arial" w:cs="Arial" w:eastAsia="Arial" w:hint="default"/>
                <w:sz w:val="24"/>
                <w:szCs w:val="24"/>
              </w:rPr>
              <w:t>2016</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3</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29</w:t>
            </w:r>
            <w:r>
              <w:rPr>
                <w:rFonts w:ascii="Arial" w:hAnsi="Arial" w:cs="Arial" w:eastAsia="Arial" w:hint="default"/>
                <w:spacing w:val="-5"/>
                <w:sz w:val="24"/>
                <w:szCs w:val="24"/>
              </w:rPr>
              <w:t> </w:t>
            </w:r>
            <w:r>
              <w:rPr>
                <w:rFonts w:ascii="宋体" w:hAnsi="宋体" w:cs="宋体" w:eastAsia="宋体" w:hint="default"/>
                <w:spacing w:val="-4"/>
                <w:sz w:val="24"/>
                <w:szCs w:val="24"/>
              </w:rPr>
              <w:t>日董事会决议，董事会提议本公司向全体股东分配股利</w:t>
            </w:r>
          </w:p>
          <w:p>
            <w:pPr>
              <w:pStyle w:val="TableParagraph"/>
              <w:spacing w:line="321" w:lineRule="exact"/>
              <w:ind w:left="138" w:right="0"/>
              <w:jc w:val="lef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4.43</w:t>
            </w:r>
            <w:r>
              <w:rPr>
                <w:rFonts w:ascii="Arial" w:hAnsi="Arial" w:cs="Arial" w:eastAsia="Arial" w:hint="default"/>
                <w:spacing w:val="-8"/>
                <w:sz w:val="24"/>
                <w:szCs w:val="24"/>
              </w:rPr>
              <w:t> </w:t>
            </w:r>
            <w:r>
              <w:rPr>
                <w:rFonts w:ascii="宋体" w:hAnsi="宋体" w:cs="宋体" w:eastAsia="宋体" w:hint="default"/>
                <w:sz w:val="24"/>
                <w:szCs w:val="24"/>
              </w:rPr>
              <w:t>亿元，未在本财务报表中确认为负债</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(43))</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95"/>
        <w:gridCol w:w="8831"/>
      </w:tblGrid>
      <w:tr>
        <w:trPr>
          <w:trHeight w:val="494"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right="112"/>
              <w:jc w:val="right"/>
              <w:rPr>
                <w:rFonts w:ascii="黑体" w:hAnsi="黑体" w:cs="黑体" w:eastAsia="黑体" w:hint="default"/>
                <w:sz w:val="24"/>
                <w:szCs w:val="24"/>
              </w:rPr>
            </w:pPr>
            <w:r>
              <w:rPr>
                <w:rFonts w:ascii="黑体" w:hAnsi="黑体" w:cs="黑体" w:eastAsia="黑体" w:hint="default"/>
                <w:sz w:val="24"/>
                <w:szCs w:val="24"/>
              </w:rPr>
              <w:t>十三</w:t>
            </w:r>
          </w:p>
        </w:tc>
        <w:tc>
          <w:tcPr>
            <w:tcW w:w="8831" w:type="dxa"/>
            <w:tcBorders>
              <w:top w:val="nil" w:sz="6" w:space="0" w:color="auto"/>
              <w:left w:val="nil" w:sz="6" w:space="0" w:color="auto"/>
              <w:bottom w:val="nil" w:sz="6" w:space="0" w:color="auto"/>
              <w:right w:val="nil" w:sz="6" w:space="0" w:color="auto"/>
            </w:tcBorders>
          </w:tcPr>
          <w:p>
            <w:pPr>
              <w:pStyle w:val="TableParagraph"/>
              <w:spacing w:line="240" w:lineRule="exact"/>
              <w:ind w:left="114" w:right="0"/>
              <w:jc w:val="left"/>
              <w:rPr>
                <w:rFonts w:ascii="黑体" w:hAnsi="黑体" w:cs="黑体" w:eastAsia="黑体" w:hint="default"/>
                <w:sz w:val="24"/>
                <w:szCs w:val="24"/>
              </w:rPr>
            </w:pPr>
            <w:r>
              <w:rPr>
                <w:rFonts w:ascii="黑体" w:hAnsi="黑体" w:cs="黑体" w:eastAsia="黑体" w:hint="default"/>
                <w:sz w:val="24"/>
                <w:szCs w:val="24"/>
              </w:rPr>
              <w:t>企业合并</w:t>
            </w:r>
          </w:p>
        </w:tc>
      </w:tr>
      <w:tr>
        <w:trPr>
          <w:trHeight w:val="771" w:hRule="exact"/>
        </w:trPr>
        <w:tc>
          <w:tcPr>
            <w:tcW w:w="795" w:type="dxa"/>
            <w:tcBorders>
              <w:top w:val="nil" w:sz="6" w:space="0" w:color="auto"/>
              <w:left w:val="nil" w:sz="6" w:space="0" w:color="auto"/>
              <w:bottom w:val="nil" w:sz="6" w:space="0" w:color="auto"/>
              <w:right w:val="nil" w:sz="6" w:space="0" w:color="auto"/>
            </w:tcBorders>
          </w:tcPr>
          <w:p>
            <w:pPr/>
          </w:p>
        </w:tc>
        <w:tc>
          <w:tcPr>
            <w:tcW w:w="883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14" w:right="0"/>
              <w:jc w:val="left"/>
              <w:rPr>
                <w:rFonts w:ascii="宋体" w:hAnsi="宋体" w:cs="宋体" w:eastAsia="宋体" w:hint="default"/>
                <w:sz w:val="24"/>
                <w:szCs w:val="24"/>
              </w:rPr>
            </w:pPr>
            <w:r>
              <w:rPr>
                <w:rFonts w:ascii="宋体" w:hAnsi="宋体" w:cs="宋体" w:eastAsia="宋体" w:hint="default"/>
                <w:sz w:val="24"/>
                <w:szCs w:val="24"/>
              </w:rPr>
              <w:t>见附注五</w:t>
            </w:r>
            <w:r>
              <w:rPr>
                <w:rFonts w:ascii="Arial" w:hAnsi="Arial" w:cs="Arial" w:eastAsia="Arial" w:hint="default"/>
                <w:sz w:val="24"/>
                <w:szCs w:val="24"/>
              </w:rPr>
              <w:t>(1)</w:t>
            </w:r>
            <w:r>
              <w:rPr>
                <w:rFonts w:ascii="宋体" w:hAnsi="宋体" w:cs="宋体" w:eastAsia="宋体" w:hint="default"/>
                <w:sz w:val="24"/>
                <w:szCs w:val="24"/>
              </w:rPr>
              <w:t>。</w:t>
            </w:r>
          </w:p>
        </w:tc>
      </w:tr>
      <w:tr>
        <w:trPr>
          <w:trHeight w:val="759"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112"/>
              <w:jc w:val="right"/>
              <w:rPr>
                <w:rFonts w:ascii="黑体" w:hAnsi="黑体" w:cs="黑体" w:eastAsia="黑体" w:hint="default"/>
                <w:sz w:val="24"/>
                <w:szCs w:val="24"/>
              </w:rPr>
            </w:pPr>
            <w:r>
              <w:rPr>
                <w:rFonts w:ascii="黑体" w:hAnsi="黑体" w:cs="黑体" w:eastAsia="黑体" w:hint="default"/>
                <w:sz w:val="24"/>
                <w:szCs w:val="24"/>
              </w:rPr>
              <w:t>十四</w:t>
            </w:r>
          </w:p>
        </w:tc>
        <w:tc>
          <w:tcPr>
            <w:tcW w:w="8831" w:type="dxa"/>
            <w:tcBorders>
              <w:top w:val="nil" w:sz="6" w:space="0" w:color="auto"/>
              <w:left w:val="nil" w:sz="6" w:space="0" w:color="auto"/>
              <w:bottom w:val="nil" w:sz="6" w:space="0" w:color="auto"/>
              <w:right w:val="nil" w:sz="6" w:space="0" w:color="auto"/>
            </w:tcBorders>
          </w:tcPr>
          <w:p>
            <w:pPr>
              <w:pStyle w:val="TableParagraph"/>
              <w:spacing w:line="240" w:lineRule="auto" w:before="191"/>
              <w:ind w:left="114" w:right="0"/>
              <w:jc w:val="left"/>
              <w:rPr>
                <w:rFonts w:ascii="黑体" w:hAnsi="黑体" w:cs="黑体" w:eastAsia="黑体" w:hint="default"/>
                <w:sz w:val="24"/>
                <w:szCs w:val="24"/>
              </w:rPr>
            </w:pPr>
            <w:r>
              <w:rPr>
                <w:rFonts w:ascii="黑体" w:hAnsi="黑体" w:cs="黑体" w:eastAsia="黑体" w:hint="default"/>
                <w:sz w:val="24"/>
                <w:szCs w:val="24"/>
              </w:rPr>
              <w:t>金融风险</w:t>
            </w:r>
          </w:p>
        </w:tc>
      </w:tr>
      <w:tr>
        <w:trPr>
          <w:trHeight w:val="1116" w:hRule="exact"/>
        </w:trPr>
        <w:tc>
          <w:tcPr>
            <w:tcW w:w="795" w:type="dxa"/>
            <w:tcBorders>
              <w:top w:val="nil" w:sz="6" w:space="0" w:color="auto"/>
              <w:left w:val="nil" w:sz="6" w:space="0" w:color="auto"/>
              <w:bottom w:val="nil" w:sz="6" w:space="0" w:color="auto"/>
              <w:right w:val="nil" w:sz="6" w:space="0" w:color="auto"/>
            </w:tcBorders>
          </w:tcPr>
          <w:p>
            <w:pPr/>
          </w:p>
        </w:tc>
        <w:tc>
          <w:tcPr>
            <w:tcW w:w="8831"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114" w:right="198"/>
              <w:jc w:val="left"/>
              <w:rPr>
                <w:rFonts w:ascii="宋体" w:hAnsi="宋体" w:cs="宋体" w:eastAsia="宋体" w:hint="default"/>
                <w:sz w:val="24"/>
                <w:szCs w:val="24"/>
              </w:rPr>
            </w:pPr>
            <w:r>
              <w:rPr>
                <w:rFonts w:ascii="宋体" w:hAnsi="宋体" w:cs="宋体" w:eastAsia="宋体" w:hint="default"/>
                <w:spacing w:val="-2"/>
                <w:sz w:val="24"/>
                <w:szCs w:val="24"/>
              </w:rPr>
              <w:t>本集团的经营活动会面临各种金融风险：市场风险</w:t>
            </w:r>
            <w:r>
              <w:rPr>
                <w:rFonts w:ascii="Arial" w:hAnsi="Arial" w:cs="Arial" w:eastAsia="Arial" w:hint="default"/>
                <w:spacing w:val="-2"/>
                <w:sz w:val="24"/>
                <w:szCs w:val="24"/>
              </w:rPr>
              <w:t>(</w:t>
            </w:r>
            <w:r>
              <w:rPr>
                <w:rFonts w:ascii="宋体" w:hAnsi="宋体" w:cs="宋体" w:eastAsia="宋体" w:hint="default"/>
                <w:spacing w:val="-2"/>
                <w:sz w:val="24"/>
                <w:szCs w:val="24"/>
              </w:rPr>
              <w:t>主要为外汇风险和利率风险</w:t>
            </w:r>
            <w:r>
              <w:rPr>
                <w:rFonts w:ascii="Arial" w:hAnsi="Arial" w:cs="Arial" w:eastAsia="Arial" w:hint="default"/>
                <w:spacing w:val="-2"/>
                <w:sz w:val="24"/>
                <w:szCs w:val="24"/>
              </w:rPr>
              <w:t>)</w:t>
            </w:r>
            <w:r>
              <w:rPr>
                <w:rFonts w:ascii="宋体" w:hAnsi="宋体" w:cs="宋体" w:eastAsia="宋体" w:hint="default"/>
                <w:spacing w:val="-2"/>
                <w:sz w:val="24"/>
                <w:szCs w:val="24"/>
              </w:rPr>
              <w:t>、</w:t>
            </w:r>
            <w:r>
              <w:rPr>
                <w:rFonts w:ascii="宋体" w:hAnsi="宋体" w:cs="宋体" w:eastAsia="宋体" w:hint="default"/>
                <w:spacing w:val="-92"/>
                <w:sz w:val="24"/>
                <w:szCs w:val="24"/>
              </w:rPr>
              <w:t> </w:t>
            </w:r>
            <w:r>
              <w:rPr>
                <w:rFonts w:ascii="宋体" w:hAnsi="宋体" w:cs="宋体" w:eastAsia="宋体" w:hint="default"/>
                <w:sz w:val="24"/>
                <w:szCs w:val="24"/>
              </w:rPr>
              <w:t>信用风险、价格风险和流动性风险。本集团整体的风险管理计划针对金融市场的</w:t>
            </w:r>
            <w:r>
              <w:rPr>
                <w:rFonts w:ascii="宋体" w:hAnsi="宋体" w:cs="宋体" w:eastAsia="宋体" w:hint="default"/>
                <w:sz w:val="24"/>
                <w:szCs w:val="24"/>
              </w:rPr>
              <w:t> 不可预见性，力求减少对本集团财务业绩的潜在不利影响。</w:t>
            </w:r>
          </w:p>
        </w:tc>
      </w:tr>
    </w:tbl>
    <w:p>
      <w:pPr>
        <w:spacing w:after="0" w:line="232" w:lineRule="auto"/>
        <w:jc w:val="left"/>
        <w:rPr>
          <w:rFonts w:ascii="宋体" w:hAnsi="宋体" w:cs="宋体" w:eastAsia="宋体" w:hint="default"/>
          <w:sz w:val="24"/>
          <w:szCs w:val="24"/>
        </w:rPr>
        <w:sectPr>
          <w:pgSz w:w="11910" w:h="16840"/>
          <w:pgMar w:header="755" w:footer="914" w:top="1860" w:bottom="11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95"/>
        <w:gridCol w:w="9221"/>
      </w:tblGrid>
      <w:tr>
        <w:trPr>
          <w:trHeight w:val="434"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9221"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00"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0" w:right="0"/>
              <w:jc w:val="left"/>
              <w:rPr>
                <w:rFonts w:ascii="Arial" w:hAnsi="Arial" w:cs="Arial" w:eastAsia="Arial" w:hint="default"/>
                <w:sz w:val="24"/>
                <w:szCs w:val="24"/>
              </w:rPr>
            </w:pPr>
            <w:r>
              <w:rPr>
                <w:rFonts w:ascii="Arial"/>
                <w:sz w:val="24"/>
              </w:rPr>
              <w:t>(1)</w:t>
            </w:r>
          </w:p>
        </w:tc>
        <w:tc>
          <w:tcPr>
            <w:tcW w:w="922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14" w:right="0"/>
              <w:jc w:val="left"/>
              <w:rPr>
                <w:rFonts w:ascii="黑体" w:hAnsi="黑体" w:cs="黑体" w:eastAsia="黑体" w:hint="default"/>
                <w:sz w:val="24"/>
                <w:szCs w:val="24"/>
              </w:rPr>
            </w:pPr>
            <w:r>
              <w:rPr>
                <w:rFonts w:ascii="黑体" w:hAnsi="黑体" w:cs="黑体" w:eastAsia="黑体" w:hint="default"/>
                <w:sz w:val="24"/>
                <w:szCs w:val="24"/>
              </w:rPr>
              <w:t>市场风险</w:t>
            </w:r>
          </w:p>
        </w:tc>
      </w:tr>
      <w:tr>
        <w:trPr>
          <w:trHeight w:val="591"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922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4" w:right="0"/>
              <w:jc w:val="left"/>
              <w:rPr>
                <w:rFonts w:ascii="宋体" w:hAnsi="宋体" w:cs="宋体" w:eastAsia="宋体" w:hint="default"/>
                <w:sz w:val="24"/>
                <w:szCs w:val="24"/>
              </w:rPr>
            </w:pPr>
            <w:r>
              <w:rPr>
                <w:rFonts w:ascii="宋体" w:hAnsi="宋体" w:cs="宋体" w:eastAsia="宋体" w:hint="default"/>
                <w:sz w:val="24"/>
                <w:szCs w:val="24"/>
              </w:rPr>
              <w:t>外汇风险</w:t>
            </w:r>
          </w:p>
        </w:tc>
      </w:tr>
      <w:tr>
        <w:trPr>
          <w:trHeight w:val="1832" w:hRule="exact"/>
        </w:trPr>
        <w:tc>
          <w:tcPr>
            <w:tcW w:w="795" w:type="dxa"/>
            <w:tcBorders>
              <w:top w:val="nil" w:sz="6" w:space="0" w:color="auto"/>
              <w:left w:val="nil" w:sz="6" w:space="0" w:color="auto"/>
              <w:bottom w:val="nil" w:sz="6" w:space="0" w:color="auto"/>
              <w:right w:val="nil" w:sz="6" w:space="0" w:color="auto"/>
            </w:tcBorders>
          </w:tcPr>
          <w:p>
            <w:pPr/>
          </w:p>
        </w:tc>
        <w:tc>
          <w:tcPr>
            <w:tcW w:w="9221" w:type="dxa"/>
            <w:tcBorders>
              <w:top w:val="nil" w:sz="6" w:space="0" w:color="auto"/>
              <w:left w:val="nil" w:sz="6" w:space="0" w:color="auto"/>
              <w:bottom w:val="nil" w:sz="6" w:space="0" w:color="auto"/>
              <w:right w:val="nil" w:sz="6" w:space="0" w:color="auto"/>
            </w:tcBorders>
          </w:tcPr>
          <w:p>
            <w:pPr>
              <w:pStyle w:val="TableParagraph"/>
              <w:spacing w:line="230" w:lineRule="auto" w:before="110"/>
              <w:ind w:left="114" w:right="198"/>
              <w:jc w:val="left"/>
              <w:rPr>
                <w:rFonts w:ascii="宋体" w:hAnsi="宋体" w:cs="宋体" w:eastAsia="宋体" w:hint="default"/>
                <w:sz w:val="24"/>
                <w:szCs w:val="24"/>
              </w:rPr>
            </w:pPr>
            <w:r>
              <w:rPr>
                <w:rFonts w:ascii="宋体" w:hAnsi="宋体" w:cs="宋体" w:eastAsia="宋体" w:hint="default"/>
                <w:spacing w:val="-3"/>
                <w:sz w:val="24"/>
                <w:szCs w:val="24"/>
              </w:rPr>
              <w:t>本集团的主要经营位于中国境内，主要业务以人民币结算。本集团已确认的外币资产</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和负债及未来的外币交易</w:t>
            </w:r>
            <w:r>
              <w:rPr>
                <w:rFonts w:ascii="Arial" w:hAnsi="Arial" w:cs="Arial" w:eastAsia="Arial" w:hint="default"/>
                <w:spacing w:val="-2"/>
                <w:sz w:val="24"/>
                <w:szCs w:val="24"/>
              </w:rPr>
              <w:t>(</w:t>
            </w:r>
            <w:r>
              <w:rPr>
                <w:rFonts w:ascii="宋体" w:hAnsi="宋体" w:cs="宋体" w:eastAsia="宋体" w:hint="default"/>
                <w:spacing w:val="-2"/>
                <w:sz w:val="24"/>
                <w:szCs w:val="24"/>
              </w:rPr>
              <w:t>外币资产和负债及外币交易的计价货币主要为日元、港元、</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美元和澳门元</w:t>
            </w:r>
            <w:r>
              <w:rPr>
                <w:rFonts w:ascii="Arial" w:hAnsi="Arial" w:cs="Arial" w:eastAsia="Arial" w:hint="default"/>
                <w:sz w:val="24"/>
                <w:szCs w:val="24"/>
              </w:rPr>
              <w:t>)</w:t>
            </w:r>
            <w:r>
              <w:rPr>
                <w:rFonts w:ascii="宋体" w:hAnsi="宋体" w:cs="宋体" w:eastAsia="宋体" w:hint="default"/>
                <w:sz w:val="24"/>
                <w:szCs w:val="24"/>
              </w:rPr>
              <w:t>存在外汇风险。本集团总部财务部门负责监控集团外币交易和外币资</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pacing w:val="-3"/>
                <w:sz w:val="24"/>
                <w:szCs w:val="24"/>
              </w:rPr>
              <w:t>产及负债的规模，以最大程度降低面临的外汇风险；为此，本集团可能会以签署远期</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外汇合约或货币互换合约的方式来达到规避外汇风险的目的。</w:t>
            </w:r>
          </w:p>
        </w:tc>
      </w:tr>
      <w:tr>
        <w:trPr>
          <w:trHeight w:val="725" w:hRule="exact"/>
        </w:trPr>
        <w:tc>
          <w:tcPr>
            <w:tcW w:w="795" w:type="dxa"/>
            <w:tcBorders>
              <w:top w:val="nil" w:sz="6" w:space="0" w:color="auto"/>
              <w:left w:val="nil" w:sz="6" w:space="0" w:color="auto"/>
              <w:bottom w:val="nil" w:sz="6" w:space="0" w:color="auto"/>
              <w:right w:val="nil" w:sz="6" w:space="0" w:color="auto"/>
            </w:tcBorders>
          </w:tcPr>
          <w:p>
            <w:pPr/>
          </w:p>
        </w:tc>
        <w:tc>
          <w:tcPr>
            <w:tcW w:w="9221"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14" w:right="31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日及</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4"/>
                <w:sz w:val="24"/>
                <w:szCs w:val="24"/>
              </w:rPr>
              <w:t>日，本集团持有的外币金融资产和外币金</w:t>
            </w:r>
            <w:r>
              <w:rPr>
                <w:rFonts w:ascii="宋体" w:hAnsi="宋体" w:cs="宋体" w:eastAsia="宋体" w:hint="default"/>
                <w:sz w:val="24"/>
                <w:szCs w:val="24"/>
              </w:rPr>
              <w:t> 融负债折算成人民币的金额列示如下：</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818" w:type="dxa"/>
        <w:tblLayout w:type="fixed"/>
        <w:tblCellMar>
          <w:top w:w="0" w:type="dxa"/>
          <w:left w:w="0" w:type="dxa"/>
          <w:bottom w:w="0" w:type="dxa"/>
          <w:right w:w="0" w:type="dxa"/>
        </w:tblCellMar>
        <w:tblLook w:val="01E0"/>
      </w:tblPr>
      <w:tblGrid>
        <w:gridCol w:w="1958"/>
        <w:gridCol w:w="935"/>
        <w:gridCol w:w="277"/>
        <w:gridCol w:w="1141"/>
        <w:gridCol w:w="276"/>
        <w:gridCol w:w="1142"/>
        <w:gridCol w:w="276"/>
        <w:gridCol w:w="858"/>
        <w:gridCol w:w="276"/>
        <w:gridCol w:w="528"/>
        <w:gridCol w:w="252"/>
        <w:gridCol w:w="1178"/>
      </w:tblGrid>
      <w:tr>
        <w:trPr>
          <w:trHeight w:val="255" w:hRule="exact"/>
        </w:trPr>
        <w:tc>
          <w:tcPr>
            <w:tcW w:w="9098" w:type="dxa"/>
            <w:gridSpan w:val="12"/>
            <w:tcBorders>
              <w:top w:val="nil" w:sz="6" w:space="0" w:color="auto"/>
              <w:left w:val="nil" w:sz="6" w:space="0" w:color="auto"/>
              <w:bottom w:val="nil" w:sz="6" w:space="0" w:color="auto"/>
              <w:right w:val="nil" w:sz="6" w:space="0" w:color="auto"/>
            </w:tcBorders>
          </w:tcPr>
          <w:p>
            <w:pPr>
              <w:pStyle w:val="TableParagraph"/>
              <w:spacing w:line="193" w:lineRule="exact"/>
              <w:ind w:left="474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1" w:hRule="exact"/>
        </w:trPr>
        <w:tc>
          <w:tcPr>
            <w:tcW w:w="1958" w:type="dxa"/>
            <w:tcBorders>
              <w:top w:val="nil" w:sz="6" w:space="0" w:color="auto"/>
              <w:left w:val="nil" w:sz="6" w:space="0" w:color="auto"/>
              <w:bottom w:val="nil" w:sz="6" w:space="0" w:color="auto"/>
              <w:right w:val="nil" w:sz="6" w:space="0" w:color="auto"/>
            </w:tcBorders>
          </w:tcPr>
          <w:p>
            <w:pPr/>
          </w:p>
        </w:tc>
        <w:tc>
          <w:tcPr>
            <w:tcW w:w="935"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50" w:right="0"/>
              <w:jc w:val="left"/>
              <w:rPr>
                <w:rFonts w:ascii="宋体" w:hAnsi="宋体" w:cs="宋体" w:eastAsia="宋体" w:hint="default"/>
                <w:sz w:val="18"/>
                <w:szCs w:val="18"/>
              </w:rPr>
            </w:pPr>
            <w:r>
              <w:rPr>
                <w:rFonts w:ascii="宋体" w:hAnsi="宋体" w:cs="宋体" w:eastAsia="宋体" w:hint="default"/>
                <w:sz w:val="18"/>
                <w:szCs w:val="18"/>
              </w:rPr>
              <w:t>日元项目</w:t>
            </w:r>
          </w:p>
        </w:tc>
        <w:tc>
          <w:tcPr>
            <w:tcW w:w="277" w:type="dxa"/>
            <w:tcBorders>
              <w:top w:val="single" w:sz="4" w:space="0" w:color="000000"/>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312" w:right="0"/>
              <w:jc w:val="left"/>
              <w:rPr>
                <w:rFonts w:ascii="宋体" w:hAnsi="宋体" w:cs="宋体" w:eastAsia="宋体" w:hint="default"/>
                <w:sz w:val="18"/>
                <w:szCs w:val="18"/>
              </w:rPr>
            </w:pPr>
            <w:r>
              <w:rPr>
                <w:rFonts w:ascii="宋体" w:hAnsi="宋体" w:cs="宋体" w:eastAsia="宋体" w:hint="default"/>
                <w:sz w:val="18"/>
                <w:szCs w:val="18"/>
              </w:rPr>
              <w:t>港元项目</w:t>
            </w:r>
          </w:p>
        </w:tc>
        <w:tc>
          <w:tcPr>
            <w:tcW w:w="276" w:type="dxa"/>
            <w:tcBorders>
              <w:top w:val="single" w:sz="4" w:space="0" w:color="000000"/>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311"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276" w:type="dxa"/>
            <w:tcBorders>
              <w:top w:val="single" w:sz="4" w:space="0" w:color="000000"/>
              <w:left w:val="nil" w:sz="6" w:space="0" w:color="auto"/>
              <w:bottom w:val="nil" w:sz="6" w:space="0" w:color="auto"/>
              <w:right w:val="nil" w:sz="6" w:space="0" w:color="auto"/>
            </w:tcBorders>
          </w:tcPr>
          <w:p>
            <w:pPr/>
          </w:p>
        </w:tc>
        <w:tc>
          <w:tcPr>
            <w:tcW w:w="858" w:type="dxa"/>
            <w:tcBorders>
              <w:top w:val="single" w:sz="4" w:space="0" w:color="000000"/>
              <w:left w:val="nil" w:sz="6" w:space="0" w:color="auto"/>
              <w:bottom w:val="nil" w:sz="6" w:space="0" w:color="auto"/>
              <w:right w:val="nil" w:sz="6" w:space="0" w:color="auto"/>
            </w:tcBorders>
          </w:tcPr>
          <w:p>
            <w:pPr>
              <w:pStyle w:val="TableParagraph"/>
              <w:spacing w:line="205" w:lineRule="exact"/>
              <w:ind w:left="388" w:right="0" w:hanging="180"/>
              <w:jc w:val="left"/>
              <w:rPr>
                <w:rFonts w:ascii="宋体" w:hAnsi="宋体" w:cs="宋体" w:eastAsia="宋体" w:hint="default"/>
                <w:sz w:val="18"/>
                <w:szCs w:val="18"/>
              </w:rPr>
            </w:pPr>
            <w:r>
              <w:rPr>
                <w:rFonts w:ascii="宋体" w:hAnsi="宋体" w:cs="宋体" w:eastAsia="宋体" w:hint="default"/>
                <w:sz w:val="18"/>
                <w:szCs w:val="18"/>
              </w:rPr>
              <w:t>澳门元</w:t>
            </w:r>
          </w:p>
          <w:p>
            <w:pPr>
              <w:pStyle w:val="TableParagraph"/>
              <w:spacing w:line="235" w:lineRule="exact"/>
              <w:ind w:left="38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6" w:type="dxa"/>
            <w:tcBorders>
              <w:top w:val="single" w:sz="4" w:space="0" w:color="000000"/>
              <w:left w:val="nil" w:sz="6" w:space="0" w:color="auto"/>
              <w:bottom w:val="nil" w:sz="6" w:space="0" w:color="auto"/>
              <w:right w:val="nil" w:sz="6" w:space="0" w:color="auto"/>
            </w:tcBorders>
          </w:tcPr>
          <w:p>
            <w:pPr/>
          </w:p>
        </w:tc>
        <w:tc>
          <w:tcPr>
            <w:tcW w:w="528"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 w:type="dxa"/>
            <w:tcBorders>
              <w:top w:val="single" w:sz="4" w:space="0" w:color="000000"/>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71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238"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Arial" w:hAnsi="Arial" w:cs="Arial" w:eastAsia="Arial" w:hint="default"/>
                <w:sz w:val="18"/>
                <w:szCs w:val="18"/>
              </w:rPr>
            </w:pPr>
            <w:r>
              <w:rPr>
                <w:rFonts w:ascii="宋体" w:hAnsi="宋体" w:cs="宋体" w:eastAsia="宋体" w:hint="default"/>
                <w:sz w:val="18"/>
                <w:szCs w:val="18"/>
              </w:rPr>
              <w:t>外币金融资产 </w:t>
            </w:r>
            <w:r>
              <w:rPr>
                <w:rFonts w:ascii="Arial" w:hAnsi="Arial" w:cs="Arial" w:eastAsia="Arial" w:hint="default"/>
                <w:sz w:val="18"/>
                <w:szCs w:val="18"/>
              </w:rPr>
              <w:t>-</w:t>
            </w:r>
          </w:p>
        </w:tc>
        <w:tc>
          <w:tcPr>
            <w:tcW w:w="935"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40"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03" w:lineRule="exact"/>
              <w:ind w:left="42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7" w:right="0"/>
              <w:jc w:val="left"/>
              <w:rPr>
                <w:rFonts w:ascii="Arial" w:hAnsi="Arial" w:cs="Arial" w:eastAsia="Arial" w:hint="default"/>
                <w:sz w:val="18"/>
                <w:szCs w:val="18"/>
              </w:rPr>
            </w:pPr>
            <w:r>
              <w:rPr>
                <w:rFonts w:ascii="Arial"/>
                <w:sz w:val="18"/>
              </w:rPr>
              <w:t>246,214</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82" w:right="0"/>
              <w:jc w:val="left"/>
              <w:rPr>
                <w:rFonts w:ascii="Arial" w:hAnsi="Arial" w:cs="Arial" w:eastAsia="Arial" w:hint="default"/>
                <w:sz w:val="18"/>
                <w:szCs w:val="18"/>
              </w:rPr>
            </w:pPr>
            <w:r>
              <w:rPr>
                <w:rFonts w:ascii="Arial"/>
                <w:sz w:val="18"/>
              </w:rPr>
              <w:t>687,712</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31" w:right="0"/>
              <w:jc w:val="left"/>
              <w:rPr>
                <w:rFonts w:ascii="Arial" w:hAnsi="Arial" w:cs="Arial" w:eastAsia="Arial" w:hint="default"/>
                <w:sz w:val="18"/>
                <w:szCs w:val="18"/>
              </w:rPr>
            </w:pPr>
            <w:r>
              <w:rPr>
                <w:rFonts w:ascii="Arial"/>
                <w:sz w:val="18"/>
              </w:rPr>
              <w:t>2,630,018</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00" w:right="0"/>
              <w:jc w:val="left"/>
              <w:rPr>
                <w:rFonts w:ascii="Arial" w:hAnsi="Arial" w:cs="Arial" w:eastAsia="Arial" w:hint="default"/>
                <w:sz w:val="18"/>
                <w:szCs w:val="18"/>
              </w:rPr>
            </w:pPr>
            <w:r>
              <w:rPr>
                <w:rFonts w:ascii="Arial"/>
                <w:sz w:val="18"/>
              </w:rPr>
              <w:t>3,523</w:t>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0" w:right="0"/>
              <w:jc w:val="left"/>
              <w:rPr>
                <w:rFonts w:ascii="Arial" w:hAnsi="Arial" w:cs="Arial" w:eastAsia="Arial" w:hint="default"/>
                <w:sz w:val="18"/>
                <w:szCs w:val="18"/>
              </w:rPr>
            </w:pPr>
            <w:r>
              <w:rPr>
                <w:rFonts w:ascii="Arial"/>
                <w:sz w:val="18"/>
              </w:rPr>
              <w:t>269</w:t>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70" w:right="0"/>
              <w:jc w:val="left"/>
              <w:rPr>
                <w:rFonts w:ascii="Arial" w:hAnsi="Arial" w:cs="Arial" w:eastAsia="Arial" w:hint="default"/>
                <w:sz w:val="18"/>
                <w:szCs w:val="18"/>
              </w:rPr>
            </w:pPr>
            <w:r>
              <w:rPr>
                <w:rFonts w:ascii="Arial"/>
                <w:sz w:val="18"/>
              </w:rPr>
              <w:t>3,567,736</w:t>
            </w:r>
          </w:p>
        </w:tc>
      </w:tr>
      <w:tr>
        <w:trPr>
          <w:trHeight w:val="234"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5" w:right="0"/>
              <w:jc w:val="left"/>
              <w:rPr>
                <w:rFonts w:ascii="Arial" w:hAnsi="Arial" w:cs="Arial" w:eastAsia="Arial" w:hint="default"/>
                <w:sz w:val="18"/>
                <w:szCs w:val="18"/>
              </w:rPr>
            </w:pPr>
            <w:r>
              <w:rPr>
                <w:rFonts w:ascii="Arial"/>
                <w:sz w:val="18"/>
              </w:rPr>
              <w:t>48,332</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83" w:right="0"/>
              <w:jc w:val="left"/>
              <w:rPr>
                <w:rFonts w:ascii="Arial" w:hAnsi="Arial" w:cs="Arial" w:eastAsia="Arial" w:hint="default"/>
                <w:sz w:val="18"/>
                <w:szCs w:val="18"/>
              </w:rPr>
            </w:pPr>
            <w:r>
              <w:rPr>
                <w:rFonts w:ascii="Arial"/>
                <w:sz w:val="18"/>
              </w:rPr>
              <w:t>3,491</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33" w:right="0"/>
              <w:jc w:val="left"/>
              <w:rPr>
                <w:rFonts w:ascii="Arial" w:hAnsi="Arial" w:cs="Arial" w:eastAsia="Arial" w:hint="default"/>
                <w:sz w:val="18"/>
                <w:szCs w:val="18"/>
              </w:rPr>
            </w:pPr>
            <w:r>
              <w:rPr>
                <w:rFonts w:ascii="Arial"/>
                <w:sz w:val="18"/>
              </w:rPr>
              <w:t>753</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9" w:right="0"/>
              <w:jc w:val="left"/>
              <w:rPr>
                <w:rFonts w:ascii="Arial" w:hAnsi="Arial" w:cs="Arial" w:eastAsia="Arial" w:hint="default"/>
                <w:sz w:val="18"/>
                <w:szCs w:val="18"/>
              </w:rPr>
            </w:pPr>
            <w:r>
              <w:rPr>
                <w:rFonts w:ascii="Arial"/>
                <w:sz w:val="18"/>
              </w:rPr>
              <w:t>52,576</w:t>
            </w:r>
          </w:p>
        </w:tc>
      </w:tr>
      <w:tr>
        <w:trPr>
          <w:trHeight w:val="324"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6" w:right="0"/>
              <w:jc w:val="left"/>
              <w:rPr>
                <w:rFonts w:ascii="Arial" w:hAnsi="Arial" w:cs="Arial" w:eastAsia="Arial" w:hint="default"/>
                <w:sz w:val="18"/>
                <w:szCs w:val="18"/>
              </w:rPr>
            </w:pPr>
            <w:r>
              <w:rPr>
                <w:rFonts w:ascii="Arial"/>
                <w:sz w:val="18"/>
              </w:rPr>
              <w:t>3,975</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33" w:right="0"/>
              <w:jc w:val="left"/>
              <w:rPr>
                <w:rFonts w:ascii="Arial" w:hAnsi="Arial" w:cs="Arial" w:eastAsia="Arial" w:hint="default"/>
                <w:sz w:val="18"/>
                <w:szCs w:val="18"/>
              </w:rPr>
            </w:pPr>
            <w:r>
              <w:rPr>
                <w:rFonts w:ascii="Arial"/>
                <w:sz w:val="18"/>
              </w:rPr>
              <w:t>981</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6"/>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20" w:right="0"/>
              <w:jc w:val="left"/>
              <w:rPr>
                <w:rFonts w:ascii="Arial" w:hAnsi="Arial" w:cs="Arial" w:eastAsia="Arial" w:hint="default"/>
                <w:sz w:val="18"/>
                <w:szCs w:val="18"/>
              </w:rPr>
            </w:pPr>
            <w:r>
              <w:rPr>
                <w:rFonts w:ascii="Arial"/>
                <w:sz w:val="18"/>
              </w:rPr>
              <w:t>4,956</w:t>
            </w:r>
          </w:p>
        </w:tc>
      </w:tr>
      <w:tr>
        <w:trPr>
          <w:trHeight w:val="323"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76" w:right="0"/>
              <w:jc w:val="left"/>
              <w:rPr>
                <w:rFonts w:ascii="Arial" w:hAnsi="Arial" w:cs="Arial" w:eastAsia="Arial" w:hint="default"/>
                <w:sz w:val="18"/>
                <w:szCs w:val="18"/>
              </w:rPr>
            </w:pPr>
            <w:r>
              <w:rPr>
                <w:rFonts w:ascii="Arial"/>
                <w:sz w:val="18"/>
              </w:rPr>
              <w:t>5,309</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32" w:right="0"/>
              <w:jc w:val="left"/>
              <w:rPr>
                <w:rFonts w:ascii="Arial" w:hAnsi="Arial" w:cs="Arial" w:eastAsia="Arial" w:hint="default"/>
                <w:sz w:val="18"/>
                <w:szCs w:val="18"/>
              </w:rPr>
            </w:pPr>
            <w:r>
              <w:rPr>
                <w:rFonts w:ascii="Arial"/>
                <w:sz w:val="18"/>
              </w:rPr>
              <w:t>3,013,650</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583" w:right="0"/>
              <w:jc w:val="left"/>
              <w:rPr>
                <w:rFonts w:ascii="Arial" w:hAnsi="Arial" w:cs="Arial" w:eastAsia="Arial" w:hint="default"/>
                <w:sz w:val="18"/>
                <w:szCs w:val="18"/>
              </w:rPr>
            </w:pPr>
            <w:r>
              <w:rPr>
                <w:rFonts w:ascii="Arial"/>
                <w:sz w:val="18"/>
              </w:rPr>
              <w:t>4,130</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59" w:right="0"/>
              <w:jc w:val="left"/>
              <w:rPr>
                <w:rFonts w:ascii="Arial" w:hAnsi="Arial" w:cs="Arial" w:eastAsia="Arial" w:hint="default"/>
                <w:sz w:val="18"/>
                <w:szCs w:val="18"/>
              </w:rPr>
            </w:pPr>
            <w:r>
              <w:rPr>
                <w:rFonts w:ascii="Arial"/>
                <w:sz w:val="18"/>
              </w:rPr>
              <w:t>528</w:t>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70" w:right="0"/>
              <w:jc w:val="left"/>
              <w:rPr>
                <w:rFonts w:ascii="Arial" w:hAnsi="Arial" w:cs="Arial" w:eastAsia="Arial" w:hint="default"/>
                <w:sz w:val="18"/>
                <w:szCs w:val="18"/>
              </w:rPr>
            </w:pPr>
            <w:r>
              <w:rPr>
                <w:rFonts w:ascii="Arial"/>
                <w:sz w:val="18"/>
              </w:rPr>
              <w:t>3,023,617</w:t>
            </w:r>
          </w:p>
        </w:tc>
      </w:tr>
      <w:tr>
        <w:trPr>
          <w:trHeight w:val="557"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可供出售金融</w:t>
            </w:r>
          </w:p>
          <w:p>
            <w:pPr>
              <w:pStyle w:val="TableParagraph"/>
              <w:spacing w:line="235" w:lineRule="exact"/>
              <w:ind w:left="60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28" w:right="0"/>
              <w:jc w:val="left"/>
              <w:rPr>
                <w:rFonts w:ascii="Arial" w:hAnsi="Arial" w:cs="Arial" w:eastAsia="Arial" w:hint="default"/>
                <w:sz w:val="18"/>
                <w:szCs w:val="18"/>
              </w:rPr>
            </w:pPr>
            <w:r>
              <w:rPr>
                <w:rFonts w:ascii="Arial"/>
                <w:sz w:val="18"/>
              </w:rPr>
              <w:t>799</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2"/>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71" w:right="0"/>
              <w:jc w:val="left"/>
              <w:rPr>
                <w:rFonts w:ascii="Arial" w:hAnsi="Arial" w:cs="Arial" w:eastAsia="Arial" w:hint="default"/>
                <w:sz w:val="18"/>
                <w:szCs w:val="18"/>
              </w:rPr>
            </w:pPr>
            <w:r>
              <w:rPr>
                <w:rFonts w:ascii="Arial"/>
                <w:sz w:val="18"/>
              </w:rPr>
              <w:t>799</w:t>
            </w:r>
          </w:p>
        </w:tc>
      </w:tr>
      <w:tr>
        <w:trPr>
          <w:trHeight w:val="327" w:hRule="exact"/>
        </w:trPr>
        <w:tc>
          <w:tcPr>
            <w:tcW w:w="1958" w:type="dxa"/>
            <w:tcBorders>
              <w:top w:val="nil" w:sz="6" w:space="0" w:color="auto"/>
              <w:left w:val="nil" w:sz="6" w:space="0" w:color="auto"/>
              <w:bottom w:val="nil" w:sz="6" w:space="0" w:color="auto"/>
              <w:right w:val="nil" w:sz="6" w:space="0" w:color="auto"/>
            </w:tcBorders>
          </w:tcPr>
          <w:p>
            <w:pPr>
              <w:pStyle w:val="TableParagraph"/>
              <w:tabs>
                <w:tab w:pos="1900" w:val="left" w:leader="none"/>
                <w:tab w:pos="2134" w:val="left" w:leader="none"/>
              </w:tabs>
              <w:spacing w:line="240" w:lineRule="auto" w:before="53"/>
              <w:ind w:left="425" w:right="-177"/>
              <w:jc w:val="left"/>
              <w:rPr>
                <w:rFonts w:ascii="Arial" w:hAnsi="Arial" w:cs="Arial" w:eastAsia="Arial" w:hint="default"/>
                <w:sz w:val="18"/>
                <w:szCs w:val="18"/>
              </w:rPr>
            </w:pPr>
            <w:r>
              <w:rPr>
                <w:rFonts w:ascii="宋体" w:hAnsi="宋体" w:cs="宋体" w:eastAsia="宋体" w:hint="default"/>
                <w:position w:val="1"/>
                <w:sz w:val="18"/>
                <w:szCs w:val="18"/>
              </w:rPr>
              <w:t>长期应收款</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935"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105"/>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267,232</w:t>
              <w:tab/>
            </w:r>
            <w:r>
              <w:rPr>
                <w:rFonts w:ascii="Arial"/>
                <w:spacing w:val="-1"/>
                <w:sz w:val="18"/>
              </w:rPr>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tabs>
                <w:tab w:pos="481" w:val="left" w:leader="none"/>
                <w:tab w:pos="1141" w:val="left" w:leader="none"/>
              </w:tabs>
              <w:spacing w:line="240" w:lineRule="auto" w:before="105"/>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24,333</w:t>
              <w:tab/>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tabs>
                <w:tab w:pos="583" w:val="left" w:leader="none"/>
                <w:tab w:pos="1141" w:val="left" w:leader="none"/>
              </w:tabs>
              <w:spacing w:line="240" w:lineRule="auto" w:before="105"/>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9,675</w:t>
              <w:tab/>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tabs>
                <w:tab w:pos="449" w:val="left" w:leader="none"/>
                <w:tab w:pos="857" w:val="left" w:leader="none"/>
              </w:tabs>
              <w:spacing w:line="240" w:lineRule="auto" w:before="105"/>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646</w:t>
              <w:tab/>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tabs>
                <w:tab w:pos="323" w:val="left" w:leader="none"/>
                <w:tab w:pos="527" w:val="left" w:leader="none"/>
              </w:tabs>
              <w:spacing w:line="240" w:lineRule="auto" w:before="105"/>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tabs>
                <w:tab w:pos="419" w:val="left" w:leader="none"/>
                <w:tab w:pos="1178" w:val="left" w:leader="none"/>
              </w:tabs>
              <w:spacing w:line="240" w:lineRule="auto" w:before="105"/>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301,886</w:t>
              <w:tab/>
            </w:r>
            <w:r>
              <w:rPr>
                <w:rFonts w:ascii="Arial"/>
                <w:sz w:val="18"/>
              </w:rPr>
            </w:r>
          </w:p>
        </w:tc>
      </w:tr>
      <w:tr>
        <w:trPr>
          <w:trHeight w:val="219" w:hRule="exact"/>
        </w:trPr>
        <w:tc>
          <w:tcPr>
            <w:tcW w:w="1958" w:type="dxa"/>
            <w:tcBorders>
              <w:top w:val="nil" w:sz="6" w:space="0" w:color="auto"/>
              <w:left w:val="nil" w:sz="6" w:space="0" w:color="auto"/>
              <w:bottom w:val="single" w:sz="12" w:space="0" w:color="000000"/>
              <w:right w:val="nil" w:sz="6" w:space="0" w:color="auto"/>
            </w:tcBorders>
          </w:tcPr>
          <w:p>
            <w:pPr/>
          </w:p>
        </w:tc>
        <w:tc>
          <w:tcPr>
            <w:tcW w:w="935" w:type="dxa"/>
            <w:tcBorders>
              <w:top w:val="nil" w:sz="6" w:space="0" w:color="auto"/>
              <w:left w:val="nil" w:sz="6" w:space="0" w:color="auto"/>
              <w:bottom w:val="single" w:sz="12" w:space="0" w:color="000000"/>
              <w:right w:val="nil" w:sz="6" w:space="0" w:color="auto"/>
            </w:tcBorders>
          </w:tcPr>
          <w:p>
            <w:pPr>
              <w:pStyle w:val="TableParagraph"/>
              <w:spacing w:line="203" w:lineRule="exact"/>
              <w:ind w:left="176" w:right="0"/>
              <w:jc w:val="left"/>
              <w:rPr>
                <w:rFonts w:ascii="Arial" w:hAnsi="Arial" w:cs="Arial" w:eastAsia="Arial" w:hint="default"/>
                <w:sz w:val="18"/>
                <w:szCs w:val="18"/>
              </w:rPr>
            </w:pPr>
            <w:r>
              <w:rPr>
                <w:rFonts w:ascii="Arial"/>
                <w:sz w:val="18"/>
              </w:rPr>
              <w:t>571,861</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12" w:space="0" w:color="000000"/>
              <w:right w:val="nil" w:sz="6" w:space="0" w:color="auto"/>
            </w:tcBorders>
          </w:tcPr>
          <w:p>
            <w:pPr>
              <w:pStyle w:val="TableParagraph"/>
              <w:spacing w:line="203" w:lineRule="exact"/>
              <w:ind w:left="231" w:right="0"/>
              <w:jc w:val="left"/>
              <w:rPr>
                <w:rFonts w:ascii="Arial" w:hAnsi="Arial" w:cs="Arial" w:eastAsia="Arial" w:hint="default"/>
                <w:sz w:val="18"/>
                <w:szCs w:val="18"/>
              </w:rPr>
            </w:pPr>
            <w:r>
              <w:rPr>
                <w:rFonts w:ascii="Arial"/>
                <w:sz w:val="18"/>
              </w:rPr>
              <w:t>3,730,167</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12" w:space="0" w:color="000000"/>
              <w:right w:val="nil" w:sz="6" w:space="0" w:color="auto"/>
            </w:tcBorders>
          </w:tcPr>
          <w:p>
            <w:pPr>
              <w:pStyle w:val="TableParagraph"/>
              <w:spacing w:line="203" w:lineRule="exact"/>
              <w:ind w:left="231" w:right="0"/>
              <w:jc w:val="left"/>
              <w:rPr>
                <w:rFonts w:ascii="Arial" w:hAnsi="Arial" w:cs="Arial" w:eastAsia="Arial" w:hint="default"/>
                <w:sz w:val="18"/>
                <w:szCs w:val="18"/>
              </w:rPr>
            </w:pPr>
            <w:r>
              <w:rPr>
                <w:rFonts w:ascii="Arial"/>
                <w:sz w:val="18"/>
              </w:rPr>
              <w:t>2,644,576</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single" w:sz="12" w:space="0" w:color="000000"/>
              <w:right w:val="nil" w:sz="6" w:space="0" w:color="auto"/>
            </w:tcBorders>
          </w:tcPr>
          <w:p>
            <w:pPr>
              <w:pStyle w:val="TableParagraph"/>
              <w:spacing w:line="203" w:lineRule="exact"/>
              <w:ind w:left="298" w:right="0"/>
              <w:jc w:val="left"/>
              <w:rPr>
                <w:rFonts w:ascii="Arial" w:hAnsi="Arial" w:cs="Arial" w:eastAsia="Arial" w:hint="default"/>
                <w:sz w:val="18"/>
                <w:szCs w:val="18"/>
              </w:rPr>
            </w:pPr>
            <w:r>
              <w:rPr>
                <w:rFonts w:ascii="Arial"/>
                <w:sz w:val="18"/>
              </w:rPr>
              <w:t>4,697</w:t>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single" w:sz="12" w:space="0" w:color="000000"/>
              <w:right w:val="nil" w:sz="6" w:space="0" w:color="auto"/>
            </w:tcBorders>
          </w:tcPr>
          <w:p>
            <w:pPr>
              <w:pStyle w:val="TableParagraph"/>
              <w:spacing w:line="203" w:lineRule="exact"/>
              <w:ind w:left="120" w:right="0"/>
              <w:jc w:val="left"/>
              <w:rPr>
                <w:rFonts w:ascii="Arial" w:hAnsi="Arial" w:cs="Arial" w:eastAsia="Arial" w:hint="default"/>
                <w:sz w:val="18"/>
                <w:szCs w:val="18"/>
              </w:rPr>
            </w:pPr>
            <w:r>
              <w:rPr>
                <w:rFonts w:ascii="Arial"/>
                <w:sz w:val="18"/>
              </w:rPr>
              <w:t>269</w:t>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12" w:space="0" w:color="000000"/>
              <w:right w:val="nil" w:sz="6" w:space="0" w:color="auto"/>
            </w:tcBorders>
          </w:tcPr>
          <w:p>
            <w:pPr>
              <w:pStyle w:val="TableParagraph"/>
              <w:spacing w:line="203" w:lineRule="exact"/>
              <w:ind w:left="270" w:right="0"/>
              <w:jc w:val="left"/>
              <w:rPr>
                <w:rFonts w:ascii="Arial" w:hAnsi="Arial" w:cs="Arial" w:eastAsia="Arial" w:hint="default"/>
                <w:sz w:val="18"/>
                <w:szCs w:val="18"/>
              </w:rPr>
            </w:pPr>
            <w:r>
              <w:rPr>
                <w:rFonts w:ascii="Arial"/>
                <w:sz w:val="18"/>
              </w:rPr>
              <w:t>6,951,570</w:t>
            </w:r>
          </w:p>
        </w:tc>
      </w:tr>
      <w:tr>
        <w:trPr>
          <w:trHeight w:val="342" w:hRule="exact"/>
        </w:trPr>
        <w:tc>
          <w:tcPr>
            <w:tcW w:w="1958" w:type="dxa"/>
            <w:tcBorders>
              <w:top w:val="single" w:sz="12" w:space="0" w:color="000000"/>
              <w:left w:val="nil" w:sz="6" w:space="0" w:color="auto"/>
              <w:bottom w:val="nil" w:sz="6" w:space="0" w:color="auto"/>
              <w:right w:val="nil" w:sz="6" w:space="0" w:color="auto"/>
            </w:tcBorders>
          </w:tcPr>
          <w:p>
            <w:pPr>
              <w:pStyle w:val="TableParagraph"/>
              <w:spacing w:line="218" w:lineRule="exact"/>
              <w:ind w:left="200" w:right="0"/>
              <w:jc w:val="left"/>
              <w:rPr>
                <w:rFonts w:ascii="Arial" w:hAnsi="Arial" w:cs="Arial" w:eastAsia="Arial" w:hint="default"/>
                <w:sz w:val="18"/>
                <w:szCs w:val="18"/>
              </w:rPr>
            </w:pPr>
            <w:r>
              <w:rPr>
                <w:rFonts w:ascii="宋体" w:hAnsi="宋体" w:cs="宋体" w:eastAsia="宋体" w:hint="default"/>
                <w:sz w:val="18"/>
                <w:szCs w:val="18"/>
              </w:rPr>
              <w:t>外币金融负债 </w:t>
            </w:r>
            <w:r>
              <w:rPr>
                <w:rFonts w:ascii="Arial" w:hAnsi="Arial" w:cs="Arial" w:eastAsia="Arial" w:hint="default"/>
                <w:sz w:val="18"/>
                <w:szCs w:val="18"/>
              </w:rPr>
              <w:t>-</w:t>
            </w:r>
          </w:p>
        </w:tc>
        <w:tc>
          <w:tcPr>
            <w:tcW w:w="935" w:type="dxa"/>
            <w:tcBorders>
              <w:top w:val="single" w:sz="12" w:space="0" w:color="000000"/>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single" w:sz="12"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single" w:sz="12"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single" w:sz="12"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single" w:sz="12" w:space="0" w:color="000000"/>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single" w:sz="12" w:space="0" w:color="000000"/>
              <w:left w:val="nil" w:sz="6" w:space="0" w:color="auto"/>
              <w:bottom w:val="nil" w:sz="6" w:space="0" w:color="auto"/>
              <w:right w:val="nil" w:sz="6" w:space="0" w:color="auto"/>
            </w:tcBorders>
          </w:tcPr>
          <w:p>
            <w:pPr/>
          </w:p>
        </w:tc>
      </w:tr>
      <w:tr>
        <w:trPr>
          <w:trHeight w:val="331"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2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Arial" w:hAnsi="Arial" w:cs="Arial" w:eastAsia="Arial" w:hint="default"/>
                <w:sz w:val="18"/>
                <w:szCs w:val="18"/>
              </w:rPr>
            </w:pPr>
            <w:r>
              <w:rPr>
                <w:rFonts w:ascii="Arial"/>
                <w:w w:val="99"/>
                <w:sz w:val="18"/>
              </w:rPr>
              <w:t>-</w:t>
            </w:r>
            <w:r>
              <w:rPr>
                <w:rFonts w:ascii="Arial"/>
                <w:sz w:val="18"/>
              </w:rPr>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46" w:right="0"/>
              <w:jc w:val="left"/>
              <w:rPr>
                <w:rFonts w:ascii="Arial" w:hAnsi="Arial" w:cs="Arial" w:eastAsia="Arial" w:hint="default"/>
                <w:sz w:val="18"/>
                <w:szCs w:val="18"/>
              </w:rPr>
            </w:pPr>
            <w:r>
              <w:rPr>
                <w:rFonts w:ascii="Arial"/>
                <w:sz w:val="18"/>
              </w:rPr>
              <w:t>1,211,040</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81" w:right="0"/>
              <w:jc w:val="left"/>
              <w:rPr>
                <w:rFonts w:ascii="Arial" w:hAnsi="Arial" w:cs="Arial" w:eastAsia="Arial" w:hint="default"/>
                <w:sz w:val="18"/>
                <w:szCs w:val="18"/>
              </w:rPr>
            </w:pPr>
            <w:r>
              <w:rPr>
                <w:rFonts w:ascii="Arial"/>
                <w:sz w:val="18"/>
              </w:rPr>
              <w:t>600,009</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83" w:right="0"/>
              <w:jc w:val="left"/>
              <w:rPr>
                <w:rFonts w:ascii="Arial" w:hAnsi="Arial" w:cs="Arial" w:eastAsia="Arial" w:hint="default"/>
                <w:sz w:val="18"/>
                <w:szCs w:val="18"/>
              </w:rPr>
            </w:pPr>
            <w:r>
              <w:rPr>
                <w:rFonts w:ascii="Arial"/>
                <w:sz w:val="18"/>
              </w:rPr>
              <w:t>1,811,049</w:t>
            </w:r>
          </w:p>
        </w:tc>
      </w:tr>
      <w:tr>
        <w:trPr>
          <w:trHeight w:val="233"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76" w:right="0"/>
              <w:jc w:val="left"/>
              <w:rPr>
                <w:rFonts w:ascii="Arial" w:hAnsi="Arial" w:cs="Arial" w:eastAsia="Arial" w:hint="default"/>
                <w:sz w:val="18"/>
                <w:szCs w:val="18"/>
              </w:rPr>
            </w:pPr>
            <w:r>
              <w:rPr>
                <w:rFonts w:ascii="Arial"/>
                <w:sz w:val="18"/>
              </w:rPr>
              <w:t>128,305</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1" w:right="0"/>
              <w:jc w:val="left"/>
              <w:rPr>
                <w:rFonts w:ascii="Arial" w:hAnsi="Arial" w:cs="Arial" w:eastAsia="Arial" w:hint="default"/>
                <w:sz w:val="18"/>
                <w:szCs w:val="18"/>
              </w:rPr>
            </w:pPr>
            <w:r>
              <w:rPr>
                <w:rFonts w:ascii="Arial"/>
                <w:sz w:val="18"/>
              </w:rPr>
              <w:t>287,001</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83" w:right="0"/>
              <w:jc w:val="left"/>
              <w:rPr>
                <w:rFonts w:ascii="Arial" w:hAnsi="Arial" w:cs="Arial" w:eastAsia="Arial" w:hint="default"/>
                <w:sz w:val="18"/>
                <w:szCs w:val="18"/>
              </w:rPr>
            </w:pPr>
            <w:r>
              <w:rPr>
                <w:rFonts w:ascii="Arial"/>
                <w:sz w:val="18"/>
              </w:rPr>
              <w:t>1,169</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4</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20" w:right="0"/>
              <w:jc w:val="left"/>
              <w:rPr>
                <w:rFonts w:ascii="Arial" w:hAnsi="Arial" w:cs="Arial" w:eastAsia="Arial" w:hint="default"/>
                <w:sz w:val="18"/>
                <w:szCs w:val="18"/>
              </w:rPr>
            </w:pPr>
            <w:r>
              <w:rPr>
                <w:rFonts w:ascii="Arial"/>
                <w:sz w:val="18"/>
              </w:rPr>
              <w:t>416,479</w:t>
            </w:r>
          </w:p>
        </w:tc>
      </w:tr>
      <w:tr>
        <w:trPr>
          <w:trHeight w:val="233"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83" w:right="0"/>
              <w:jc w:val="left"/>
              <w:rPr>
                <w:rFonts w:ascii="Arial" w:hAnsi="Arial" w:cs="Arial" w:eastAsia="Arial" w:hint="default"/>
                <w:sz w:val="18"/>
                <w:szCs w:val="18"/>
              </w:rPr>
            </w:pPr>
            <w:r>
              <w:rPr>
                <w:rFonts w:ascii="Arial"/>
                <w:sz w:val="18"/>
              </w:rPr>
              <w:t>1,434</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83" w:right="0"/>
              <w:jc w:val="left"/>
              <w:rPr>
                <w:rFonts w:ascii="Arial" w:hAnsi="Arial" w:cs="Arial" w:eastAsia="Arial" w:hint="default"/>
                <w:sz w:val="18"/>
                <w:szCs w:val="18"/>
              </w:rPr>
            </w:pPr>
            <w:r>
              <w:rPr>
                <w:rFonts w:ascii="Arial"/>
                <w:sz w:val="18"/>
              </w:rPr>
              <w:t>1,247</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21" w:right="0"/>
              <w:jc w:val="left"/>
              <w:rPr>
                <w:rFonts w:ascii="Arial" w:hAnsi="Arial" w:cs="Arial" w:eastAsia="Arial" w:hint="default"/>
                <w:sz w:val="18"/>
                <w:szCs w:val="18"/>
              </w:rPr>
            </w:pPr>
            <w:r>
              <w:rPr>
                <w:rFonts w:ascii="Arial"/>
                <w:sz w:val="18"/>
              </w:rPr>
              <w:t>2,681</w:t>
            </w:r>
          </w:p>
        </w:tc>
      </w:tr>
      <w:tr>
        <w:trPr>
          <w:trHeight w:val="233"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5" w:right="0"/>
              <w:jc w:val="left"/>
              <w:rPr>
                <w:rFonts w:ascii="Arial" w:hAnsi="Arial" w:cs="Arial" w:eastAsia="Arial" w:hint="default"/>
                <w:sz w:val="18"/>
                <w:szCs w:val="18"/>
              </w:rPr>
            </w:pPr>
            <w:r>
              <w:rPr>
                <w:rFonts w:ascii="Arial"/>
                <w:sz w:val="18"/>
              </w:rPr>
              <w:t>78,353</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2" w:right="0"/>
              <w:jc w:val="left"/>
              <w:rPr>
                <w:rFonts w:ascii="Arial" w:hAnsi="Arial" w:cs="Arial" w:eastAsia="Arial" w:hint="default"/>
                <w:sz w:val="18"/>
                <w:szCs w:val="18"/>
              </w:rPr>
            </w:pPr>
            <w:r>
              <w:rPr>
                <w:rFonts w:ascii="Arial"/>
                <w:sz w:val="18"/>
              </w:rPr>
              <w:t>127,542</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2" w:right="0"/>
              <w:jc w:val="left"/>
              <w:rPr>
                <w:rFonts w:ascii="Arial" w:hAnsi="Arial" w:cs="Arial" w:eastAsia="Arial" w:hint="default"/>
                <w:sz w:val="18"/>
                <w:szCs w:val="18"/>
              </w:rPr>
            </w:pPr>
            <w:r>
              <w:rPr>
                <w:rFonts w:ascii="Arial"/>
                <w:sz w:val="18"/>
              </w:rPr>
              <w:t>2,052,133</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0" w:right="0"/>
              <w:jc w:val="left"/>
              <w:rPr>
                <w:rFonts w:ascii="Arial" w:hAnsi="Arial" w:cs="Arial" w:eastAsia="Arial" w:hint="default"/>
                <w:sz w:val="18"/>
                <w:szCs w:val="18"/>
              </w:rPr>
            </w:pPr>
            <w:r>
              <w:rPr>
                <w:rFonts w:ascii="Arial"/>
                <w:sz w:val="18"/>
              </w:rPr>
              <w:t>281</w:t>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0" w:right="0"/>
              <w:jc w:val="left"/>
              <w:rPr>
                <w:rFonts w:ascii="Arial" w:hAnsi="Arial" w:cs="Arial" w:eastAsia="Arial" w:hint="default"/>
                <w:sz w:val="18"/>
                <w:szCs w:val="18"/>
              </w:rPr>
            </w:pPr>
            <w:r>
              <w:rPr>
                <w:rFonts w:ascii="Arial"/>
                <w:sz w:val="18"/>
              </w:rPr>
              <w:t>2,258,309</w:t>
            </w:r>
          </w:p>
        </w:tc>
      </w:tr>
      <w:tr>
        <w:trPr>
          <w:trHeight w:val="467"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35" w:lineRule="exact"/>
              <w:ind w:left="69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76" w:right="0"/>
              <w:jc w:val="left"/>
              <w:rPr>
                <w:rFonts w:ascii="Arial" w:hAnsi="Arial" w:cs="Arial" w:eastAsia="Arial" w:hint="default"/>
                <w:sz w:val="18"/>
                <w:szCs w:val="18"/>
              </w:rPr>
            </w:pPr>
            <w:r>
              <w:rPr>
                <w:rFonts w:ascii="Arial"/>
                <w:sz w:val="18"/>
              </w:rPr>
              <w:t>3,719</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1" w:right="0"/>
              <w:jc w:val="left"/>
              <w:rPr>
                <w:rFonts w:ascii="Arial" w:hAnsi="Arial" w:cs="Arial" w:eastAsia="Arial" w:hint="default"/>
                <w:sz w:val="18"/>
                <w:szCs w:val="18"/>
              </w:rPr>
            </w:pPr>
            <w:r>
              <w:rPr>
                <w:rFonts w:ascii="Arial"/>
                <w:sz w:val="18"/>
              </w:rPr>
              <w:t>58,442</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19" w:right="0"/>
              <w:jc w:val="left"/>
              <w:rPr>
                <w:rFonts w:ascii="Arial" w:hAnsi="Arial" w:cs="Arial" w:eastAsia="Arial" w:hint="default"/>
                <w:sz w:val="18"/>
                <w:szCs w:val="18"/>
              </w:rPr>
            </w:pPr>
            <w:r>
              <w:rPr>
                <w:rFonts w:ascii="Arial"/>
                <w:sz w:val="18"/>
              </w:rPr>
              <w:t>62,161</w:t>
            </w:r>
          </w:p>
        </w:tc>
      </w:tr>
      <w:tr>
        <w:trPr>
          <w:trHeight w:val="233"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7" w:right="0"/>
              <w:jc w:val="left"/>
              <w:rPr>
                <w:rFonts w:ascii="Arial" w:hAnsi="Arial" w:cs="Arial" w:eastAsia="Arial" w:hint="default"/>
                <w:sz w:val="18"/>
                <w:szCs w:val="18"/>
              </w:rPr>
            </w:pPr>
            <w:r>
              <w:rPr>
                <w:rFonts w:ascii="Arial"/>
                <w:sz w:val="18"/>
              </w:rPr>
              <w:t>19,954</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1" w:right="0"/>
              <w:jc w:val="left"/>
              <w:rPr>
                <w:rFonts w:ascii="Arial" w:hAnsi="Arial" w:cs="Arial" w:eastAsia="Arial" w:hint="default"/>
                <w:sz w:val="18"/>
                <w:szCs w:val="18"/>
              </w:rPr>
            </w:pPr>
            <w:r>
              <w:rPr>
                <w:rFonts w:ascii="Arial"/>
                <w:sz w:val="18"/>
              </w:rPr>
              <w:t>337,667</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20" w:right="0"/>
              <w:jc w:val="left"/>
              <w:rPr>
                <w:rFonts w:ascii="Arial" w:hAnsi="Arial" w:cs="Arial" w:eastAsia="Arial" w:hint="default"/>
                <w:sz w:val="18"/>
                <w:szCs w:val="18"/>
              </w:rPr>
            </w:pPr>
            <w:r>
              <w:rPr>
                <w:rFonts w:ascii="Arial"/>
                <w:sz w:val="18"/>
              </w:rPr>
              <w:t>357,621</w:t>
            </w:r>
          </w:p>
        </w:tc>
      </w:tr>
      <w:tr>
        <w:trPr>
          <w:trHeight w:val="472"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其他非流动</w:t>
            </w:r>
          </w:p>
          <w:p>
            <w:pPr>
              <w:pStyle w:val="TableParagraph"/>
              <w:tabs>
                <w:tab w:pos="1900" w:val="left" w:leader="none"/>
                <w:tab w:pos="2689" w:val="left" w:leader="none"/>
              </w:tabs>
              <w:spacing w:line="240" w:lineRule="auto"/>
              <w:ind w:left="786" w:right="-731"/>
              <w:jc w:val="left"/>
              <w:rPr>
                <w:rFonts w:ascii="Arial" w:hAnsi="Arial" w:cs="Arial" w:eastAsia="Arial" w:hint="default"/>
                <w:sz w:val="18"/>
                <w:szCs w:val="18"/>
              </w:rPr>
            </w:pPr>
            <w:r>
              <w:rPr>
                <w:rFonts w:ascii="宋体" w:hAnsi="宋体" w:cs="宋体" w:eastAsia="宋体" w:hint="default"/>
                <w:position w:val="1"/>
                <w:sz w:val="18"/>
                <w:szCs w:val="18"/>
              </w:rPr>
              <w:t>负债</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203" w:val="left" w:leader="none"/>
              </w:tabs>
              <w:spacing w:line="240" w:lineRule="auto"/>
              <w:ind w:right="0"/>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481" w:val="left" w:leader="none"/>
                <w:tab w:pos="1141" w:val="left" w:leader="none"/>
              </w:tabs>
              <w:spacing w:line="240" w:lineRule="auto"/>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20,499</w:t>
              <w:tab/>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972" w:val="left" w:leader="none"/>
                <w:tab w:pos="1141" w:val="left" w:leader="none"/>
              </w:tabs>
              <w:spacing w:line="240" w:lineRule="auto"/>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652" w:val="left" w:leader="none"/>
                <w:tab w:pos="857" w:val="left" w:leader="none"/>
              </w:tabs>
              <w:spacing w:line="240" w:lineRule="auto"/>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323" w:val="left" w:leader="none"/>
                <w:tab w:pos="527" w:val="left" w:leader="none"/>
              </w:tabs>
              <w:spacing w:line="240" w:lineRule="auto"/>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520" w:val="left" w:leader="none"/>
                <w:tab w:pos="1178" w:val="left" w:leader="none"/>
              </w:tabs>
              <w:spacing w:line="240" w:lineRule="auto"/>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20,499</w:t>
              <w:tab/>
            </w:r>
            <w:r>
              <w:rPr>
                <w:rFonts w:ascii="Arial"/>
                <w:sz w:val="18"/>
              </w:rPr>
            </w:r>
          </w:p>
        </w:tc>
      </w:tr>
      <w:tr>
        <w:trPr>
          <w:trHeight w:val="223" w:hRule="exact"/>
        </w:trPr>
        <w:tc>
          <w:tcPr>
            <w:tcW w:w="1958" w:type="dxa"/>
            <w:tcBorders>
              <w:top w:val="nil" w:sz="6" w:space="0" w:color="auto"/>
              <w:left w:val="nil" w:sz="6" w:space="0" w:color="auto"/>
              <w:bottom w:val="single" w:sz="12" w:space="0" w:color="000000"/>
              <w:right w:val="nil" w:sz="6" w:space="0" w:color="auto"/>
            </w:tcBorders>
          </w:tcPr>
          <w:p>
            <w:pPr/>
          </w:p>
        </w:tc>
        <w:tc>
          <w:tcPr>
            <w:tcW w:w="935" w:type="dxa"/>
            <w:tcBorders>
              <w:top w:val="nil" w:sz="6" w:space="0" w:color="auto"/>
              <w:left w:val="nil" w:sz="6" w:space="0" w:color="auto"/>
              <w:bottom w:val="single" w:sz="12" w:space="0" w:color="000000"/>
              <w:right w:val="nil" w:sz="6" w:space="0" w:color="auto"/>
            </w:tcBorders>
          </w:tcPr>
          <w:p>
            <w:pPr>
              <w:pStyle w:val="TableParagraph"/>
              <w:spacing w:line="205" w:lineRule="exact"/>
              <w:ind w:left="176" w:right="0"/>
              <w:jc w:val="left"/>
              <w:rPr>
                <w:rFonts w:ascii="Arial" w:hAnsi="Arial" w:cs="Arial" w:eastAsia="Arial" w:hint="default"/>
                <w:sz w:val="18"/>
                <w:szCs w:val="18"/>
              </w:rPr>
            </w:pPr>
            <w:r>
              <w:rPr>
                <w:rFonts w:ascii="Arial"/>
                <w:sz w:val="18"/>
              </w:rPr>
              <w:t>230,331</w:t>
            </w:r>
          </w:p>
        </w:tc>
        <w:tc>
          <w:tcPr>
            <w:tcW w:w="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12" w:space="0" w:color="000000"/>
              <w:right w:val="nil" w:sz="6" w:space="0" w:color="auto"/>
            </w:tcBorders>
          </w:tcPr>
          <w:p>
            <w:pPr>
              <w:pStyle w:val="TableParagraph"/>
              <w:spacing w:line="205" w:lineRule="exact"/>
              <w:ind w:left="231" w:right="0"/>
              <w:jc w:val="left"/>
              <w:rPr>
                <w:rFonts w:ascii="Arial" w:hAnsi="Arial" w:cs="Arial" w:eastAsia="Arial" w:hint="default"/>
                <w:sz w:val="18"/>
                <w:szCs w:val="18"/>
              </w:rPr>
            </w:pPr>
            <w:r>
              <w:rPr>
                <w:rFonts w:ascii="Arial"/>
                <w:sz w:val="18"/>
              </w:rPr>
              <w:t>1,647,516</w:t>
            </w:r>
          </w:p>
        </w:tc>
        <w:tc>
          <w:tcPr>
            <w:tcW w:w="27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12" w:space="0" w:color="000000"/>
              <w:right w:val="nil" w:sz="6" w:space="0" w:color="auto"/>
            </w:tcBorders>
          </w:tcPr>
          <w:p>
            <w:pPr>
              <w:pStyle w:val="TableParagraph"/>
              <w:spacing w:line="205" w:lineRule="exact"/>
              <w:ind w:left="231" w:right="0"/>
              <w:jc w:val="left"/>
              <w:rPr>
                <w:rFonts w:ascii="Arial" w:hAnsi="Arial" w:cs="Arial" w:eastAsia="Arial" w:hint="default"/>
                <w:sz w:val="18"/>
                <w:szCs w:val="18"/>
              </w:rPr>
            </w:pPr>
            <w:r>
              <w:rPr>
                <w:rFonts w:ascii="Arial"/>
                <w:sz w:val="18"/>
              </w:rPr>
              <w:t>3,050,667</w:t>
            </w:r>
          </w:p>
        </w:tc>
        <w:tc>
          <w:tcPr>
            <w:tcW w:w="27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single" w:sz="12" w:space="0" w:color="000000"/>
              <w:right w:val="nil" w:sz="6" w:space="0" w:color="auto"/>
            </w:tcBorders>
          </w:tcPr>
          <w:p>
            <w:pPr>
              <w:pStyle w:val="TableParagraph"/>
              <w:spacing w:line="205" w:lineRule="exact"/>
              <w:ind w:left="448" w:right="0"/>
              <w:jc w:val="left"/>
              <w:rPr>
                <w:rFonts w:ascii="Arial" w:hAnsi="Arial" w:cs="Arial" w:eastAsia="Arial" w:hint="default"/>
                <w:sz w:val="18"/>
                <w:szCs w:val="18"/>
              </w:rPr>
            </w:pPr>
            <w:r>
              <w:rPr>
                <w:rFonts w:ascii="Arial"/>
                <w:sz w:val="18"/>
              </w:rPr>
              <w:t>285</w:t>
            </w:r>
          </w:p>
        </w:tc>
        <w:tc>
          <w:tcPr>
            <w:tcW w:w="276"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single" w:sz="12" w:space="0" w:color="000000"/>
              <w:right w:val="nil" w:sz="6" w:space="0" w:color="auto"/>
            </w:tcBorders>
          </w:tcPr>
          <w:p>
            <w:pPr>
              <w:pStyle w:val="TableParagraph"/>
              <w:spacing w:line="205" w:lineRule="exact"/>
              <w:ind w:left="323" w:right="0"/>
              <w:jc w:val="lef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12" w:space="0" w:color="000000"/>
              <w:right w:val="nil" w:sz="6" w:space="0" w:color="auto"/>
            </w:tcBorders>
          </w:tcPr>
          <w:p>
            <w:pPr>
              <w:pStyle w:val="TableParagraph"/>
              <w:spacing w:line="205" w:lineRule="exact"/>
              <w:ind w:left="270" w:right="0"/>
              <w:jc w:val="left"/>
              <w:rPr>
                <w:rFonts w:ascii="Arial" w:hAnsi="Arial" w:cs="Arial" w:eastAsia="Arial" w:hint="default"/>
                <w:sz w:val="18"/>
                <w:szCs w:val="18"/>
              </w:rPr>
            </w:pPr>
            <w:r>
              <w:rPr>
                <w:rFonts w:ascii="Arial"/>
                <w:sz w:val="18"/>
              </w:rPr>
              <w:t>4,928,799</w:t>
            </w:r>
          </w:p>
        </w:tc>
      </w:tr>
    </w:tbl>
    <w:p>
      <w:pPr>
        <w:spacing w:after="0" w:line="205" w:lineRule="exact"/>
        <w:jc w:val="left"/>
        <w:rPr>
          <w:rFonts w:ascii="Arial" w:hAnsi="Arial" w:cs="Arial" w:eastAsia="Arial" w:hint="default"/>
          <w:sz w:val="18"/>
          <w:szCs w:val="18"/>
        </w:rPr>
        <w:sectPr>
          <w:pgSz w:w="11910" w:h="16840"/>
          <w:pgMar w:header="755" w:footer="914" w:top="1860" w:bottom="11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95"/>
        <w:gridCol w:w="1873"/>
        <w:gridCol w:w="220"/>
        <w:gridCol w:w="979"/>
        <w:gridCol w:w="271"/>
        <w:gridCol w:w="1054"/>
        <w:gridCol w:w="272"/>
        <w:gridCol w:w="1116"/>
        <w:gridCol w:w="271"/>
        <w:gridCol w:w="1054"/>
        <w:gridCol w:w="236"/>
        <w:gridCol w:w="1453"/>
      </w:tblGrid>
      <w:tr>
        <w:trPr>
          <w:trHeight w:val="416"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1873"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58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4" w:right="0"/>
              <w:jc w:val="left"/>
              <w:rPr>
                <w:rFonts w:ascii="Arial" w:hAnsi="Arial" w:cs="Arial" w:eastAsia="Arial" w:hint="default"/>
                <w:sz w:val="24"/>
                <w:szCs w:val="24"/>
              </w:rPr>
            </w:pPr>
            <w:r>
              <w:rPr>
                <w:rFonts w:ascii="黑体" w:hAnsi="黑体" w:cs="黑体" w:eastAsia="黑体" w:hint="default"/>
                <w:sz w:val="24"/>
                <w:szCs w:val="24"/>
              </w:rPr>
              <w:t>市场风险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586"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4" w:right="0"/>
              <w:jc w:val="left"/>
              <w:rPr>
                <w:rFonts w:ascii="Arial" w:hAnsi="Arial" w:cs="Arial" w:eastAsia="Arial" w:hint="default"/>
                <w:sz w:val="24"/>
                <w:szCs w:val="24"/>
              </w:rPr>
            </w:pPr>
            <w:r>
              <w:rPr>
                <w:rFonts w:ascii="宋体" w:hAnsi="宋体" w:cs="宋体" w:eastAsia="宋体" w:hint="default"/>
                <w:sz w:val="24"/>
                <w:szCs w:val="24"/>
              </w:rPr>
              <w:t>外汇风险</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419"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single" w:sz="4" w:space="0" w:color="000000"/>
              <w:right w:val="nil" w:sz="6" w:space="0" w:color="auto"/>
            </w:tcBorders>
          </w:tcPr>
          <w:p>
            <w:pPr/>
          </w:p>
        </w:tc>
        <w:tc>
          <w:tcPr>
            <w:tcW w:w="979" w:type="dxa"/>
            <w:tcBorders>
              <w:top w:val="nil" w:sz="6" w:space="0" w:color="auto"/>
              <w:left w:val="nil" w:sz="6" w:space="0" w:color="auto"/>
              <w:bottom w:val="single" w:sz="4" w:space="0" w:color="000000"/>
              <w:right w:val="nil" w:sz="6" w:space="0" w:color="auto"/>
            </w:tcBorders>
          </w:tcPr>
          <w:p>
            <w:pPr/>
          </w:p>
        </w:tc>
        <w:tc>
          <w:tcPr>
            <w:tcW w:w="271" w:type="dxa"/>
            <w:tcBorders>
              <w:top w:val="nil" w:sz="6" w:space="0" w:color="auto"/>
              <w:left w:val="nil" w:sz="6" w:space="0" w:color="auto"/>
              <w:bottom w:val="single" w:sz="4" w:space="0" w:color="000000"/>
              <w:right w:val="nil" w:sz="6" w:space="0" w:color="auto"/>
            </w:tcBorders>
          </w:tcPr>
          <w:p>
            <w:pPr/>
          </w:p>
        </w:tc>
        <w:tc>
          <w:tcPr>
            <w:tcW w:w="1054" w:type="dxa"/>
            <w:tcBorders>
              <w:top w:val="nil" w:sz="6" w:space="0" w:color="auto"/>
              <w:left w:val="nil" w:sz="6" w:space="0" w:color="auto"/>
              <w:bottom w:val="single" w:sz="4" w:space="0" w:color="000000"/>
              <w:right w:val="nil" w:sz="6" w:space="0" w:color="auto"/>
            </w:tcBorders>
          </w:tcPr>
          <w:p>
            <w:pPr/>
          </w:p>
        </w:tc>
        <w:tc>
          <w:tcPr>
            <w:tcW w:w="272"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left="157" w:right="0"/>
              <w:jc w:val="left"/>
              <w:rPr>
                <w:rFonts w:ascii="Arial" w:hAnsi="Arial" w:cs="Arial" w:eastAsia="Arial" w:hint="default"/>
                <w:sz w:val="18"/>
                <w:szCs w:val="18"/>
              </w:rPr>
            </w:pPr>
            <w:r>
              <w:rPr>
                <w:rFonts w:ascii="Arial"/>
                <w:spacing w:val="-1"/>
                <w:w w:val="99"/>
                <w:sz w:val="18"/>
              </w:rPr>
              <w:t>2</w:t>
            </w:r>
            <w:r>
              <w:rPr>
                <w:rFonts w:ascii="Arial"/>
                <w:sz w:val="18"/>
              </w:rPr>
            </w: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16" w:right="-9"/>
              <w:jc w:val="right"/>
              <w:rPr>
                <w:rFonts w:ascii="Arial" w:hAnsi="Arial" w:cs="Arial" w:eastAsia="Arial" w:hint="default"/>
                <w:sz w:val="18"/>
                <w:szCs w:val="18"/>
              </w:rPr>
            </w:pPr>
            <w:r>
              <w:rPr>
                <w:rFonts w:ascii="Arial" w:hAnsi="Arial" w:cs="Arial" w:eastAsia="Arial" w:hint="default"/>
                <w:sz w:val="18"/>
                <w:szCs w:val="18"/>
              </w:rPr>
              <w:t>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p>
        </w:tc>
        <w:tc>
          <w:tcPr>
            <w:tcW w:w="271"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left="8" w:right="0"/>
              <w:jc w:val="left"/>
              <w:rPr>
                <w:rFonts w:ascii="Arial" w:hAnsi="Arial" w:cs="Arial" w:eastAsia="Arial" w:hint="default"/>
                <w:sz w:val="18"/>
                <w:szCs w:val="18"/>
              </w:rPr>
            </w:pPr>
            <w:r>
              <w:rPr>
                <w:rFonts w:ascii="Arial"/>
                <w:spacing w:val="-1"/>
                <w:w w:val="99"/>
                <w:sz w:val="18"/>
              </w:rPr>
              <w:t>1</w:t>
            </w:r>
            <w:r>
              <w:rPr>
                <w:rFonts w:ascii="Arial"/>
                <w:sz w:val="18"/>
              </w:rPr>
            </w: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1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6" w:type="dxa"/>
            <w:tcBorders>
              <w:top w:val="nil" w:sz="6" w:space="0" w:color="auto"/>
              <w:left w:val="nil" w:sz="6" w:space="0" w:color="auto"/>
              <w:bottom w:val="single" w:sz="4" w:space="0" w:color="000000"/>
              <w:right w:val="nil" w:sz="6" w:space="0" w:color="auto"/>
            </w:tcBorders>
          </w:tcPr>
          <w:p>
            <w:pPr/>
          </w:p>
        </w:tc>
        <w:tc>
          <w:tcPr>
            <w:tcW w:w="1453" w:type="dxa"/>
            <w:tcBorders>
              <w:top w:val="nil" w:sz="6" w:space="0" w:color="auto"/>
              <w:left w:val="nil" w:sz="6" w:space="0" w:color="auto"/>
              <w:bottom w:val="single" w:sz="4" w:space="0" w:color="000000"/>
              <w:right w:val="nil" w:sz="6" w:space="0" w:color="auto"/>
            </w:tcBorders>
          </w:tcPr>
          <w:p>
            <w:pPr/>
          </w:p>
        </w:tc>
      </w:tr>
      <w:tr>
        <w:trPr>
          <w:trHeight w:val="470"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20" w:type="dxa"/>
            <w:tcBorders>
              <w:top w:val="single" w:sz="4" w:space="0" w:color="000000"/>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115" w:right="0"/>
              <w:jc w:val="left"/>
              <w:rPr>
                <w:rFonts w:ascii="宋体" w:hAnsi="宋体" w:cs="宋体" w:eastAsia="宋体" w:hint="default"/>
                <w:sz w:val="18"/>
                <w:szCs w:val="18"/>
              </w:rPr>
            </w:pPr>
            <w:r>
              <w:rPr>
                <w:rFonts w:ascii="宋体" w:hAnsi="宋体" w:cs="宋体" w:eastAsia="宋体" w:hint="default"/>
                <w:sz w:val="18"/>
                <w:szCs w:val="18"/>
              </w:rPr>
              <w:t>日元项目</w:t>
            </w:r>
          </w:p>
        </w:tc>
        <w:tc>
          <w:tcPr>
            <w:tcW w:w="271" w:type="dxa"/>
            <w:tcBorders>
              <w:top w:val="single" w:sz="4" w:space="0" w:color="000000"/>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225" w:right="0"/>
              <w:jc w:val="left"/>
              <w:rPr>
                <w:rFonts w:ascii="宋体" w:hAnsi="宋体" w:cs="宋体" w:eastAsia="宋体" w:hint="default"/>
                <w:sz w:val="18"/>
                <w:szCs w:val="18"/>
              </w:rPr>
            </w:pPr>
            <w:r>
              <w:rPr>
                <w:rFonts w:ascii="宋体" w:hAnsi="宋体" w:cs="宋体" w:eastAsia="宋体" w:hint="default"/>
                <w:sz w:val="18"/>
                <w:szCs w:val="18"/>
              </w:rPr>
              <w:t>港元项目</w:t>
            </w:r>
          </w:p>
        </w:tc>
        <w:tc>
          <w:tcPr>
            <w:tcW w:w="272" w:type="dxa"/>
            <w:tcBorders>
              <w:top w:val="single" w:sz="4" w:space="0" w:color="000000"/>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286"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271" w:type="dxa"/>
            <w:tcBorders>
              <w:top w:val="single" w:sz="4" w:space="0" w:color="000000"/>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nil" w:sz="6" w:space="0" w:color="auto"/>
              <w:right w:val="nil" w:sz="6" w:space="0" w:color="auto"/>
            </w:tcBorders>
          </w:tcPr>
          <w:p>
            <w:pPr>
              <w:pStyle w:val="TableParagraph"/>
              <w:spacing w:line="204" w:lineRule="exact"/>
              <w:ind w:left="585" w:right="0" w:hanging="180"/>
              <w:jc w:val="left"/>
              <w:rPr>
                <w:rFonts w:ascii="宋体" w:hAnsi="宋体" w:cs="宋体" w:eastAsia="宋体" w:hint="default"/>
                <w:sz w:val="18"/>
                <w:szCs w:val="18"/>
              </w:rPr>
            </w:pPr>
            <w:r>
              <w:rPr>
                <w:rFonts w:ascii="宋体" w:hAnsi="宋体" w:cs="宋体" w:eastAsia="宋体" w:hint="default"/>
                <w:sz w:val="18"/>
                <w:szCs w:val="18"/>
              </w:rPr>
              <w:t>澳门元</w:t>
            </w:r>
          </w:p>
          <w:p>
            <w:pPr>
              <w:pStyle w:val="TableParagraph"/>
              <w:spacing w:line="234" w:lineRule="exact"/>
              <w:ind w:left="58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6" w:type="dxa"/>
            <w:tcBorders>
              <w:top w:val="single" w:sz="4" w:space="0" w:color="000000"/>
              <w:left w:val="nil" w:sz="6" w:space="0" w:color="auto"/>
              <w:bottom w:val="nil" w:sz="6" w:space="0" w:color="auto"/>
              <w:right w:val="nil" w:sz="6" w:space="0" w:color="auto"/>
            </w:tcBorders>
          </w:tcPr>
          <w:p>
            <w:pPr/>
          </w:p>
        </w:tc>
        <w:tc>
          <w:tcPr>
            <w:tcW w:w="1453"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236"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20" w:lineRule="exact"/>
              <w:ind w:left="114" w:right="0"/>
              <w:jc w:val="left"/>
              <w:rPr>
                <w:rFonts w:ascii="Arial" w:hAnsi="Arial" w:cs="Arial" w:eastAsia="Arial" w:hint="default"/>
                <w:sz w:val="18"/>
                <w:szCs w:val="18"/>
              </w:rPr>
            </w:pPr>
            <w:r>
              <w:rPr>
                <w:rFonts w:ascii="宋体" w:hAnsi="宋体" w:cs="宋体" w:eastAsia="宋体" w:hint="default"/>
                <w:sz w:val="18"/>
                <w:szCs w:val="18"/>
              </w:rPr>
              <w:t>外币金融资产 </w:t>
            </w:r>
            <w:r>
              <w:rPr>
                <w:rFonts w:ascii="Arial" w:hAnsi="Arial" w:cs="Arial" w:eastAsia="Arial" w:hint="default"/>
                <w:sz w:val="18"/>
                <w:szCs w:val="18"/>
              </w:rPr>
              <w:t>-</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240"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04" w:lineRule="exact"/>
              <w:ind w:left="34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20" w:right="0"/>
              <w:jc w:val="left"/>
              <w:rPr>
                <w:rFonts w:ascii="Arial" w:hAnsi="Arial" w:cs="Arial" w:eastAsia="Arial" w:hint="default"/>
                <w:sz w:val="18"/>
                <w:szCs w:val="18"/>
              </w:rPr>
            </w:pPr>
            <w:r>
              <w:rPr>
                <w:rFonts w:ascii="Arial"/>
                <w:sz w:val="18"/>
              </w:rPr>
              <w:t>234,954</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95" w:right="0"/>
              <w:jc w:val="left"/>
              <w:rPr>
                <w:rFonts w:ascii="Arial" w:hAnsi="Arial" w:cs="Arial" w:eastAsia="Arial" w:hint="default"/>
                <w:sz w:val="18"/>
                <w:szCs w:val="18"/>
              </w:rPr>
            </w:pPr>
            <w:r>
              <w:rPr>
                <w:rFonts w:ascii="Arial"/>
                <w:sz w:val="18"/>
              </w:rPr>
              <w:t>293,486</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Arial" w:hAnsi="Arial" w:cs="Arial" w:eastAsia="Arial" w:hint="default"/>
                <w:sz w:val="18"/>
                <w:szCs w:val="18"/>
              </w:rPr>
            </w:pPr>
            <w:r>
              <w:rPr>
                <w:rFonts w:ascii="Arial"/>
                <w:spacing w:val="-1"/>
                <w:sz w:val="18"/>
              </w:rPr>
              <w:t>168,181</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Arial" w:hAnsi="Arial" w:cs="Arial" w:eastAsia="Arial" w:hint="default"/>
                <w:sz w:val="18"/>
                <w:szCs w:val="18"/>
              </w:rPr>
            </w:pPr>
            <w:r>
              <w:rPr>
                <w:rFonts w:ascii="Arial"/>
                <w:spacing w:val="-1"/>
                <w:sz w:val="18"/>
              </w:rPr>
              <w:t>2,721</w:t>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04" w:lineRule="exact"/>
              <w:ind w:right="106"/>
              <w:jc w:val="right"/>
              <w:rPr>
                <w:rFonts w:ascii="Arial" w:hAnsi="Arial" w:cs="Arial" w:eastAsia="Arial" w:hint="default"/>
                <w:sz w:val="18"/>
                <w:szCs w:val="18"/>
              </w:rPr>
            </w:pPr>
            <w:r>
              <w:rPr>
                <w:rFonts w:ascii="Arial"/>
                <w:spacing w:val="-1"/>
                <w:sz w:val="18"/>
              </w:rPr>
              <w:t>699,342</w:t>
            </w:r>
          </w:p>
        </w:tc>
      </w:tr>
      <w:tr>
        <w:trPr>
          <w:trHeight w:val="234"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21" w:right="0"/>
              <w:jc w:val="left"/>
              <w:rPr>
                <w:rFonts w:ascii="Arial" w:hAnsi="Arial" w:cs="Arial" w:eastAsia="Arial" w:hint="default"/>
                <w:sz w:val="18"/>
                <w:szCs w:val="18"/>
              </w:rPr>
            </w:pPr>
            <w:r>
              <w:rPr>
                <w:rFonts w:ascii="Arial"/>
                <w:sz w:val="18"/>
              </w:rPr>
              <w:t>33,385</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18"/>
                <w:szCs w:val="18"/>
              </w:rPr>
            </w:pPr>
            <w:r>
              <w:rPr>
                <w:rFonts w:ascii="Arial"/>
                <w:spacing w:val="-1"/>
                <w:sz w:val="18"/>
              </w:rPr>
              <w:t>13,655</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spacing w:val="-1"/>
                <w:w w:val="95"/>
                <w:sz w:val="18"/>
              </w:rPr>
              <w:t>844</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198" w:lineRule="exact"/>
              <w:ind w:right="106"/>
              <w:jc w:val="right"/>
              <w:rPr>
                <w:rFonts w:ascii="Arial" w:hAnsi="Arial" w:cs="Arial" w:eastAsia="Arial" w:hint="default"/>
                <w:sz w:val="18"/>
                <w:szCs w:val="18"/>
              </w:rPr>
            </w:pPr>
            <w:r>
              <w:rPr>
                <w:rFonts w:ascii="Arial"/>
                <w:spacing w:val="-1"/>
                <w:sz w:val="18"/>
              </w:rPr>
              <w:t>47,884</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spacing w:val="-1"/>
                <w:w w:val="95"/>
                <w:sz w:val="18"/>
              </w:rPr>
              <w:t>17</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spacing w:val="-1"/>
                <w:sz w:val="18"/>
              </w:rPr>
              <w:t>1,523</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spacing w:val="-1"/>
                <w:sz w:val="18"/>
              </w:rPr>
              <w:t>1,540</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21" w:right="0"/>
              <w:jc w:val="left"/>
              <w:rPr>
                <w:rFonts w:ascii="Arial" w:hAnsi="Arial" w:cs="Arial" w:eastAsia="Arial" w:hint="default"/>
                <w:sz w:val="18"/>
                <w:szCs w:val="18"/>
              </w:rPr>
            </w:pPr>
            <w:r>
              <w:rPr>
                <w:rFonts w:ascii="Arial"/>
                <w:sz w:val="18"/>
              </w:rPr>
              <w:t>41,201</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18"/>
                <w:szCs w:val="18"/>
              </w:rPr>
            </w:pPr>
            <w:r>
              <w:rPr>
                <w:rFonts w:ascii="Arial"/>
                <w:spacing w:val="-1"/>
                <w:sz w:val="18"/>
              </w:rPr>
              <w:t>55,913</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Arial" w:hAnsi="Arial" w:cs="Arial" w:eastAsia="Arial" w:hint="default"/>
                <w:sz w:val="18"/>
                <w:szCs w:val="18"/>
              </w:rPr>
            </w:pPr>
            <w:r>
              <w:rPr>
                <w:rFonts w:ascii="Arial"/>
                <w:spacing w:val="-1"/>
                <w:w w:val="95"/>
                <w:sz w:val="18"/>
              </w:rPr>
              <w:t>824</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spacing w:val="-1"/>
                <w:sz w:val="18"/>
              </w:rPr>
              <w:t>97,938</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spacing w:val="-1"/>
                <w:w w:val="95"/>
                <w:sz w:val="18"/>
              </w:rPr>
              <w:t>630</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w w:val="99"/>
                <w:sz w:val="18"/>
              </w:rPr>
              <w:t>-</w:t>
            </w:r>
            <w:r>
              <w:rPr>
                <w:rFonts w:ascii="Arial"/>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198" w:lineRule="exact"/>
              <w:ind w:right="108"/>
              <w:jc w:val="right"/>
              <w:rPr>
                <w:rFonts w:ascii="Arial" w:hAnsi="Arial" w:cs="Arial" w:eastAsia="Arial" w:hint="default"/>
                <w:sz w:val="18"/>
                <w:szCs w:val="18"/>
              </w:rPr>
            </w:pPr>
            <w:r>
              <w:rPr>
                <w:rFonts w:ascii="Arial"/>
                <w:spacing w:val="-1"/>
                <w:w w:val="95"/>
                <w:sz w:val="18"/>
              </w:rPr>
              <w:t>630</w:t>
            </w:r>
            <w:r>
              <w:rPr>
                <w:rFonts w:ascii="Arial"/>
                <w:sz w:val="18"/>
              </w:rPr>
            </w:r>
          </w:p>
        </w:tc>
      </w:tr>
      <w:tr>
        <w:trPr>
          <w:trHeight w:val="231"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40" w:lineRule="auto" w:before="1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4"/>
                <w:sz w:val="18"/>
                <w:u w:val="single" w:color="000000"/>
              </w:rPr>
              <w:t> </w:t>
            </w:r>
            <w:r>
              <w:rPr>
                <w:rFonts w:ascii="Arial"/>
                <w:spacing w:val="-1"/>
                <w:sz w:val="18"/>
                <w:u w:val="single" w:color="000000"/>
              </w:rPr>
              <w:t>180,956</w:t>
              <w:tab/>
            </w:r>
            <w:r>
              <w:rPr>
                <w:rFonts w:ascii="Arial"/>
                <w:spacing w:val="-1"/>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tabs>
                <w:tab w:pos="388" w:val="left" w:leader="none"/>
                <w:tab w:pos="1046" w:val="left" w:leader="none"/>
              </w:tabs>
              <w:spacing w:line="240" w:lineRule="auto" w:before="1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20,460</w:t>
              <w:tab/>
            </w:r>
            <w:r>
              <w:rPr>
                <w:rFonts w:ascii="Arial"/>
                <w:spacing w:val="-1"/>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tabs>
                <w:tab w:pos="549" w:val="left" w:leader="none"/>
                <w:tab w:pos="1109" w:val="left" w:leader="none"/>
              </w:tabs>
              <w:spacing w:line="240" w:lineRule="auto" w:before="1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9,680</w:t>
              <w:tab/>
            </w:r>
            <w:r>
              <w:rPr>
                <w:rFonts w:ascii="Arial"/>
                <w:spacing w:val="-1"/>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tabs>
                <w:tab w:pos="878" w:val="left" w:leader="none"/>
                <w:tab w:pos="1046" w:val="left" w:leader="none"/>
              </w:tabs>
              <w:spacing w:line="240" w:lineRule="auto" w:before="1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4" w:space="0" w:color="000000"/>
              <w:right w:val="nil" w:sz="6" w:space="0" w:color="auto"/>
            </w:tcBorders>
          </w:tcPr>
          <w:p>
            <w:pPr>
              <w:pStyle w:val="TableParagraph"/>
              <w:spacing w:line="197" w:lineRule="exact"/>
              <w:ind w:right="106"/>
              <w:jc w:val="right"/>
              <w:rPr>
                <w:rFonts w:ascii="Arial" w:hAnsi="Arial" w:cs="Arial" w:eastAsia="Arial" w:hint="default"/>
                <w:sz w:val="18"/>
                <w:szCs w:val="18"/>
              </w:rPr>
            </w:pPr>
            <w:r>
              <w:rPr>
                <w:rFonts w:ascii="Arial"/>
                <w:spacing w:val="-3"/>
                <w:sz w:val="18"/>
              </w:rPr>
              <w:t>211,096</w:t>
            </w:r>
          </w:p>
        </w:tc>
      </w:tr>
      <w:tr>
        <w:trPr>
          <w:trHeight w:val="226"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220" w:right="0"/>
              <w:jc w:val="left"/>
              <w:rPr>
                <w:rFonts w:ascii="Arial" w:hAnsi="Arial" w:cs="Arial" w:eastAsia="Arial" w:hint="default"/>
                <w:sz w:val="18"/>
                <w:szCs w:val="18"/>
              </w:rPr>
            </w:pPr>
            <w:r>
              <w:rPr>
                <w:rFonts w:ascii="Arial"/>
                <w:sz w:val="18"/>
              </w:rPr>
              <w:t>491,143</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295" w:right="0"/>
              <w:jc w:val="left"/>
              <w:rPr>
                <w:rFonts w:ascii="Arial" w:hAnsi="Arial" w:cs="Arial" w:eastAsia="Arial" w:hint="default"/>
                <w:sz w:val="18"/>
                <w:szCs w:val="18"/>
              </w:rPr>
            </w:pPr>
            <w:r>
              <w:rPr>
                <w:rFonts w:ascii="Arial"/>
                <w:sz w:val="18"/>
              </w:rPr>
              <w:t>385,037</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178,705</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104"/>
              <w:jc w:val="right"/>
              <w:rPr>
                <w:rFonts w:ascii="Arial" w:hAnsi="Arial" w:cs="Arial" w:eastAsia="Arial" w:hint="default"/>
                <w:sz w:val="18"/>
                <w:szCs w:val="18"/>
              </w:rPr>
            </w:pPr>
            <w:r>
              <w:rPr>
                <w:rFonts w:ascii="Arial"/>
                <w:spacing w:val="-1"/>
                <w:sz w:val="18"/>
              </w:rPr>
              <w:t>3,545</w:t>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7"/>
              <w:jc w:val="right"/>
              <w:rPr>
                <w:rFonts w:ascii="Arial" w:hAnsi="Arial" w:cs="Arial" w:eastAsia="Arial" w:hint="default"/>
                <w:sz w:val="18"/>
                <w:szCs w:val="18"/>
              </w:rPr>
            </w:pPr>
            <w:r>
              <w:rPr>
                <w:rFonts w:ascii="Arial"/>
                <w:spacing w:val="-1"/>
                <w:sz w:val="18"/>
              </w:rPr>
              <w:t>1,058,430</w:t>
            </w:r>
          </w:p>
        </w:tc>
      </w:tr>
      <w:tr>
        <w:trPr>
          <w:trHeight w:val="250"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33" w:lineRule="exact"/>
              <w:ind w:left="114" w:right="0"/>
              <w:jc w:val="left"/>
              <w:rPr>
                <w:rFonts w:ascii="Arial" w:hAnsi="Arial" w:cs="Arial" w:eastAsia="Arial" w:hint="default"/>
                <w:sz w:val="18"/>
                <w:szCs w:val="18"/>
              </w:rPr>
            </w:pPr>
            <w:r>
              <w:rPr>
                <w:rFonts w:ascii="宋体" w:hAnsi="宋体" w:cs="宋体" w:eastAsia="宋体" w:hint="default"/>
                <w:sz w:val="18"/>
                <w:szCs w:val="18"/>
              </w:rPr>
              <w:t>外币金融负债 </w:t>
            </w:r>
            <w:r>
              <w:rPr>
                <w:rFonts w:ascii="Arial" w:hAnsi="Arial" w:cs="Arial" w:eastAsia="Arial" w:hint="default"/>
                <w:sz w:val="18"/>
                <w:szCs w:val="18"/>
              </w:rPr>
              <w:t>-</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single" w:sz="12"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single" w:sz="12" w:space="0" w:color="000000"/>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single" w:sz="12"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single" w:sz="1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single" w:sz="12" w:space="0" w:color="000000"/>
              <w:left w:val="nil" w:sz="6" w:space="0" w:color="auto"/>
              <w:bottom w:val="nil" w:sz="6" w:space="0" w:color="auto"/>
              <w:right w:val="nil" w:sz="6" w:space="0" w:color="auto"/>
            </w:tcBorders>
          </w:tcPr>
          <w:p>
            <w:pPr/>
          </w:p>
        </w:tc>
      </w:tr>
      <w:tr>
        <w:trPr>
          <w:trHeight w:val="241"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6" w:right="0"/>
              <w:jc w:val="left"/>
              <w:rPr>
                <w:rFonts w:ascii="Arial" w:hAnsi="Arial" w:cs="Arial" w:eastAsia="Arial" w:hint="default"/>
                <w:sz w:val="18"/>
                <w:szCs w:val="18"/>
              </w:rPr>
            </w:pPr>
            <w:r>
              <w:rPr>
                <w:rFonts w:ascii="Arial"/>
                <w:sz w:val="18"/>
              </w:rPr>
              <w:t>1,095,940</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Arial" w:hAnsi="Arial" w:cs="Arial" w:eastAsia="Arial" w:hint="default"/>
                <w:sz w:val="18"/>
                <w:szCs w:val="18"/>
              </w:rPr>
            </w:pPr>
            <w:r>
              <w:rPr>
                <w:rFonts w:ascii="Arial"/>
                <w:spacing w:val="-1"/>
                <w:sz w:val="18"/>
              </w:rPr>
              <w:t>69,619</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04" w:lineRule="exact"/>
              <w:ind w:right="106"/>
              <w:jc w:val="right"/>
              <w:rPr>
                <w:rFonts w:ascii="Arial" w:hAnsi="Arial" w:cs="Arial" w:eastAsia="Arial" w:hint="default"/>
                <w:sz w:val="18"/>
                <w:szCs w:val="18"/>
              </w:rPr>
            </w:pPr>
            <w:r>
              <w:rPr>
                <w:rFonts w:ascii="Arial"/>
                <w:spacing w:val="-1"/>
                <w:sz w:val="18"/>
              </w:rPr>
              <w:t>1,165,559</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1" w:right="0"/>
              <w:jc w:val="left"/>
              <w:rPr>
                <w:rFonts w:ascii="Arial" w:hAnsi="Arial" w:cs="Arial" w:eastAsia="Arial" w:hint="default"/>
                <w:sz w:val="18"/>
                <w:szCs w:val="18"/>
              </w:rPr>
            </w:pPr>
            <w:r>
              <w:rPr>
                <w:rFonts w:ascii="Arial"/>
                <w:sz w:val="18"/>
              </w:rPr>
              <w:t>120,257</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6" w:right="0"/>
              <w:jc w:val="left"/>
              <w:rPr>
                <w:rFonts w:ascii="Arial" w:hAnsi="Arial" w:cs="Arial" w:eastAsia="Arial" w:hint="default"/>
                <w:sz w:val="18"/>
                <w:szCs w:val="18"/>
              </w:rPr>
            </w:pPr>
            <w:r>
              <w:rPr>
                <w:rFonts w:ascii="Arial"/>
                <w:sz w:val="18"/>
              </w:rPr>
              <w:t>270,163</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spacing w:val="-1"/>
                <w:w w:val="95"/>
                <w:sz w:val="18"/>
              </w:rPr>
              <w:t>704</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198" w:lineRule="exact"/>
              <w:ind w:right="106"/>
              <w:jc w:val="right"/>
              <w:rPr>
                <w:rFonts w:ascii="Arial" w:hAnsi="Arial" w:cs="Arial" w:eastAsia="Arial" w:hint="default"/>
                <w:sz w:val="18"/>
                <w:szCs w:val="18"/>
              </w:rPr>
            </w:pPr>
            <w:r>
              <w:rPr>
                <w:rFonts w:ascii="Arial"/>
                <w:spacing w:val="-1"/>
                <w:sz w:val="18"/>
              </w:rPr>
              <w:t>391,124</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18"/>
                <w:szCs w:val="18"/>
              </w:rPr>
            </w:pPr>
            <w:r>
              <w:rPr>
                <w:rFonts w:ascii="Arial"/>
                <w:spacing w:val="-1"/>
                <w:sz w:val="18"/>
              </w:rPr>
              <w:t>1,837</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spacing w:val="-1"/>
                <w:sz w:val="18"/>
              </w:rPr>
              <w:t>1,891</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197" w:lineRule="exact"/>
              <w:ind w:right="108"/>
              <w:jc w:val="right"/>
              <w:rPr>
                <w:rFonts w:ascii="Arial" w:hAnsi="Arial" w:cs="Arial" w:eastAsia="Arial" w:hint="default"/>
                <w:sz w:val="18"/>
                <w:szCs w:val="18"/>
              </w:rPr>
            </w:pPr>
            <w:r>
              <w:rPr>
                <w:rFonts w:ascii="Arial"/>
                <w:spacing w:val="-1"/>
                <w:sz w:val="18"/>
              </w:rPr>
              <w:t>3,728</w:t>
            </w:r>
            <w:r>
              <w:rPr>
                <w:rFonts w:ascii="Arial"/>
                <w:sz w:val="18"/>
              </w:rPr>
            </w:r>
          </w:p>
        </w:tc>
      </w:tr>
      <w:tr>
        <w:trPr>
          <w:trHeight w:val="236"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21" w:right="0"/>
              <w:jc w:val="left"/>
              <w:rPr>
                <w:rFonts w:ascii="Arial" w:hAnsi="Arial" w:cs="Arial" w:eastAsia="Arial" w:hint="default"/>
                <w:sz w:val="18"/>
                <w:szCs w:val="18"/>
              </w:rPr>
            </w:pPr>
            <w:r>
              <w:rPr>
                <w:rFonts w:ascii="Arial"/>
                <w:sz w:val="18"/>
              </w:rPr>
              <w:t>59,349</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6" w:right="0"/>
              <w:jc w:val="left"/>
              <w:rPr>
                <w:rFonts w:ascii="Arial" w:hAnsi="Arial" w:cs="Arial" w:eastAsia="Arial" w:hint="default"/>
                <w:sz w:val="18"/>
                <w:szCs w:val="18"/>
              </w:rPr>
            </w:pPr>
            <w:r>
              <w:rPr>
                <w:rFonts w:ascii="Arial"/>
                <w:sz w:val="18"/>
              </w:rPr>
              <w:t>101,365</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spacing w:val="-1"/>
                <w:w w:val="95"/>
                <w:sz w:val="18"/>
              </w:rPr>
              <w:t>166</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198" w:lineRule="exact"/>
              <w:ind w:right="106"/>
              <w:jc w:val="right"/>
              <w:rPr>
                <w:rFonts w:ascii="Arial" w:hAnsi="Arial" w:cs="Arial" w:eastAsia="Arial" w:hint="default"/>
                <w:sz w:val="18"/>
                <w:szCs w:val="18"/>
              </w:rPr>
            </w:pPr>
            <w:r>
              <w:rPr>
                <w:rFonts w:ascii="Arial"/>
                <w:spacing w:val="-1"/>
                <w:sz w:val="18"/>
              </w:rPr>
              <w:t>160,880</w:t>
            </w:r>
          </w:p>
        </w:tc>
      </w:tr>
      <w:tr>
        <w:trPr>
          <w:trHeight w:val="465"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5" w:lineRule="exact"/>
              <w:ind w:left="340"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35" w:lineRule="exact"/>
              <w:ind w:left="564"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104,635</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104,635</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spacing w:val="-1"/>
                <w:sz w:val="18"/>
              </w:rPr>
              <w:t>914,214</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197" w:lineRule="exact"/>
              <w:ind w:right="106"/>
              <w:jc w:val="right"/>
              <w:rPr>
                <w:rFonts w:ascii="Arial" w:hAnsi="Arial" w:cs="Arial" w:eastAsia="Arial" w:hint="default"/>
                <w:sz w:val="18"/>
                <w:szCs w:val="18"/>
              </w:rPr>
            </w:pPr>
            <w:r>
              <w:rPr>
                <w:rFonts w:ascii="Arial"/>
                <w:spacing w:val="-1"/>
                <w:sz w:val="18"/>
              </w:rPr>
              <w:t>914,214</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tabs>
                <w:tab w:pos="803" w:val="left" w:leader="none"/>
              </w:tabs>
              <w:spacing w:line="240" w:lineRule="auto" w:before="1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tabs>
                <w:tab w:pos="488" w:val="left" w:leader="none"/>
                <w:tab w:pos="1046" w:val="left" w:leader="none"/>
              </w:tabs>
              <w:spacing w:line="240" w:lineRule="auto" w:before="1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4,873</w:t>
              <w:tab/>
            </w:r>
            <w:r>
              <w:rPr>
                <w:rFonts w:ascii="Arial"/>
                <w:spacing w:val="-1"/>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tabs>
                <w:tab w:pos="939" w:val="left" w:leader="none"/>
                <w:tab w:pos="1109" w:val="left" w:leader="none"/>
              </w:tabs>
              <w:spacing w:line="240" w:lineRule="auto" w:before="1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tabs>
                <w:tab w:pos="878" w:val="left" w:leader="none"/>
                <w:tab w:pos="1046" w:val="left" w:leader="none"/>
              </w:tabs>
              <w:spacing w:line="240" w:lineRule="auto" w:before="1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6" w:space="0" w:color="000000"/>
              <w:right w:val="nil" w:sz="6" w:space="0" w:color="auto"/>
            </w:tcBorders>
          </w:tcPr>
          <w:p>
            <w:pPr>
              <w:pStyle w:val="TableParagraph"/>
              <w:spacing w:line="198" w:lineRule="exact"/>
              <w:ind w:right="106"/>
              <w:jc w:val="right"/>
              <w:rPr>
                <w:rFonts w:ascii="Arial" w:hAnsi="Arial" w:cs="Arial" w:eastAsia="Arial" w:hint="default"/>
                <w:sz w:val="18"/>
                <w:szCs w:val="18"/>
              </w:rPr>
            </w:pPr>
            <w:r>
              <w:rPr>
                <w:rFonts w:ascii="Arial"/>
                <w:spacing w:val="-1"/>
                <w:sz w:val="18"/>
              </w:rPr>
              <w:t>4,873</w:t>
            </w:r>
          </w:p>
        </w:tc>
      </w:tr>
      <w:tr>
        <w:trPr>
          <w:trHeight w:val="230"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left="221" w:right="0"/>
              <w:jc w:val="left"/>
              <w:rPr>
                <w:rFonts w:ascii="Arial" w:hAnsi="Arial" w:cs="Arial" w:eastAsia="Arial" w:hint="default"/>
                <w:sz w:val="18"/>
                <w:szCs w:val="18"/>
              </w:rPr>
            </w:pPr>
            <w:r>
              <w:rPr>
                <w:rFonts w:ascii="Arial"/>
                <w:sz w:val="18"/>
              </w:rPr>
              <w:t>179,606</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left="146" w:right="0"/>
              <w:jc w:val="left"/>
              <w:rPr>
                <w:rFonts w:ascii="Arial" w:hAnsi="Arial" w:cs="Arial" w:eastAsia="Arial" w:hint="default"/>
                <w:sz w:val="18"/>
                <w:szCs w:val="18"/>
              </w:rPr>
            </w:pPr>
            <w:r>
              <w:rPr>
                <w:rFonts w:ascii="Arial"/>
                <w:sz w:val="18"/>
              </w:rPr>
              <w:t>1,474,178</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left="206" w:right="0"/>
              <w:jc w:val="left"/>
              <w:rPr>
                <w:rFonts w:ascii="Arial" w:hAnsi="Arial" w:cs="Arial" w:eastAsia="Arial" w:hint="default"/>
                <w:sz w:val="18"/>
                <w:szCs w:val="18"/>
              </w:rPr>
            </w:pPr>
            <w:r>
              <w:rPr>
                <w:rFonts w:ascii="Arial"/>
                <w:sz w:val="18"/>
              </w:rPr>
              <w:t>1,091,063</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106"/>
              <w:jc w:val="right"/>
              <w:rPr>
                <w:rFonts w:ascii="Arial" w:hAnsi="Arial" w:cs="Arial" w:eastAsia="Arial" w:hint="default"/>
                <w:sz w:val="18"/>
                <w:szCs w:val="18"/>
              </w:rPr>
            </w:pPr>
            <w:r>
              <w:rPr>
                <w:rFonts w:ascii="Arial"/>
                <w:spacing w:val="-1"/>
                <w:w w:val="95"/>
                <w:sz w:val="18"/>
              </w:rPr>
              <w:t>166</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453" w:type="dxa"/>
            <w:tcBorders>
              <w:top w:val="single" w:sz="6" w:space="0" w:color="000000"/>
              <w:left w:val="nil" w:sz="6" w:space="0" w:color="auto"/>
              <w:bottom w:val="single" w:sz="12" w:space="0" w:color="000000"/>
              <w:right w:val="nil" w:sz="6" w:space="0" w:color="auto"/>
            </w:tcBorders>
          </w:tcPr>
          <w:p>
            <w:pPr>
              <w:pStyle w:val="TableParagraph"/>
              <w:spacing w:line="206" w:lineRule="exact"/>
              <w:ind w:right="107"/>
              <w:jc w:val="right"/>
              <w:rPr>
                <w:rFonts w:ascii="Arial" w:hAnsi="Arial" w:cs="Arial" w:eastAsia="Arial" w:hint="default"/>
                <w:sz w:val="18"/>
                <w:szCs w:val="18"/>
              </w:rPr>
            </w:pPr>
            <w:r>
              <w:rPr>
                <w:rFonts w:ascii="Arial"/>
                <w:spacing w:val="-1"/>
                <w:sz w:val="18"/>
              </w:rPr>
              <w:t>2,745,013</w:t>
            </w:r>
          </w:p>
        </w:tc>
      </w:tr>
    </w:tbl>
    <w:p>
      <w:pPr>
        <w:spacing w:line="240" w:lineRule="auto" w:before="11"/>
        <w:rPr>
          <w:rFonts w:ascii="Times New Roman" w:hAnsi="Times New Roman" w:cs="Times New Roman" w:eastAsia="Times New Roman" w:hint="default"/>
          <w:sz w:val="27"/>
          <w:szCs w:val="27"/>
        </w:rPr>
      </w:pPr>
    </w:p>
    <w:tbl>
      <w:tblPr>
        <w:tblW w:w="0" w:type="auto"/>
        <w:jc w:val="left"/>
        <w:tblInd w:w="845" w:type="dxa"/>
        <w:tblLayout w:type="fixed"/>
        <w:tblCellMar>
          <w:top w:w="0" w:type="dxa"/>
          <w:left w:w="0" w:type="dxa"/>
          <w:bottom w:w="0" w:type="dxa"/>
          <w:right w:w="0" w:type="dxa"/>
        </w:tblCellMar>
        <w:tblLook w:val="01E0"/>
      </w:tblPr>
      <w:tblGrid>
        <w:gridCol w:w="8950"/>
      </w:tblGrid>
      <w:tr>
        <w:trPr>
          <w:trHeight w:val="1042" w:hRule="exact"/>
        </w:trPr>
        <w:tc>
          <w:tcPr>
            <w:tcW w:w="8950"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3"/>
                <w:sz w:val="24"/>
                <w:szCs w:val="24"/>
              </w:rPr>
              <w:t>日，对于本集团各类日元金融资产和金融负债，如果人民币对</w:t>
            </w:r>
          </w:p>
          <w:p>
            <w:pPr>
              <w:pStyle w:val="TableParagraph"/>
              <w:spacing w:line="310" w:lineRule="exact" w:before="22"/>
              <w:ind w:left="200" w:right="202"/>
              <w:jc w:val="left"/>
              <w:rPr>
                <w:rFonts w:ascii="宋体" w:hAnsi="宋体" w:cs="宋体" w:eastAsia="宋体" w:hint="default"/>
                <w:sz w:val="24"/>
                <w:szCs w:val="24"/>
              </w:rPr>
            </w:pPr>
            <w:r>
              <w:rPr>
                <w:rFonts w:ascii="宋体" w:hAnsi="宋体" w:cs="宋体" w:eastAsia="宋体" w:hint="default"/>
                <w:sz w:val="24"/>
                <w:szCs w:val="24"/>
              </w:rPr>
              <w:t>日元升值或贬值 </w:t>
            </w:r>
            <w:r>
              <w:rPr>
                <w:rFonts w:ascii="Arial" w:hAnsi="Arial" w:cs="Arial" w:eastAsia="Arial" w:hint="default"/>
                <w:sz w:val="24"/>
                <w:szCs w:val="24"/>
              </w:rPr>
              <w:t>10%</w:t>
            </w:r>
            <w:r>
              <w:rPr>
                <w:rFonts w:ascii="宋体" w:hAnsi="宋体" w:cs="宋体" w:eastAsia="宋体" w:hint="default"/>
                <w:sz w:val="24"/>
                <w:szCs w:val="24"/>
              </w:rPr>
              <w:t>，其他因素保持不变，则本集团将减少或增加其他综合收益 约人民币</w:t>
            </w:r>
            <w:r>
              <w:rPr>
                <w:rFonts w:ascii="宋体" w:hAnsi="宋体" w:cs="宋体" w:eastAsia="宋体" w:hint="default"/>
                <w:spacing w:val="-61"/>
                <w:sz w:val="24"/>
                <w:szCs w:val="24"/>
              </w:rPr>
              <w:t> </w:t>
            </w:r>
            <w:r>
              <w:rPr>
                <w:rFonts w:ascii="Arial" w:hAnsi="Arial" w:cs="Arial" w:eastAsia="Arial" w:hint="default"/>
                <w:sz w:val="24"/>
                <w:szCs w:val="24"/>
              </w:rPr>
              <w:t>3,415</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日：减少或增加约人民币</w:t>
            </w:r>
            <w:r>
              <w:rPr>
                <w:rFonts w:ascii="宋体" w:hAnsi="宋体" w:cs="宋体" w:eastAsia="宋体" w:hint="default"/>
                <w:spacing w:val="-61"/>
                <w:sz w:val="24"/>
                <w:szCs w:val="24"/>
              </w:rPr>
              <w:t> </w:t>
            </w:r>
            <w:r>
              <w:rPr>
                <w:rFonts w:ascii="Arial" w:hAnsi="Arial" w:cs="Arial" w:eastAsia="Arial" w:hint="default"/>
                <w:spacing w:val="-4"/>
                <w:sz w:val="24"/>
                <w:szCs w:val="24"/>
              </w:rPr>
              <w:t>3,115</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210" w:hRule="exact"/>
        </w:trPr>
        <w:tc>
          <w:tcPr>
            <w:tcW w:w="8950" w:type="dxa"/>
            <w:tcBorders>
              <w:top w:val="nil" w:sz="6" w:space="0" w:color="auto"/>
              <w:left w:val="nil" w:sz="6" w:space="0" w:color="auto"/>
              <w:bottom w:val="nil" w:sz="6" w:space="0" w:color="auto"/>
              <w:right w:val="nil" w:sz="6" w:space="0" w:color="auto"/>
            </w:tcBorders>
          </w:tcPr>
          <w:p>
            <w:pPr>
              <w:pStyle w:val="TableParagraph"/>
              <w:spacing w:line="225" w:lineRule="auto" w:before="110"/>
              <w:ind w:left="200" w:right="19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3"/>
                <w:sz w:val="24"/>
                <w:szCs w:val="24"/>
              </w:rPr>
              <w:t>日，对于本集团各类港元金融资产和金融负债，如果人民币对</w:t>
            </w:r>
            <w:r>
              <w:rPr>
                <w:rFonts w:ascii="宋体" w:hAnsi="宋体" w:cs="宋体" w:eastAsia="宋体" w:hint="default"/>
                <w:sz w:val="24"/>
                <w:szCs w:val="24"/>
              </w:rPr>
              <w:t> 港元升值或贬值</w:t>
            </w:r>
            <w:r>
              <w:rPr>
                <w:rFonts w:ascii="宋体" w:hAnsi="宋体" w:cs="宋体" w:eastAsia="宋体" w:hint="default"/>
                <w:spacing w:val="6"/>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，其他因素保持不变，则本集团将减少或增加其他综合收益 约人民币</w:t>
            </w:r>
            <w:r>
              <w:rPr>
                <w:rFonts w:ascii="宋体" w:hAnsi="宋体" w:cs="宋体" w:eastAsia="宋体" w:hint="default"/>
                <w:spacing w:val="-61"/>
                <w:sz w:val="24"/>
                <w:szCs w:val="24"/>
              </w:rPr>
              <w:t> </w:t>
            </w:r>
            <w:r>
              <w:rPr>
                <w:rFonts w:ascii="Arial" w:hAnsi="Arial" w:cs="Arial" w:eastAsia="Arial" w:hint="default"/>
                <w:sz w:val="24"/>
                <w:szCs w:val="24"/>
              </w:rPr>
              <w:t>2.08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日：增加或减少约人民币</w:t>
            </w:r>
            <w:r>
              <w:rPr>
                <w:rFonts w:ascii="宋体" w:hAnsi="宋体" w:cs="宋体" w:eastAsia="宋体" w:hint="default"/>
                <w:spacing w:val="-61"/>
                <w:sz w:val="24"/>
                <w:szCs w:val="24"/>
              </w:rPr>
              <w:t> </w:t>
            </w:r>
            <w:r>
              <w:rPr>
                <w:rFonts w:ascii="Arial" w:hAnsi="Arial" w:cs="Arial" w:eastAsia="Arial" w:hint="default"/>
                <w:sz w:val="24"/>
                <w:szCs w:val="24"/>
              </w:rPr>
              <w:t>1.09</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1210" w:hRule="exact"/>
        </w:trPr>
        <w:tc>
          <w:tcPr>
            <w:tcW w:w="8950" w:type="dxa"/>
            <w:tcBorders>
              <w:top w:val="nil" w:sz="6" w:space="0" w:color="auto"/>
              <w:left w:val="nil" w:sz="6" w:space="0" w:color="auto"/>
              <w:bottom w:val="nil" w:sz="6" w:space="0" w:color="auto"/>
              <w:right w:val="nil" w:sz="6" w:space="0" w:color="auto"/>
            </w:tcBorders>
          </w:tcPr>
          <w:p>
            <w:pPr>
              <w:pStyle w:val="TableParagraph"/>
              <w:spacing w:line="310" w:lineRule="exact" w:before="126"/>
              <w:ind w:left="200" w:right="199"/>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3"/>
                <w:sz w:val="24"/>
                <w:szCs w:val="24"/>
              </w:rPr>
              <w:t>日，对于本集团各类美元金融资产和金融负债，如果人民币对</w:t>
            </w:r>
            <w:r>
              <w:rPr>
                <w:rFonts w:ascii="宋体" w:hAnsi="宋体" w:cs="宋体" w:eastAsia="宋体" w:hint="default"/>
                <w:sz w:val="24"/>
                <w:szCs w:val="24"/>
              </w:rPr>
              <w:t> 美元升值或贬值 </w:t>
            </w:r>
            <w:r>
              <w:rPr>
                <w:rFonts w:ascii="Arial" w:hAnsi="Arial" w:cs="Arial" w:eastAsia="Arial" w:hint="default"/>
                <w:sz w:val="24"/>
                <w:szCs w:val="24"/>
              </w:rPr>
              <w:t>10%</w:t>
            </w:r>
            <w:r>
              <w:rPr>
                <w:rFonts w:ascii="宋体" w:hAnsi="宋体" w:cs="宋体" w:eastAsia="宋体" w:hint="default"/>
                <w:sz w:val="24"/>
                <w:szCs w:val="24"/>
              </w:rPr>
              <w:t>，其他因素保持不变，则本集团将增加或减少其他综合收益 约人民币</w:t>
            </w:r>
            <w:r>
              <w:rPr>
                <w:rFonts w:ascii="宋体" w:hAnsi="宋体" w:cs="宋体" w:eastAsia="宋体" w:hint="default"/>
                <w:spacing w:val="-61"/>
                <w:sz w:val="24"/>
                <w:szCs w:val="24"/>
              </w:rPr>
              <w:t> </w:t>
            </w:r>
            <w:r>
              <w:rPr>
                <w:rFonts w:ascii="Arial" w:hAnsi="Arial" w:cs="Arial" w:eastAsia="Arial" w:hint="default"/>
                <w:sz w:val="24"/>
                <w:szCs w:val="24"/>
              </w:rPr>
              <w:t>4,061</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日：增加或减少约人民币</w:t>
            </w:r>
            <w:r>
              <w:rPr>
                <w:rFonts w:ascii="宋体" w:hAnsi="宋体" w:cs="宋体" w:eastAsia="宋体" w:hint="default"/>
                <w:spacing w:val="-61"/>
                <w:sz w:val="24"/>
                <w:szCs w:val="24"/>
              </w:rPr>
              <w:t> </w:t>
            </w:r>
            <w:r>
              <w:rPr>
                <w:rFonts w:ascii="Arial" w:hAnsi="Arial" w:cs="Arial" w:eastAsia="Arial" w:hint="default"/>
                <w:sz w:val="24"/>
                <w:szCs w:val="24"/>
              </w:rPr>
              <w:t>9,124</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042" w:hRule="exact"/>
        </w:trPr>
        <w:tc>
          <w:tcPr>
            <w:tcW w:w="8950" w:type="dxa"/>
            <w:tcBorders>
              <w:top w:val="nil" w:sz="6" w:space="0" w:color="auto"/>
              <w:left w:val="nil" w:sz="6" w:space="0" w:color="auto"/>
              <w:bottom w:val="nil" w:sz="6" w:space="0" w:color="auto"/>
              <w:right w:val="nil" w:sz="6" w:space="0" w:color="auto"/>
            </w:tcBorders>
          </w:tcPr>
          <w:p>
            <w:pPr>
              <w:pStyle w:val="TableParagraph"/>
              <w:spacing w:line="225" w:lineRule="auto" w:before="111"/>
              <w:ind w:left="200" w:right="19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3"/>
                <w:sz w:val="24"/>
                <w:szCs w:val="24"/>
              </w:rPr>
              <w:t>日，对于本集团各类澳门元金融资产和金融负债，如果人民币</w:t>
            </w:r>
            <w:r>
              <w:rPr>
                <w:rFonts w:ascii="宋体" w:hAnsi="宋体" w:cs="宋体" w:eastAsia="宋体" w:hint="default"/>
                <w:sz w:val="24"/>
                <w:szCs w:val="24"/>
              </w:rPr>
              <w:t> 对澳门元升值或贬值</w:t>
            </w:r>
            <w:r>
              <w:rPr>
                <w:rFonts w:ascii="宋体" w:hAnsi="宋体" w:cs="宋体" w:eastAsia="宋体" w:hint="default"/>
                <w:spacing w:val="5"/>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，其他因素保持不变，则本集团将减少或增加其他综合 收益约人民币</w:t>
            </w:r>
            <w:r>
              <w:rPr>
                <w:rFonts w:ascii="宋体" w:hAnsi="宋体" w:cs="宋体" w:eastAsia="宋体" w:hint="default"/>
                <w:spacing w:val="-61"/>
                <w:sz w:val="24"/>
                <w:szCs w:val="24"/>
              </w:rPr>
              <w:t> </w:t>
            </w:r>
            <w:r>
              <w:rPr>
                <w:rFonts w:ascii="Arial" w:hAnsi="Arial" w:cs="Arial" w:eastAsia="Arial" w:hint="default"/>
                <w:sz w:val="24"/>
                <w:szCs w:val="24"/>
              </w:rPr>
              <w:t>44</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日：减少或增加约人民币</w:t>
            </w:r>
            <w:r>
              <w:rPr>
                <w:rFonts w:ascii="宋体" w:hAnsi="宋体" w:cs="宋体" w:eastAsia="宋体" w:hint="default"/>
                <w:spacing w:val="-61"/>
                <w:sz w:val="24"/>
                <w:szCs w:val="24"/>
              </w:rPr>
              <w:t> </w:t>
            </w:r>
            <w:r>
              <w:rPr>
                <w:rFonts w:ascii="Arial" w:hAnsi="Arial" w:cs="Arial" w:eastAsia="Arial" w:hint="default"/>
                <w:sz w:val="24"/>
                <w:szCs w:val="24"/>
              </w:rPr>
              <w:t>34</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225" w:lineRule="auto"/>
        <w:jc w:val="both"/>
        <w:rPr>
          <w:rFonts w:ascii="宋体" w:hAnsi="宋体" w:cs="宋体" w:eastAsia="宋体" w:hint="default"/>
          <w:sz w:val="24"/>
          <w:szCs w:val="24"/>
        </w:rPr>
        <w:sectPr>
          <w:pgSz w:w="11910" w:h="16840"/>
          <w:pgMar w:header="755" w:footer="914" w:top="1860" w:bottom="11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99"/>
        <w:gridCol w:w="8971"/>
      </w:tblGrid>
      <w:tr>
        <w:trPr>
          <w:trHeight w:val="416"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8971"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w:t>
            </w:r>
          </w:p>
        </w:tc>
        <w:tc>
          <w:tcPr>
            <w:tcW w:w="897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9" w:right="0"/>
              <w:jc w:val="left"/>
              <w:rPr>
                <w:rFonts w:ascii="Arial" w:hAnsi="Arial" w:cs="Arial" w:eastAsia="Arial" w:hint="default"/>
                <w:sz w:val="24"/>
                <w:szCs w:val="24"/>
              </w:rPr>
            </w:pPr>
            <w:r>
              <w:rPr>
                <w:rFonts w:ascii="黑体" w:hAnsi="黑体" w:cs="黑体" w:eastAsia="黑体" w:hint="default"/>
                <w:sz w:val="24"/>
                <w:szCs w:val="24"/>
              </w:rPr>
              <w:t>市场风险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897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宋体" w:hAnsi="宋体" w:cs="宋体" w:eastAsia="宋体" w:hint="default"/>
                <w:sz w:val="24"/>
                <w:szCs w:val="24"/>
              </w:rPr>
            </w:pPr>
            <w:r>
              <w:rPr>
                <w:rFonts w:ascii="宋体" w:hAnsi="宋体" w:cs="宋体" w:eastAsia="宋体" w:hint="default"/>
                <w:sz w:val="24"/>
                <w:szCs w:val="24"/>
              </w:rPr>
              <w:t>利率风险</w:t>
            </w:r>
          </w:p>
        </w:tc>
      </w:tr>
      <w:tr>
        <w:trPr>
          <w:trHeight w:val="3083" w:hRule="exact"/>
        </w:trPr>
        <w:tc>
          <w:tcPr>
            <w:tcW w:w="799" w:type="dxa"/>
            <w:tcBorders>
              <w:top w:val="nil" w:sz="6" w:space="0" w:color="auto"/>
              <w:left w:val="nil" w:sz="6" w:space="0" w:color="auto"/>
              <w:bottom w:val="nil" w:sz="6" w:space="0" w:color="auto"/>
              <w:right w:val="nil" w:sz="6" w:space="0" w:color="auto"/>
            </w:tcBorders>
          </w:tcPr>
          <w:p>
            <w:pPr/>
          </w:p>
        </w:tc>
        <w:tc>
          <w:tcPr>
            <w:tcW w:w="8971"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19" w:right="199"/>
              <w:jc w:val="both"/>
              <w:rPr>
                <w:rFonts w:ascii="宋体" w:hAnsi="宋体" w:cs="宋体" w:eastAsia="宋体" w:hint="default"/>
                <w:sz w:val="24"/>
                <w:szCs w:val="24"/>
              </w:rPr>
            </w:pPr>
            <w:r>
              <w:rPr>
                <w:rFonts w:ascii="宋体" w:hAnsi="宋体" w:cs="宋体" w:eastAsia="宋体" w:hint="default"/>
                <w:sz w:val="24"/>
                <w:szCs w:val="24"/>
              </w:rPr>
              <w:t>本集团的利率风险主要产生于长期银行借款及应付债券等长期带息债务。浮动利率 的金融负债使本集团面临现金流量利率风险，固定利率的金融负债使本集团面临公 允价值利率风险。本集团根据当时的市场环境来决定固定利率及浮动利率合同的相 对比例。于</w:t>
            </w:r>
            <w:r>
              <w:rPr>
                <w:rFonts w:ascii="宋体" w:hAnsi="宋体" w:cs="宋体" w:eastAsia="宋体" w:hint="default"/>
                <w:spacing w:val="-57"/>
                <w:sz w:val="24"/>
                <w:szCs w:val="24"/>
              </w:rPr>
              <w:t> </w:t>
            </w:r>
            <w:r>
              <w:rPr>
                <w:rFonts w:ascii="Arial" w:hAnsi="Arial" w:cs="Arial" w:eastAsia="Arial" w:hint="default"/>
                <w:sz w:val="24"/>
                <w:szCs w:val="24"/>
              </w:rPr>
              <w:t>2015</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日，本集团长期带息债务主要为人民币计价的固定利</w:t>
            </w:r>
          </w:p>
          <w:p>
            <w:pPr>
              <w:pStyle w:val="TableParagraph"/>
              <w:spacing w:line="301" w:lineRule="exact"/>
              <w:ind w:left="119" w:right="0"/>
              <w:jc w:val="both"/>
              <w:rPr>
                <w:rFonts w:ascii="宋体" w:hAnsi="宋体" w:cs="宋体" w:eastAsia="宋体" w:hint="default"/>
                <w:sz w:val="24"/>
                <w:szCs w:val="24"/>
              </w:rPr>
            </w:pPr>
            <w:r>
              <w:rPr>
                <w:rFonts w:ascii="宋体" w:hAnsi="宋体" w:cs="宋体" w:eastAsia="宋体" w:hint="default"/>
                <w:sz w:val="24"/>
                <w:szCs w:val="24"/>
              </w:rPr>
              <w:t>率的应付债券</w:t>
            </w:r>
            <w:r>
              <w:rPr>
                <w:rFonts w:ascii="Arial" w:hAnsi="Arial" w:cs="Arial" w:eastAsia="Arial" w:hint="default"/>
                <w:sz w:val="24"/>
                <w:szCs w:val="24"/>
              </w:rPr>
              <w:t>(</w:t>
            </w:r>
            <w:r>
              <w:rPr>
                <w:rFonts w:ascii="宋体" w:hAnsi="宋体" w:cs="宋体" w:eastAsia="宋体" w:hint="default"/>
                <w:sz w:val="24"/>
                <w:szCs w:val="24"/>
              </w:rPr>
              <w:t>其中第二期债券附第 </w:t>
            </w:r>
            <w:r>
              <w:rPr>
                <w:rFonts w:ascii="Arial" w:hAnsi="Arial" w:cs="Arial" w:eastAsia="Arial" w:hint="default"/>
                <w:sz w:val="24"/>
                <w:szCs w:val="24"/>
              </w:rPr>
              <w:t>3</w:t>
            </w:r>
            <w:r>
              <w:rPr>
                <w:rFonts w:ascii="Arial" w:hAnsi="Arial" w:cs="Arial" w:eastAsia="Arial" w:hint="default"/>
                <w:spacing w:val="8"/>
                <w:sz w:val="24"/>
                <w:szCs w:val="24"/>
              </w:rPr>
              <w:t> </w:t>
            </w:r>
            <w:r>
              <w:rPr>
                <w:rFonts w:ascii="宋体" w:hAnsi="宋体" w:cs="宋体" w:eastAsia="宋体" w:hint="default"/>
                <w:sz w:val="24"/>
                <w:szCs w:val="24"/>
              </w:rPr>
              <w:t>年末发行人上调票面利率选择权</w:t>
            </w:r>
            <w:r>
              <w:rPr>
                <w:rFonts w:ascii="Arial" w:hAnsi="Arial" w:cs="Arial" w:eastAsia="Arial" w:hint="default"/>
                <w:sz w:val="24"/>
                <w:szCs w:val="24"/>
              </w:rPr>
              <w:t>)</w:t>
            </w:r>
            <w:r>
              <w:rPr>
                <w:rFonts w:ascii="宋体" w:hAnsi="宋体" w:cs="宋体" w:eastAsia="宋体" w:hint="default"/>
                <w:sz w:val="24"/>
                <w:szCs w:val="24"/>
              </w:rPr>
              <w:t>，金额约为</w:t>
            </w:r>
          </w:p>
          <w:p>
            <w:pPr>
              <w:pStyle w:val="TableParagraph"/>
              <w:spacing w:line="311" w:lineRule="exact"/>
              <w:ind w:left="119" w:right="0"/>
              <w:jc w:val="both"/>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55"/>
                <w:sz w:val="24"/>
                <w:szCs w:val="24"/>
              </w:rPr>
              <w:t> </w:t>
            </w:r>
            <w:r>
              <w:rPr>
                <w:rFonts w:ascii="Arial" w:hAnsi="Arial" w:cs="Arial" w:eastAsia="Arial" w:hint="default"/>
                <w:sz w:val="24"/>
                <w:szCs w:val="24"/>
              </w:rPr>
              <w:t>79.77</w:t>
            </w:r>
            <w:r>
              <w:rPr>
                <w:rFonts w:ascii="Arial" w:hAnsi="Arial" w:cs="Arial" w:eastAsia="Arial" w:hint="default"/>
                <w:spacing w:val="-2"/>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日：约人民币</w:t>
            </w:r>
            <w:r>
              <w:rPr>
                <w:rFonts w:ascii="宋体" w:hAnsi="宋体" w:cs="宋体" w:eastAsia="宋体" w:hint="default"/>
                <w:spacing w:val="-55"/>
                <w:sz w:val="24"/>
                <w:szCs w:val="24"/>
              </w:rPr>
              <w:t> </w:t>
            </w:r>
            <w:r>
              <w:rPr>
                <w:rFonts w:ascii="Arial" w:hAnsi="Arial" w:cs="Arial" w:eastAsia="Arial" w:hint="default"/>
                <w:sz w:val="24"/>
                <w:szCs w:val="24"/>
              </w:rPr>
              <w:t>79.61</w:t>
            </w:r>
            <w:r>
              <w:rPr>
                <w:rFonts w:ascii="Arial" w:hAnsi="Arial" w:cs="Arial" w:eastAsia="Arial" w:hint="default"/>
                <w:spacing w:val="-3"/>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(34))</w:t>
            </w:r>
            <w:r>
              <w:rPr>
                <w:rFonts w:ascii="宋体" w:hAnsi="宋体" w:cs="宋体" w:eastAsia="宋体" w:hint="default"/>
                <w:sz w:val="24"/>
                <w:szCs w:val="24"/>
              </w:rPr>
              <w:t>；以及</w:t>
            </w:r>
          </w:p>
          <w:p>
            <w:pPr>
              <w:pStyle w:val="TableParagraph"/>
              <w:spacing w:line="311" w:lineRule="exact"/>
              <w:ind w:left="119" w:right="0"/>
              <w:jc w:val="both"/>
              <w:rPr>
                <w:rFonts w:ascii="Arial" w:hAnsi="Arial" w:cs="Arial" w:eastAsia="Arial" w:hint="default"/>
                <w:sz w:val="24"/>
                <w:szCs w:val="24"/>
              </w:rPr>
            </w:pPr>
            <w:r>
              <w:rPr>
                <w:rFonts w:ascii="宋体" w:hAnsi="宋体" w:cs="宋体" w:eastAsia="宋体" w:hint="default"/>
                <w:sz w:val="24"/>
                <w:szCs w:val="24"/>
              </w:rPr>
              <w:t>美元计价的浮动利率的长期银行借款，金额约为人民币</w:t>
            </w:r>
            <w:r>
              <w:rPr>
                <w:rFonts w:ascii="宋体" w:hAnsi="宋体" w:cs="宋体" w:eastAsia="宋体" w:hint="default"/>
                <w:spacing w:val="-69"/>
                <w:sz w:val="24"/>
                <w:szCs w:val="24"/>
              </w:rPr>
              <w:t> </w:t>
            </w:r>
            <w:r>
              <w:rPr>
                <w:rFonts w:ascii="Arial" w:hAnsi="Arial" w:cs="Arial" w:eastAsia="Arial" w:hint="default"/>
                <w:sz w:val="24"/>
                <w:szCs w:val="24"/>
              </w:rPr>
              <w:t>3.96</w:t>
            </w:r>
            <w:r>
              <w:rPr>
                <w:rFonts w:ascii="Arial" w:hAnsi="Arial" w:cs="Arial" w:eastAsia="Arial" w:hint="default"/>
                <w:spacing w:val="-16"/>
                <w:sz w:val="24"/>
                <w:szCs w:val="24"/>
              </w:rPr>
              <w:t> </w:t>
            </w:r>
            <w:r>
              <w:rPr>
                <w:rFonts w:ascii="宋体" w:hAnsi="宋体" w:cs="宋体" w:eastAsia="宋体" w:hint="default"/>
                <w:sz w:val="24"/>
                <w:szCs w:val="24"/>
              </w:rPr>
              <w:t>亿元</w:t>
            </w:r>
            <w:r>
              <w:rPr>
                <w:rFonts w:ascii="Arial" w:hAnsi="Arial" w:cs="Arial" w:eastAsia="Arial" w:hint="default"/>
                <w:sz w:val="24"/>
                <w:szCs w:val="24"/>
              </w:rPr>
              <w:t>(2014</w:t>
            </w:r>
            <w:r>
              <w:rPr>
                <w:rFonts w:ascii="Arial" w:hAnsi="Arial" w:cs="Arial" w:eastAsia="Arial" w:hint="default"/>
                <w:spacing w:val="-16"/>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sz w:val="24"/>
                <w:szCs w:val="24"/>
              </w:rPr>
              <w:t>12</w:t>
            </w:r>
            <w:r>
              <w:rPr>
                <w:rFonts w:ascii="Arial" w:hAnsi="Arial" w:cs="Arial" w:eastAsia="Arial" w:hint="default"/>
                <w:spacing w:val="-15"/>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Arial" w:hAnsi="Arial" w:cs="Arial" w:eastAsia="Arial" w:hint="default"/>
                <w:sz w:val="24"/>
                <w:szCs w:val="24"/>
              </w:rPr>
              <w:t>31</w:t>
            </w:r>
          </w:p>
          <w:p>
            <w:pPr>
              <w:pStyle w:val="TableParagraph"/>
              <w:spacing w:line="311" w:lineRule="exact"/>
              <w:ind w:left="119" w:right="0"/>
              <w:jc w:val="both"/>
              <w:rPr>
                <w:rFonts w:ascii="宋体" w:hAnsi="宋体" w:cs="宋体" w:eastAsia="宋体" w:hint="default"/>
                <w:sz w:val="24"/>
                <w:szCs w:val="24"/>
              </w:rPr>
            </w:pPr>
            <w:r>
              <w:rPr>
                <w:rFonts w:ascii="宋体" w:hAnsi="宋体" w:cs="宋体" w:eastAsia="宋体" w:hint="default"/>
                <w:spacing w:val="-6"/>
                <w:sz w:val="24"/>
                <w:szCs w:val="24"/>
              </w:rPr>
              <w:t>日：约人民币</w:t>
            </w:r>
            <w:r>
              <w:rPr>
                <w:rFonts w:ascii="宋体" w:hAnsi="宋体" w:cs="宋体" w:eastAsia="宋体" w:hint="default"/>
                <w:spacing w:val="-78"/>
                <w:sz w:val="24"/>
                <w:szCs w:val="24"/>
              </w:rPr>
              <w:t> </w:t>
            </w:r>
            <w:r>
              <w:rPr>
                <w:rFonts w:ascii="Arial" w:hAnsi="Arial" w:cs="Arial" w:eastAsia="Arial" w:hint="default"/>
                <w:sz w:val="24"/>
                <w:szCs w:val="24"/>
              </w:rPr>
              <w:t>10.19</w:t>
            </w:r>
            <w:r>
              <w:rPr>
                <w:rFonts w:ascii="Arial" w:hAnsi="Arial" w:cs="Arial" w:eastAsia="Arial" w:hint="default"/>
                <w:spacing w:val="-25"/>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和日元计价的固定利率的长期银行借款，金额约为人民币</w:t>
            </w:r>
          </w:p>
          <w:p>
            <w:pPr>
              <w:pStyle w:val="TableParagraph"/>
              <w:spacing w:line="322" w:lineRule="exact"/>
              <w:ind w:left="119" w:right="0"/>
              <w:jc w:val="both"/>
              <w:rPr>
                <w:rFonts w:ascii="宋体" w:hAnsi="宋体" w:cs="宋体" w:eastAsia="宋体" w:hint="default"/>
                <w:sz w:val="24"/>
                <w:szCs w:val="24"/>
              </w:rPr>
            </w:pPr>
            <w:r>
              <w:rPr>
                <w:rFonts w:ascii="Arial" w:hAnsi="Arial" w:cs="Arial" w:eastAsia="Arial" w:hint="default"/>
                <w:sz w:val="24"/>
                <w:szCs w:val="24"/>
              </w:rPr>
              <w:t>2,367</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(33))</w:t>
            </w:r>
            <w:r>
              <w:rPr>
                <w:rFonts w:ascii="宋体" w:hAnsi="宋体" w:cs="宋体" w:eastAsia="宋体" w:hint="default"/>
                <w:sz w:val="24"/>
                <w:szCs w:val="24"/>
              </w:rPr>
              <w:t>。</w:t>
            </w:r>
          </w:p>
        </w:tc>
      </w:tr>
      <w:tr>
        <w:trPr>
          <w:trHeight w:val="1652" w:hRule="exact"/>
        </w:trPr>
        <w:tc>
          <w:tcPr>
            <w:tcW w:w="799" w:type="dxa"/>
            <w:tcBorders>
              <w:top w:val="nil" w:sz="6" w:space="0" w:color="auto"/>
              <w:left w:val="nil" w:sz="6" w:space="0" w:color="auto"/>
              <w:bottom w:val="nil" w:sz="6" w:space="0" w:color="auto"/>
              <w:right w:val="nil" w:sz="6" w:space="0" w:color="auto"/>
            </w:tcBorders>
          </w:tcPr>
          <w:p>
            <w:pPr/>
          </w:p>
        </w:tc>
        <w:tc>
          <w:tcPr>
            <w:tcW w:w="8971" w:type="dxa"/>
            <w:tcBorders>
              <w:top w:val="nil" w:sz="6" w:space="0" w:color="auto"/>
              <w:left w:val="nil" w:sz="6" w:space="0" w:color="auto"/>
              <w:bottom w:val="nil" w:sz="6" w:space="0" w:color="auto"/>
              <w:right w:val="nil" w:sz="6" w:space="0" w:color="auto"/>
            </w:tcBorders>
          </w:tcPr>
          <w:p>
            <w:pPr>
              <w:pStyle w:val="TableParagraph"/>
              <w:spacing w:line="235" w:lineRule="auto" w:before="99"/>
              <w:ind w:left="119" w:right="199"/>
              <w:jc w:val="both"/>
              <w:rPr>
                <w:rFonts w:ascii="宋体" w:hAnsi="宋体" w:cs="宋体" w:eastAsia="宋体" w:hint="default"/>
                <w:sz w:val="24"/>
                <w:szCs w:val="24"/>
              </w:rPr>
            </w:pPr>
            <w:r>
              <w:rPr>
                <w:rFonts w:ascii="宋体" w:hAnsi="宋体" w:cs="宋体" w:eastAsia="宋体" w:hint="default"/>
                <w:sz w:val="24"/>
                <w:szCs w:val="24"/>
              </w:rPr>
              <w:t>本集团总部财务部门持续监控集团利率水平。利率上升会增加新增带息债务的成本 以及本集团尚未付清的以浮动利率计息的带息债务的利息支出，并对本集团的财务 业绩产生重大的不利影响，管理层会依据最新的市场状况及时做出调整，这些调整 </w:t>
            </w:r>
            <w:r>
              <w:rPr>
                <w:rFonts w:ascii="宋体" w:hAnsi="宋体" w:cs="宋体" w:eastAsia="宋体" w:hint="default"/>
                <w:spacing w:val="-5"/>
                <w:sz w:val="24"/>
                <w:szCs w:val="24"/>
              </w:rPr>
              <w:t>可能是进行利率互换的安排来降低利率风险。于</w:t>
            </w:r>
            <w:r>
              <w:rPr>
                <w:rFonts w:ascii="宋体" w:hAnsi="宋体" w:cs="宋体" w:eastAsia="宋体" w:hint="default"/>
                <w:spacing w:val="-59"/>
                <w:sz w:val="24"/>
                <w:szCs w:val="24"/>
              </w:rPr>
              <w:t> </w:t>
            </w:r>
            <w:r>
              <w:rPr>
                <w:rFonts w:ascii="Arial" w:hAnsi="Arial" w:cs="Arial" w:eastAsia="Arial" w:hint="default"/>
                <w:spacing w:val="-1"/>
                <w:w w:val="99"/>
                <w:sz w:val="24"/>
                <w:szCs w:val="24"/>
              </w:rPr>
              <w:t>2015</w:t>
            </w:r>
            <w:r>
              <w:rPr>
                <w:rFonts w:ascii="Arial" w:hAnsi="Arial" w:cs="Arial" w:eastAsia="Arial" w:hint="default"/>
                <w:spacing w:val="-6"/>
                <w:w w:val="99"/>
                <w:sz w:val="24"/>
                <w:szCs w:val="24"/>
              </w:rPr>
              <w:t> </w:t>
            </w:r>
            <w:r>
              <w:rPr>
                <w:rFonts w:ascii="宋体" w:hAnsi="宋体" w:cs="宋体" w:eastAsia="宋体" w:hint="default"/>
                <w:sz w:val="24"/>
                <w:szCs w:val="24"/>
              </w:rPr>
              <w:t>年度及</w:t>
            </w:r>
            <w:r>
              <w:rPr>
                <w:rFonts w:ascii="宋体" w:hAnsi="宋体" w:cs="宋体" w:eastAsia="宋体" w:hint="default"/>
                <w:spacing w:val="-59"/>
                <w:sz w:val="24"/>
                <w:szCs w:val="24"/>
              </w:rPr>
              <w:t> </w:t>
            </w:r>
            <w:r>
              <w:rPr>
                <w:rFonts w:ascii="Arial" w:hAnsi="Arial" w:cs="Arial" w:eastAsia="Arial" w:hint="default"/>
                <w:spacing w:val="-1"/>
                <w:w w:val="99"/>
                <w:sz w:val="24"/>
                <w:szCs w:val="24"/>
              </w:rPr>
              <w:t>2014</w:t>
            </w:r>
            <w:r>
              <w:rPr>
                <w:rFonts w:ascii="Arial" w:hAnsi="Arial" w:cs="Arial" w:eastAsia="Arial" w:hint="default"/>
                <w:spacing w:val="-5"/>
                <w:w w:val="99"/>
                <w:sz w:val="24"/>
                <w:szCs w:val="24"/>
              </w:rPr>
              <w:t> </w:t>
            </w:r>
            <w:r>
              <w:rPr>
                <w:rFonts w:ascii="宋体" w:hAnsi="宋体" w:cs="宋体" w:eastAsia="宋体" w:hint="default"/>
                <w:sz w:val="24"/>
                <w:szCs w:val="24"/>
              </w:rPr>
              <w:t>年度本集团并无 利率互换安排。</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07"/>
        <w:gridCol w:w="9183"/>
      </w:tblGrid>
      <w:tr>
        <w:trPr>
          <w:trHeight w:val="42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w:t>
            </w:r>
          </w:p>
        </w:tc>
        <w:tc>
          <w:tcPr>
            <w:tcW w:w="9183" w:type="dxa"/>
            <w:tcBorders>
              <w:top w:val="nil" w:sz="6" w:space="0" w:color="auto"/>
              <w:left w:val="nil" w:sz="6" w:space="0" w:color="auto"/>
              <w:bottom w:val="nil" w:sz="6" w:space="0" w:color="auto"/>
              <w:right w:val="nil" w:sz="6" w:space="0" w:color="auto"/>
            </w:tcBorders>
          </w:tcPr>
          <w:p>
            <w:pPr>
              <w:pStyle w:val="TableParagraph"/>
              <w:spacing w:line="247" w:lineRule="exact"/>
              <w:ind w:left="213" w:right="0"/>
              <w:jc w:val="left"/>
              <w:rPr>
                <w:rFonts w:ascii="黑体" w:hAnsi="黑体" w:cs="黑体" w:eastAsia="黑体" w:hint="default"/>
                <w:sz w:val="24"/>
                <w:szCs w:val="24"/>
              </w:rPr>
            </w:pPr>
            <w:r>
              <w:rPr>
                <w:rFonts w:ascii="黑体" w:hAnsi="黑体" w:cs="黑体" w:eastAsia="黑体" w:hint="default"/>
                <w:sz w:val="24"/>
                <w:szCs w:val="24"/>
              </w:rPr>
              <w:t>信用风险</w:t>
            </w:r>
          </w:p>
        </w:tc>
      </w:tr>
      <w:tr>
        <w:trPr>
          <w:trHeight w:val="899"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213" w:right="198"/>
              <w:jc w:val="left"/>
              <w:rPr>
                <w:rFonts w:ascii="宋体" w:hAnsi="宋体" w:cs="宋体" w:eastAsia="宋体" w:hint="default"/>
                <w:sz w:val="24"/>
                <w:szCs w:val="24"/>
              </w:rPr>
            </w:pPr>
            <w:r>
              <w:rPr>
                <w:rFonts w:ascii="宋体" w:hAnsi="宋体" w:cs="宋体" w:eastAsia="宋体" w:hint="default"/>
                <w:spacing w:val="-3"/>
                <w:sz w:val="24"/>
                <w:szCs w:val="24"/>
              </w:rPr>
              <w:t>本集团对信用风险按组合分类进行管理。信用风险主要产生于银行存款、应收账款、</w:t>
            </w:r>
            <w:r>
              <w:rPr>
                <w:rFonts w:ascii="宋体" w:hAnsi="宋体" w:cs="宋体" w:eastAsia="宋体" w:hint="default"/>
                <w:sz w:val="24"/>
                <w:szCs w:val="24"/>
              </w:rPr>
              <w:t> 应收利息、其他应收款、应收票据和长期应收款等。</w:t>
            </w:r>
          </w:p>
        </w:tc>
      </w:tr>
      <w:tr>
        <w:trPr>
          <w:trHeight w:val="1210"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213" w:right="320"/>
              <w:jc w:val="both"/>
              <w:rPr>
                <w:rFonts w:ascii="宋体" w:hAnsi="宋体" w:cs="宋体" w:eastAsia="宋体" w:hint="default"/>
                <w:sz w:val="24"/>
                <w:szCs w:val="24"/>
              </w:rPr>
            </w:pPr>
            <w:r>
              <w:rPr>
                <w:rFonts w:ascii="宋体" w:hAnsi="宋体" w:cs="宋体" w:eastAsia="宋体" w:hint="default"/>
                <w:sz w:val="24"/>
                <w:szCs w:val="24"/>
              </w:rPr>
              <w:t>本集团银行存款主要存放于国有银行和其他大中型上市银行，应收利息主要是各类 保证金及存款产生的利息，本集团认为其不存在重大的信用风险，不会产生因对方 单位违约而导致的任何重大损失。</w:t>
            </w:r>
          </w:p>
        </w:tc>
      </w:tr>
      <w:tr>
        <w:trPr>
          <w:trHeight w:val="1970"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213" w:right="198"/>
              <w:jc w:val="left"/>
              <w:rPr>
                <w:rFonts w:ascii="宋体" w:hAnsi="宋体" w:cs="宋体" w:eastAsia="宋体" w:hint="default"/>
                <w:sz w:val="24"/>
                <w:szCs w:val="24"/>
              </w:rPr>
            </w:pPr>
            <w:r>
              <w:rPr>
                <w:rFonts w:ascii="宋体" w:hAnsi="宋体" w:cs="宋体" w:eastAsia="宋体" w:hint="default"/>
                <w:sz w:val="24"/>
                <w:szCs w:val="24"/>
              </w:rPr>
              <w:t>此外，对于应收账款、其他应收款、应收票据和长期应收款，本集团设定相关政策 </w:t>
            </w:r>
            <w:r>
              <w:rPr>
                <w:rFonts w:ascii="宋体" w:hAnsi="宋体" w:cs="宋体" w:eastAsia="宋体" w:hint="default"/>
                <w:spacing w:val="-4"/>
                <w:sz w:val="24"/>
                <w:szCs w:val="24"/>
              </w:rPr>
              <w:t>以控制信用风险敞口。本集团基于对客户的财务状况、从第三方获取担保的可能性、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信用记录及其他因素诸如目前市场状况等评估客户的信用资质并设置相应信用期。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本集团会定期对客户信用记录进行监控，对于信用记录不良的客户，本集团会采用 书面催款、缩短信用期或取消信用期等方式，以确保本集团的整体信用风险在可控 的范围内。</w:t>
            </w:r>
          </w:p>
        </w:tc>
      </w:tr>
    </w:tbl>
    <w:p>
      <w:pPr>
        <w:spacing w:after="0" w:line="237" w:lineRule="auto"/>
        <w:jc w:val="left"/>
        <w:rPr>
          <w:rFonts w:ascii="宋体" w:hAnsi="宋体" w:cs="宋体" w:eastAsia="宋体" w:hint="default"/>
          <w:sz w:val="24"/>
          <w:szCs w:val="24"/>
        </w:rPr>
        <w:sectPr>
          <w:pgSz w:w="11910" w:h="16840"/>
          <w:pgMar w:header="755" w:footer="914" w:top="1860" w:bottom="11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97"/>
        <w:gridCol w:w="8940"/>
      </w:tblGrid>
      <w:tr>
        <w:trPr>
          <w:trHeight w:val="416"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8940"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w:t>
            </w:r>
          </w:p>
        </w:tc>
        <w:tc>
          <w:tcPr>
            <w:tcW w:w="894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6" w:right="0"/>
              <w:jc w:val="left"/>
              <w:rPr>
                <w:rFonts w:ascii="黑体" w:hAnsi="黑体" w:cs="黑体" w:eastAsia="黑体" w:hint="default"/>
                <w:sz w:val="24"/>
                <w:szCs w:val="24"/>
              </w:rPr>
            </w:pPr>
            <w:r>
              <w:rPr>
                <w:rFonts w:ascii="黑体" w:hAnsi="黑体" w:cs="黑体" w:eastAsia="黑体" w:hint="default"/>
                <w:sz w:val="24"/>
                <w:szCs w:val="24"/>
              </w:rPr>
              <w:t>价格风险</w:t>
            </w:r>
          </w:p>
        </w:tc>
      </w:tr>
      <w:tr>
        <w:trPr>
          <w:trHeight w:val="1659" w:hRule="exact"/>
        </w:trPr>
        <w:tc>
          <w:tcPr>
            <w:tcW w:w="797" w:type="dxa"/>
            <w:tcBorders>
              <w:top w:val="nil" w:sz="6" w:space="0" w:color="auto"/>
              <w:left w:val="nil" w:sz="6" w:space="0" w:color="auto"/>
              <w:bottom w:val="nil" w:sz="6" w:space="0" w:color="auto"/>
              <w:right w:val="nil" w:sz="6" w:space="0" w:color="auto"/>
            </w:tcBorders>
          </w:tcPr>
          <w:p>
            <w:pPr/>
          </w:p>
        </w:tc>
        <w:tc>
          <w:tcPr>
            <w:tcW w:w="8940"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16" w:right="198"/>
              <w:jc w:val="both"/>
              <w:rPr>
                <w:rFonts w:ascii="宋体" w:hAnsi="宋体" w:cs="宋体" w:eastAsia="宋体" w:hint="default"/>
                <w:sz w:val="24"/>
                <w:szCs w:val="24"/>
              </w:rPr>
            </w:pPr>
            <w:r>
              <w:rPr>
                <w:rFonts w:ascii="宋体" w:hAnsi="宋体" w:cs="宋体" w:eastAsia="宋体" w:hint="default"/>
                <w:spacing w:val="-1"/>
                <w:sz w:val="24"/>
                <w:szCs w:val="24"/>
              </w:rPr>
              <w:t>本集团持有的理财产品、货币基金等投资工具，以及卖出期权、投资者回售选择权</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和远期外汇合约等衍生工具，面临市场价格风险的影响，这些价格风险来自相关标</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
                <w:sz w:val="24"/>
                <w:szCs w:val="24"/>
              </w:rPr>
              <w:t>的指数或标的资产未来价值波动的不确定性。本集团持续监控这些标的指数或标的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资产的价值波动水平，并严格控制该类投资工具及衍生工具的规模，必要时采用合</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适的对冲工具以缓释市场价格风险对本集团带来的不利影响。</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04"/>
        <w:gridCol w:w="9051"/>
      </w:tblGrid>
      <w:tr>
        <w:trPr>
          <w:trHeight w:val="421"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w:t>
            </w:r>
          </w:p>
        </w:tc>
        <w:tc>
          <w:tcPr>
            <w:tcW w:w="9051" w:type="dxa"/>
            <w:tcBorders>
              <w:top w:val="nil" w:sz="6" w:space="0" w:color="auto"/>
              <w:left w:val="nil" w:sz="6" w:space="0" w:color="auto"/>
              <w:bottom w:val="nil" w:sz="6" w:space="0" w:color="auto"/>
              <w:right w:val="nil" w:sz="6" w:space="0" w:color="auto"/>
            </w:tcBorders>
          </w:tcPr>
          <w:p>
            <w:pPr>
              <w:pStyle w:val="TableParagraph"/>
              <w:spacing w:line="247" w:lineRule="exact"/>
              <w:ind w:left="210" w:right="0"/>
              <w:jc w:val="left"/>
              <w:rPr>
                <w:rFonts w:ascii="黑体" w:hAnsi="黑体" w:cs="黑体" w:eastAsia="黑体" w:hint="default"/>
                <w:sz w:val="24"/>
                <w:szCs w:val="24"/>
              </w:rPr>
            </w:pPr>
            <w:r>
              <w:rPr>
                <w:rFonts w:ascii="黑体" w:hAnsi="黑体" w:cs="黑体" w:eastAsia="黑体" w:hint="default"/>
                <w:sz w:val="24"/>
                <w:szCs w:val="24"/>
              </w:rPr>
              <w:t>流动性风险</w:t>
            </w:r>
          </w:p>
        </w:tc>
      </w:tr>
      <w:tr>
        <w:trPr>
          <w:trHeight w:val="1521" w:hRule="exact"/>
        </w:trPr>
        <w:tc>
          <w:tcPr>
            <w:tcW w:w="704" w:type="dxa"/>
            <w:tcBorders>
              <w:top w:val="nil" w:sz="6" w:space="0" w:color="auto"/>
              <w:left w:val="nil" w:sz="6" w:space="0" w:color="auto"/>
              <w:bottom w:val="nil" w:sz="6" w:space="0" w:color="auto"/>
              <w:right w:val="nil" w:sz="6" w:space="0" w:color="auto"/>
            </w:tcBorders>
          </w:tcPr>
          <w:p>
            <w:pPr/>
          </w:p>
        </w:tc>
        <w:tc>
          <w:tcPr>
            <w:tcW w:w="9051"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210" w:right="198"/>
              <w:jc w:val="both"/>
              <w:rPr>
                <w:rFonts w:ascii="宋体" w:hAnsi="宋体" w:cs="宋体" w:eastAsia="宋体" w:hint="default"/>
                <w:sz w:val="24"/>
                <w:szCs w:val="24"/>
              </w:rPr>
            </w:pPr>
            <w:r>
              <w:rPr>
                <w:rFonts w:ascii="宋体" w:hAnsi="宋体" w:cs="宋体" w:eastAsia="宋体" w:hint="default"/>
                <w:spacing w:val="-1"/>
                <w:sz w:val="24"/>
                <w:szCs w:val="24"/>
              </w:rPr>
              <w:t>本集团内各子公司负责其自身的现金流量预测。总部财务部门在汇总各子公司现金</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流量预测的基础上，在集团层面持续监控短期和长期的资金需求，以确保维持充裕</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的现金储备和可供随时变现的有价证券；同时持续监控是否符合借款协议的规定， 从主要金融机构获得提供足够备用资金的承诺，以满足短期和长期的资金需求。</w:t>
            </w:r>
          </w:p>
        </w:tc>
      </w:tr>
      <w:tr>
        <w:trPr>
          <w:trHeight w:val="724" w:hRule="exact"/>
        </w:trPr>
        <w:tc>
          <w:tcPr>
            <w:tcW w:w="704" w:type="dxa"/>
            <w:tcBorders>
              <w:top w:val="nil" w:sz="6" w:space="0" w:color="auto"/>
              <w:left w:val="nil" w:sz="6" w:space="0" w:color="auto"/>
              <w:bottom w:val="nil" w:sz="6" w:space="0" w:color="auto"/>
              <w:right w:val="nil" w:sz="6" w:space="0" w:color="auto"/>
            </w:tcBorders>
          </w:tcPr>
          <w:p>
            <w:pPr/>
          </w:p>
        </w:tc>
        <w:tc>
          <w:tcPr>
            <w:tcW w:w="9051"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210" w:right="224"/>
              <w:jc w:val="left"/>
              <w:rPr>
                <w:rFonts w:ascii="宋体" w:hAnsi="宋体" w:cs="宋体" w:eastAsia="宋体" w:hint="default"/>
                <w:sz w:val="24"/>
                <w:szCs w:val="24"/>
              </w:rPr>
            </w:pPr>
            <w:r>
              <w:rPr>
                <w:rFonts w:ascii="宋体" w:hAnsi="宋体" w:cs="宋体" w:eastAsia="宋体" w:hint="default"/>
                <w:spacing w:val="5"/>
                <w:sz w:val="24"/>
                <w:szCs w:val="24"/>
              </w:rPr>
              <w:t>于资产负债表日，本集团各项金融负债以未折现的合同现金流量按到期日列示如</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下：</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2"/>
          <w:szCs w:val="12"/>
        </w:rPr>
      </w:pPr>
    </w:p>
    <w:tbl>
      <w:tblPr>
        <w:tblW w:w="0" w:type="auto"/>
        <w:jc w:val="left"/>
        <w:tblInd w:w="823" w:type="dxa"/>
        <w:tblLayout w:type="fixed"/>
        <w:tblCellMar>
          <w:top w:w="0" w:type="dxa"/>
          <w:left w:w="0" w:type="dxa"/>
          <w:bottom w:w="0" w:type="dxa"/>
          <w:right w:w="0" w:type="dxa"/>
        </w:tblCellMar>
        <w:tblLook w:val="01E0"/>
      </w:tblPr>
      <w:tblGrid>
        <w:gridCol w:w="2180"/>
        <w:gridCol w:w="1134"/>
        <w:gridCol w:w="142"/>
        <w:gridCol w:w="1236"/>
        <w:gridCol w:w="134"/>
        <w:gridCol w:w="1324"/>
        <w:gridCol w:w="140"/>
        <w:gridCol w:w="1134"/>
        <w:gridCol w:w="142"/>
        <w:gridCol w:w="1314"/>
      </w:tblGrid>
      <w:tr>
        <w:trPr>
          <w:trHeight w:val="213" w:hRule="exact"/>
        </w:trPr>
        <w:tc>
          <w:tcPr>
            <w:tcW w:w="8880" w:type="dxa"/>
            <w:gridSpan w:val="10"/>
            <w:tcBorders>
              <w:top w:val="nil" w:sz="6" w:space="0" w:color="auto"/>
              <w:left w:val="nil" w:sz="6" w:space="0" w:color="auto"/>
              <w:bottom w:val="nil" w:sz="6" w:space="0" w:color="auto"/>
              <w:right w:val="nil" w:sz="6" w:space="0" w:color="auto"/>
            </w:tcBorders>
          </w:tcPr>
          <w:p>
            <w:pPr>
              <w:pStyle w:val="TableParagraph"/>
              <w:spacing w:line="193" w:lineRule="exact"/>
              <w:ind w:left="474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83" w:hRule="exact"/>
        </w:trPr>
        <w:tc>
          <w:tcPr>
            <w:tcW w:w="218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25" w:lineRule="exact"/>
              <w:ind w:right="55"/>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2"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25" w:lineRule="exact"/>
              <w:ind w:right="54"/>
              <w:jc w:val="right"/>
              <w:rPr>
                <w:rFonts w:ascii="宋体" w:hAnsi="宋体" w:cs="宋体" w:eastAsia="宋体" w:hint="default"/>
                <w:sz w:val="18"/>
                <w:szCs w:val="18"/>
              </w:rPr>
            </w:pPr>
            <w:r>
              <w:rPr>
                <w:rFonts w:ascii="宋体" w:hAnsi="宋体" w:cs="宋体" w:eastAsia="宋体" w:hint="default"/>
                <w:sz w:val="18"/>
                <w:szCs w:val="18"/>
              </w:rPr>
              <w:t>一到二年</w:t>
            </w:r>
          </w:p>
        </w:tc>
        <w:tc>
          <w:tcPr>
            <w:tcW w:w="134" w:type="dxa"/>
            <w:tcBorders>
              <w:top w:val="single" w:sz="4" w:space="0" w:color="000000"/>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nil" w:sz="6" w:space="0" w:color="auto"/>
              <w:right w:val="nil" w:sz="6" w:space="0" w:color="auto"/>
            </w:tcBorders>
          </w:tcPr>
          <w:p>
            <w:pPr>
              <w:pStyle w:val="TableParagraph"/>
              <w:spacing w:line="225" w:lineRule="exact"/>
              <w:ind w:right="56"/>
              <w:jc w:val="right"/>
              <w:rPr>
                <w:rFonts w:ascii="宋体" w:hAnsi="宋体" w:cs="宋体" w:eastAsia="宋体" w:hint="default"/>
                <w:sz w:val="18"/>
                <w:szCs w:val="18"/>
              </w:rPr>
            </w:pPr>
            <w:r>
              <w:rPr>
                <w:rFonts w:ascii="宋体" w:hAnsi="宋体" w:cs="宋体" w:eastAsia="宋体" w:hint="default"/>
                <w:sz w:val="18"/>
                <w:szCs w:val="18"/>
              </w:rPr>
              <w:t>二到五年</w:t>
            </w:r>
          </w:p>
        </w:tc>
        <w:tc>
          <w:tcPr>
            <w:tcW w:w="140"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25" w:lineRule="exact"/>
              <w:ind w:right="55"/>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42" w:type="dxa"/>
            <w:tcBorders>
              <w:top w:val="single" w:sz="4" w:space="0" w:color="000000"/>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Style w:val="TableParagraph"/>
              <w:spacing w:line="225" w:lineRule="exact"/>
              <w:ind w:right="55"/>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55"/>
              <w:jc w:val="right"/>
              <w:rPr>
                <w:rFonts w:ascii="Arial" w:hAnsi="Arial" w:cs="Arial" w:eastAsia="Arial" w:hint="default"/>
                <w:sz w:val="18"/>
                <w:szCs w:val="18"/>
              </w:rPr>
            </w:pPr>
            <w:r>
              <w:rPr>
                <w:rFonts w:ascii="Arial"/>
                <w:spacing w:val="-1"/>
                <w:sz w:val="18"/>
              </w:rPr>
              <w:t>3,225,641</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55"/>
              <w:jc w:val="right"/>
              <w:rPr>
                <w:rFonts w:ascii="Arial" w:hAnsi="Arial" w:cs="Arial" w:eastAsia="Arial" w:hint="default"/>
                <w:sz w:val="18"/>
                <w:szCs w:val="18"/>
              </w:rPr>
            </w:pPr>
            <w:r>
              <w:rPr>
                <w:rFonts w:ascii="Arial"/>
                <w:spacing w:val="-1"/>
                <w:sz w:val="18"/>
              </w:rPr>
              <w:t>3,225,641</w:t>
            </w:r>
          </w:p>
        </w:tc>
      </w:tr>
      <w:tr>
        <w:trPr>
          <w:trHeight w:val="94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195" w:lineRule="exact"/>
              <w:ind w:left="560" w:right="0" w:hanging="361"/>
              <w:jc w:val="left"/>
              <w:rPr>
                <w:rFonts w:ascii="宋体" w:hAnsi="宋体" w:cs="宋体" w:eastAsia="宋体" w:hint="default"/>
                <w:sz w:val="18"/>
                <w:szCs w:val="18"/>
              </w:rPr>
            </w:pPr>
            <w:r>
              <w:rPr>
                <w:rFonts w:ascii="宋体" w:hAnsi="宋体" w:cs="宋体" w:eastAsia="宋体" w:hint="default"/>
                <w:sz w:val="18"/>
                <w:szCs w:val="18"/>
              </w:rPr>
              <w:t>以公允价值计量且</w:t>
            </w:r>
          </w:p>
          <w:p>
            <w:pPr>
              <w:pStyle w:val="TableParagraph"/>
              <w:spacing w:line="237" w:lineRule="auto"/>
              <w:ind w:left="560" w:right="539"/>
              <w:jc w:val="both"/>
              <w:rPr>
                <w:rFonts w:ascii="宋体" w:hAnsi="宋体" w:cs="宋体" w:eastAsia="宋体" w:hint="default"/>
                <w:sz w:val="18"/>
                <w:szCs w:val="18"/>
              </w:rPr>
            </w:pPr>
            <w:r>
              <w:rPr>
                <w:rFonts w:ascii="宋体" w:hAnsi="宋体" w:cs="宋体" w:eastAsia="宋体" w:hint="default"/>
                <w:sz w:val="18"/>
                <w:szCs w:val="18"/>
              </w:rPr>
              <w:t>其变动计入当 期损益的金融 负债</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5"/>
              <w:jc w:val="right"/>
              <w:rPr>
                <w:rFonts w:ascii="Arial" w:hAnsi="Arial" w:cs="Arial" w:eastAsia="Arial" w:hint="default"/>
                <w:sz w:val="18"/>
                <w:szCs w:val="18"/>
              </w:rPr>
            </w:pPr>
            <w:r>
              <w:rPr>
                <w:rFonts w:ascii="Arial"/>
                <w:spacing w:val="-1"/>
                <w:sz w:val="18"/>
              </w:rPr>
              <w:t>14,910</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5"/>
              <w:jc w:val="right"/>
              <w:rPr>
                <w:rFonts w:ascii="Arial" w:hAnsi="Arial" w:cs="Arial" w:eastAsia="Arial" w:hint="default"/>
                <w:sz w:val="18"/>
                <w:szCs w:val="18"/>
              </w:rPr>
            </w:pPr>
            <w:r>
              <w:rPr>
                <w:rFonts w:ascii="Arial"/>
                <w:spacing w:val="-1"/>
                <w:sz w:val="18"/>
              </w:rPr>
              <w:t>14,910</w:t>
            </w:r>
          </w:p>
        </w:tc>
      </w:tr>
      <w:tr>
        <w:trPr>
          <w:trHeight w:val="25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23,890,061</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6" w:right="0"/>
              <w:jc w:val="left"/>
              <w:rPr>
                <w:rFonts w:ascii="Arial" w:hAnsi="Arial" w:cs="Arial" w:eastAsia="Arial" w:hint="default"/>
                <w:sz w:val="18"/>
                <w:szCs w:val="18"/>
              </w:rPr>
            </w:pPr>
            <w:r>
              <w:rPr>
                <w:rFonts w:ascii="Arial"/>
                <w:sz w:val="18"/>
              </w:rPr>
              <w:t>23,890,061</w:t>
            </w:r>
          </w:p>
        </w:tc>
      </w:tr>
      <w:tr>
        <w:trPr>
          <w:trHeight w:val="25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9,058,853</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9,058,853</w:t>
            </w:r>
          </w:p>
        </w:tc>
      </w:tr>
      <w:tr>
        <w:trPr>
          <w:trHeight w:val="24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6,233,929</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2"/>
              <w:jc w:val="right"/>
              <w:rPr>
                <w:rFonts w:ascii="Arial" w:hAnsi="Arial" w:cs="Arial" w:eastAsia="Arial" w:hint="default"/>
                <w:sz w:val="18"/>
                <w:szCs w:val="18"/>
              </w:rPr>
            </w:pPr>
            <w:r>
              <w:rPr>
                <w:rFonts w:ascii="Arial"/>
                <w:spacing w:val="-1"/>
                <w:sz w:val="18"/>
              </w:rPr>
              <w:t>6,233,929</w:t>
            </w:r>
          </w:p>
        </w:tc>
      </w:tr>
      <w:tr>
        <w:trPr>
          <w:trHeight w:val="476"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一年内到期的长期</w:t>
            </w:r>
          </w:p>
          <w:p>
            <w:pPr>
              <w:pStyle w:val="TableParagraph"/>
              <w:spacing w:line="235" w:lineRule="exact"/>
              <w:ind w:left="470"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sz w:val="18"/>
              </w:rPr>
              <w:t>62,161</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sz w:val="18"/>
              </w:rPr>
              <w:t>62,161</w:t>
            </w:r>
          </w:p>
        </w:tc>
      </w:tr>
      <w:tr>
        <w:trPr>
          <w:trHeight w:val="25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05" w:lineRule="exact"/>
              <w:ind w:left="2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spacing w:val="-3"/>
                <w:sz w:val="18"/>
              </w:rPr>
              <w:t>114,406</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Arial" w:hAnsi="Arial" w:cs="Arial" w:eastAsia="Arial" w:hint="default"/>
                <w:sz w:val="18"/>
                <w:szCs w:val="18"/>
              </w:rPr>
            </w:pPr>
            <w:r>
              <w:rPr>
                <w:rFonts w:ascii="Arial"/>
                <w:spacing w:val="-1"/>
                <w:sz w:val="18"/>
              </w:rPr>
              <w:t>243,512</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18"/>
                <w:szCs w:val="18"/>
              </w:rPr>
            </w:pPr>
            <w:r>
              <w:rPr>
                <w:rFonts w:ascii="Arial"/>
                <w:spacing w:val="-1"/>
                <w:sz w:val="18"/>
              </w:rPr>
              <w:t>357,918</w:t>
            </w:r>
          </w:p>
        </w:tc>
      </w:tr>
      <w:tr>
        <w:trPr>
          <w:trHeight w:val="25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05" w:lineRule="exact"/>
              <w:ind w:left="2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3,500,000</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4"/>
              <w:jc w:val="right"/>
              <w:rPr>
                <w:rFonts w:ascii="Arial" w:hAnsi="Arial" w:cs="Arial" w:eastAsia="Arial" w:hint="default"/>
                <w:sz w:val="18"/>
                <w:szCs w:val="18"/>
              </w:rPr>
            </w:pPr>
            <w:r>
              <w:rPr>
                <w:rFonts w:ascii="Arial"/>
                <w:spacing w:val="-1"/>
                <w:sz w:val="18"/>
              </w:rPr>
              <w:t>4,500,000</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8,000,000</w:t>
            </w:r>
          </w:p>
        </w:tc>
      </w:tr>
      <w:tr>
        <w:trPr>
          <w:trHeight w:val="25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20,499</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spacing w:val="-1"/>
                <w:sz w:val="18"/>
              </w:rPr>
              <w:t>20,499</w:t>
            </w:r>
          </w:p>
        </w:tc>
      </w:tr>
      <w:tr>
        <w:trPr>
          <w:trHeight w:val="269"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4" w:type="dxa"/>
            <w:tcBorders>
              <w:top w:val="nil" w:sz="6" w:space="0" w:color="auto"/>
              <w:left w:val="nil" w:sz="6" w:space="0" w:color="auto"/>
              <w:bottom w:val="nil" w:sz="6" w:space="0" w:color="auto"/>
              <w:right w:val="nil" w:sz="6" w:space="0" w:color="auto"/>
            </w:tcBorders>
          </w:tcPr>
          <w:p>
            <w:pPr>
              <w:pStyle w:val="TableParagraph"/>
              <w:tabs>
                <w:tab w:pos="425" w:val="left" w:leader="none"/>
                <w:tab w:pos="1133" w:val="left" w:leader="none"/>
              </w:tabs>
              <w:spacing w:line="240" w:lineRule="auto" w:before="2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490,601</w:t>
              <w:tab/>
            </w:r>
            <w:r>
              <w:rPr>
                <w:rFonts w:ascii="Arial"/>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tabs>
                <w:tab w:pos="529" w:val="left" w:leader="none"/>
                <w:tab w:pos="1235" w:val="left" w:leader="none"/>
              </w:tabs>
              <w:spacing w:line="240" w:lineRule="auto" w:before="2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266,544</w:t>
              <w:tab/>
            </w:r>
            <w:r>
              <w:rPr>
                <w:rFonts w:ascii="Arial"/>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tabs>
                <w:tab w:pos="714" w:val="left" w:leader="none"/>
                <w:tab w:pos="1323" w:val="left" w:leader="none"/>
              </w:tabs>
              <w:spacing w:line="240" w:lineRule="auto" w:before="2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21,072</w:t>
              <w:tab/>
            </w:r>
            <w:r>
              <w:rPr>
                <w:rFonts w:ascii="Arial"/>
                <w:spacing w:val="-1"/>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40" w:lineRule="auto" w:before="2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tabs>
                <w:tab w:pos="605" w:val="left" w:leader="none"/>
                <w:tab w:pos="1313" w:val="left" w:leader="none"/>
              </w:tabs>
              <w:spacing w:line="240" w:lineRule="auto" w:before="2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778,217</w:t>
              <w:tab/>
            </w:r>
            <w:r>
              <w:rPr>
                <w:rFonts w:ascii="Arial"/>
                <w:spacing w:val="-1"/>
                <w:sz w:val="18"/>
              </w:rPr>
            </w:r>
          </w:p>
        </w:tc>
      </w:tr>
      <w:tr>
        <w:trPr>
          <w:trHeight w:val="243" w:hRule="exact"/>
        </w:trPr>
        <w:tc>
          <w:tcPr>
            <w:tcW w:w="218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spacing w:val="-1"/>
                <w:sz w:val="18"/>
              </w:rPr>
              <w:t>46,476,156</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5"/>
              <w:jc w:val="right"/>
              <w:rPr>
                <w:rFonts w:ascii="Arial" w:hAnsi="Arial" w:cs="Arial" w:eastAsia="Arial" w:hint="default"/>
                <w:sz w:val="18"/>
                <w:szCs w:val="18"/>
              </w:rPr>
            </w:pPr>
            <w:r>
              <w:rPr>
                <w:rFonts w:ascii="Arial"/>
                <w:spacing w:val="-1"/>
                <w:sz w:val="18"/>
              </w:rPr>
              <w:t>4,901,449</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spacing w:val="-1"/>
                <w:sz w:val="18"/>
              </w:rPr>
              <w:t>264,584</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355" w:right="0"/>
              <w:jc w:val="left"/>
              <w:rPr>
                <w:rFonts w:ascii="Arial" w:hAnsi="Arial" w:cs="Arial" w:eastAsia="Arial" w:hint="default"/>
                <w:sz w:val="18"/>
                <w:szCs w:val="18"/>
              </w:rPr>
            </w:pPr>
            <w:r>
              <w:rPr>
                <w:rFonts w:ascii="Arial"/>
                <w:sz w:val="18"/>
              </w:rPr>
              <w:t>51,642,189</w:t>
            </w:r>
          </w:p>
        </w:tc>
      </w:tr>
    </w:tbl>
    <w:p>
      <w:pPr>
        <w:spacing w:after="0" w:line="240" w:lineRule="auto"/>
        <w:jc w:val="left"/>
        <w:rPr>
          <w:rFonts w:ascii="Arial" w:hAnsi="Arial" w:cs="Arial" w:eastAsia="Arial" w:hint="default"/>
          <w:sz w:val="18"/>
          <w:szCs w:val="18"/>
        </w:rPr>
        <w:sectPr>
          <w:pgSz w:w="11910" w:h="16840"/>
          <w:pgMar w:header="755" w:footer="914" w:top="1860" w:bottom="1180" w:left="14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97"/>
        <w:gridCol w:w="1918"/>
      </w:tblGrid>
      <w:tr>
        <w:trPr>
          <w:trHeight w:val="496"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1918"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4"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(4)</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6" w:right="0"/>
              <w:jc w:val="left"/>
              <w:rPr>
                <w:rFonts w:ascii="Arial" w:hAnsi="Arial" w:cs="Arial" w:eastAsia="Arial" w:hint="default"/>
                <w:sz w:val="24"/>
                <w:szCs w:val="24"/>
              </w:rPr>
            </w:pPr>
            <w:r>
              <w:rPr>
                <w:rFonts w:ascii="黑体" w:hAnsi="黑体" w:cs="黑体" w:eastAsia="黑体" w:hint="default"/>
                <w:sz w:val="24"/>
                <w:szCs w:val="24"/>
              </w:rPr>
              <w:t>流动性风险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tbl>
      <w:tblPr>
        <w:tblW w:w="0" w:type="auto"/>
        <w:jc w:val="left"/>
        <w:tblInd w:w="823" w:type="dxa"/>
        <w:tblLayout w:type="fixed"/>
        <w:tblCellMar>
          <w:top w:w="0" w:type="dxa"/>
          <w:left w:w="0" w:type="dxa"/>
          <w:bottom w:w="0" w:type="dxa"/>
          <w:right w:w="0" w:type="dxa"/>
        </w:tblCellMar>
        <w:tblLook w:val="01E0"/>
      </w:tblPr>
      <w:tblGrid>
        <w:gridCol w:w="2180"/>
        <w:gridCol w:w="1134"/>
        <w:gridCol w:w="142"/>
        <w:gridCol w:w="1236"/>
        <w:gridCol w:w="134"/>
        <w:gridCol w:w="1324"/>
        <w:gridCol w:w="140"/>
        <w:gridCol w:w="1134"/>
        <w:gridCol w:w="142"/>
        <w:gridCol w:w="1314"/>
      </w:tblGrid>
      <w:tr>
        <w:trPr>
          <w:trHeight w:val="252" w:hRule="exact"/>
        </w:trPr>
        <w:tc>
          <w:tcPr>
            <w:tcW w:w="8880" w:type="dxa"/>
            <w:gridSpan w:val="10"/>
            <w:tcBorders>
              <w:top w:val="nil" w:sz="6" w:space="0" w:color="auto"/>
              <w:left w:val="nil" w:sz="6" w:space="0" w:color="auto"/>
              <w:bottom w:val="nil" w:sz="6" w:space="0" w:color="auto"/>
              <w:right w:val="nil" w:sz="6" w:space="0" w:color="auto"/>
            </w:tcBorders>
          </w:tcPr>
          <w:p>
            <w:pPr>
              <w:pStyle w:val="TableParagraph"/>
              <w:spacing w:line="193" w:lineRule="exact"/>
              <w:ind w:left="474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04" w:hRule="exact"/>
        </w:trPr>
        <w:tc>
          <w:tcPr>
            <w:tcW w:w="218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55"/>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2"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54"/>
              <w:jc w:val="right"/>
              <w:rPr>
                <w:rFonts w:ascii="宋体" w:hAnsi="宋体" w:cs="宋体" w:eastAsia="宋体" w:hint="default"/>
                <w:sz w:val="18"/>
                <w:szCs w:val="18"/>
              </w:rPr>
            </w:pPr>
            <w:r>
              <w:rPr>
                <w:rFonts w:ascii="宋体" w:hAnsi="宋体" w:cs="宋体" w:eastAsia="宋体" w:hint="default"/>
                <w:sz w:val="18"/>
                <w:szCs w:val="18"/>
              </w:rPr>
              <w:t>一到二年</w:t>
            </w:r>
          </w:p>
        </w:tc>
        <w:tc>
          <w:tcPr>
            <w:tcW w:w="134" w:type="dxa"/>
            <w:tcBorders>
              <w:top w:val="single" w:sz="4" w:space="0" w:color="000000"/>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56"/>
              <w:jc w:val="right"/>
              <w:rPr>
                <w:rFonts w:ascii="宋体" w:hAnsi="宋体" w:cs="宋体" w:eastAsia="宋体" w:hint="default"/>
                <w:sz w:val="18"/>
                <w:szCs w:val="18"/>
              </w:rPr>
            </w:pPr>
            <w:r>
              <w:rPr>
                <w:rFonts w:ascii="宋体" w:hAnsi="宋体" w:cs="宋体" w:eastAsia="宋体" w:hint="default"/>
                <w:sz w:val="18"/>
                <w:szCs w:val="18"/>
              </w:rPr>
              <w:t>二到五年</w:t>
            </w:r>
          </w:p>
        </w:tc>
        <w:tc>
          <w:tcPr>
            <w:tcW w:w="140"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55"/>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42" w:type="dxa"/>
            <w:tcBorders>
              <w:top w:val="single" w:sz="4" w:space="0" w:color="000000"/>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55"/>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511"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1,836,529</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1,836,529</w:t>
            </w:r>
          </w:p>
        </w:tc>
      </w:tr>
      <w:tr>
        <w:trPr>
          <w:trHeight w:val="1144"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78" w:lineRule="auto"/>
              <w:ind w:left="560" w:right="539" w:hanging="361"/>
              <w:jc w:val="both"/>
              <w:rPr>
                <w:rFonts w:ascii="宋体" w:hAnsi="宋体" w:cs="宋体" w:eastAsia="宋体" w:hint="default"/>
                <w:sz w:val="18"/>
                <w:szCs w:val="18"/>
              </w:rPr>
            </w:pPr>
            <w:r>
              <w:rPr>
                <w:rFonts w:ascii="宋体" w:hAnsi="宋体" w:cs="宋体" w:eastAsia="宋体" w:hint="default"/>
                <w:sz w:val="18"/>
                <w:szCs w:val="18"/>
              </w:rPr>
              <w:t>以公允价值计量且 其变动计入当 期损益的金融 负债</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18"/>
                <w:szCs w:val="18"/>
              </w:rPr>
            </w:pPr>
            <w:r>
              <w:rPr>
                <w:rFonts w:ascii="Arial"/>
                <w:spacing w:val="-1"/>
                <w:sz w:val="18"/>
              </w:rPr>
              <w:t>137,200</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18"/>
                <w:szCs w:val="18"/>
              </w:rPr>
            </w:pPr>
            <w:r>
              <w:rPr>
                <w:rFonts w:ascii="Arial"/>
                <w:spacing w:val="-1"/>
                <w:sz w:val="18"/>
              </w:rPr>
              <w:t>137,200</w:t>
            </w:r>
          </w:p>
        </w:tc>
      </w:tr>
      <w:tr>
        <w:trPr>
          <w:trHeight w:val="33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spacing w:val="-1"/>
                <w:sz w:val="18"/>
              </w:rPr>
              <w:t>22,442,132</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spacing w:val="-1"/>
                <w:sz w:val="18"/>
              </w:rPr>
              <w:t>22,442,132</w:t>
            </w:r>
          </w:p>
        </w:tc>
      </w:tr>
      <w:tr>
        <w:trPr>
          <w:trHeight w:val="33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spacing w:val="-1"/>
                <w:sz w:val="18"/>
              </w:rPr>
              <w:t>8,427,397</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spacing w:val="-1"/>
                <w:sz w:val="18"/>
              </w:rPr>
              <w:t>8,427,397</w:t>
            </w:r>
          </w:p>
        </w:tc>
      </w:tr>
      <w:tr>
        <w:trPr>
          <w:trHeight w:val="32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spacing w:val="-1"/>
                <w:sz w:val="18"/>
              </w:rPr>
              <w:t>5,442,037</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Arial" w:hAnsi="Arial" w:cs="Arial" w:eastAsia="Arial" w:hint="default"/>
                <w:sz w:val="18"/>
                <w:szCs w:val="18"/>
              </w:rPr>
            </w:pPr>
            <w:r>
              <w:rPr>
                <w:rFonts w:ascii="Arial"/>
                <w:spacing w:val="-1"/>
                <w:sz w:val="18"/>
              </w:rPr>
              <w:t>5,442,037</w:t>
            </w:r>
          </w:p>
        </w:tc>
      </w:tr>
      <w:tr>
        <w:trPr>
          <w:trHeight w:val="596"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78" w:lineRule="auto"/>
              <w:ind w:left="470" w:right="538" w:hanging="271"/>
              <w:jc w:val="left"/>
              <w:rPr>
                <w:rFonts w:ascii="宋体" w:hAnsi="宋体" w:cs="宋体" w:eastAsia="宋体" w:hint="default"/>
                <w:sz w:val="18"/>
                <w:szCs w:val="18"/>
              </w:rPr>
            </w:pPr>
            <w:r>
              <w:rPr>
                <w:rFonts w:ascii="宋体" w:hAnsi="宋体" w:cs="宋体" w:eastAsia="宋体" w:hint="default"/>
                <w:sz w:val="18"/>
                <w:szCs w:val="18"/>
              </w:rPr>
              <w:t>一年内到期的长期 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1"/>
                <w:sz w:val="18"/>
              </w:rPr>
              <w:t>104,635</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1"/>
                <w:sz w:val="18"/>
              </w:rPr>
              <w:t>104,635</w:t>
            </w:r>
          </w:p>
        </w:tc>
      </w:tr>
      <w:tr>
        <w:trPr>
          <w:trHeight w:val="33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18"/>
                <w:szCs w:val="18"/>
              </w:rPr>
            </w:pPr>
            <w:r>
              <w:rPr>
                <w:rFonts w:ascii="Arial"/>
                <w:spacing w:val="-1"/>
                <w:sz w:val="18"/>
              </w:rPr>
              <w:t>189,724</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Arial" w:hAnsi="Arial" w:cs="Arial" w:eastAsia="Arial" w:hint="default"/>
                <w:sz w:val="18"/>
                <w:szCs w:val="18"/>
              </w:rPr>
            </w:pPr>
            <w:r>
              <w:rPr>
                <w:rFonts w:ascii="Arial"/>
                <w:spacing w:val="-1"/>
                <w:sz w:val="18"/>
              </w:rPr>
              <w:t>724,490</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Arial" w:hAnsi="Arial" w:cs="Arial" w:eastAsia="Arial" w:hint="default"/>
                <w:sz w:val="18"/>
                <w:szCs w:val="18"/>
              </w:rPr>
            </w:pPr>
            <w:r>
              <w:rPr>
                <w:rFonts w:ascii="Arial"/>
                <w:spacing w:val="-1"/>
                <w:sz w:val="18"/>
              </w:rPr>
              <w:t>914,214</w:t>
            </w:r>
          </w:p>
        </w:tc>
      </w:tr>
      <w:tr>
        <w:trPr>
          <w:trHeight w:val="33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right"/>
              <w:rPr>
                <w:rFonts w:ascii="Arial" w:hAnsi="Arial" w:cs="Arial" w:eastAsia="Arial" w:hint="default"/>
                <w:sz w:val="18"/>
                <w:szCs w:val="18"/>
              </w:rPr>
            </w:pPr>
            <w:r>
              <w:rPr>
                <w:rFonts w:ascii="Arial"/>
                <w:spacing w:val="-1"/>
                <w:sz w:val="18"/>
              </w:rPr>
              <w:t>3,500,000</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7"/>
              <w:jc w:val="right"/>
              <w:rPr>
                <w:rFonts w:ascii="Arial" w:hAnsi="Arial" w:cs="Arial" w:eastAsia="Arial" w:hint="default"/>
                <w:sz w:val="18"/>
                <w:szCs w:val="18"/>
              </w:rPr>
            </w:pPr>
            <w:r>
              <w:rPr>
                <w:rFonts w:ascii="Arial"/>
                <w:spacing w:val="-1"/>
                <w:sz w:val="18"/>
              </w:rPr>
              <w:t>4,500,000</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spacing w:val="-1"/>
                <w:sz w:val="18"/>
              </w:rPr>
              <w:t>8,000,000</w:t>
            </w:r>
          </w:p>
        </w:tc>
      </w:tr>
      <w:tr>
        <w:trPr>
          <w:trHeight w:val="33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Arial" w:hAnsi="Arial" w:cs="Arial" w:eastAsia="Arial" w:hint="default"/>
                <w:sz w:val="18"/>
                <w:szCs w:val="18"/>
              </w:rPr>
            </w:pPr>
            <w:r>
              <w:rPr>
                <w:rFonts w:ascii="Arial"/>
                <w:spacing w:val="-1"/>
                <w:sz w:val="18"/>
              </w:rPr>
              <w:t>490,823</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18"/>
                <w:szCs w:val="18"/>
              </w:rPr>
            </w:pPr>
            <w:r>
              <w:rPr>
                <w:rFonts w:ascii="Arial"/>
                <w:spacing w:val="-1"/>
                <w:sz w:val="18"/>
              </w:rPr>
              <w:t>473,703</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Arial" w:hAnsi="Arial" w:cs="Arial" w:eastAsia="Arial" w:hint="default"/>
                <w:sz w:val="18"/>
                <w:szCs w:val="18"/>
              </w:rPr>
            </w:pPr>
            <w:r>
              <w:rPr>
                <w:rFonts w:ascii="Arial"/>
                <w:spacing w:val="-1"/>
                <w:sz w:val="18"/>
              </w:rPr>
              <w:t>272,195</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spacing w:val="-1"/>
                <w:sz w:val="18"/>
              </w:rPr>
              <w:t>1,236,721</w:t>
            </w:r>
          </w:p>
        </w:tc>
      </w:tr>
      <w:tr>
        <w:trPr>
          <w:trHeight w:val="318"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53"/>
              <w:jc w:val="right"/>
              <w:rPr>
                <w:rFonts w:ascii="Arial" w:hAnsi="Arial" w:cs="Arial" w:eastAsia="Arial" w:hint="default"/>
                <w:sz w:val="18"/>
                <w:szCs w:val="18"/>
              </w:rPr>
            </w:pPr>
            <w:r>
              <w:rPr>
                <w:rFonts w:ascii="Arial"/>
                <w:spacing w:val="-1"/>
                <w:sz w:val="18"/>
              </w:rPr>
              <w:t>4,873</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54"/>
              <w:jc w:val="right"/>
              <w:rPr>
                <w:rFonts w:ascii="Arial" w:hAnsi="Arial" w:cs="Arial" w:eastAsia="Arial" w:hint="default"/>
                <w:sz w:val="18"/>
                <w:szCs w:val="18"/>
              </w:rPr>
            </w:pPr>
            <w:r>
              <w:rPr>
                <w:rFonts w:ascii="Arial"/>
                <w:spacing w:val="-1"/>
                <w:sz w:val="18"/>
              </w:rPr>
              <w:t>4,873</w:t>
            </w:r>
          </w:p>
        </w:tc>
      </w:tr>
      <w:tr>
        <w:trPr>
          <w:trHeight w:val="353" w:hRule="exact"/>
        </w:trPr>
        <w:tc>
          <w:tcPr>
            <w:tcW w:w="218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56"/>
              <w:jc w:val="right"/>
              <w:rPr>
                <w:rFonts w:ascii="Arial" w:hAnsi="Arial" w:cs="Arial" w:eastAsia="Arial" w:hint="default"/>
                <w:sz w:val="18"/>
                <w:szCs w:val="18"/>
              </w:rPr>
            </w:pPr>
            <w:r>
              <w:rPr>
                <w:rFonts w:ascii="Arial"/>
                <w:spacing w:val="-1"/>
                <w:sz w:val="18"/>
              </w:rPr>
              <w:t>38,880,753</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53"/>
              <w:jc w:val="right"/>
              <w:rPr>
                <w:rFonts w:ascii="Arial" w:hAnsi="Arial" w:cs="Arial" w:eastAsia="Arial" w:hint="default"/>
                <w:sz w:val="18"/>
                <w:szCs w:val="18"/>
              </w:rPr>
            </w:pPr>
            <w:r>
              <w:rPr>
                <w:rFonts w:ascii="Arial"/>
                <w:spacing w:val="-1"/>
                <w:sz w:val="18"/>
              </w:rPr>
              <w:t>4,168,300</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55"/>
              <w:jc w:val="right"/>
              <w:rPr>
                <w:rFonts w:ascii="Arial" w:hAnsi="Arial" w:cs="Arial" w:eastAsia="Arial" w:hint="default"/>
                <w:sz w:val="18"/>
                <w:szCs w:val="18"/>
              </w:rPr>
            </w:pPr>
            <w:r>
              <w:rPr>
                <w:rFonts w:ascii="Arial"/>
                <w:spacing w:val="-1"/>
                <w:sz w:val="18"/>
              </w:rPr>
              <w:t>5,496,685</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56"/>
              <w:jc w:val="right"/>
              <w:rPr>
                <w:rFonts w:ascii="Arial" w:hAnsi="Arial" w:cs="Arial" w:eastAsia="Arial" w:hint="default"/>
                <w:sz w:val="18"/>
                <w:szCs w:val="18"/>
              </w:rPr>
            </w:pPr>
            <w:r>
              <w:rPr>
                <w:rFonts w:ascii="Arial"/>
                <w:spacing w:val="-1"/>
                <w:sz w:val="18"/>
              </w:rPr>
              <w:t>48,545,738</w:t>
            </w:r>
          </w:p>
        </w:tc>
      </w:tr>
    </w:tbl>
    <w:p>
      <w:pPr>
        <w:spacing w:after="0" w:line="240" w:lineRule="auto"/>
        <w:jc w:val="right"/>
        <w:rPr>
          <w:rFonts w:ascii="Arial" w:hAnsi="Arial" w:cs="Arial" w:eastAsia="Arial" w:hint="default"/>
          <w:sz w:val="18"/>
          <w:szCs w:val="18"/>
        </w:rPr>
        <w:sectPr>
          <w:pgSz w:w="11910" w:h="16840"/>
          <w:pgMar w:header="755" w:footer="914" w:top="1860" w:bottom="1180" w:left="14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8"/>
        <w:gridCol w:w="2985"/>
        <w:gridCol w:w="1277"/>
        <w:gridCol w:w="134"/>
        <w:gridCol w:w="1269"/>
        <w:gridCol w:w="142"/>
        <w:gridCol w:w="1184"/>
        <w:gridCol w:w="133"/>
        <w:gridCol w:w="1234"/>
      </w:tblGrid>
      <w:tr>
        <w:trPr>
          <w:trHeight w:val="493"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exact"/>
              <w:ind w:left="57" w:right="0"/>
              <w:jc w:val="left"/>
              <w:rPr>
                <w:rFonts w:ascii="黑体" w:hAnsi="黑体" w:cs="黑体" w:eastAsia="黑体" w:hint="default"/>
                <w:sz w:val="24"/>
                <w:szCs w:val="24"/>
              </w:rPr>
            </w:pPr>
            <w:r>
              <w:rPr>
                <w:rFonts w:ascii="黑体" w:hAnsi="黑体" w:cs="黑体" w:eastAsia="黑体" w:hint="default"/>
                <w:sz w:val="24"/>
                <w:szCs w:val="24"/>
              </w:rPr>
              <w:t>公允价值估计</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1059" w:hRule="exact"/>
        </w:trPr>
        <w:tc>
          <w:tcPr>
            <w:tcW w:w="9095" w:type="dxa"/>
            <w:gridSpan w:val="9"/>
            <w:tcBorders>
              <w:top w:val="nil" w:sz="6" w:space="0" w:color="auto"/>
              <w:left w:val="nil" w:sz="6" w:space="0" w:color="auto"/>
              <w:bottom w:val="nil" w:sz="6" w:space="0" w:color="auto"/>
              <w:right w:val="nil" w:sz="6" w:space="0" w:color="auto"/>
            </w:tcBorders>
          </w:tcPr>
          <w:p>
            <w:pPr>
              <w:pStyle w:val="TableParagraph"/>
              <w:spacing w:line="312" w:lineRule="exact" w:before="210"/>
              <w:ind w:left="795" w:right="57"/>
              <w:jc w:val="left"/>
              <w:rPr>
                <w:rFonts w:ascii="宋体" w:hAnsi="宋体" w:cs="宋体" w:eastAsia="宋体" w:hint="default"/>
                <w:sz w:val="24"/>
                <w:szCs w:val="24"/>
              </w:rPr>
            </w:pPr>
            <w:r>
              <w:rPr>
                <w:rFonts w:ascii="宋体" w:hAnsi="宋体" w:cs="宋体" w:eastAsia="宋体" w:hint="default"/>
                <w:sz w:val="24"/>
                <w:szCs w:val="24"/>
              </w:rPr>
              <w:t>公允价值计量结果所属的层次，由对公允价值计量整体而言具有重要意义的输</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入值所属的最低层次决定：</w:t>
            </w:r>
          </w:p>
        </w:tc>
      </w:tr>
      <w:tr>
        <w:trPr>
          <w:trHeight w:val="748" w:hRule="exact"/>
        </w:trPr>
        <w:tc>
          <w:tcPr>
            <w:tcW w:w="909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79"/>
              <w:ind w:left="795" w:right="0"/>
              <w:jc w:val="left"/>
              <w:rPr>
                <w:rFonts w:ascii="宋体" w:hAnsi="宋体" w:cs="宋体" w:eastAsia="宋体" w:hint="default"/>
                <w:sz w:val="24"/>
                <w:szCs w:val="24"/>
              </w:rPr>
            </w:pPr>
            <w:r>
              <w:rPr>
                <w:rFonts w:ascii="宋体" w:hAnsi="宋体" w:cs="宋体" w:eastAsia="宋体" w:hint="default"/>
                <w:sz w:val="24"/>
                <w:szCs w:val="24"/>
              </w:rPr>
              <w:t>第一层次：相同资产或负债在活跃市场上未经调整的报价。</w:t>
            </w:r>
          </w:p>
        </w:tc>
      </w:tr>
      <w:tr>
        <w:trPr>
          <w:trHeight w:val="748" w:hRule="exact"/>
        </w:trPr>
        <w:tc>
          <w:tcPr>
            <w:tcW w:w="909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79"/>
              <w:ind w:left="795" w:right="0"/>
              <w:jc w:val="left"/>
              <w:rPr>
                <w:rFonts w:ascii="宋体" w:hAnsi="宋体" w:cs="宋体" w:eastAsia="宋体" w:hint="default"/>
                <w:sz w:val="24"/>
                <w:szCs w:val="24"/>
              </w:rPr>
            </w:pPr>
            <w:r>
              <w:rPr>
                <w:rFonts w:ascii="宋体" w:hAnsi="宋体" w:cs="宋体" w:eastAsia="宋体" w:hint="default"/>
                <w:sz w:val="24"/>
                <w:szCs w:val="24"/>
              </w:rPr>
              <w:t>第二层次：除第一层次输入值外相关资产或负债直接或间接可观察的输入值。</w:t>
            </w:r>
          </w:p>
        </w:tc>
      </w:tr>
      <w:tr>
        <w:trPr>
          <w:trHeight w:val="743" w:hRule="exact"/>
        </w:trPr>
        <w:tc>
          <w:tcPr>
            <w:tcW w:w="909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79"/>
              <w:ind w:left="795" w:right="0"/>
              <w:jc w:val="left"/>
              <w:rPr>
                <w:rFonts w:ascii="宋体" w:hAnsi="宋体" w:cs="宋体" w:eastAsia="宋体" w:hint="default"/>
                <w:sz w:val="24"/>
                <w:szCs w:val="24"/>
              </w:rPr>
            </w:pPr>
            <w:r>
              <w:rPr>
                <w:rFonts w:ascii="宋体" w:hAnsi="宋体" w:cs="宋体" w:eastAsia="宋体" w:hint="default"/>
                <w:sz w:val="24"/>
                <w:szCs w:val="24"/>
              </w:rPr>
              <w:t>第三层次：相关资产或负债的不可观察输入值。</w:t>
            </w:r>
          </w:p>
        </w:tc>
      </w:tr>
      <w:tr>
        <w:trPr>
          <w:trHeight w:val="750"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w:t>
            </w:r>
          </w:p>
        </w:tc>
        <w:tc>
          <w:tcPr>
            <w:tcW w:w="42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57" w:right="0"/>
              <w:jc w:val="left"/>
              <w:rPr>
                <w:rFonts w:ascii="黑体" w:hAnsi="黑体" w:cs="黑体" w:eastAsia="黑体" w:hint="default"/>
                <w:sz w:val="24"/>
                <w:szCs w:val="24"/>
              </w:rPr>
            </w:pPr>
            <w:r>
              <w:rPr>
                <w:rFonts w:ascii="黑体" w:hAnsi="黑体" w:cs="黑体" w:eastAsia="黑体" w:hint="default"/>
                <w:sz w:val="24"/>
                <w:szCs w:val="24"/>
              </w:rPr>
              <w:t>持续的以公允价值计量的资产和负债</w:t>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1059" w:hRule="exact"/>
        </w:trPr>
        <w:tc>
          <w:tcPr>
            <w:tcW w:w="738" w:type="dxa"/>
            <w:tcBorders>
              <w:top w:val="nil" w:sz="6" w:space="0" w:color="auto"/>
              <w:left w:val="nil" w:sz="6" w:space="0" w:color="auto"/>
              <w:bottom w:val="nil" w:sz="6" w:space="0" w:color="auto"/>
              <w:right w:val="nil" w:sz="6" w:space="0" w:color="auto"/>
            </w:tcBorders>
          </w:tcPr>
          <w:p>
            <w:pPr/>
          </w:p>
        </w:tc>
        <w:tc>
          <w:tcPr>
            <w:tcW w:w="8358" w:type="dxa"/>
            <w:gridSpan w:val="8"/>
            <w:tcBorders>
              <w:top w:val="nil" w:sz="6" w:space="0" w:color="auto"/>
              <w:left w:val="nil" w:sz="6" w:space="0" w:color="auto"/>
              <w:bottom w:val="nil" w:sz="6" w:space="0" w:color="auto"/>
              <w:right w:val="nil" w:sz="6" w:space="0" w:color="auto"/>
            </w:tcBorders>
          </w:tcPr>
          <w:p>
            <w:pPr>
              <w:pStyle w:val="TableParagraph"/>
              <w:spacing w:line="312" w:lineRule="exact" w:before="210"/>
              <w:ind w:left="57" w:right="57"/>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5"/>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日，持续的以公允价值计量的资产和负债按上述三个层次 列示如下：</w:t>
            </w:r>
          </w:p>
        </w:tc>
      </w:tr>
      <w:tr>
        <w:trPr>
          <w:trHeight w:val="570"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4"/>
              <w:jc w:val="right"/>
              <w:rPr>
                <w:rFonts w:ascii="宋体" w:hAnsi="宋体" w:cs="宋体" w:eastAsia="宋体" w:hint="default"/>
                <w:sz w:val="24"/>
                <w:szCs w:val="24"/>
              </w:rPr>
            </w:pPr>
            <w:r>
              <w:rPr>
                <w:rFonts w:ascii="宋体" w:hAnsi="宋体" w:cs="宋体" w:eastAsia="宋体" w:hint="default"/>
                <w:sz w:val="24"/>
                <w:szCs w:val="24"/>
              </w:rPr>
              <w:t>第一层次</w:t>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7"/>
              <w:jc w:val="right"/>
              <w:rPr>
                <w:rFonts w:ascii="宋体" w:hAnsi="宋体" w:cs="宋体" w:eastAsia="宋体" w:hint="default"/>
                <w:sz w:val="24"/>
                <w:szCs w:val="24"/>
              </w:rPr>
            </w:pPr>
            <w:r>
              <w:rPr>
                <w:rFonts w:ascii="宋体" w:hAnsi="宋体" w:cs="宋体" w:eastAsia="宋体" w:hint="default"/>
                <w:sz w:val="24"/>
                <w:szCs w:val="24"/>
              </w:rPr>
              <w:t>第二层次</w:t>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5"/>
              <w:jc w:val="right"/>
              <w:rPr>
                <w:rFonts w:ascii="宋体" w:hAnsi="宋体" w:cs="宋体" w:eastAsia="宋体" w:hint="default"/>
                <w:sz w:val="24"/>
                <w:szCs w:val="24"/>
              </w:rPr>
            </w:pPr>
            <w:r>
              <w:rPr>
                <w:rFonts w:ascii="宋体" w:hAnsi="宋体" w:cs="宋体" w:eastAsia="宋体" w:hint="default"/>
                <w:sz w:val="24"/>
                <w:szCs w:val="24"/>
              </w:rPr>
              <w:t>第三层次</w:t>
            </w: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5"/>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91"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57"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1094"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68" w:lineRule="auto" w:before="1"/>
              <w:ind w:left="177" w:right="165" w:hanging="120"/>
              <w:jc w:val="left"/>
              <w:rPr>
                <w:rFonts w:ascii="宋体" w:hAnsi="宋体" w:cs="宋体" w:eastAsia="宋体" w:hint="default"/>
                <w:sz w:val="24"/>
                <w:szCs w:val="24"/>
              </w:rPr>
            </w:pPr>
            <w:r>
              <w:rPr>
                <w:rFonts w:ascii="宋体" w:hAnsi="宋体" w:cs="宋体" w:eastAsia="宋体" w:hint="default"/>
                <w:sz w:val="24"/>
                <w:szCs w:val="24"/>
              </w:rPr>
              <w:t>以公允价值计量且其变动 计入当期损益的金融资产</w:t>
            </w:r>
          </w:p>
          <w:p>
            <w:pPr>
              <w:pStyle w:val="TableParagraph"/>
              <w:spacing w:line="240" w:lineRule="auto" w:before="8"/>
              <w:ind w:left="177" w:right="0"/>
              <w:jc w:val="left"/>
              <w:rPr>
                <w:rFonts w:ascii="宋体" w:hAnsi="宋体" w:cs="宋体" w:eastAsia="宋体" w:hint="default"/>
                <w:sz w:val="24"/>
                <w:szCs w:val="24"/>
              </w:rPr>
            </w:pPr>
            <w:r>
              <w:rPr>
                <w:rFonts w:ascii="宋体" w:hAnsi="宋体" w:cs="宋体" w:eastAsia="宋体" w:hint="default"/>
                <w:sz w:val="24"/>
                <w:szCs w:val="24"/>
              </w:rPr>
              <w:t>—</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405"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5"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4"/>
                <w:szCs w:val="24"/>
              </w:rPr>
            </w:pPr>
            <w:r>
              <w:rPr>
                <w:rFonts w:ascii="Arial"/>
                <w:spacing w:val="-1"/>
                <w:sz w:val="24"/>
              </w:rPr>
              <w:t>657,495</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4"/>
                <w:szCs w:val="24"/>
              </w:rPr>
            </w:pPr>
            <w:r>
              <w:rPr>
                <w:rFonts w:ascii="Arial"/>
                <w:w w:val="99"/>
                <w:sz w:val="24"/>
              </w:rPr>
              <w:t>-</w:t>
            </w:r>
            <w:r>
              <w:rPr>
                <w:rFonts w:ascii="Arial"/>
                <w:sz w:val="24"/>
              </w:rPr>
            </w: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4"/>
                <w:szCs w:val="24"/>
              </w:rPr>
            </w:pPr>
            <w:r>
              <w:rPr>
                <w:rFonts w:ascii="Arial"/>
                <w:spacing w:val="-1"/>
                <w:sz w:val="24"/>
              </w:rPr>
              <w:t>657,495</w:t>
            </w:r>
            <w:r>
              <w:rPr>
                <w:rFonts w:ascii="Arial"/>
                <w:sz w:val="24"/>
              </w:rPr>
            </w:r>
          </w:p>
        </w:tc>
      </w:tr>
      <w:tr>
        <w:trPr>
          <w:trHeight w:val="391"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302" w:lineRule="exact"/>
              <w:ind w:left="297" w:right="0"/>
              <w:jc w:val="left"/>
              <w:rPr>
                <w:rFonts w:ascii="宋体" w:hAnsi="宋体" w:cs="宋体" w:eastAsia="宋体" w:hint="default"/>
                <w:sz w:val="24"/>
                <w:szCs w:val="24"/>
              </w:rPr>
            </w:pPr>
            <w:r>
              <w:rPr>
                <w:rFonts w:ascii="宋体" w:hAnsi="宋体" w:cs="宋体" w:eastAsia="宋体" w:hint="default"/>
                <w:sz w:val="24"/>
                <w:szCs w:val="24"/>
              </w:rPr>
              <w:t>新股预约权</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6"/>
              <w:jc w:val="right"/>
              <w:rPr>
                <w:rFonts w:ascii="Arial" w:hAnsi="Arial" w:cs="Arial" w:eastAsia="Arial" w:hint="default"/>
                <w:sz w:val="24"/>
                <w:szCs w:val="24"/>
              </w:rPr>
            </w:pPr>
            <w:r>
              <w:rPr>
                <w:rFonts w:ascii="Arial"/>
                <w:spacing w:val="-1"/>
                <w:sz w:val="24"/>
              </w:rPr>
              <w:t>21,376</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6"/>
              <w:jc w:val="right"/>
              <w:rPr>
                <w:rFonts w:ascii="Arial" w:hAnsi="Arial" w:cs="Arial" w:eastAsia="Arial" w:hint="default"/>
                <w:sz w:val="24"/>
                <w:szCs w:val="24"/>
              </w:rPr>
            </w:pPr>
            <w:r>
              <w:rPr>
                <w:rFonts w:ascii="Arial"/>
                <w:w w:val="99"/>
                <w:sz w:val="24"/>
              </w:rPr>
              <w:t>-</w:t>
            </w:r>
            <w:r>
              <w:rPr>
                <w:rFonts w:ascii="Arial"/>
                <w:sz w:val="24"/>
              </w:rPr>
            </w: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6"/>
              <w:jc w:val="right"/>
              <w:rPr>
                <w:rFonts w:ascii="Arial" w:hAnsi="Arial" w:cs="Arial" w:eastAsia="Arial" w:hint="default"/>
                <w:sz w:val="24"/>
                <w:szCs w:val="24"/>
              </w:rPr>
            </w:pPr>
            <w:r>
              <w:rPr>
                <w:rFonts w:ascii="Arial"/>
                <w:w w:val="95"/>
                <w:sz w:val="24"/>
              </w:rPr>
              <w:t>21,376</w:t>
            </w:r>
            <w:r>
              <w:rPr>
                <w:rFonts w:ascii="Arial"/>
                <w:sz w:val="24"/>
              </w:rPr>
            </w:r>
          </w:p>
        </w:tc>
      </w:tr>
      <w:tr>
        <w:trPr>
          <w:trHeight w:val="378"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302" w:lineRule="exact"/>
              <w:ind w:left="57"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405"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97" w:right="0"/>
              <w:jc w:val="left"/>
              <w:rPr>
                <w:rFonts w:ascii="宋体" w:hAnsi="宋体" w:cs="宋体" w:eastAsia="宋体" w:hint="default"/>
                <w:sz w:val="24"/>
                <w:szCs w:val="24"/>
              </w:rPr>
            </w:pPr>
            <w:r>
              <w:rPr>
                <w:rFonts w:ascii="宋体" w:hAnsi="宋体" w:cs="宋体" w:eastAsia="宋体" w:hint="default"/>
                <w:sz w:val="24"/>
                <w:szCs w:val="24"/>
              </w:rPr>
              <w:t>一年内到期的理财产品</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6"/>
              <w:jc w:val="right"/>
              <w:rPr>
                <w:rFonts w:ascii="Arial" w:hAnsi="Arial" w:cs="Arial" w:eastAsia="Arial" w:hint="default"/>
                <w:sz w:val="24"/>
                <w:szCs w:val="24"/>
              </w:rPr>
            </w:pPr>
            <w:r>
              <w:rPr>
                <w:rFonts w:ascii="Arial"/>
                <w:w w:val="99"/>
                <w:sz w:val="24"/>
              </w:rPr>
              <w:t>-</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6"/>
              <w:jc w:val="right"/>
              <w:rPr>
                <w:rFonts w:ascii="Arial" w:hAnsi="Arial" w:cs="Arial" w:eastAsia="Arial" w:hint="default"/>
                <w:sz w:val="24"/>
                <w:szCs w:val="24"/>
              </w:rPr>
            </w:pPr>
            <w:r>
              <w:rPr>
                <w:rFonts w:ascii="Arial"/>
                <w:w w:val="95"/>
                <w:sz w:val="24"/>
              </w:rPr>
              <w:t>1,502,959</w:t>
            </w:r>
            <w:r>
              <w:rPr>
                <w:rFonts w:ascii="Arial"/>
                <w:sz w:val="24"/>
              </w:rPr>
            </w: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6"/>
              <w:jc w:val="right"/>
              <w:rPr>
                <w:rFonts w:ascii="Arial" w:hAnsi="Arial" w:cs="Arial" w:eastAsia="Arial" w:hint="default"/>
                <w:sz w:val="24"/>
                <w:szCs w:val="24"/>
              </w:rPr>
            </w:pPr>
            <w:r>
              <w:rPr>
                <w:rFonts w:ascii="Arial"/>
                <w:w w:val="95"/>
                <w:sz w:val="24"/>
              </w:rPr>
              <w:t>1,502,959</w:t>
            </w:r>
            <w:r>
              <w:rPr>
                <w:rFonts w:ascii="Arial"/>
                <w:sz w:val="24"/>
              </w:rPr>
            </w:r>
          </w:p>
        </w:tc>
      </w:tr>
      <w:tr>
        <w:trPr>
          <w:trHeight w:val="378"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302" w:lineRule="exact"/>
              <w:ind w:left="57"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410"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33"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6"/>
              <w:jc w:val="right"/>
              <w:rPr>
                <w:rFonts w:ascii="Arial" w:hAnsi="Arial" w:cs="Arial" w:eastAsia="Arial" w:hint="default"/>
                <w:sz w:val="24"/>
                <w:szCs w:val="24"/>
              </w:rPr>
            </w:pPr>
            <w:r>
              <w:rPr>
                <w:rFonts w:ascii="Arial"/>
                <w:spacing w:val="-1"/>
                <w:sz w:val="24"/>
              </w:rPr>
              <w:t>106,006</w:t>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6"/>
              <w:jc w:val="right"/>
              <w:rPr>
                <w:rFonts w:ascii="Arial" w:hAnsi="Arial" w:cs="Arial" w:eastAsia="Arial" w:hint="default"/>
                <w:sz w:val="24"/>
                <w:szCs w:val="24"/>
              </w:rPr>
            </w:pPr>
            <w:r>
              <w:rPr>
                <w:rFonts w:ascii="Arial"/>
                <w:spacing w:val="-1"/>
                <w:sz w:val="24"/>
              </w:rPr>
              <w:t>816,473</w:t>
            </w: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6"/>
              <w:jc w:val="right"/>
              <w:rPr>
                <w:rFonts w:ascii="Arial" w:hAnsi="Arial" w:cs="Arial" w:eastAsia="Arial" w:hint="default"/>
                <w:sz w:val="24"/>
                <w:szCs w:val="24"/>
              </w:rPr>
            </w:pPr>
            <w:r>
              <w:rPr>
                <w:rFonts w:ascii="Arial"/>
                <w:spacing w:val="-1"/>
                <w:sz w:val="24"/>
              </w:rPr>
              <w:t>922,479</w:t>
            </w:r>
          </w:p>
        </w:tc>
      </w:tr>
      <w:tr>
        <w:trPr>
          <w:trHeight w:val="402"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307" w:lineRule="exact"/>
              <w:ind w:left="333"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Arial" w:hAnsi="Arial" w:cs="Arial" w:eastAsia="Arial" w:hint="default"/>
                <w:sz w:val="24"/>
                <w:szCs w:val="24"/>
              </w:rPr>
            </w:pPr>
            <w:r>
              <w:rPr>
                <w:rFonts w:ascii="Arial"/>
                <w:w w:val="99"/>
                <w:sz w:val="24"/>
              </w:rPr>
              <w:t>-</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Arial" w:hAnsi="Arial" w:cs="Arial" w:eastAsia="Arial" w:hint="default"/>
                <w:sz w:val="24"/>
                <w:szCs w:val="24"/>
              </w:rPr>
            </w:pPr>
            <w:r>
              <w:rPr>
                <w:rFonts w:ascii="Arial"/>
                <w:spacing w:val="-1"/>
                <w:sz w:val="24"/>
              </w:rPr>
              <w:t>894,743</w:t>
            </w: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Arial" w:hAnsi="Arial" w:cs="Arial" w:eastAsia="Arial" w:hint="default"/>
                <w:sz w:val="24"/>
                <w:szCs w:val="24"/>
              </w:rPr>
            </w:pPr>
            <w:r>
              <w:rPr>
                <w:rFonts w:ascii="Arial"/>
                <w:spacing w:val="-1"/>
                <w:sz w:val="24"/>
              </w:rPr>
              <w:t>894,743</w:t>
            </w:r>
          </w:p>
        </w:tc>
      </w:tr>
      <w:tr>
        <w:trPr>
          <w:trHeight w:val="387"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324" w:lineRule="exact"/>
              <w:ind w:left="333" w:right="0"/>
              <w:jc w:val="left"/>
              <w:rPr>
                <w:rFonts w:ascii="Arial" w:hAnsi="Arial" w:cs="Arial" w:eastAsia="Arial" w:hint="default"/>
                <w:sz w:val="24"/>
                <w:szCs w:val="24"/>
              </w:rPr>
            </w:pPr>
            <w:r>
              <w:rPr>
                <w:rFonts w:ascii="宋体" w:hAnsi="宋体" w:cs="宋体" w:eastAsia="宋体" w:hint="default"/>
                <w:sz w:val="24"/>
                <w:szCs w:val="24"/>
              </w:rPr>
              <w:t>股票投资</w:t>
            </w:r>
            <w:r>
              <w:rPr>
                <w:rFonts w:ascii="Arial" w:hAnsi="Arial" w:cs="Arial" w:eastAsia="Arial" w:hint="default"/>
                <w:sz w:val="24"/>
                <w:szCs w:val="24"/>
              </w:rPr>
              <w:t>(a)</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5"/>
              <w:jc w:val="right"/>
              <w:rPr>
                <w:rFonts w:ascii="Arial" w:hAnsi="Arial" w:cs="Arial" w:eastAsia="Arial" w:hint="default"/>
                <w:sz w:val="24"/>
                <w:szCs w:val="24"/>
              </w:rPr>
            </w:pPr>
            <w:r>
              <w:rPr>
                <w:rFonts w:ascii="Arial"/>
                <w:spacing w:val="-1"/>
                <w:sz w:val="24"/>
              </w:rPr>
              <w:t>799</w:t>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6"/>
              <w:jc w:val="right"/>
              <w:rPr>
                <w:rFonts w:ascii="Arial" w:hAnsi="Arial" w:cs="Arial" w:eastAsia="Arial" w:hint="default"/>
                <w:sz w:val="24"/>
                <w:szCs w:val="24"/>
              </w:rPr>
            </w:pPr>
            <w:r>
              <w:rPr>
                <w:rFonts w:ascii="Arial"/>
                <w:w w:val="99"/>
                <w:sz w:val="24"/>
              </w:rPr>
              <w:t>-</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6"/>
              <w:jc w:val="right"/>
              <w:rPr>
                <w:rFonts w:ascii="Arial" w:hAnsi="Arial" w:cs="Arial" w:eastAsia="Arial" w:hint="default"/>
                <w:sz w:val="24"/>
                <w:szCs w:val="24"/>
              </w:rPr>
            </w:pPr>
            <w:r>
              <w:rPr>
                <w:rFonts w:ascii="Arial"/>
                <w:w w:val="99"/>
                <w:sz w:val="24"/>
              </w:rPr>
              <w:t>-</w:t>
            </w:r>
            <w:r>
              <w:rPr>
                <w:rFonts w:ascii="Arial"/>
                <w:sz w:val="24"/>
              </w:rPr>
            </w: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6"/>
              <w:jc w:val="right"/>
              <w:rPr>
                <w:rFonts w:ascii="Arial" w:hAnsi="Arial" w:cs="Arial" w:eastAsia="Arial" w:hint="default"/>
                <w:sz w:val="24"/>
                <w:szCs w:val="24"/>
              </w:rPr>
            </w:pPr>
            <w:r>
              <w:rPr>
                <w:rFonts w:ascii="Arial"/>
                <w:spacing w:val="-1"/>
                <w:w w:val="95"/>
                <w:sz w:val="24"/>
              </w:rPr>
              <w:t>799</w:t>
            </w:r>
            <w:r>
              <w:rPr>
                <w:rFonts w:ascii="Arial"/>
                <w:sz w:val="24"/>
              </w:rPr>
            </w:r>
          </w:p>
        </w:tc>
      </w:tr>
      <w:tr>
        <w:trPr>
          <w:trHeight w:val="401"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7" w:right="0"/>
              <w:jc w:val="left"/>
              <w:rPr>
                <w:rFonts w:ascii="宋体" w:hAnsi="宋体" w:cs="宋体" w:eastAsia="宋体" w:hint="default"/>
                <w:sz w:val="24"/>
                <w:szCs w:val="24"/>
              </w:rPr>
            </w:pPr>
            <w:r>
              <w:rPr>
                <w:rFonts w:ascii="宋体" w:hAnsi="宋体" w:cs="宋体" w:eastAsia="宋体" w:hint="default"/>
                <w:sz w:val="24"/>
                <w:szCs w:val="24"/>
              </w:rPr>
              <w:t>金融资产合计</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55"/>
              <w:jc w:val="right"/>
              <w:rPr>
                <w:rFonts w:ascii="Arial" w:hAnsi="Arial" w:cs="Arial" w:eastAsia="Arial" w:hint="default"/>
                <w:sz w:val="24"/>
                <w:szCs w:val="24"/>
              </w:rPr>
            </w:pPr>
            <w:r>
              <w:rPr>
                <w:rFonts w:ascii="Arial"/>
                <w:spacing w:val="-1"/>
                <w:sz w:val="24"/>
              </w:rPr>
              <w:t>799</w:t>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56"/>
              <w:jc w:val="right"/>
              <w:rPr>
                <w:rFonts w:ascii="Arial" w:hAnsi="Arial" w:cs="Arial" w:eastAsia="Arial" w:hint="default"/>
                <w:sz w:val="24"/>
                <w:szCs w:val="24"/>
              </w:rPr>
            </w:pPr>
            <w:r>
              <w:rPr>
                <w:rFonts w:ascii="Arial"/>
                <w:spacing w:val="-1"/>
                <w:sz w:val="24"/>
              </w:rPr>
              <w:t>784,877</w:t>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56"/>
              <w:jc w:val="right"/>
              <w:rPr>
                <w:rFonts w:ascii="Arial" w:hAnsi="Arial" w:cs="Arial" w:eastAsia="Arial" w:hint="default"/>
                <w:sz w:val="24"/>
                <w:szCs w:val="24"/>
              </w:rPr>
            </w:pPr>
            <w:r>
              <w:rPr>
                <w:rFonts w:ascii="Arial"/>
                <w:w w:val="95"/>
                <w:sz w:val="24"/>
              </w:rPr>
              <w:t>3,214,175</w:t>
            </w:r>
            <w:r>
              <w:rPr>
                <w:rFonts w:ascii="Arial"/>
                <w:sz w:val="24"/>
              </w:rPr>
            </w:r>
          </w:p>
        </w:tc>
        <w:tc>
          <w:tcPr>
            <w:tcW w:w="133" w:type="dxa"/>
            <w:tcBorders>
              <w:top w:val="nil" w:sz="6" w:space="0" w:color="auto"/>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56"/>
              <w:jc w:val="right"/>
              <w:rPr>
                <w:rFonts w:ascii="Arial" w:hAnsi="Arial" w:cs="Arial" w:eastAsia="Arial" w:hint="default"/>
                <w:sz w:val="24"/>
                <w:szCs w:val="24"/>
              </w:rPr>
            </w:pPr>
            <w:r>
              <w:rPr>
                <w:rFonts w:ascii="Arial"/>
                <w:spacing w:val="-1"/>
                <w:sz w:val="24"/>
              </w:rPr>
              <w:t>3,999,851</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14" w:top="1860" w:bottom="118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53"/>
        <w:gridCol w:w="3250"/>
        <w:gridCol w:w="1105"/>
        <w:gridCol w:w="1366"/>
        <w:gridCol w:w="1349"/>
        <w:gridCol w:w="1418"/>
      </w:tblGrid>
      <w:tr>
        <w:trPr>
          <w:trHeight w:val="416"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3250" w:type="dxa"/>
            <w:tcBorders>
              <w:top w:val="nil" w:sz="6" w:space="0" w:color="auto"/>
              <w:left w:val="nil" w:sz="6" w:space="0" w:color="auto"/>
              <w:bottom w:val="nil" w:sz="6" w:space="0" w:color="auto"/>
              <w:right w:val="nil" w:sz="6" w:space="0" w:color="auto"/>
            </w:tcBorders>
          </w:tcPr>
          <w:p>
            <w:pPr>
              <w:pStyle w:val="TableParagraph"/>
              <w:spacing w:line="257" w:lineRule="exact"/>
              <w:ind w:left="72"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0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591"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w:t>
            </w:r>
          </w:p>
        </w:tc>
        <w:tc>
          <w:tcPr>
            <w:tcW w:w="43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72" w:right="0"/>
              <w:jc w:val="left"/>
              <w:rPr>
                <w:rFonts w:ascii="Arial" w:hAnsi="Arial" w:cs="Arial" w:eastAsia="Arial" w:hint="default"/>
                <w:sz w:val="24"/>
                <w:szCs w:val="24"/>
              </w:rPr>
            </w:pPr>
            <w:r>
              <w:rPr>
                <w:rFonts w:ascii="黑体" w:hAnsi="黑体" w:cs="黑体" w:eastAsia="黑体" w:hint="default"/>
                <w:sz w:val="24"/>
                <w:szCs w:val="24"/>
              </w:rPr>
              <w:t>持续的以公允价值计量的资产和负债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444"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3" w:right="164"/>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9"/>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7"/>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98"/>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1"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76" w:lineRule="exact"/>
              <w:ind w:left="72"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110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934"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312" w:right="0" w:hanging="241"/>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2" w:lineRule="exact" w:before="29"/>
              <w:ind w:left="312" w:right="536"/>
              <w:jc w:val="left"/>
              <w:rPr>
                <w:rFonts w:ascii="宋体" w:hAnsi="宋体" w:cs="宋体" w:eastAsia="宋体" w:hint="default"/>
                <w:sz w:val="24"/>
                <w:szCs w:val="24"/>
              </w:rPr>
            </w:pPr>
            <w:r>
              <w:rPr>
                <w:rFonts w:ascii="宋体" w:hAnsi="宋体" w:cs="宋体" w:eastAsia="宋体" w:hint="default"/>
                <w:sz w:val="24"/>
                <w:szCs w:val="24"/>
              </w:rPr>
              <w:t>计入当期损益的金融负 债—</w:t>
            </w:r>
          </w:p>
        </w:tc>
        <w:tc>
          <w:tcPr>
            <w:tcW w:w="110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30"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75" w:lineRule="exact"/>
              <w:ind w:left="552" w:right="0"/>
              <w:jc w:val="left"/>
              <w:rPr>
                <w:rFonts w:ascii="宋体" w:hAnsi="宋体" w:cs="宋体" w:eastAsia="宋体" w:hint="default"/>
                <w:sz w:val="24"/>
                <w:szCs w:val="24"/>
              </w:rPr>
            </w:pPr>
            <w:r>
              <w:rPr>
                <w:rFonts w:ascii="宋体" w:hAnsi="宋体" w:cs="宋体" w:eastAsia="宋体" w:hint="default"/>
                <w:sz w:val="24"/>
                <w:szCs w:val="24"/>
              </w:rPr>
              <w:t>投资者回售选择权</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5"/>
              <w:jc w:val="right"/>
              <w:rPr>
                <w:rFonts w:ascii="Arial" w:hAnsi="Arial" w:cs="Arial" w:eastAsia="Arial" w:hint="default"/>
                <w:sz w:val="24"/>
                <w:szCs w:val="24"/>
              </w:rPr>
            </w:pPr>
            <w:r>
              <w:rPr>
                <w:rFonts w:ascii="Arial"/>
                <w:w w:val="99"/>
                <w:sz w:val="24"/>
              </w:rPr>
              <w:t>-</w:t>
            </w:r>
            <w:r>
              <w:rPr>
                <w:rFonts w:ascii="Arial"/>
                <w:sz w:val="24"/>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0"/>
              <w:jc w:val="right"/>
              <w:rPr>
                <w:rFonts w:ascii="Arial" w:hAnsi="Arial" w:cs="Arial" w:eastAsia="Arial" w:hint="default"/>
                <w:sz w:val="24"/>
                <w:szCs w:val="24"/>
              </w:rPr>
            </w:pPr>
            <w:r>
              <w:rPr>
                <w:rFonts w:ascii="Arial"/>
                <w:w w:val="99"/>
                <w:sz w:val="24"/>
              </w:rPr>
              <w:t>-</w:t>
            </w:r>
            <w:r>
              <w:rPr>
                <w:rFonts w:ascii="Arial"/>
                <w:sz w:val="24"/>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8"/>
              <w:jc w:val="right"/>
              <w:rPr>
                <w:rFonts w:ascii="Arial" w:hAnsi="Arial" w:cs="Arial" w:eastAsia="Arial" w:hint="default"/>
                <w:sz w:val="24"/>
                <w:szCs w:val="24"/>
              </w:rPr>
            </w:pPr>
            <w:r>
              <w:rPr>
                <w:rFonts w:ascii="Arial"/>
                <w:w w:val="95"/>
                <w:sz w:val="24"/>
              </w:rPr>
              <w:t>14,910</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9"/>
              <w:jc w:val="right"/>
              <w:rPr>
                <w:rFonts w:ascii="Arial" w:hAnsi="Arial" w:cs="Arial" w:eastAsia="Arial" w:hint="default"/>
                <w:sz w:val="24"/>
                <w:szCs w:val="24"/>
              </w:rPr>
            </w:pPr>
            <w:r>
              <w:rPr>
                <w:rFonts w:ascii="Arial"/>
                <w:w w:val="95"/>
                <w:sz w:val="24"/>
              </w:rPr>
              <w:t>14,910</w:t>
            </w:r>
            <w:r>
              <w:rPr>
                <w:rFonts w:ascii="Arial"/>
                <w:sz w:val="24"/>
              </w:rPr>
            </w:r>
          </w:p>
        </w:tc>
      </w:tr>
      <w:tr>
        <w:trPr>
          <w:trHeight w:val="307"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67" w:lineRule="exact"/>
              <w:ind w:left="72"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10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35"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tabs>
                <w:tab w:pos="2410" w:val="left" w:leader="none"/>
                <w:tab w:pos="3554" w:val="left" w:leader="none"/>
              </w:tabs>
              <w:spacing w:line="294" w:lineRule="exact"/>
              <w:ind w:right="-858"/>
              <w:jc w:val="right"/>
              <w:rPr>
                <w:rFonts w:ascii="Arial" w:hAnsi="Arial" w:cs="Arial" w:eastAsia="Arial" w:hint="default"/>
                <w:sz w:val="24"/>
                <w:szCs w:val="24"/>
              </w:rPr>
            </w:pPr>
            <w:r>
              <w:rPr>
                <w:rFonts w:ascii="宋体" w:hAnsi="宋体" w:cs="宋体" w:eastAsia="宋体" w:hint="default"/>
                <w:w w:val="95"/>
                <w:position w:val="2"/>
                <w:sz w:val="24"/>
                <w:szCs w:val="24"/>
              </w:rPr>
              <w:t>远期外汇合约</w:t>
            </w:r>
            <w:r>
              <w:rPr>
                <w:rFonts w:ascii="Arial" w:hAnsi="Arial" w:cs="Arial" w:eastAsia="Arial" w:hint="default"/>
                <w:w w:val="95"/>
                <w:position w:val="2"/>
                <w:sz w:val="24"/>
                <w:szCs w:val="24"/>
              </w:rPr>
              <w:t>(b)</w:t>
            </w:r>
            <w:r>
              <w:rPr>
                <w:rFonts w:ascii="Arial" w:hAnsi="Arial" w:cs="Arial" w:eastAsia="Arial" w:hint="default"/>
                <w:position w:val="2"/>
                <w:sz w:val="24"/>
                <w:szCs w:val="24"/>
              </w:rPr>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65"/>
              <w:jc w:val="right"/>
              <w:rPr>
                <w:rFonts w:ascii="Arial" w:hAnsi="Arial" w:cs="Arial" w:eastAsia="Arial" w:hint="default"/>
                <w:sz w:val="24"/>
                <w:szCs w:val="24"/>
              </w:rPr>
            </w:pPr>
            <w:r>
              <w:rPr>
                <w:rFonts w:ascii="Arial"/>
                <w:w w:val="99"/>
                <w:sz w:val="24"/>
              </w:rPr>
            </w:r>
            <w:r>
              <w:rPr>
                <w:rFonts w:ascii="Arial"/>
                <w:w w:val="99"/>
                <w:sz w:val="24"/>
                <w:u w:val="single" w:color="000000"/>
              </w:rPr>
              <w:t>-</w:t>
            </w:r>
            <w:r>
              <w:rPr>
                <w:rFonts w:ascii="Arial"/>
                <w:w w:val="99"/>
                <w:sz w:val="24"/>
              </w:rPr>
            </w:r>
            <w:r>
              <w:rPr>
                <w:rFonts w:ascii="Arial"/>
                <w:sz w:val="24"/>
              </w:rPr>
            </w:r>
          </w:p>
        </w:tc>
        <w:tc>
          <w:tcPr>
            <w:tcW w:w="1366"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38"/>
              <w:ind w:right="13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20,499</w:t>
            </w:r>
            <w:r>
              <w:rPr>
                <w:rFonts w:ascii="Arial"/>
                <w:spacing w:val="-1"/>
                <w:sz w:val="24"/>
              </w:rPr>
            </w:r>
            <w:r>
              <w:rPr>
                <w:rFonts w:ascii="Arial"/>
                <w:sz w:val="24"/>
              </w:rPr>
            </w:r>
          </w:p>
        </w:tc>
        <w:tc>
          <w:tcPr>
            <w:tcW w:w="1349"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40" w:lineRule="auto" w:before="38"/>
              <w:ind w:right="14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38"/>
              <w:ind w:right="19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20,499</w:t>
            </w:r>
            <w:r>
              <w:rPr>
                <w:rFonts w:ascii="Arial"/>
                <w:w w:val="95"/>
                <w:sz w:val="24"/>
              </w:rPr>
            </w:r>
            <w:r>
              <w:rPr>
                <w:rFonts w:ascii="Arial"/>
                <w:sz w:val="24"/>
              </w:rPr>
            </w:r>
          </w:p>
        </w:tc>
      </w:tr>
      <w:tr>
        <w:trPr>
          <w:trHeight w:val="470"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tabs>
                <w:tab w:pos="2891" w:val="left" w:leader="none"/>
                <w:tab w:pos="4034" w:val="left" w:leader="none"/>
              </w:tabs>
              <w:spacing w:line="263" w:lineRule="exact"/>
              <w:ind w:right="-858"/>
              <w:jc w:val="right"/>
              <w:rPr>
                <w:rFonts w:ascii="Arial" w:hAnsi="Arial" w:cs="Arial" w:eastAsia="Arial" w:hint="default"/>
                <w:sz w:val="24"/>
                <w:szCs w:val="24"/>
              </w:rPr>
            </w:pPr>
            <w:r>
              <w:rPr>
                <w:rFonts w:ascii="宋体" w:hAnsi="宋体" w:cs="宋体" w:eastAsia="宋体" w:hint="default"/>
                <w:position w:val="2"/>
                <w:sz w:val="24"/>
                <w:szCs w:val="24"/>
              </w:rPr>
              <w:t>金融负债合计</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5"/>
              <w:jc w:val="right"/>
              <w:rPr>
                <w:rFonts w:ascii="Arial" w:hAnsi="Arial" w:cs="Arial" w:eastAsia="Arial" w:hint="default"/>
                <w:sz w:val="24"/>
                <w:szCs w:val="24"/>
              </w:rPr>
            </w:pPr>
            <w:r>
              <w:rPr>
                <w:rFonts w:ascii="Arial"/>
                <w:w w:val="99"/>
                <w:sz w:val="24"/>
              </w:rPr>
            </w:r>
            <w:r>
              <w:rPr>
                <w:rFonts w:ascii="Arial"/>
                <w:w w:val="99"/>
                <w:sz w:val="24"/>
                <w:u w:val="thick" w:color="000000"/>
              </w:rPr>
              <w:t>-</w:t>
            </w:r>
            <w:r>
              <w:rPr>
                <w:rFonts w:ascii="Arial"/>
                <w:w w:val="99"/>
                <w:sz w:val="24"/>
              </w:rPr>
            </w:r>
            <w:r>
              <w:rPr>
                <w:rFonts w:ascii="Arial"/>
                <w:sz w:val="24"/>
              </w:rPr>
            </w:r>
          </w:p>
        </w:tc>
        <w:tc>
          <w:tcPr>
            <w:tcW w:w="1366"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24"/>
              <w:ind w:right="13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20,499</w:t>
            </w:r>
            <w:r>
              <w:rPr>
                <w:rFonts w:ascii="Arial"/>
                <w:w w:val="95"/>
                <w:sz w:val="24"/>
              </w:rPr>
            </w:r>
            <w:r>
              <w:rPr>
                <w:rFonts w:ascii="Arial"/>
                <w:sz w:val="24"/>
              </w:rPr>
            </w:r>
          </w:p>
        </w:tc>
        <w:tc>
          <w:tcPr>
            <w:tcW w:w="1349" w:type="dxa"/>
            <w:tcBorders>
              <w:top w:val="nil" w:sz="6" w:space="0" w:color="auto"/>
              <w:left w:val="nil" w:sz="6" w:space="0" w:color="auto"/>
              <w:bottom w:val="nil" w:sz="6" w:space="0" w:color="auto"/>
              <w:right w:val="nil" w:sz="6" w:space="0" w:color="auto"/>
            </w:tcBorders>
          </w:tcPr>
          <w:p>
            <w:pPr>
              <w:pStyle w:val="TableParagraph"/>
              <w:tabs>
                <w:tab w:pos="397" w:val="left" w:leader="none"/>
              </w:tabs>
              <w:spacing w:line="240" w:lineRule="auto" w:before="24"/>
              <w:ind w:right="14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14,910</w:t>
            </w:r>
            <w:r>
              <w:rPr>
                <w:rFonts w:ascii="Arial"/>
                <w:w w:val="95"/>
                <w:sz w:val="24"/>
              </w:rPr>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24"/>
              <w:ind w:right="19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35,409</w:t>
            </w:r>
            <w:r>
              <w:rPr>
                <w:rFonts w:ascii="Arial"/>
                <w:w w:val="95"/>
                <w:sz w:val="24"/>
              </w:rPr>
            </w:r>
            <w:r>
              <w:rPr>
                <w:rFonts w:ascii="Arial"/>
                <w:sz w:val="24"/>
              </w:rPr>
            </w:r>
          </w:p>
        </w:tc>
      </w:tr>
      <w:tr>
        <w:trPr>
          <w:trHeight w:val="899" w:hRule="exact"/>
        </w:trPr>
        <w:tc>
          <w:tcPr>
            <w:tcW w:w="753" w:type="dxa"/>
            <w:tcBorders>
              <w:top w:val="nil" w:sz="6" w:space="0" w:color="auto"/>
              <w:left w:val="nil" w:sz="6" w:space="0" w:color="auto"/>
              <w:bottom w:val="nil" w:sz="6" w:space="0" w:color="auto"/>
              <w:right w:val="nil" w:sz="6" w:space="0" w:color="auto"/>
            </w:tcBorders>
          </w:tcPr>
          <w:p>
            <w:pPr/>
          </w:p>
        </w:tc>
        <w:tc>
          <w:tcPr>
            <w:tcW w:w="8487"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133"/>
              <w:ind w:left="72"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Arial" w:hAnsi="Arial" w:cs="Arial" w:eastAsia="Arial" w:hint="default"/>
                <w:sz w:val="24"/>
                <w:szCs w:val="24"/>
              </w:rPr>
              <w:t>2014</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日，持续的以公允价值计量的金融资产和金融负债按上述 三个层级列示如下：</w:t>
            </w:r>
          </w:p>
        </w:tc>
      </w:tr>
      <w:tr>
        <w:trPr>
          <w:trHeight w:val="449"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 w:right="164"/>
              <w:jc w:val="right"/>
              <w:rPr>
                <w:rFonts w:ascii="宋体" w:hAnsi="宋体" w:cs="宋体" w:eastAsia="宋体" w:hint="default"/>
                <w:sz w:val="24"/>
                <w:szCs w:val="24"/>
              </w:rPr>
            </w:pPr>
            <w:r>
              <w:rPr>
                <w:rFonts w:ascii="宋体" w:hAnsi="宋体" w:cs="宋体" w:eastAsia="宋体" w:hint="default"/>
                <w:sz w:val="24"/>
                <w:szCs w:val="24"/>
              </w:rPr>
              <w:t>第一层次</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9"/>
              <w:jc w:val="right"/>
              <w:rPr>
                <w:rFonts w:ascii="宋体" w:hAnsi="宋体" w:cs="宋体" w:eastAsia="宋体" w:hint="default"/>
                <w:sz w:val="24"/>
                <w:szCs w:val="24"/>
              </w:rPr>
            </w:pPr>
            <w:r>
              <w:rPr>
                <w:rFonts w:ascii="宋体" w:hAnsi="宋体" w:cs="宋体" w:eastAsia="宋体" w:hint="default"/>
                <w:sz w:val="24"/>
                <w:szCs w:val="24"/>
              </w:rPr>
              <w:t>第二层次</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47"/>
              <w:jc w:val="right"/>
              <w:rPr>
                <w:rFonts w:ascii="宋体" w:hAnsi="宋体" w:cs="宋体" w:eastAsia="宋体" w:hint="default"/>
                <w:sz w:val="24"/>
                <w:szCs w:val="24"/>
              </w:rPr>
            </w:pPr>
            <w:r>
              <w:rPr>
                <w:rFonts w:ascii="宋体" w:hAnsi="宋体" w:cs="宋体" w:eastAsia="宋体" w:hint="default"/>
                <w:sz w:val="24"/>
                <w:szCs w:val="24"/>
              </w:rPr>
              <w:t>第三层次</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2"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76" w:lineRule="exact"/>
              <w:ind w:left="72"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110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934"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72" w:right="0"/>
              <w:jc w:val="left"/>
              <w:rPr>
                <w:rFonts w:ascii="宋体" w:hAnsi="宋体" w:cs="宋体" w:eastAsia="宋体" w:hint="default"/>
                <w:sz w:val="24"/>
                <w:szCs w:val="24"/>
              </w:rPr>
            </w:pPr>
            <w:r>
              <w:rPr>
                <w:rFonts w:ascii="宋体" w:hAnsi="宋体" w:cs="宋体" w:eastAsia="宋体" w:hint="default"/>
                <w:spacing w:val="16"/>
                <w:sz w:val="24"/>
                <w:szCs w:val="24"/>
              </w:rPr>
              <w:t>以公允价值计量且其变动</w:t>
            </w:r>
          </w:p>
          <w:p>
            <w:pPr>
              <w:pStyle w:val="TableParagraph"/>
              <w:spacing w:line="311" w:lineRule="exact"/>
              <w:ind w:left="72" w:right="0"/>
              <w:jc w:val="left"/>
              <w:rPr>
                <w:rFonts w:ascii="宋体" w:hAnsi="宋体" w:cs="宋体" w:eastAsia="宋体" w:hint="default"/>
                <w:sz w:val="24"/>
                <w:szCs w:val="24"/>
              </w:rPr>
            </w:pPr>
            <w:r>
              <w:rPr>
                <w:rFonts w:ascii="宋体" w:hAnsi="宋体" w:cs="宋体" w:eastAsia="宋体" w:hint="default"/>
                <w:spacing w:val="16"/>
                <w:sz w:val="24"/>
                <w:szCs w:val="24"/>
              </w:rPr>
              <w:t>计入当期损益的金融资产</w:t>
            </w:r>
          </w:p>
          <w:p>
            <w:pPr>
              <w:pStyle w:val="TableParagraph"/>
              <w:spacing w:line="313" w:lineRule="exact"/>
              <w:ind w:left="72" w:right="0"/>
              <w:jc w:val="left"/>
              <w:rPr>
                <w:rFonts w:ascii="宋体" w:hAnsi="宋体" w:cs="宋体" w:eastAsia="宋体" w:hint="default"/>
                <w:sz w:val="24"/>
                <w:szCs w:val="24"/>
              </w:rPr>
            </w:pPr>
            <w:r>
              <w:rPr>
                <w:rFonts w:ascii="宋体" w:hAnsi="宋体" w:cs="宋体" w:eastAsia="宋体" w:hint="default"/>
                <w:sz w:val="24"/>
                <w:szCs w:val="24"/>
              </w:rPr>
              <w:t>—</w:t>
            </w:r>
          </w:p>
        </w:tc>
        <w:tc>
          <w:tcPr>
            <w:tcW w:w="110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26"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75" w:lineRule="exact"/>
              <w:ind w:left="330"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5"/>
              <w:jc w:val="right"/>
              <w:rPr>
                <w:rFonts w:ascii="Arial" w:hAnsi="Arial" w:cs="Arial" w:eastAsia="Arial" w:hint="default"/>
                <w:sz w:val="24"/>
                <w:szCs w:val="24"/>
              </w:rPr>
            </w:pPr>
            <w:r>
              <w:rPr>
                <w:rFonts w:ascii="Arial"/>
                <w:w w:val="99"/>
                <w:sz w:val="24"/>
              </w:rPr>
              <w:t>-</w:t>
            </w:r>
            <w:r>
              <w:rPr>
                <w:rFonts w:ascii="Arial"/>
                <w:sz w:val="24"/>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9"/>
              <w:jc w:val="right"/>
              <w:rPr>
                <w:rFonts w:ascii="Arial" w:hAnsi="Arial" w:cs="Arial" w:eastAsia="Arial" w:hint="default"/>
                <w:sz w:val="24"/>
                <w:szCs w:val="24"/>
              </w:rPr>
            </w:pPr>
            <w:r>
              <w:rPr>
                <w:rFonts w:ascii="Arial"/>
                <w:w w:val="95"/>
                <w:sz w:val="24"/>
              </w:rPr>
              <w:t>2,644,705</w:t>
            </w:r>
            <w:r>
              <w:rPr>
                <w:rFonts w:ascii="Arial"/>
                <w:sz w:val="24"/>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8"/>
              <w:jc w:val="right"/>
              <w:rPr>
                <w:rFonts w:ascii="Arial" w:hAnsi="Arial" w:cs="Arial" w:eastAsia="Arial" w:hint="default"/>
                <w:sz w:val="24"/>
                <w:szCs w:val="24"/>
              </w:rPr>
            </w:pPr>
            <w:r>
              <w:rPr>
                <w:rFonts w:ascii="Arial"/>
                <w:w w:val="99"/>
                <w:sz w:val="24"/>
              </w:rPr>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Arial" w:hAnsi="Arial" w:cs="Arial" w:eastAsia="Arial" w:hint="default"/>
                <w:sz w:val="24"/>
                <w:szCs w:val="24"/>
              </w:rPr>
            </w:pPr>
            <w:r>
              <w:rPr>
                <w:rFonts w:ascii="Arial"/>
                <w:w w:val="95"/>
                <w:sz w:val="24"/>
              </w:rPr>
              <w:t>2,644,705</w:t>
            </w:r>
            <w:r>
              <w:rPr>
                <w:rFonts w:ascii="Arial"/>
                <w:sz w:val="24"/>
              </w:rPr>
            </w:r>
          </w:p>
        </w:tc>
      </w:tr>
      <w:tr>
        <w:trPr>
          <w:trHeight w:val="297"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62" w:lineRule="exact"/>
              <w:ind w:left="72"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10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24"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75" w:lineRule="exact"/>
              <w:ind w:left="312" w:right="0"/>
              <w:jc w:val="left"/>
              <w:rPr>
                <w:rFonts w:ascii="宋体" w:hAnsi="宋体" w:cs="宋体" w:eastAsia="宋体" w:hint="default"/>
                <w:sz w:val="24"/>
                <w:szCs w:val="24"/>
              </w:rPr>
            </w:pPr>
            <w:r>
              <w:rPr>
                <w:rFonts w:ascii="宋体" w:hAnsi="宋体" w:cs="宋体" w:eastAsia="宋体" w:hint="default"/>
                <w:sz w:val="24"/>
                <w:szCs w:val="24"/>
              </w:rPr>
              <w:t>一年内到期的理财产品</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5"/>
              <w:jc w:val="right"/>
              <w:rPr>
                <w:rFonts w:ascii="Arial" w:hAnsi="Arial" w:cs="Arial" w:eastAsia="Arial" w:hint="default"/>
                <w:sz w:val="24"/>
                <w:szCs w:val="24"/>
              </w:rPr>
            </w:pPr>
            <w:r>
              <w:rPr>
                <w:rFonts w:ascii="Arial"/>
                <w:w w:val="99"/>
                <w:sz w:val="24"/>
              </w:rPr>
              <w:t>-</w:t>
            </w:r>
            <w:r>
              <w:rPr>
                <w:rFonts w:ascii="Arial"/>
                <w:sz w:val="24"/>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0"/>
              <w:jc w:val="right"/>
              <w:rPr>
                <w:rFonts w:ascii="Arial" w:hAnsi="Arial" w:cs="Arial" w:eastAsia="Arial" w:hint="default"/>
                <w:sz w:val="24"/>
                <w:szCs w:val="24"/>
              </w:rPr>
            </w:pPr>
            <w:r>
              <w:rPr>
                <w:rFonts w:ascii="Arial"/>
                <w:w w:val="99"/>
                <w:sz w:val="24"/>
              </w:rPr>
              <w:t>-</w:t>
            </w:r>
            <w:r>
              <w:rPr>
                <w:rFonts w:ascii="Arial"/>
                <w:sz w:val="24"/>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8"/>
              <w:jc w:val="right"/>
              <w:rPr>
                <w:rFonts w:ascii="Arial" w:hAnsi="Arial" w:cs="Arial" w:eastAsia="Arial" w:hint="default"/>
                <w:sz w:val="24"/>
                <w:szCs w:val="24"/>
              </w:rPr>
            </w:pPr>
            <w:r>
              <w:rPr>
                <w:rFonts w:ascii="Arial"/>
                <w:spacing w:val="-1"/>
                <w:sz w:val="24"/>
              </w:rPr>
              <w:t>722,445</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9"/>
              <w:jc w:val="right"/>
              <w:rPr>
                <w:rFonts w:ascii="Arial" w:hAnsi="Arial" w:cs="Arial" w:eastAsia="Arial" w:hint="default"/>
                <w:sz w:val="24"/>
                <w:szCs w:val="24"/>
              </w:rPr>
            </w:pPr>
            <w:r>
              <w:rPr>
                <w:rFonts w:ascii="Arial"/>
                <w:spacing w:val="-1"/>
                <w:sz w:val="24"/>
              </w:rPr>
              <w:t>722,445</w:t>
            </w:r>
          </w:p>
        </w:tc>
      </w:tr>
      <w:tr>
        <w:trPr>
          <w:trHeight w:val="298"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62" w:lineRule="exact"/>
              <w:ind w:left="72"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10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30"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76" w:lineRule="exact"/>
              <w:ind w:left="348"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5"/>
              <w:jc w:val="right"/>
              <w:rPr>
                <w:rFonts w:ascii="Arial" w:hAnsi="Arial" w:cs="Arial" w:eastAsia="Arial" w:hint="default"/>
                <w:sz w:val="24"/>
                <w:szCs w:val="24"/>
              </w:rPr>
            </w:pPr>
            <w:r>
              <w:rPr>
                <w:rFonts w:ascii="Arial"/>
                <w:w w:val="99"/>
                <w:sz w:val="24"/>
              </w:rPr>
              <w:t>-</w:t>
            </w:r>
            <w:r>
              <w:rPr>
                <w:rFonts w:ascii="Arial"/>
                <w:sz w:val="24"/>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9"/>
              <w:jc w:val="right"/>
              <w:rPr>
                <w:rFonts w:ascii="Arial" w:hAnsi="Arial" w:cs="Arial" w:eastAsia="Arial" w:hint="default"/>
                <w:sz w:val="24"/>
                <w:szCs w:val="24"/>
              </w:rPr>
            </w:pPr>
            <w:r>
              <w:rPr>
                <w:rFonts w:ascii="Arial"/>
                <w:spacing w:val="-1"/>
                <w:sz w:val="24"/>
              </w:rPr>
              <w:t>741,780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7"/>
              <w:jc w:val="right"/>
              <w:rPr>
                <w:rFonts w:ascii="Arial" w:hAnsi="Arial" w:cs="Arial" w:eastAsia="Arial" w:hint="default"/>
                <w:sz w:val="24"/>
                <w:szCs w:val="24"/>
              </w:rPr>
            </w:pPr>
            <w:r>
              <w:rPr>
                <w:rFonts w:ascii="Arial"/>
                <w:spacing w:val="-3"/>
                <w:sz w:val="24"/>
              </w:rPr>
              <w:t>115,144</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8"/>
              <w:jc w:val="right"/>
              <w:rPr>
                <w:rFonts w:ascii="Arial" w:hAnsi="Arial" w:cs="Arial" w:eastAsia="Arial" w:hint="default"/>
                <w:sz w:val="24"/>
                <w:szCs w:val="24"/>
              </w:rPr>
            </w:pPr>
            <w:r>
              <w:rPr>
                <w:rFonts w:ascii="Arial"/>
                <w:spacing w:val="-1"/>
                <w:sz w:val="24"/>
              </w:rPr>
              <w:t>856,924</w:t>
            </w:r>
          </w:p>
        </w:tc>
      </w:tr>
      <w:tr>
        <w:trPr>
          <w:trHeight w:val="322"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67" w:lineRule="exact"/>
              <w:ind w:left="348"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5"/>
              <w:jc w:val="right"/>
              <w:rPr>
                <w:rFonts w:ascii="Arial" w:hAnsi="Arial" w:cs="Arial" w:eastAsia="Arial" w:hint="default"/>
                <w:sz w:val="24"/>
                <w:szCs w:val="24"/>
              </w:rPr>
            </w:pPr>
            <w:r>
              <w:rPr>
                <w:rFonts w:ascii="Arial"/>
                <w:w w:val="99"/>
                <w:sz w:val="24"/>
              </w:rPr>
              <w:t>-</w:t>
            </w:r>
            <w:r>
              <w:rPr>
                <w:rFonts w:ascii="Arial"/>
                <w:sz w:val="24"/>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0"/>
              <w:jc w:val="right"/>
              <w:rPr>
                <w:rFonts w:ascii="Arial" w:hAnsi="Arial" w:cs="Arial" w:eastAsia="Arial" w:hint="default"/>
                <w:sz w:val="24"/>
                <w:szCs w:val="24"/>
              </w:rPr>
            </w:pPr>
            <w:r>
              <w:rPr>
                <w:rFonts w:ascii="Arial"/>
                <w:w w:val="99"/>
                <w:sz w:val="24"/>
              </w:rPr>
              <w:t>-</w:t>
            </w:r>
            <w:r>
              <w:rPr>
                <w:rFonts w:ascii="Arial"/>
                <w:sz w:val="24"/>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8"/>
              <w:jc w:val="right"/>
              <w:rPr>
                <w:rFonts w:ascii="Arial" w:hAnsi="Arial" w:cs="Arial" w:eastAsia="Arial" w:hint="default"/>
                <w:sz w:val="24"/>
                <w:szCs w:val="24"/>
              </w:rPr>
            </w:pPr>
            <w:r>
              <w:rPr>
                <w:rFonts w:ascii="Arial"/>
                <w:spacing w:val="-1"/>
                <w:sz w:val="24"/>
              </w:rPr>
              <w:t>678,151</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9"/>
              <w:jc w:val="right"/>
              <w:rPr>
                <w:rFonts w:ascii="Arial" w:hAnsi="Arial" w:cs="Arial" w:eastAsia="Arial" w:hint="default"/>
                <w:sz w:val="24"/>
                <w:szCs w:val="24"/>
              </w:rPr>
            </w:pPr>
            <w:r>
              <w:rPr>
                <w:rFonts w:ascii="Arial"/>
                <w:spacing w:val="-1"/>
                <w:sz w:val="24"/>
              </w:rPr>
              <w:t>678,151</w:t>
            </w:r>
          </w:p>
        </w:tc>
      </w:tr>
      <w:tr>
        <w:trPr>
          <w:trHeight w:val="321"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tabs>
                <w:tab w:pos="2963" w:val="left" w:leader="none"/>
                <w:tab w:pos="3786" w:val="left" w:leader="none"/>
              </w:tabs>
              <w:spacing w:line="279" w:lineRule="exact"/>
              <w:ind w:left="348" w:right="-537"/>
              <w:jc w:val="left"/>
              <w:rPr>
                <w:rFonts w:ascii="Arial" w:hAnsi="Arial" w:cs="Arial" w:eastAsia="Arial" w:hint="default"/>
                <w:sz w:val="24"/>
                <w:szCs w:val="24"/>
              </w:rPr>
            </w:pPr>
            <w:r>
              <w:rPr>
                <w:rFonts w:ascii="宋体" w:hAnsi="宋体" w:cs="宋体" w:eastAsia="宋体" w:hint="default"/>
                <w:position w:val="2"/>
                <w:sz w:val="24"/>
                <w:szCs w:val="24"/>
              </w:rPr>
              <w:t>股票投资</w:t>
            </w:r>
            <w:r>
              <w:rPr>
                <w:rFonts w:ascii="Arial" w:hAnsi="Arial" w:cs="Arial" w:eastAsia="Arial" w:hint="default"/>
                <w:position w:val="2"/>
                <w:sz w:val="24"/>
                <w:szCs w:val="24"/>
              </w:rPr>
              <w:t>(a)</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6"/>
              <w:jc w:val="right"/>
              <w:rPr>
                <w:rFonts w:ascii="Arial" w:hAnsi="Arial" w:cs="Arial" w:eastAsia="Arial" w:hint="default"/>
                <w:sz w:val="24"/>
                <w:szCs w:val="24"/>
              </w:rPr>
            </w:pPr>
            <w:r>
              <w:rPr>
                <w:rFonts w:ascii="Arial"/>
                <w:w w:val="99"/>
                <w:sz w:val="24"/>
              </w:rPr>
            </w:r>
            <w:r>
              <w:rPr>
                <w:rFonts w:ascii="Arial"/>
                <w:spacing w:val="-1"/>
                <w:w w:val="95"/>
                <w:sz w:val="24"/>
                <w:u w:val="single" w:color="000000"/>
              </w:rPr>
              <w:t>630</w:t>
            </w:r>
            <w:r>
              <w:rPr>
                <w:rFonts w:ascii="Arial"/>
                <w:spacing w:val="-1"/>
                <w:w w:val="95"/>
                <w:sz w:val="24"/>
              </w:rPr>
            </w:r>
            <w:r>
              <w:rPr>
                <w:rFonts w:ascii="Arial"/>
                <w:sz w:val="24"/>
              </w:rPr>
            </w:r>
          </w:p>
        </w:tc>
        <w:tc>
          <w:tcPr>
            <w:tcW w:w="1366" w:type="dxa"/>
            <w:tcBorders>
              <w:top w:val="nil" w:sz="6" w:space="0" w:color="auto"/>
              <w:left w:val="nil" w:sz="6" w:space="0" w:color="auto"/>
              <w:bottom w:val="nil" w:sz="6" w:space="0" w:color="auto"/>
              <w:right w:val="nil" w:sz="6" w:space="0" w:color="auto"/>
            </w:tcBorders>
          </w:tcPr>
          <w:p>
            <w:pPr>
              <w:pStyle w:val="TableParagraph"/>
              <w:tabs>
                <w:tab w:pos="1129" w:val="left" w:leader="none"/>
              </w:tabs>
              <w:spacing w:line="240" w:lineRule="auto" w:before="23"/>
              <w:ind w:right="13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349"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40" w:lineRule="auto" w:before="23"/>
              <w:ind w:right="14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tabs>
                <w:tab w:pos="776" w:val="left" w:leader="none"/>
              </w:tabs>
              <w:spacing w:line="240" w:lineRule="auto" w:before="23"/>
              <w:ind w:right="19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5"/>
                <w:sz w:val="24"/>
                <w:u w:val="single" w:color="000000"/>
              </w:rPr>
              <w:t>630</w:t>
            </w:r>
            <w:r>
              <w:rPr>
                <w:rFonts w:ascii="Arial"/>
                <w:spacing w:val="-1"/>
                <w:w w:val="95"/>
                <w:sz w:val="24"/>
              </w:rPr>
            </w:r>
            <w:r>
              <w:rPr>
                <w:rFonts w:ascii="Arial"/>
                <w:sz w:val="24"/>
              </w:rPr>
            </w:r>
          </w:p>
        </w:tc>
      </w:tr>
      <w:tr>
        <w:trPr>
          <w:trHeight w:val="294" w:hRule="exact"/>
        </w:trPr>
        <w:tc>
          <w:tcPr>
            <w:tcW w:w="753"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tabs>
                <w:tab w:pos="2963" w:val="left" w:leader="none"/>
                <w:tab w:pos="3786" w:val="left" w:leader="none"/>
              </w:tabs>
              <w:spacing w:line="263" w:lineRule="exact"/>
              <w:ind w:left="72" w:right="-537"/>
              <w:jc w:val="left"/>
              <w:rPr>
                <w:rFonts w:ascii="Arial" w:hAnsi="Arial" w:cs="Arial" w:eastAsia="Arial" w:hint="default"/>
                <w:sz w:val="24"/>
                <w:szCs w:val="24"/>
              </w:rPr>
            </w:pPr>
            <w:r>
              <w:rPr>
                <w:rFonts w:ascii="宋体" w:hAnsi="宋体" w:cs="宋体" w:eastAsia="宋体" w:hint="default"/>
                <w:position w:val="2"/>
                <w:sz w:val="24"/>
                <w:szCs w:val="24"/>
              </w:rPr>
              <w:t>金融资产合计</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6"/>
              <w:jc w:val="right"/>
              <w:rPr>
                <w:rFonts w:ascii="Arial" w:hAnsi="Arial" w:cs="Arial" w:eastAsia="Arial" w:hint="default"/>
                <w:sz w:val="24"/>
                <w:szCs w:val="24"/>
              </w:rPr>
            </w:pPr>
            <w:r>
              <w:rPr>
                <w:rFonts w:ascii="Arial"/>
                <w:w w:val="99"/>
                <w:sz w:val="24"/>
              </w:rPr>
            </w:r>
            <w:r>
              <w:rPr>
                <w:rFonts w:ascii="Arial"/>
                <w:spacing w:val="-1"/>
                <w:w w:val="95"/>
                <w:sz w:val="24"/>
                <w:u w:val="thick" w:color="000000"/>
              </w:rPr>
              <w:t>630</w:t>
            </w:r>
            <w:r>
              <w:rPr>
                <w:rFonts w:ascii="Arial"/>
                <w:spacing w:val="-1"/>
                <w:w w:val="95"/>
                <w:sz w:val="24"/>
              </w:rPr>
            </w:r>
            <w:r>
              <w:rPr>
                <w:rFonts w:ascii="Arial"/>
                <w:sz w:val="24"/>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2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9"/>
                <w:sz w:val="24"/>
                <w:u w:val="thick" w:color="000000"/>
              </w:rPr>
              <w:t> </w:t>
            </w:r>
            <w:r>
              <w:rPr>
                <w:rFonts w:ascii="Arial"/>
                <w:w w:val="95"/>
                <w:sz w:val="24"/>
                <w:u w:val="thick" w:color="000000"/>
              </w:rPr>
              <w:t>3,386,485</w:t>
            </w:r>
            <w:r>
              <w:rPr>
                <w:rFonts w:ascii="Arial"/>
                <w:w w:val="95"/>
                <w:sz w:val="24"/>
              </w:rPr>
            </w:r>
            <w:r>
              <w:rPr>
                <w:rFonts w:ascii="Arial"/>
                <w:sz w:val="24"/>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8"/>
              <w:jc w:val="right"/>
              <w:rPr>
                <w:rFonts w:ascii="Arial" w:hAnsi="Arial" w:cs="Arial" w:eastAsia="Arial" w:hint="default"/>
                <w:sz w:val="24"/>
                <w:szCs w:val="24"/>
              </w:rPr>
            </w:pPr>
            <w:r>
              <w:rPr>
                <w:rFonts w:ascii="Arial"/>
                <w:w w:val="100"/>
                <w:sz w:val="24"/>
              </w:rPr>
            </w:r>
            <w:r>
              <w:rPr>
                <w:rFonts w:ascii="Arial"/>
                <w:spacing w:val="-4"/>
                <w:w w:val="100"/>
                <w:sz w:val="24"/>
                <w:u w:val="thick" w:color="000000"/>
              </w:rPr>
              <w:t> </w:t>
            </w:r>
            <w:r>
              <w:rPr>
                <w:rFonts w:ascii="Arial"/>
                <w:spacing w:val="-1"/>
                <w:sz w:val="24"/>
                <w:u w:val="thick" w:color="000000"/>
              </w:rPr>
              <w:t>1,515,740</w:t>
            </w:r>
            <w:r>
              <w:rPr>
                <w:rFonts w:ascii="Arial"/>
                <w:spacing w:val="-1"/>
                <w:sz w:val="24"/>
              </w:rPr>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26"/>
                <w:sz w:val="24"/>
                <w:u w:val="thick" w:color="000000"/>
              </w:rPr>
              <w:t> </w:t>
            </w:r>
            <w:r>
              <w:rPr>
                <w:rFonts w:ascii="Arial"/>
                <w:spacing w:val="-1"/>
                <w:sz w:val="24"/>
                <w:u w:val="thick" w:color="000000"/>
              </w:rPr>
              <w:t>4,902,855</w:t>
            </w:r>
            <w:r>
              <w:rPr>
                <w:rFonts w:ascii="Arial"/>
                <w:spacing w:val="-1"/>
                <w:sz w:val="24"/>
              </w:rPr>
            </w:r>
          </w:p>
        </w:tc>
      </w:tr>
    </w:tbl>
    <w:p>
      <w:pPr>
        <w:spacing w:after="0" w:line="240" w:lineRule="auto"/>
        <w:jc w:val="right"/>
        <w:rPr>
          <w:rFonts w:ascii="Arial" w:hAnsi="Arial" w:cs="Arial" w:eastAsia="Arial" w:hint="default"/>
          <w:sz w:val="24"/>
          <w:szCs w:val="24"/>
        </w:rPr>
        <w:sectPr>
          <w:pgSz w:w="11910" w:h="16840"/>
          <w:pgMar w:header="755" w:footer="914" w:top="1860" w:bottom="1180" w:left="14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8"/>
        <w:gridCol w:w="2985"/>
        <w:gridCol w:w="1277"/>
        <w:gridCol w:w="134"/>
        <w:gridCol w:w="1269"/>
        <w:gridCol w:w="142"/>
        <w:gridCol w:w="1184"/>
        <w:gridCol w:w="133"/>
        <w:gridCol w:w="1295"/>
      </w:tblGrid>
      <w:tr>
        <w:trPr>
          <w:trHeight w:val="49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2985" w:type="dxa"/>
            <w:tcBorders>
              <w:top w:val="nil" w:sz="6" w:space="0" w:color="auto"/>
              <w:left w:val="nil" w:sz="6" w:space="0" w:color="auto"/>
              <w:bottom w:val="nil" w:sz="6" w:space="0" w:color="auto"/>
              <w:right w:val="nil" w:sz="6" w:space="0" w:color="auto"/>
            </w:tcBorders>
          </w:tcPr>
          <w:p>
            <w:pPr>
              <w:pStyle w:val="TableParagraph"/>
              <w:spacing w:line="257" w:lineRule="exact"/>
              <w:ind w:left="57"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752"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42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57" w:right="-37"/>
              <w:jc w:val="left"/>
              <w:rPr>
                <w:rFonts w:ascii="Arial" w:hAnsi="Arial" w:cs="Arial" w:eastAsia="Arial" w:hint="default"/>
                <w:sz w:val="24"/>
                <w:szCs w:val="24"/>
              </w:rPr>
            </w:pPr>
            <w:r>
              <w:rPr>
                <w:rFonts w:ascii="黑体" w:hAnsi="黑体" w:cs="黑体" w:eastAsia="黑体" w:hint="default"/>
                <w:sz w:val="24"/>
                <w:szCs w:val="24"/>
              </w:rPr>
              <w:t>持续的以公允价值计量的资产和负债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564"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54"/>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57"/>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55"/>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17"/>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91"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57"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1093"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68" w:lineRule="auto" w:before="1"/>
              <w:ind w:left="327" w:right="254" w:hanging="271"/>
              <w:jc w:val="both"/>
              <w:rPr>
                <w:rFonts w:ascii="宋体" w:hAnsi="宋体" w:cs="宋体" w:eastAsia="宋体" w:hint="default"/>
                <w:sz w:val="24"/>
                <w:szCs w:val="24"/>
              </w:rPr>
            </w:pPr>
            <w:r>
              <w:rPr>
                <w:rFonts w:ascii="宋体" w:hAnsi="宋体" w:cs="宋体" w:eastAsia="宋体" w:hint="default"/>
                <w:sz w:val="24"/>
                <w:szCs w:val="24"/>
              </w:rPr>
              <w:t>以公允价值计量且其变动 计入当期损益的金融负 债—</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405"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7" w:right="0"/>
              <w:jc w:val="left"/>
              <w:rPr>
                <w:rFonts w:ascii="宋体" w:hAnsi="宋体" w:cs="宋体" w:eastAsia="宋体" w:hint="default"/>
                <w:sz w:val="24"/>
                <w:szCs w:val="24"/>
              </w:rPr>
            </w:pPr>
            <w:r>
              <w:rPr>
                <w:rFonts w:ascii="宋体" w:hAnsi="宋体" w:cs="宋体" w:eastAsia="宋体" w:hint="default"/>
                <w:sz w:val="24"/>
                <w:szCs w:val="24"/>
              </w:rPr>
              <w:t>卖出期权</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4"/>
                <w:szCs w:val="24"/>
              </w:rPr>
            </w:pPr>
            <w:r>
              <w:rPr>
                <w:rFonts w:ascii="Arial"/>
                <w:w w:val="99"/>
                <w:sz w:val="24"/>
              </w:rPr>
              <w:t>-</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4"/>
              <w:jc w:val="right"/>
              <w:rPr>
                <w:rFonts w:ascii="Arial" w:hAnsi="Arial" w:cs="Arial" w:eastAsia="Arial" w:hint="default"/>
                <w:sz w:val="24"/>
                <w:szCs w:val="24"/>
              </w:rPr>
            </w:pPr>
            <w:r>
              <w:rPr>
                <w:rFonts w:ascii="Arial"/>
                <w:w w:val="95"/>
                <w:sz w:val="24"/>
              </w:rPr>
              <w:t>90,400</w:t>
            </w:r>
            <w:r>
              <w:rPr>
                <w:rFonts w:ascii="Arial"/>
                <w:sz w:val="24"/>
              </w:rPr>
            </w: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6"/>
              <w:jc w:val="right"/>
              <w:rPr>
                <w:rFonts w:ascii="Arial" w:hAnsi="Arial" w:cs="Arial" w:eastAsia="Arial" w:hint="default"/>
                <w:sz w:val="24"/>
                <w:szCs w:val="24"/>
              </w:rPr>
            </w:pPr>
            <w:r>
              <w:rPr>
                <w:rFonts w:ascii="Arial"/>
                <w:w w:val="95"/>
                <w:sz w:val="24"/>
              </w:rPr>
              <w:t>90,400</w:t>
            </w:r>
            <w:r>
              <w:rPr>
                <w:rFonts w:ascii="Arial"/>
                <w:sz w:val="24"/>
              </w:rPr>
            </w:r>
          </w:p>
        </w:tc>
      </w:tr>
      <w:tr>
        <w:trPr>
          <w:trHeight w:val="397"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301" w:lineRule="exact"/>
              <w:ind w:left="537" w:right="0"/>
              <w:jc w:val="left"/>
              <w:rPr>
                <w:rFonts w:ascii="宋体" w:hAnsi="宋体" w:cs="宋体" w:eastAsia="宋体" w:hint="default"/>
                <w:sz w:val="24"/>
                <w:szCs w:val="24"/>
              </w:rPr>
            </w:pPr>
            <w:r>
              <w:rPr>
                <w:rFonts w:ascii="宋体" w:hAnsi="宋体" w:cs="宋体" w:eastAsia="宋体" w:hint="default"/>
                <w:sz w:val="24"/>
                <w:szCs w:val="24"/>
              </w:rPr>
              <w:t>投资者回售选择权</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6"/>
              <w:jc w:val="right"/>
              <w:rPr>
                <w:rFonts w:ascii="Arial" w:hAnsi="Arial" w:cs="Arial" w:eastAsia="Arial" w:hint="default"/>
                <w:sz w:val="24"/>
                <w:szCs w:val="24"/>
              </w:rPr>
            </w:pPr>
            <w:r>
              <w:rPr>
                <w:rFonts w:ascii="Arial"/>
                <w:w w:val="99"/>
                <w:sz w:val="24"/>
              </w:rPr>
              <w:t>-</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w w:val="95"/>
                <w:sz w:val="24"/>
              </w:rPr>
              <w:t>46,800</w:t>
            </w:r>
            <w:r>
              <w:rPr>
                <w:rFonts w:ascii="Arial"/>
                <w:sz w:val="24"/>
              </w:rPr>
            </w: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6"/>
              <w:jc w:val="right"/>
              <w:rPr>
                <w:rFonts w:ascii="Arial" w:hAnsi="Arial" w:cs="Arial" w:eastAsia="Arial" w:hint="default"/>
                <w:sz w:val="24"/>
                <w:szCs w:val="24"/>
              </w:rPr>
            </w:pPr>
            <w:r>
              <w:rPr>
                <w:rFonts w:ascii="Arial"/>
                <w:w w:val="95"/>
                <w:sz w:val="24"/>
              </w:rPr>
              <w:t>46,800</w:t>
            </w:r>
            <w:r>
              <w:rPr>
                <w:rFonts w:ascii="Arial"/>
                <w:sz w:val="24"/>
              </w:rPr>
            </w:r>
          </w:p>
        </w:tc>
      </w:tr>
      <w:tr>
        <w:trPr>
          <w:trHeight w:val="387"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307" w:lineRule="exact"/>
              <w:ind w:left="57"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401"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37" w:right="0"/>
              <w:jc w:val="left"/>
              <w:rPr>
                <w:rFonts w:ascii="Arial" w:hAnsi="Arial" w:cs="Arial" w:eastAsia="Arial" w:hint="default"/>
                <w:sz w:val="24"/>
                <w:szCs w:val="24"/>
              </w:rPr>
            </w:pPr>
            <w:r>
              <w:rPr>
                <w:rFonts w:ascii="宋体" w:hAnsi="宋体" w:cs="宋体" w:eastAsia="宋体" w:hint="default"/>
                <w:sz w:val="24"/>
                <w:szCs w:val="24"/>
              </w:rPr>
              <w:t>远期外汇合约</w:t>
            </w:r>
            <w:r>
              <w:rPr>
                <w:rFonts w:ascii="Arial" w:hAnsi="Arial" w:cs="Arial" w:eastAsia="Arial" w:hint="default"/>
                <w:sz w:val="24"/>
                <w:szCs w:val="24"/>
              </w:rPr>
              <w:t>(b)</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55"/>
              <w:jc w:val="right"/>
              <w:rPr>
                <w:rFonts w:ascii="Arial" w:hAnsi="Arial" w:cs="Arial" w:eastAsia="Arial" w:hint="default"/>
                <w:sz w:val="24"/>
                <w:szCs w:val="24"/>
              </w:rPr>
            </w:pPr>
            <w:r>
              <w:rPr>
                <w:rFonts w:ascii="Arial"/>
                <w:w w:val="95"/>
                <w:sz w:val="24"/>
              </w:rPr>
              <w:t>4,873</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56"/>
              <w:jc w:val="right"/>
              <w:rPr>
                <w:rFonts w:ascii="Arial" w:hAnsi="Arial" w:cs="Arial" w:eastAsia="Arial" w:hint="default"/>
                <w:sz w:val="24"/>
                <w:szCs w:val="24"/>
              </w:rPr>
            </w:pPr>
            <w:r>
              <w:rPr>
                <w:rFonts w:ascii="Arial"/>
                <w:w w:val="99"/>
                <w:sz w:val="24"/>
              </w:rPr>
              <w:t>-</w:t>
            </w:r>
            <w:r>
              <w:rPr>
                <w:rFonts w:ascii="Arial"/>
                <w:sz w:val="24"/>
              </w:rPr>
            </w: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116"/>
              <w:jc w:val="right"/>
              <w:rPr>
                <w:rFonts w:ascii="Arial" w:hAnsi="Arial" w:cs="Arial" w:eastAsia="Arial" w:hint="default"/>
                <w:sz w:val="24"/>
                <w:szCs w:val="24"/>
              </w:rPr>
            </w:pPr>
            <w:r>
              <w:rPr>
                <w:rFonts w:ascii="Arial"/>
                <w:w w:val="95"/>
                <w:sz w:val="24"/>
              </w:rPr>
              <w:t>4,873</w:t>
            </w:r>
            <w:r>
              <w:rPr>
                <w:rFonts w:ascii="Arial"/>
                <w:sz w:val="24"/>
              </w:rPr>
            </w:r>
          </w:p>
        </w:tc>
      </w:tr>
      <w:tr>
        <w:trPr>
          <w:trHeight w:val="412" w:hRule="exact"/>
        </w:trPr>
        <w:tc>
          <w:tcPr>
            <w:tcW w:w="738"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7" w:right="0"/>
              <w:jc w:val="left"/>
              <w:rPr>
                <w:rFonts w:ascii="宋体" w:hAnsi="宋体" w:cs="宋体" w:eastAsia="宋体" w:hint="default"/>
                <w:sz w:val="24"/>
                <w:szCs w:val="24"/>
              </w:rPr>
            </w:pPr>
            <w:r>
              <w:rPr>
                <w:rFonts w:ascii="宋体" w:hAnsi="宋体" w:cs="宋体" w:eastAsia="宋体" w:hint="default"/>
                <w:sz w:val="24"/>
                <w:szCs w:val="24"/>
              </w:rPr>
              <w:t>金融负债合计</w:t>
            </w: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55"/>
              <w:jc w:val="right"/>
              <w:rPr>
                <w:rFonts w:ascii="Arial" w:hAnsi="Arial" w:cs="Arial" w:eastAsia="Arial" w:hint="default"/>
                <w:sz w:val="24"/>
                <w:szCs w:val="24"/>
              </w:rPr>
            </w:pPr>
            <w:r>
              <w:rPr>
                <w:rFonts w:ascii="Arial"/>
                <w:w w:val="95"/>
                <w:sz w:val="24"/>
              </w:rPr>
              <w:t>4,873</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55"/>
              <w:jc w:val="right"/>
              <w:rPr>
                <w:rFonts w:ascii="Arial" w:hAnsi="Arial" w:cs="Arial" w:eastAsia="Arial" w:hint="default"/>
                <w:sz w:val="24"/>
                <w:szCs w:val="24"/>
              </w:rPr>
            </w:pPr>
            <w:r>
              <w:rPr>
                <w:rFonts w:ascii="Arial"/>
                <w:spacing w:val="-1"/>
                <w:sz w:val="24"/>
              </w:rPr>
              <w:t>137,200</w:t>
            </w: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16"/>
              <w:jc w:val="right"/>
              <w:rPr>
                <w:rFonts w:ascii="Arial" w:hAnsi="Arial" w:cs="Arial" w:eastAsia="Arial" w:hint="default"/>
                <w:sz w:val="24"/>
                <w:szCs w:val="24"/>
              </w:rPr>
            </w:pPr>
            <w:r>
              <w:rPr>
                <w:rFonts w:ascii="Arial"/>
                <w:spacing w:val="-1"/>
                <w:sz w:val="24"/>
              </w:rPr>
              <w:t>142,073</w:t>
            </w:r>
          </w:p>
        </w:tc>
      </w:tr>
      <w:tr>
        <w:trPr>
          <w:trHeight w:val="1231" w:hRule="exact"/>
        </w:trPr>
        <w:tc>
          <w:tcPr>
            <w:tcW w:w="738" w:type="dxa"/>
            <w:tcBorders>
              <w:top w:val="nil" w:sz="6" w:space="0" w:color="auto"/>
              <w:left w:val="nil" w:sz="6" w:space="0" w:color="auto"/>
              <w:bottom w:val="nil" w:sz="6" w:space="0" w:color="auto"/>
              <w:right w:val="nil" w:sz="6" w:space="0" w:color="auto"/>
            </w:tcBorders>
          </w:tcPr>
          <w:p>
            <w:pPr/>
          </w:p>
        </w:tc>
        <w:tc>
          <w:tcPr>
            <w:tcW w:w="841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34"/>
                <w:szCs w:val="34"/>
              </w:rPr>
            </w:pPr>
          </w:p>
          <w:p>
            <w:pPr>
              <w:pStyle w:val="TableParagraph"/>
              <w:spacing w:line="312" w:lineRule="exact"/>
              <w:ind w:left="57" w:right="119"/>
              <w:jc w:val="left"/>
              <w:rPr>
                <w:rFonts w:ascii="宋体" w:hAnsi="宋体" w:cs="宋体" w:eastAsia="宋体" w:hint="default"/>
                <w:sz w:val="24"/>
                <w:szCs w:val="24"/>
              </w:rPr>
            </w:pPr>
            <w:r>
              <w:rPr>
                <w:rFonts w:ascii="宋体" w:hAnsi="宋体" w:cs="宋体" w:eastAsia="宋体" w:hint="default"/>
                <w:sz w:val="24"/>
                <w:szCs w:val="24"/>
              </w:rPr>
              <w:t>本集团以导致各层次之间转换的事项发生日为确认各层次之间转换的时点。本</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年度无第一层次与第二层次间的转换。</w:t>
            </w:r>
          </w:p>
        </w:tc>
      </w:tr>
      <w:tr>
        <w:trPr>
          <w:trHeight w:val="2996" w:hRule="exact"/>
        </w:trPr>
        <w:tc>
          <w:tcPr>
            <w:tcW w:w="738" w:type="dxa"/>
            <w:tcBorders>
              <w:top w:val="nil" w:sz="6" w:space="0" w:color="auto"/>
              <w:left w:val="nil" w:sz="6" w:space="0" w:color="auto"/>
              <w:bottom w:val="nil" w:sz="6" w:space="0" w:color="auto"/>
              <w:right w:val="nil" w:sz="6" w:space="0" w:color="auto"/>
            </w:tcBorders>
          </w:tcPr>
          <w:p>
            <w:pPr/>
          </w:p>
        </w:tc>
        <w:tc>
          <w:tcPr>
            <w:tcW w:w="8419" w:type="dxa"/>
            <w:gridSpan w:val="8"/>
            <w:tcBorders>
              <w:top w:val="nil" w:sz="6" w:space="0" w:color="auto"/>
              <w:left w:val="nil" w:sz="6" w:space="0" w:color="auto"/>
              <w:bottom w:val="nil" w:sz="6" w:space="0" w:color="auto"/>
              <w:right w:val="nil" w:sz="6" w:space="0" w:color="auto"/>
            </w:tcBorders>
          </w:tcPr>
          <w:p>
            <w:pPr>
              <w:pStyle w:val="TableParagraph"/>
              <w:spacing w:line="237" w:lineRule="auto" w:before="162"/>
              <w:ind w:left="57" w:right="0"/>
              <w:jc w:val="left"/>
              <w:rPr>
                <w:rFonts w:ascii="宋体" w:hAnsi="宋体" w:cs="宋体" w:eastAsia="宋体" w:hint="default"/>
                <w:sz w:val="24"/>
                <w:szCs w:val="24"/>
              </w:rPr>
            </w:pPr>
            <w:r>
              <w:rPr>
                <w:rFonts w:ascii="宋体" w:hAnsi="宋体" w:cs="宋体" w:eastAsia="宋体" w:hint="default"/>
                <w:spacing w:val="-2"/>
                <w:sz w:val="24"/>
                <w:szCs w:val="24"/>
              </w:rPr>
              <w:t>对于在活跃市场上交易的金融工具，本集团以其活跃市场报价确定其公允价值；</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对于不在活跃市场上交易的金融工具，本集团采用估值技术确定其公允价值。</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所使用的估值模型主要为现金流量折现模型和期权定价模型等。估值技术的输</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入值主要包括利率、汇率、标的资产波动率、缺乏流动性折价等。</w:t>
            </w:r>
          </w:p>
          <w:p>
            <w:pPr>
              <w:pStyle w:val="TableParagraph"/>
              <w:spacing w:line="240" w:lineRule="auto" w:before="5"/>
              <w:ind w:right="0"/>
              <w:jc w:val="left"/>
              <w:rPr>
                <w:rFonts w:ascii="Times New Roman" w:hAnsi="Times New Roman" w:cs="Times New Roman" w:eastAsia="Times New Roman" w:hint="default"/>
                <w:sz w:val="33"/>
                <w:szCs w:val="33"/>
              </w:rPr>
            </w:pPr>
          </w:p>
          <w:p>
            <w:pPr>
              <w:pStyle w:val="TableParagraph"/>
              <w:spacing w:line="312" w:lineRule="exact"/>
              <w:ind w:left="57" w:right="117"/>
              <w:jc w:val="left"/>
              <w:rPr>
                <w:rFonts w:ascii="宋体" w:hAnsi="宋体" w:cs="宋体" w:eastAsia="宋体" w:hint="default"/>
                <w:sz w:val="24"/>
                <w:szCs w:val="24"/>
              </w:rPr>
            </w:pPr>
            <w:r>
              <w:rPr>
                <w:rFonts w:ascii="Arial" w:hAnsi="Arial" w:cs="Arial" w:eastAsia="Arial" w:hint="default"/>
                <w:sz w:val="24"/>
                <w:szCs w:val="24"/>
              </w:rPr>
              <w:t>(a)</w:t>
            </w:r>
            <w:r>
              <w:rPr>
                <w:rFonts w:ascii="宋体" w:hAnsi="宋体" w:cs="宋体" w:eastAsia="宋体" w:hint="default"/>
                <w:sz w:val="24"/>
                <w:szCs w:val="24"/>
              </w:rPr>
              <w:t>该金融资产为本集团子公司日本</w:t>
            </w:r>
            <w:r>
              <w:rPr>
                <w:rFonts w:ascii="宋体" w:hAnsi="宋体" w:cs="宋体" w:eastAsia="宋体" w:hint="default"/>
                <w:spacing w:val="-68"/>
                <w:sz w:val="24"/>
                <w:szCs w:val="24"/>
              </w:rPr>
              <w:t> </w:t>
            </w:r>
            <w:r>
              <w:rPr>
                <w:rFonts w:ascii="Arial" w:hAnsi="Arial" w:cs="Arial" w:eastAsia="Arial" w:hint="default"/>
                <w:sz w:val="24"/>
                <w:szCs w:val="24"/>
              </w:rPr>
              <w:t>LAOX</w:t>
            </w:r>
            <w:r>
              <w:rPr>
                <w:rFonts w:ascii="Arial" w:hAnsi="Arial" w:cs="Arial" w:eastAsia="Arial" w:hint="default"/>
                <w:spacing w:val="-14"/>
                <w:sz w:val="24"/>
                <w:szCs w:val="24"/>
              </w:rPr>
              <w:t> </w:t>
            </w:r>
            <w:r>
              <w:rPr>
                <w:rFonts w:ascii="宋体" w:hAnsi="宋体" w:cs="宋体" w:eastAsia="宋体" w:hint="default"/>
                <w:sz w:val="24"/>
                <w:szCs w:val="24"/>
              </w:rPr>
              <w:t>购买的股票投资，该股票投资存在活 跃的市场，以活跃市场中的报价确定其公允价值。</w:t>
            </w: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宋体" w:hAnsi="宋体" w:cs="宋体" w:eastAsia="宋体" w:hint="default"/>
                <w:sz w:val="24"/>
                <w:szCs w:val="24"/>
              </w:rPr>
            </w:pPr>
            <w:r>
              <w:rPr>
                <w:rFonts w:ascii="Arial" w:hAnsi="Arial" w:cs="Arial" w:eastAsia="Arial" w:hint="default"/>
                <w:sz w:val="24"/>
                <w:szCs w:val="24"/>
              </w:rPr>
              <w:t>(b)</w:t>
            </w:r>
            <w:r>
              <w:rPr>
                <w:rFonts w:ascii="宋体" w:hAnsi="宋体" w:cs="宋体" w:eastAsia="宋体" w:hint="default"/>
                <w:sz w:val="24"/>
                <w:szCs w:val="24"/>
              </w:rPr>
              <w:t>该金融负债为本集团香港子公司与银行签订的远期外汇合约。</w:t>
            </w:r>
          </w:p>
        </w:tc>
      </w:tr>
    </w:tbl>
    <w:p>
      <w:pPr>
        <w:spacing w:after="0" w:line="240" w:lineRule="auto"/>
        <w:jc w:val="left"/>
        <w:rPr>
          <w:rFonts w:ascii="宋体" w:hAnsi="宋体" w:cs="宋体" w:eastAsia="宋体" w:hint="default"/>
          <w:sz w:val="24"/>
          <w:szCs w:val="24"/>
        </w:rPr>
        <w:sectPr>
          <w:pgSz w:w="11910" w:h="16840"/>
          <w:pgMar w:header="755" w:footer="914" w:top="1860" w:bottom="1180" w:left="14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818"/>
        <w:gridCol w:w="4579"/>
      </w:tblGrid>
      <w:tr>
        <w:trPr>
          <w:trHeight w:val="496"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4579" w:type="dxa"/>
            <w:tcBorders>
              <w:top w:val="nil" w:sz="6" w:space="0" w:color="auto"/>
              <w:left w:val="nil" w:sz="6" w:space="0" w:color="auto"/>
              <w:bottom w:val="nil" w:sz="6" w:space="0" w:color="auto"/>
              <w:right w:val="nil" w:sz="6" w:space="0" w:color="auto"/>
            </w:tcBorders>
          </w:tcPr>
          <w:p>
            <w:pPr>
              <w:pStyle w:val="TableParagraph"/>
              <w:spacing w:line="257" w:lineRule="exact"/>
              <w:ind w:left="137"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4"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457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37" w:right="0"/>
              <w:jc w:val="left"/>
              <w:rPr>
                <w:rFonts w:ascii="Arial" w:hAnsi="Arial" w:cs="Arial" w:eastAsia="Arial" w:hint="default"/>
                <w:sz w:val="24"/>
                <w:szCs w:val="24"/>
              </w:rPr>
            </w:pPr>
            <w:r>
              <w:rPr>
                <w:rFonts w:ascii="黑体" w:hAnsi="黑体" w:cs="黑体" w:eastAsia="黑体" w:hint="default"/>
                <w:sz w:val="24"/>
                <w:szCs w:val="24"/>
              </w:rPr>
              <w:t>持续的以公允价值计量的资产和负债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3"/>
        <w:spacing w:line="240" w:lineRule="auto" w:before="26"/>
        <w:ind w:left="6095" w:right="4191"/>
        <w:jc w:val="center"/>
      </w:pPr>
      <w:r>
        <w:rPr/>
        <w:pict>
          <v:shape style="position:absolute;margin-left:110.779999pt;margin-top:-327.296875pt;width:441.75pt;height:344.3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61"/>
                    <w:gridCol w:w="1271"/>
                    <w:gridCol w:w="142"/>
                    <w:gridCol w:w="1271"/>
                    <w:gridCol w:w="142"/>
                    <w:gridCol w:w="1270"/>
                    <w:gridCol w:w="121"/>
                    <w:gridCol w:w="869"/>
                    <w:gridCol w:w="142"/>
                    <w:gridCol w:w="847"/>
                  </w:tblGrid>
                  <w:tr>
                    <w:trPr>
                      <w:trHeight w:val="488" w:hRule="exact"/>
                    </w:trPr>
                    <w:tc>
                      <w:tcPr>
                        <w:tcW w:w="8835" w:type="dxa"/>
                        <w:gridSpan w:val="10"/>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上述第三层次资产和负债变动如下：</w:t>
                        </w:r>
                      </w:p>
                    </w:tc>
                  </w:tr>
                  <w:tr>
                    <w:trPr>
                      <w:trHeight w:val="968" w:hRule="exact"/>
                    </w:trPr>
                    <w:tc>
                      <w:tcPr>
                        <w:tcW w:w="40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4" w:lineRule="exact"/>
                          <w:ind w:left="2894" w:right="55" w:hanging="60"/>
                          <w:jc w:val="right"/>
                          <w:rPr>
                            <w:rFonts w:ascii="宋体" w:hAnsi="宋体" w:cs="宋体" w:eastAsia="宋体" w:hint="default"/>
                            <w:sz w:val="18"/>
                            <w:szCs w:val="18"/>
                          </w:rPr>
                        </w:pPr>
                        <w:r>
                          <w:rPr>
                            <w:rFonts w:ascii="宋体" w:hAnsi="宋体" w:cs="宋体" w:eastAsia="宋体" w:hint="default"/>
                            <w:sz w:val="18"/>
                            <w:szCs w:val="18"/>
                          </w:rPr>
                          <w:t>其他流动资产</w:t>
                        </w:r>
                        <w:r>
                          <w:rPr>
                            <w:rFonts w:ascii="Arial" w:hAnsi="Arial" w:cs="Arial" w:eastAsia="Arial" w:hint="default"/>
                            <w:sz w:val="18"/>
                            <w:szCs w:val="18"/>
                          </w:rPr>
                          <w:t>- </w:t>
                        </w:r>
                        <w:r>
                          <w:rPr>
                            <w:rFonts w:ascii="宋体" w:hAnsi="宋体" w:cs="宋体" w:eastAsia="宋体" w:hint="default"/>
                            <w:sz w:val="18"/>
                            <w:szCs w:val="18"/>
                          </w:rPr>
                          <w:t>一年内到期的</w:t>
                        </w:r>
                      </w:p>
                      <w:p>
                        <w:pPr>
                          <w:pStyle w:val="TableParagraph"/>
                          <w:spacing w:line="211" w:lineRule="exact"/>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282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79"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1" w:right="55"/>
                          <w:jc w:val="right"/>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w:t>
                        </w:r>
                      </w:p>
                      <w:p>
                        <w:pPr>
                          <w:pStyle w:val="TableParagraph"/>
                          <w:spacing w:line="233" w:lineRule="exact"/>
                          <w:ind w:right="55"/>
                          <w:jc w:val="right"/>
                          <w:rPr>
                            <w:rFonts w:ascii="宋体" w:hAnsi="宋体" w:cs="宋体" w:eastAsia="宋体" w:hint="default"/>
                            <w:sz w:val="18"/>
                            <w:szCs w:val="18"/>
                          </w:rPr>
                        </w:pPr>
                        <w:r>
                          <w:rPr>
                            <w:rFonts w:ascii="宋体" w:hAnsi="宋体" w:cs="宋体" w:eastAsia="宋体" w:hint="default"/>
                            <w:sz w:val="18"/>
                            <w:szCs w:val="18"/>
                          </w:rPr>
                          <w:t>负债</w:t>
                        </w:r>
                      </w:p>
                    </w:tc>
                  </w:tr>
                  <w:tr>
                    <w:trPr>
                      <w:trHeight w:val="736" w:hRule="exact"/>
                    </w:trPr>
                    <w:tc>
                      <w:tcPr>
                        <w:tcW w:w="2761" w:type="dxa"/>
                        <w:tcBorders>
                          <w:top w:val="nil" w:sz="6" w:space="0" w:color="auto"/>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2" w:type="dxa"/>
                        <w:tcBorders>
                          <w:top w:val="single" w:sz="4" w:space="0" w:color="000000"/>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78" w:lineRule="auto" w:before="11"/>
                          <w:ind w:left="491" w:right="55"/>
                          <w:jc w:val="left"/>
                          <w:rPr>
                            <w:rFonts w:ascii="宋体" w:hAnsi="宋体" w:cs="宋体" w:eastAsia="宋体" w:hint="default"/>
                            <w:sz w:val="18"/>
                            <w:szCs w:val="18"/>
                          </w:rPr>
                        </w:pPr>
                        <w:r>
                          <w:rPr>
                            <w:rFonts w:ascii="宋体" w:hAnsi="宋体" w:cs="宋体" w:eastAsia="宋体" w:hint="default"/>
                            <w:sz w:val="18"/>
                            <w:szCs w:val="18"/>
                          </w:rPr>
                          <w:t>可供出售 权益工具</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卖出期权</w:t>
                        </w:r>
                      </w:p>
                    </w:tc>
                    <w:tc>
                      <w:tcPr>
                        <w:tcW w:w="142" w:type="dxa"/>
                        <w:tcBorders>
                          <w:top w:val="single" w:sz="4" w:space="0" w:color="000000"/>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69" w:right="55"/>
                          <w:jc w:val="left"/>
                          <w:rPr>
                            <w:rFonts w:ascii="宋体" w:hAnsi="宋体" w:cs="宋体" w:eastAsia="宋体" w:hint="default"/>
                            <w:sz w:val="18"/>
                            <w:szCs w:val="18"/>
                          </w:rPr>
                        </w:pPr>
                        <w:r>
                          <w:rPr>
                            <w:rFonts w:ascii="宋体" w:hAnsi="宋体" w:cs="宋体" w:eastAsia="宋体" w:hint="default"/>
                            <w:sz w:val="18"/>
                            <w:szCs w:val="18"/>
                          </w:rPr>
                          <w:t>投资者回 售选择权</w:t>
                        </w:r>
                      </w:p>
                    </w:tc>
                  </w:tr>
                  <w:tr>
                    <w:trPr>
                      <w:trHeight w:val="468"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8"/>
                          <w:jc w:val="right"/>
                          <w:rPr>
                            <w:rFonts w:ascii="Arial" w:hAnsi="Arial" w:cs="Arial" w:eastAsia="Arial" w:hint="default"/>
                            <w:sz w:val="18"/>
                            <w:szCs w:val="18"/>
                          </w:rPr>
                        </w:pPr>
                        <w:r>
                          <w:rPr>
                            <w:rFonts w:ascii="Arial"/>
                            <w:spacing w:val="-1"/>
                            <w:sz w:val="18"/>
                          </w:rPr>
                          <w:t>722,445</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16"/>
                          <w:jc w:val="right"/>
                          <w:rPr>
                            <w:rFonts w:ascii="Arial" w:hAnsi="Arial" w:cs="Arial" w:eastAsia="Arial" w:hint="default"/>
                            <w:sz w:val="18"/>
                            <w:szCs w:val="18"/>
                          </w:rPr>
                        </w:pPr>
                        <w:r>
                          <w:rPr>
                            <w:rFonts w:ascii="Arial"/>
                            <w:spacing w:val="-3"/>
                            <w:sz w:val="18"/>
                          </w:rPr>
                          <w:t>115,144</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18"/>
                            <w:szCs w:val="18"/>
                          </w:rPr>
                        </w:pPr>
                        <w:r>
                          <w:rPr>
                            <w:rFonts w:ascii="Arial"/>
                            <w:spacing w:val="-1"/>
                            <w:sz w:val="18"/>
                          </w:rPr>
                          <w:t>678,151</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0" w:right="0"/>
                          <w:jc w:val="left"/>
                          <w:rPr>
                            <w:rFonts w:ascii="Arial" w:hAnsi="Arial" w:cs="Arial" w:eastAsia="Arial" w:hint="default"/>
                            <w:sz w:val="18"/>
                            <w:szCs w:val="18"/>
                          </w:rPr>
                        </w:pPr>
                        <w:r>
                          <w:rPr>
                            <w:rFonts w:ascii="Arial"/>
                            <w:sz w:val="18"/>
                          </w:rPr>
                          <w:t>90,400</w:t>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17"/>
                          <w:jc w:val="right"/>
                          <w:rPr>
                            <w:rFonts w:ascii="Arial" w:hAnsi="Arial" w:cs="Arial" w:eastAsia="Arial" w:hint="default"/>
                            <w:sz w:val="18"/>
                            <w:szCs w:val="18"/>
                          </w:rPr>
                        </w:pPr>
                        <w:r>
                          <w:rPr>
                            <w:rFonts w:ascii="Arial"/>
                            <w:spacing w:val="-1"/>
                            <w:sz w:val="18"/>
                          </w:rPr>
                          <w:t>46,800</w:t>
                        </w:r>
                      </w:p>
                    </w:tc>
                  </w:tr>
                  <w:tr>
                    <w:trPr>
                      <w:trHeight w:val="313"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Arial" w:hAnsi="Arial" w:cs="Arial" w:eastAsia="Arial" w:hint="default"/>
                            <w:sz w:val="18"/>
                            <w:szCs w:val="18"/>
                          </w:rPr>
                        </w:pPr>
                        <w:r>
                          <w:rPr>
                            <w:rFonts w:ascii="Arial"/>
                            <w:spacing w:val="-1"/>
                            <w:sz w:val="18"/>
                          </w:rPr>
                          <w:t>1,500,000</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52" w:right="0"/>
                          <w:jc w:val="left"/>
                          <w:rPr>
                            <w:rFonts w:ascii="Arial" w:hAnsi="Arial" w:cs="Arial" w:eastAsia="Arial" w:hint="default"/>
                            <w:sz w:val="18"/>
                            <w:szCs w:val="18"/>
                          </w:rPr>
                        </w:pPr>
                        <w:r>
                          <w:rPr>
                            <w:rFonts w:ascii="Arial"/>
                            <w:sz w:val="18"/>
                          </w:rPr>
                          <w:t>35,734,251</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Arial" w:hAnsi="Arial" w:cs="Arial" w:eastAsia="Arial" w:hint="default"/>
                            <w:sz w:val="18"/>
                            <w:szCs w:val="18"/>
                          </w:rPr>
                        </w:pPr>
                        <w:r>
                          <w:rPr>
                            <w:rFonts w:ascii="Arial"/>
                            <w:spacing w:val="-1"/>
                            <w:sz w:val="18"/>
                          </w:rPr>
                          <w:t>26,130</w:t>
                        </w:r>
                      </w:p>
                    </w:tc>
                  </w:tr>
                  <w:tr>
                    <w:trPr>
                      <w:trHeight w:val="313"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(720,000)</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(35,031,250)</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(90,400)</w:t>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当期利得或损失总额</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Arial" w:hAnsi="Arial" w:cs="Arial" w:eastAsia="Arial" w:hint="default"/>
                            <w:sz w:val="18"/>
                            <w:szCs w:val="18"/>
                          </w:rPr>
                        </w:pPr>
                        <w:r>
                          <w:rPr>
                            <w:rFonts w:ascii="Arial"/>
                            <w:spacing w:val="-1"/>
                            <w:w w:val="95"/>
                            <w:sz w:val="18"/>
                          </w:rPr>
                          <w:t>514</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(1,672)</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Arial" w:hAnsi="Arial" w:cs="Arial" w:eastAsia="Arial" w:hint="default"/>
                            <w:sz w:val="18"/>
                            <w:szCs w:val="18"/>
                          </w:rPr>
                        </w:pPr>
                        <w:r>
                          <w:rPr>
                            <w:rFonts w:ascii="Arial"/>
                            <w:spacing w:val="-1"/>
                            <w:sz w:val="18"/>
                          </w:rPr>
                          <w:t>216,592</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(58,020)</w:t>
                        </w:r>
                      </w:p>
                    </w:tc>
                  </w:tr>
                  <w:tr>
                    <w:trPr>
                      <w:trHeight w:val="313"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计入损益的利得或损失</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(2,445)</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
                          <w:jc w:val="right"/>
                          <w:rPr>
                            <w:rFonts w:ascii="Arial" w:hAnsi="Arial" w:cs="Arial" w:eastAsia="Arial" w:hint="default"/>
                            <w:sz w:val="18"/>
                            <w:szCs w:val="18"/>
                          </w:rPr>
                        </w:pPr>
                        <w:r>
                          <w:rPr>
                            <w:rFonts w:ascii="Arial"/>
                            <w:spacing w:val="-1"/>
                            <w:sz w:val="18"/>
                          </w:rPr>
                          <w:t>(31,392)</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(58,020)</w:t>
                        </w:r>
                      </w:p>
                    </w:tc>
                  </w:tr>
                  <w:tr>
                    <w:trPr>
                      <w:trHeight w:val="542"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ind w:left="396" w:right="58" w:hanging="196"/>
                          <w:jc w:val="left"/>
                          <w:rPr>
                            <w:rFonts w:ascii="宋体" w:hAnsi="宋体" w:cs="宋体" w:eastAsia="宋体" w:hint="default"/>
                            <w:sz w:val="18"/>
                            <w:szCs w:val="18"/>
                          </w:rPr>
                        </w:pPr>
                        <w:r>
                          <w:rPr>
                            <w:rFonts w:ascii="宋体" w:hAnsi="宋体" w:cs="宋体" w:eastAsia="宋体" w:hint="default"/>
                            <w:spacing w:val="11"/>
                            <w:sz w:val="18"/>
                            <w:szCs w:val="18"/>
                          </w:rPr>
                          <w:t>计入其他综合收益的利得或损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失</w:t>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86"/>
                          <w:jc w:val="right"/>
                          <w:rPr>
                            <w:rFonts w:ascii="Arial" w:hAnsi="Arial" w:cs="Arial" w:eastAsia="Arial" w:hint="default"/>
                            <w:sz w:val="18"/>
                            <w:szCs w:val="18"/>
                          </w:rPr>
                        </w:pPr>
                        <w:r>
                          <w:rPr>
                            <w:rFonts w:ascii="Arial"/>
                            <w:spacing w:val="-1"/>
                            <w:sz w:val="18"/>
                          </w:rPr>
                          <w:t>2,959</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15"/>
                          <w:jc w:val="right"/>
                          <w:rPr>
                            <w:rFonts w:ascii="Arial" w:hAnsi="Arial" w:cs="Arial" w:eastAsia="Arial" w:hint="default"/>
                            <w:sz w:val="18"/>
                            <w:szCs w:val="18"/>
                          </w:rPr>
                        </w:pPr>
                        <w:r>
                          <w:rPr>
                            <w:rFonts w:ascii="Arial"/>
                            <w:spacing w:val="-1"/>
                            <w:sz w:val="18"/>
                          </w:rPr>
                          <w:t>29,720</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16"/>
                          <w:jc w:val="right"/>
                          <w:rPr>
                            <w:rFonts w:ascii="Arial" w:hAnsi="Arial" w:cs="Arial" w:eastAsia="Arial" w:hint="default"/>
                            <w:sz w:val="18"/>
                            <w:szCs w:val="18"/>
                          </w:rPr>
                        </w:pPr>
                        <w:r>
                          <w:rPr>
                            <w:rFonts w:ascii="Arial"/>
                            <w:spacing w:val="-1"/>
                            <w:sz w:val="18"/>
                          </w:rPr>
                          <w:t>216,592</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7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73"/>
                          <w:jc w:val="right"/>
                          <w:rPr>
                            <w:rFonts w:ascii="Arial" w:hAnsi="Arial" w:cs="Arial" w:eastAsia="Arial" w:hint="default"/>
                            <w:sz w:val="18"/>
                            <w:szCs w:val="18"/>
                          </w:rPr>
                        </w:pPr>
                        <w:r>
                          <w:rPr>
                            <w:rFonts w:ascii="Arial"/>
                            <w:w w:val="99"/>
                            <w:sz w:val="18"/>
                          </w:rPr>
                          <w:t>-</w:t>
                        </w:r>
                        <w:r>
                          <w:rPr>
                            <w:rFonts w:ascii="Arial"/>
                            <w:sz w:val="18"/>
                          </w:rPr>
                        </w:r>
                      </w:p>
                    </w:tc>
                  </w:tr>
                  <w:tr>
                    <w:trPr>
                      <w:trHeight w:val="333"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71"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78"/>
                          <w:jc w:val="right"/>
                          <w:rPr>
                            <w:rFonts w:ascii="Arial" w:hAnsi="Arial" w:cs="Arial" w:eastAsia="Arial" w:hint="default"/>
                            <w:sz w:val="18"/>
                            <w:szCs w:val="18"/>
                          </w:rPr>
                        </w:pPr>
                        <w:r>
                          <w:rPr>
                            <w:rFonts w:ascii="Arial"/>
                            <w:spacing w:val="-1"/>
                            <w:sz w:val="18"/>
                          </w:rPr>
                          <w:t>1,502,959</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116"/>
                          <w:jc w:val="right"/>
                          <w:rPr>
                            <w:rFonts w:ascii="Arial" w:hAnsi="Arial" w:cs="Arial" w:eastAsia="Arial" w:hint="default"/>
                            <w:sz w:val="18"/>
                            <w:szCs w:val="18"/>
                          </w:rPr>
                        </w:pPr>
                        <w:r>
                          <w:rPr>
                            <w:rFonts w:ascii="Arial"/>
                            <w:spacing w:val="-1"/>
                            <w:sz w:val="18"/>
                          </w:rPr>
                          <w:t>816,473</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117"/>
                          <w:jc w:val="right"/>
                          <w:rPr>
                            <w:rFonts w:ascii="Arial" w:hAnsi="Arial" w:cs="Arial" w:eastAsia="Arial" w:hint="default"/>
                            <w:sz w:val="18"/>
                            <w:szCs w:val="18"/>
                          </w:rPr>
                        </w:pPr>
                        <w:r>
                          <w:rPr>
                            <w:rFonts w:ascii="Arial"/>
                            <w:spacing w:val="-1"/>
                            <w:sz w:val="18"/>
                          </w:rPr>
                          <w:t>894,743</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17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117"/>
                          <w:jc w:val="right"/>
                          <w:rPr>
                            <w:rFonts w:ascii="Arial" w:hAnsi="Arial" w:cs="Arial" w:eastAsia="Arial" w:hint="default"/>
                            <w:sz w:val="18"/>
                            <w:szCs w:val="18"/>
                          </w:rPr>
                        </w:pPr>
                        <w:r>
                          <w:rPr>
                            <w:rFonts w:ascii="Arial"/>
                            <w:spacing w:val="-1"/>
                            <w:sz w:val="18"/>
                          </w:rPr>
                          <w:t>14,910</w:t>
                        </w:r>
                      </w:p>
                    </w:tc>
                  </w:tr>
                  <w:tr>
                    <w:trPr>
                      <w:trHeight w:val="1082"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34" w:lineRule="exact"/>
                          <w:ind w:left="456" w:right="55" w:hanging="256"/>
                          <w:jc w:val="both"/>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12</w:t>
                        </w:r>
                        <w:r>
                          <w:rPr>
                            <w:rFonts w:ascii="Arial" w:hAnsi="Arial" w:cs="Arial" w:eastAsia="Arial"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w:hAnsi="Arial" w:cs="Arial" w:eastAsia="Arial" w:hint="default"/>
                            <w:sz w:val="18"/>
                            <w:szCs w:val="18"/>
                          </w:rPr>
                          <w:t>31</w:t>
                        </w:r>
                        <w:r>
                          <w:rPr>
                            <w:rFonts w:ascii="Arial" w:hAnsi="Arial" w:cs="Arial" w:eastAsia="Arial" w:hint="default"/>
                            <w:spacing w:val="1"/>
                            <w:sz w:val="18"/>
                            <w:szCs w:val="18"/>
                          </w:rPr>
                          <w:t> </w:t>
                        </w:r>
                        <w:r>
                          <w:rPr>
                            <w:rFonts w:ascii="宋体" w:hAnsi="宋体" w:cs="宋体" w:eastAsia="宋体" w:hint="default"/>
                            <w:sz w:val="18"/>
                            <w:szCs w:val="18"/>
                          </w:rPr>
                          <w:t>日仍持有的资 产计入</w:t>
                        </w:r>
                        <w:r>
                          <w:rPr>
                            <w:rFonts w:ascii="宋体" w:hAnsi="宋体" w:cs="宋体" w:eastAsia="宋体" w:hint="default"/>
                            <w:spacing w:val="-69"/>
                            <w:sz w:val="18"/>
                            <w:szCs w:val="18"/>
                          </w:rPr>
                          <w:t> </w:t>
                        </w:r>
                        <w:r>
                          <w:rPr>
                            <w:rFonts w:ascii="Arial" w:hAnsi="Arial" w:cs="Arial" w:eastAsia="Arial" w:hint="default"/>
                            <w:sz w:val="18"/>
                            <w:szCs w:val="18"/>
                          </w:rPr>
                          <w:t>2015</w:t>
                        </w:r>
                        <w:r>
                          <w:rPr>
                            <w:rFonts w:ascii="Arial" w:hAnsi="Arial" w:cs="Arial" w:eastAsia="Arial" w:hint="default"/>
                            <w:spacing w:val="-29"/>
                            <w:sz w:val="18"/>
                            <w:szCs w:val="18"/>
                          </w:rPr>
                          <w:t> </w:t>
                        </w:r>
                        <w:r>
                          <w:rPr>
                            <w:rFonts w:ascii="宋体" w:hAnsi="宋体" w:cs="宋体" w:eastAsia="宋体" w:hint="default"/>
                            <w:sz w:val="18"/>
                            <w:szCs w:val="18"/>
                          </w:rPr>
                          <w:t>年度损益的未实 现利得或损失的变动</w:t>
                        </w:r>
                      </w:p>
                    </w:tc>
                    <w:tc>
                      <w:tcPr>
                        <w:tcW w:w="1271"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12" w:space="0" w:color="000000"/>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single" w:sz="12" w:space="0" w:color="000000"/>
                          <w:left w:val="nil" w:sz="6" w:space="0" w:color="auto"/>
                          <w:bottom w:val="nil" w:sz="6" w:space="0" w:color="auto"/>
                          <w:right w:val="nil" w:sz="6" w:space="0" w:color="auto"/>
                        </w:tcBorders>
                      </w:tcPr>
                      <w:p>
                        <w:pPr/>
                      </w:p>
                    </w:tc>
                  </w:tr>
                  <w:tr>
                    <w:trPr>
                      <w:trHeight w:val="329"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271"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17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17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173"/>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17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173"/>
                          <w:jc w:val="right"/>
                          <w:rPr>
                            <w:rFonts w:ascii="Arial" w:hAnsi="Arial" w:cs="Arial" w:eastAsia="Arial" w:hint="default"/>
                            <w:sz w:val="18"/>
                            <w:szCs w:val="18"/>
                          </w:rPr>
                        </w:pPr>
                        <w:r>
                          <w:rPr>
                            <w:rFonts w:ascii="Arial"/>
                            <w:w w:val="99"/>
                            <w:sz w:val="18"/>
                          </w:rPr>
                          <w:t>-</w:t>
                        </w:r>
                        <w:r>
                          <w:rPr>
                            <w:rFonts w:ascii="Arial"/>
                            <w:sz w:val="18"/>
                          </w:rPr>
                        </w:r>
                      </w:p>
                    </w:tc>
                  </w:tr>
                  <w:tr>
                    <w:trPr>
                      <w:trHeight w:val="686" w:hRule="exact"/>
                    </w:trPr>
                    <w:tc>
                      <w:tcPr>
                        <w:tcW w:w="544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计入损益的利得或损失为计入利润表中的投资收</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t>益</w:t>
      </w:r>
    </w:p>
    <w:p>
      <w:pPr>
        <w:spacing w:after="0" w:line="240" w:lineRule="auto"/>
        <w:jc w:val="center"/>
        <w:sectPr>
          <w:pgSz w:w="11910" w:h="16840"/>
          <w:pgMar w:header="755" w:footer="914" w:top="1860" w:bottom="1180" w:left="134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800"/>
        <w:gridCol w:w="2438"/>
        <w:gridCol w:w="1310"/>
        <w:gridCol w:w="142"/>
        <w:gridCol w:w="1208"/>
        <w:gridCol w:w="141"/>
        <w:gridCol w:w="1205"/>
        <w:gridCol w:w="142"/>
        <w:gridCol w:w="809"/>
        <w:gridCol w:w="142"/>
        <w:gridCol w:w="806"/>
      </w:tblGrid>
      <w:tr>
        <w:trPr>
          <w:trHeight w:val="49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2438"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r>
      <w:tr>
        <w:trPr>
          <w:trHeight w:val="74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523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7"/>
              <w:ind w:left="119" w:right="0"/>
              <w:jc w:val="left"/>
              <w:rPr>
                <w:rFonts w:ascii="Arial" w:hAnsi="Arial" w:cs="Arial" w:eastAsia="Arial" w:hint="default"/>
                <w:sz w:val="24"/>
                <w:szCs w:val="24"/>
              </w:rPr>
            </w:pPr>
            <w:r>
              <w:rPr>
                <w:rFonts w:ascii="黑体" w:hAnsi="黑体" w:cs="黑体" w:eastAsia="黑体" w:hint="default"/>
                <w:sz w:val="24"/>
                <w:szCs w:val="24"/>
              </w:rPr>
              <w:t>持续的以公允价值计量的资产和负债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0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r>
      <w:tr>
        <w:trPr>
          <w:trHeight w:val="962" w:hRule="exact"/>
        </w:trPr>
        <w:tc>
          <w:tcPr>
            <w:tcW w:w="800" w:type="dxa"/>
            <w:tcBorders>
              <w:top w:val="nil" w:sz="6" w:space="0" w:color="auto"/>
              <w:left w:val="nil" w:sz="6" w:space="0" w:color="auto"/>
              <w:bottom w:val="nil" w:sz="6" w:space="0" w:color="auto"/>
              <w:right w:val="nil" w:sz="6" w:space="0" w:color="auto"/>
            </w:tcBorders>
          </w:tcPr>
          <w:p>
            <w:pPr/>
          </w:p>
        </w:tc>
        <w:tc>
          <w:tcPr>
            <w:tcW w:w="37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34" w:lineRule="exact"/>
              <w:ind w:left="2611" w:right="54" w:hanging="60"/>
              <w:jc w:val="right"/>
              <w:rPr>
                <w:rFonts w:ascii="宋体" w:hAnsi="宋体" w:cs="宋体" w:eastAsia="宋体" w:hint="default"/>
                <w:sz w:val="18"/>
                <w:szCs w:val="18"/>
              </w:rPr>
            </w:pPr>
            <w:r>
              <w:rPr>
                <w:rFonts w:ascii="宋体" w:hAnsi="宋体" w:cs="宋体" w:eastAsia="宋体" w:hint="default"/>
                <w:sz w:val="18"/>
                <w:szCs w:val="18"/>
              </w:rPr>
              <w:t>其他流动资产</w:t>
            </w:r>
            <w:r>
              <w:rPr>
                <w:rFonts w:ascii="Arial" w:hAnsi="Arial" w:cs="Arial" w:eastAsia="Arial" w:hint="default"/>
                <w:sz w:val="18"/>
                <w:szCs w:val="18"/>
              </w:rPr>
              <w:t>- </w:t>
            </w:r>
            <w:r>
              <w:rPr>
                <w:rFonts w:ascii="宋体" w:hAnsi="宋体" w:cs="宋体" w:eastAsia="宋体" w:hint="default"/>
                <w:sz w:val="18"/>
                <w:szCs w:val="18"/>
              </w:rPr>
              <w:t>一年内到期的</w:t>
            </w:r>
          </w:p>
          <w:p>
            <w:pPr>
              <w:pStyle w:val="TableParagraph"/>
              <w:spacing w:line="211" w:lineRule="exact"/>
              <w:ind w:right="54"/>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269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49"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9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2" w:right="54"/>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w:t>
            </w:r>
          </w:p>
          <w:p>
            <w:pPr>
              <w:pStyle w:val="TableParagraph"/>
              <w:spacing w:line="233" w:lineRule="exact"/>
              <w:ind w:left="1122" w:right="0"/>
              <w:jc w:val="left"/>
              <w:rPr>
                <w:rFonts w:ascii="宋体" w:hAnsi="宋体" w:cs="宋体" w:eastAsia="宋体" w:hint="default"/>
                <w:sz w:val="18"/>
                <w:szCs w:val="18"/>
              </w:rPr>
            </w:pPr>
            <w:r>
              <w:rPr>
                <w:rFonts w:ascii="宋体" w:hAnsi="宋体" w:cs="宋体" w:eastAsia="宋体" w:hint="default"/>
                <w:sz w:val="18"/>
                <w:szCs w:val="18"/>
              </w:rPr>
              <w:t>金融负债</w:t>
            </w:r>
          </w:p>
        </w:tc>
      </w:tr>
      <w:tr>
        <w:trPr>
          <w:trHeight w:val="929"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1"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8" w:lineRule="auto"/>
              <w:ind w:left="427" w:right="55"/>
              <w:jc w:val="left"/>
              <w:rPr>
                <w:rFonts w:ascii="宋体" w:hAnsi="宋体" w:cs="宋体" w:eastAsia="宋体" w:hint="default"/>
                <w:sz w:val="18"/>
                <w:szCs w:val="18"/>
              </w:rPr>
            </w:pPr>
            <w:r>
              <w:rPr>
                <w:rFonts w:ascii="宋体" w:hAnsi="宋体" w:cs="宋体" w:eastAsia="宋体" w:hint="default"/>
                <w:sz w:val="18"/>
                <w:szCs w:val="18"/>
              </w:rPr>
              <w:t>可供出售 权益工具</w:t>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35" w:lineRule="exact"/>
              <w:ind w:right="54"/>
              <w:jc w:val="right"/>
              <w:rPr>
                <w:rFonts w:ascii="宋体" w:hAnsi="宋体" w:cs="宋体" w:eastAsia="宋体" w:hint="default"/>
                <w:sz w:val="18"/>
                <w:szCs w:val="18"/>
              </w:rPr>
            </w:pPr>
            <w:r>
              <w:rPr>
                <w:rFonts w:ascii="宋体" w:hAnsi="宋体" w:cs="宋体" w:eastAsia="宋体" w:hint="default"/>
                <w:sz w:val="18"/>
                <w:szCs w:val="18"/>
              </w:rPr>
              <w:t>卖出期</w:t>
            </w:r>
          </w:p>
          <w:p>
            <w:pPr>
              <w:pStyle w:val="TableParagraph"/>
              <w:spacing w:line="235" w:lineRule="exact"/>
              <w:ind w:right="54"/>
              <w:jc w:val="right"/>
              <w:rPr>
                <w:rFonts w:ascii="宋体" w:hAnsi="宋体" w:cs="宋体" w:eastAsia="宋体" w:hint="default"/>
                <w:sz w:val="18"/>
                <w:szCs w:val="18"/>
              </w:rPr>
            </w:pPr>
            <w:r>
              <w:rPr>
                <w:rFonts w:ascii="宋体" w:hAnsi="宋体" w:cs="宋体" w:eastAsia="宋体" w:hint="default"/>
                <w:sz w:val="18"/>
                <w:szCs w:val="18"/>
              </w:rPr>
              <w:t>权</w:t>
            </w:r>
          </w:p>
        </w:tc>
        <w:tc>
          <w:tcPr>
            <w:tcW w:w="142" w:type="dxa"/>
            <w:tcBorders>
              <w:top w:val="single" w:sz="4" w:space="0" w:color="000000"/>
              <w:left w:val="nil" w:sz="6" w:space="0" w:color="auto"/>
              <w:bottom w:val="nil" w:sz="6" w:space="0" w:color="auto"/>
              <w:right w:val="nil" w:sz="6" w:space="0" w:color="auto"/>
            </w:tcBorders>
          </w:tcPr>
          <w:p>
            <w:pPr/>
          </w:p>
        </w:tc>
        <w:tc>
          <w:tcPr>
            <w:tcW w:w="80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08" w:right="55"/>
              <w:jc w:val="right"/>
              <w:rPr>
                <w:rFonts w:ascii="宋体" w:hAnsi="宋体" w:cs="宋体" w:eastAsia="宋体" w:hint="default"/>
                <w:sz w:val="18"/>
                <w:szCs w:val="18"/>
              </w:rPr>
            </w:pPr>
            <w:r>
              <w:rPr>
                <w:rFonts w:ascii="宋体" w:hAnsi="宋体" w:cs="宋体" w:eastAsia="宋体" w:hint="default"/>
                <w:sz w:val="18"/>
                <w:szCs w:val="18"/>
              </w:rPr>
              <w:t>投资者 回售选 择权</w:t>
            </w:r>
          </w:p>
        </w:tc>
      </w:tr>
      <w:tr>
        <w:trPr>
          <w:trHeight w:val="468"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1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0"/>
              <w:jc w:val="right"/>
              <w:rPr>
                <w:rFonts w:ascii="Arial" w:hAnsi="Arial" w:cs="Arial" w:eastAsia="Arial" w:hint="default"/>
                <w:sz w:val="18"/>
                <w:szCs w:val="18"/>
              </w:rPr>
            </w:pPr>
            <w:r>
              <w:rPr>
                <w:rFonts w:ascii="Arial"/>
                <w:spacing w:val="-1"/>
                <w:sz w:val="18"/>
              </w:rPr>
              <w:t>40,098</w:t>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0"/>
              <w:jc w:val="right"/>
              <w:rPr>
                <w:rFonts w:ascii="Arial" w:hAnsi="Arial" w:cs="Arial" w:eastAsia="Arial" w:hint="default"/>
                <w:sz w:val="18"/>
                <w:szCs w:val="18"/>
              </w:rPr>
            </w:pPr>
            <w:r>
              <w:rPr>
                <w:rFonts w:ascii="Arial"/>
                <w:w w:val="99"/>
                <w:sz w:val="18"/>
              </w:rPr>
              <w:t>-</w:t>
            </w:r>
            <w:r>
              <w:rPr>
                <w:rFonts w:ascii="Arial"/>
                <w:sz w:val="18"/>
              </w:rPr>
            </w: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522,265</w:t>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90,400</w:t>
            </w: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0"/>
              <w:jc w:val="right"/>
              <w:rPr>
                <w:rFonts w:ascii="Arial" w:hAnsi="Arial" w:cs="Arial" w:eastAsia="Arial" w:hint="default"/>
                <w:sz w:val="18"/>
                <w:szCs w:val="18"/>
              </w:rPr>
            </w:pPr>
            <w:r>
              <w:rPr>
                <w:rFonts w:ascii="Arial"/>
                <w:spacing w:val="-1"/>
                <w:sz w:val="18"/>
              </w:rPr>
              <w:t>720,000</w:t>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9"/>
              <w:jc w:val="right"/>
              <w:rPr>
                <w:rFonts w:ascii="Arial" w:hAnsi="Arial" w:cs="Arial" w:eastAsia="Arial" w:hint="default"/>
                <w:sz w:val="18"/>
                <w:szCs w:val="18"/>
              </w:rPr>
            </w:pPr>
            <w:r>
              <w:rPr>
                <w:rFonts w:ascii="Arial"/>
                <w:spacing w:val="-1"/>
                <w:sz w:val="18"/>
              </w:rPr>
              <w:t>25,236,840</w:t>
            </w: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
              <w:jc w:val="right"/>
              <w:rPr>
                <w:rFonts w:ascii="Arial" w:hAnsi="Arial" w:cs="Arial" w:eastAsia="Arial" w:hint="default"/>
                <w:sz w:val="18"/>
                <w:szCs w:val="18"/>
              </w:rPr>
            </w:pPr>
            <w:r>
              <w:rPr>
                <w:rFonts w:ascii="Arial"/>
                <w:w w:val="99"/>
                <w:sz w:val="18"/>
              </w:rPr>
              <w:t>-</w:t>
            </w:r>
            <w:r>
              <w:rPr>
                <w:rFonts w:ascii="Arial"/>
                <w:sz w:val="18"/>
              </w:rPr>
            </w: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46,800</w:t>
            </w:r>
          </w:p>
        </w:tc>
      </w:tr>
      <w:tr>
        <w:trPr>
          <w:trHeight w:val="314"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(40,000)</w:t>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w:hAnsi="Arial" w:cs="Arial" w:eastAsia="Arial" w:hint="default"/>
                <w:sz w:val="18"/>
                <w:szCs w:val="18"/>
              </w:rPr>
            </w:pPr>
            <w:r>
              <w:rPr>
                <w:rFonts w:ascii="Arial"/>
                <w:spacing w:val="-1"/>
                <w:sz w:val="18"/>
              </w:rPr>
              <w:t>(25,123,840)</w:t>
            </w: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当期利得或损失总额</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0"/>
              <w:jc w:val="right"/>
              <w:rPr>
                <w:rFonts w:ascii="Arial" w:hAnsi="Arial" w:cs="Arial" w:eastAsia="Arial" w:hint="default"/>
                <w:sz w:val="18"/>
                <w:szCs w:val="18"/>
              </w:rPr>
            </w:pPr>
            <w:r>
              <w:rPr>
                <w:rFonts w:ascii="Arial"/>
                <w:spacing w:val="-1"/>
                <w:sz w:val="18"/>
              </w:rPr>
              <w:t>2,347</w:t>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8"/>
              <w:jc w:val="right"/>
              <w:rPr>
                <w:rFonts w:ascii="Arial" w:hAnsi="Arial" w:cs="Arial" w:eastAsia="Arial" w:hint="default"/>
                <w:sz w:val="18"/>
                <w:szCs w:val="18"/>
              </w:rPr>
            </w:pPr>
            <w:r>
              <w:rPr>
                <w:rFonts w:ascii="Arial"/>
                <w:spacing w:val="-1"/>
                <w:sz w:val="18"/>
              </w:rPr>
              <w:t>2,144</w:t>
            </w: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155,886</w:t>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8"/>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计入损益的利得或损失</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(98)</w:t>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8"/>
              <w:jc w:val="right"/>
              <w:rPr>
                <w:rFonts w:ascii="Arial" w:hAnsi="Arial" w:cs="Arial" w:eastAsia="Arial" w:hint="default"/>
                <w:sz w:val="18"/>
                <w:szCs w:val="18"/>
              </w:rPr>
            </w:pPr>
            <w:r>
              <w:rPr>
                <w:rFonts w:ascii="Arial"/>
                <w:spacing w:val="-1"/>
                <w:sz w:val="18"/>
              </w:rPr>
              <w:t>5,502</w:t>
            </w: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542"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ind w:left="308" w:right="55" w:hanging="189"/>
              <w:jc w:val="left"/>
              <w:rPr>
                <w:rFonts w:ascii="宋体" w:hAnsi="宋体" w:cs="宋体" w:eastAsia="宋体" w:hint="default"/>
                <w:sz w:val="18"/>
                <w:szCs w:val="18"/>
              </w:rPr>
            </w:pPr>
            <w:r>
              <w:rPr>
                <w:rFonts w:ascii="宋体" w:hAnsi="宋体" w:cs="宋体" w:eastAsia="宋体" w:hint="default"/>
                <w:spacing w:val="8"/>
                <w:sz w:val="18"/>
                <w:szCs w:val="18"/>
              </w:rPr>
              <w:t>计入其他综合收益的利得或</w:t>
            </w:r>
            <w:r>
              <w:rPr>
                <w:rFonts w:ascii="宋体" w:hAnsi="宋体" w:cs="宋体" w:eastAsia="宋体" w:hint="default"/>
                <w:sz w:val="18"/>
                <w:szCs w:val="18"/>
              </w:rPr>
              <w:t> 损失</w:t>
            </w: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60"/>
              <w:jc w:val="right"/>
              <w:rPr>
                <w:rFonts w:ascii="Arial" w:hAnsi="Arial" w:cs="Arial" w:eastAsia="Arial" w:hint="default"/>
                <w:sz w:val="18"/>
                <w:szCs w:val="18"/>
              </w:rPr>
            </w:pPr>
            <w:r>
              <w:rPr>
                <w:rFonts w:ascii="Arial"/>
                <w:spacing w:val="-1"/>
                <w:sz w:val="18"/>
              </w:rPr>
              <w:t>2,445</w:t>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right"/>
              <w:rPr>
                <w:rFonts w:ascii="Arial" w:hAnsi="Arial" w:cs="Arial" w:eastAsia="Arial" w:hint="default"/>
                <w:sz w:val="18"/>
                <w:szCs w:val="18"/>
              </w:rPr>
            </w:pPr>
            <w:r>
              <w:rPr>
                <w:rFonts w:ascii="Arial"/>
                <w:spacing w:val="-1"/>
                <w:sz w:val="18"/>
              </w:rPr>
              <w:t>(3,358)</w:t>
            </w: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155,886</w:t>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8"/>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3"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10"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722,445</w:t>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58"/>
              <w:jc w:val="right"/>
              <w:rPr>
                <w:rFonts w:ascii="Arial" w:hAnsi="Arial" w:cs="Arial" w:eastAsia="Arial" w:hint="default"/>
                <w:sz w:val="18"/>
                <w:szCs w:val="18"/>
              </w:rPr>
            </w:pPr>
            <w:r>
              <w:rPr>
                <w:rFonts w:ascii="Arial"/>
                <w:spacing w:val="-3"/>
                <w:sz w:val="18"/>
              </w:rPr>
              <w:t>115,144</w:t>
            </w: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56"/>
              <w:jc w:val="right"/>
              <w:rPr>
                <w:rFonts w:ascii="Arial" w:hAnsi="Arial" w:cs="Arial" w:eastAsia="Arial" w:hint="default"/>
                <w:sz w:val="18"/>
                <w:szCs w:val="18"/>
              </w:rPr>
            </w:pPr>
            <w:r>
              <w:rPr>
                <w:rFonts w:ascii="Arial"/>
                <w:spacing w:val="-1"/>
                <w:sz w:val="18"/>
              </w:rPr>
              <w:t>678,151</w:t>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55"/>
              <w:jc w:val="right"/>
              <w:rPr>
                <w:rFonts w:ascii="Arial" w:hAnsi="Arial" w:cs="Arial" w:eastAsia="Arial" w:hint="default"/>
                <w:sz w:val="18"/>
                <w:szCs w:val="18"/>
              </w:rPr>
            </w:pPr>
            <w:r>
              <w:rPr>
                <w:rFonts w:ascii="Arial"/>
                <w:spacing w:val="-1"/>
                <w:sz w:val="18"/>
              </w:rPr>
              <w:t>90,400</w:t>
            </w: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56"/>
              <w:jc w:val="right"/>
              <w:rPr>
                <w:rFonts w:ascii="Arial" w:hAnsi="Arial" w:cs="Arial" w:eastAsia="Arial" w:hint="default"/>
                <w:sz w:val="18"/>
                <w:szCs w:val="18"/>
              </w:rPr>
            </w:pPr>
            <w:r>
              <w:rPr>
                <w:rFonts w:ascii="Arial"/>
                <w:spacing w:val="-1"/>
                <w:sz w:val="18"/>
              </w:rPr>
              <w:t>46,800</w:t>
            </w:r>
          </w:p>
        </w:tc>
      </w:tr>
      <w:tr>
        <w:trPr>
          <w:trHeight w:val="1315"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04"/>
              <w:ind w:left="11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12</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31</w:t>
            </w:r>
            <w:r>
              <w:rPr>
                <w:rFonts w:ascii="Arial" w:hAnsi="Arial" w:cs="Arial" w:eastAsia="Arial" w:hint="default"/>
                <w:spacing w:val="-12"/>
                <w:sz w:val="18"/>
                <w:szCs w:val="18"/>
              </w:rPr>
              <w:t> </w:t>
            </w:r>
            <w:r>
              <w:rPr>
                <w:rFonts w:ascii="宋体" w:hAnsi="宋体" w:cs="宋体" w:eastAsia="宋体" w:hint="default"/>
                <w:sz w:val="18"/>
                <w:szCs w:val="18"/>
              </w:rPr>
              <w:t>日仍持有的</w:t>
            </w:r>
          </w:p>
          <w:p>
            <w:pPr>
              <w:pStyle w:val="TableParagraph"/>
              <w:spacing w:line="232" w:lineRule="auto"/>
              <w:ind w:left="375" w:right="53"/>
              <w:jc w:val="both"/>
              <w:rPr>
                <w:rFonts w:ascii="宋体" w:hAnsi="宋体" w:cs="宋体" w:eastAsia="宋体" w:hint="default"/>
                <w:sz w:val="18"/>
                <w:szCs w:val="18"/>
              </w:rPr>
            </w:pPr>
            <w:r>
              <w:rPr>
                <w:rFonts w:ascii="宋体" w:hAnsi="宋体" w:cs="宋体" w:eastAsia="宋体" w:hint="default"/>
                <w:sz w:val="18"/>
                <w:szCs w:val="18"/>
              </w:rPr>
              <w:t>资产计入 </w:t>
            </w:r>
            <w:r>
              <w:rPr>
                <w:rFonts w:ascii="Arial" w:hAnsi="Arial" w:cs="Arial" w:eastAsia="Arial" w:hint="default"/>
                <w:sz w:val="18"/>
                <w:szCs w:val="18"/>
              </w:rPr>
              <w:t>2014</w:t>
            </w:r>
            <w:r>
              <w:rPr>
                <w:rFonts w:ascii="Arial" w:hAnsi="Arial" w:cs="Arial" w:eastAsia="Arial" w:hint="default"/>
                <w:spacing w:val="21"/>
                <w:sz w:val="18"/>
                <w:szCs w:val="18"/>
              </w:rPr>
              <w:t> </w:t>
            </w:r>
            <w:r>
              <w:rPr>
                <w:rFonts w:ascii="宋体" w:hAnsi="宋体" w:cs="宋体" w:eastAsia="宋体" w:hint="default"/>
                <w:sz w:val="18"/>
                <w:szCs w:val="18"/>
              </w:rPr>
              <w:t>年度损益 的未实现利得或损失的变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动</w:t>
            </w:r>
          </w:p>
        </w:tc>
        <w:tc>
          <w:tcPr>
            <w:tcW w:w="1310"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single" w:sz="12" w:space="0" w:color="000000"/>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single" w:sz="12" w:space="0" w:color="000000"/>
              <w:left w:val="nil" w:sz="6" w:space="0" w:color="auto"/>
              <w:bottom w:val="nil" w:sz="6" w:space="0" w:color="auto"/>
              <w:right w:val="nil" w:sz="6" w:space="0" w:color="auto"/>
            </w:tcBorders>
          </w:tcPr>
          <w:p>
            <w:pPr/>
          </w:p>
        </w:tc>
      </w:tr>
      <w:tr>
        <w:trPr>
          <w:trHeight w:val="329" w:hRule="exact"/>
        </w:trPr>
        <w:tc>
          <w:tcPr>
            <w:tcW w:w="80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9"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310"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8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90"/>
              <w:jc w:val="right"/>
              <w:rPr>
                <w:rFonts w:ascii="Arial" w:hAnsi="Arial" w:cs="Arial" w:eastAsia="Arial" w:hint="default"/>
                <w:sz w:val="18"/>
                <w:szCs w:val="18"/>
              </w:rPr>
            </w:pPr>
            <w:r>
              <w:rPr>
                <w:rFonts w:ascii="Arial"/>
                <w:w w:val="99"/>
                <w:sz w:val="18"/>
              </w:rPr>
              <w:t>-</w:t>
            </w:r>
            <w:r>
              <w:rPr>
                <w:rFonts w:ascii="Arial"/>
                <w:sz w:val="18"/>
              </w:rPr>
            </w:r>
          </w:p>
        </w:tc>
        <w:tc>
          <w:tcPr>
            <w:tcW w:w="141"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8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88"/>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1309" w:hRule="exact"/>
        </w:trPr>
        <w:tc>
          <w:tcPr>
            <w:tcW w:w="800" w:type="dxa"/>
            <w:tcBorders>
              <w:top w:val="nil" w:sz="6" w:space="0" w:color="auto"/>
              <w:left w:val="nil" w:sz="6" w:space="0" w:color="auto"/>
              <w:bottom w:val="nil" w:sz="6" w:space="0" w:color="auto"/>
              <w:right w:val="nil" w:sz="6" w:space="0" w:color="auto"/>
            </w:tcBorders>
          </w:tcPr>
          <w:p>
            <w:pPr/>
          </w:p>
        </w:tc>
        <w:tc>
          <w:tcPr>
            <w:tcW w:w="8342"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37" w:lineRule="auto"/>
              <w:ind w:left="119" w:right="61"/>
              <w:jc w:val="both"/>
              <w:rPr>
                <w:rFonts w:ascii="宋体" w:hAnsi="宋体" w:cs="宋体" w:eastAsia="宋体" w:hint="default"/>
                <w:sz w:val="24"/>
                <w:szCs w:val="24"/>
              </w:rPr>
            </w:pPr>
            <w:r>
              <w:rPr>
                <w:rFonts w:ascii="宋体" w:hAnsi="宋体" w:cs="宋体" w:eastAsia="宋体" w:hint="default"/>
                <w:sz w:val="24"/>
                <w:szCs w:val="24"/>
              </w:rPr>
              <w:t>本集团由投资部门委托外部独立评估师负责金融资产及金融负债的估值工作， </w:t>
            </w:r>
            <w:r>
              <w:rPr>
                <w:rFonts w:ascii="宋体" w:hAnsi="宋体" w:cs="宋体" w:eastAsia="宋体" w:hint="default"/>
                <w:spacing w:val="-1"/>
                <w:sz w:val="24"/>
                <w:szCs w:val="24"/>
              </w:rPr>
              <w:t>上述估值结果由本集团财务部门进行独立验证及账务处理，并基于经验证的估</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值结果编制与公允价值有关的披露信息。</w:t>
            </w:r>
          </w:p>
        </w:tc>
      </w:tr>
    </w:tbl>
    <w:p>
      <w:pPr>
        <w:spacing w:after="0" w:line="237" w:lineRule="auto"/>
        <w:jc w:val="both"/>
        <w:rPr>
          <w:rFonts w:ascii="宋体" w:hAnsi="宋体" w:cs="宋体" w:eastAsia="宋体" w:hint="default"/>
          <w:sz w:val="24"/>
          <w:szCs w:val="24"/>
        </w:rPr>
        <w:sectPr>
          <w:pgSz w:w="11910" w:h="16840"/>
          <w:pgMar w:header="755" w:footer="914" w:top="1860" w:bottom="1180" w:left="1340" w:right="0"/>
        </w:sectPr>
      </w:pPr>
    </w:p>
    <w:p>
      <w:pPr>
        <w:spacing w:line="240" w:lineRule="auto" w:before="5"/>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647"/>
        <w:gridCol w:w="5107"/>
        <w:gridCol w:w="1035"/>
        <w:gridCol w:w="1775"/>
        <w:gridCol w:w="963"/>
      </w:tblGrid>
      <w:tr>
        <w:trPr>
          <w:trHeight w:val="1108" w:hRule="exact"/>
        </w:trPr>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6"/>
              <w:jc w:val="center"/>
              <w:rPr>
                <w:rFonts w:ascii="黑体" w:hAnsi="黑体" w:cs="黑体" w:eastAsia="黑体" w:hint="default"/>
                <w:sz w:val="24"/>
                <w:szCs w:val="24"/>
              </w:rPr>
            </w:pPr>
            <w:r>
              <w:rPr>
                <w:rFonts w:ascii="黑体" w:hAnsi="黑体" w:cs="黑体" w:eastAsia="黑体" w:hint="default"/>
                <w:sz w:val="24"/>
                <w:szCs w:val="24"/>
              </w:rPr>
              <w:t>十五</w:t>
            </w: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center"/>
              <w:rPr>
                <w:rFonts w:ascii="Arial" w:hAnsi="Arial" w:cs="Arial" w:eastAsia="Arial" w:hint="default"/>
                <w:sz w:val="24"/>
                <w:szCs w:val="24"/>
              </w:rPr>
            </w:pPr>
            <w:r>
              <w:rPr>
                <w:rFonts w:ascii="Arial"/>
                <w:sz w:val="24"/>
              </w:rPr>
              <w:t>(1)</w:t>
            </w:r>
          </w:p>
        </w:tc>
        <w:tc>
          <w:tcPr>
            <w:tcW w:w="510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1"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31" w:right="0"/>
              <w:jc w:val="left"/>
              <w:rPr>
                <w:rFonts w:ascii="Arial" w:hAnsi="Arial" w:cs="Arial" w:eastAsia="Arial" w:hint="default"/>
                <w:sz w:val="24"/>
                <w:szCs w:val="24"/>
              </w:rPr>
            </w:pPr>
            <w:r>
              <w:rPr>
                <w:rFonts w:ascii="黑体" w:hAnsi="黑体" w:cs="黑体" w:eastAsia="黑体" w:hint="default"/>
                <w:sz w:val="24"/>
                <w:szCs w:val="24"/>
              </w:rPr>
              <w:t>持续的以公允价值计量的资产和负债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35"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963" w:type="dxa"/>
            <w:vMerge w:val="restart"/>
            <w:tcBorders>
              <w:top w:val="nil" w:sz="6" w:space="0" w:color="auto"/>
              <w:left w:val="nil" w:sz="6" w:space="0" w:color="auto"/>
              <w:right w:val="nil" w:sz="6" w:space="0" w:color="auto"/>
            </w:tcBorders>
          </w:tcPr>
          <w:p>
            <w:pPr/>
          </w:p>
        </w:tc>
      </w:tr>
      <w:tr>
        <w:trPr>
          <w:trHeight w:val="577"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31" w:right="0"/>
              <w:jc w:val="left"/>
              <w:rPr>
                <w:rFonts w:ascii="宋体" w:hAnsi="宋体" w:cs="宋体" w:eastAsia="宋体" w:hint="default"/>
                <w:sz w:val="24"/>
                <w:szCs w:val="24"/>
              </w:rPr>
            </w:pPr>
            <w:r>
              <w:rPr>
                <w:rFonts w:ascii="宋体" w:hAnsi="宋体" w:cs="宋体" w:eastAsia="宋体" w:hint="default"/>
                <w:sz w:val="24"/>
                <w:szCs w:val="24"/>
              </w:rPr>
              <w:t>第三层次公允价值计量的相关信息如下：</w:t>
            </w:r>
          </w:p>
        </w:tc>
        <w:tc>
          <w:tcPr>
            <w:tcW w:w="1035"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963" w:type="dxa"/>
            <w:vMerge/>
            <w:tcBorders>
              <w:left w:val="nil" w:sz="6" w:space="0" w:color="auto"/>
              <w:right w:val="nil" w:sz="6" w:space="0" w:color="auto"/>
            </w:tcBorders>
          </w:tcPr>
          <w:p>
            <w:pPr/>
          </w:p>
        </w:tc>
      </w:tr>
      <w:tr>
        <w:trPr>
          <w:trHeight w:val="381"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54"/>
              <w:jc w:val="center"/>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12</w:t>
            </w:r>
          </w:p>
        </w:tc>
        <w:tc>
          <w:tcPr>
            <w:tcW w:w="1035" w:type="dxa"/>
            <w:tcBorders>
              <w:top w:val="nil" w:sz="6" w:space="0" w:color="auto"/>
              <w:left w:val="nil" w:sz="6" w:space="0" w:color="auto"/>
              <w:bottom w:val="single" w:sz="4" w:space="0" w:color="000000"/>
              <w:right w:val="nil" w:sz="6" w:space="0" w:color="auto"/>
            </w:tcBorders>
          </w:tcPr>
          <w:p>
            <w:pPr/>
          </w:p>
        </w:tc>
        <w:tc>
          <w:tcPr>
            <w:tcW w:w="1775"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left="104" w:right="0"/>
              <w:jc w:val="left"/>
              <w:rPr>
                <w:rFonts w:ascii="宋体" w:hAnsi="宋体" w:cs="宋体" w:eastAsia="宋体" w:hint="default"/>
                <w:sz w:val="18"/>
                <w:szCs w:val="18"/>
              </w:rPr>
            </w:pPr>
            <w:r>
              <w:rPr>
                <w:rFonts w:ascii="宋体" w:hAnsi="宋体" w:cs="宋体" w:eastAsia="宋体" w:hint="default"/>
                <w:sz w:val="18"/>
                <w:szCs w:val="18"/>
              </w:rPr>
              <w:t>输入值</w:t>
            </w:r>
          </w:p>
        </w:tc>
        <w:tc>
          <w:tcPr>
            <w:tcW w:w="963" w:type="dxa"/>
            <w:vMerge/>
            <w:tcBorders>
              <w:left w:val="nil" w:sz="6" w:space="0" w:color="auto"/>
              <w:bottom w:val="single" w:sz="4" w:space="0" w:color="000000"/>
              <w:right w:val="nil" w:sz="6" w:space="0" w:color="auto"/>
            </w:tcBorders>
          </w:tcPr>
          <w:p>
            <w:pPr/>
          </w:p>
        </w:tc>
      </w:tr>
      <w:tr>
        <w:trPr>
          <w:trHeight w:val="242"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single" w:sz="4" w:space="0" w:color="000000"/>
              <w:left w:val="nil" w:sz="6" w:space="0" w:color="auto"/>
              <w:bottom w:val="nil" w:sz="6" w:space="0" w:color="auto"/>
              <w:right w:val="nil" w:sz="6" w:space="0" w:color="auto"/>
            </w:tcBorders>
          </w:tcPr>
          <w:p>
            <w:pPr>
              <w:pStyle w:val="TableParagraph"/>
              <w:spacing w:line="218" w:lineRule="exact"/>
              <w:ind w:left="16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35" w:type="dxa"/>
            <w:tcBorders>
              <w:top w:val="single" w:sz="4" w:space="0" w:color="000000"/>
              <w:left w:val="nil" w:sz="6" w:space="0" w:color="auto"/>
              <w:bottom w:val="nil" w:sz="6" w:space="0" w:color="auto"/>
              <w:right w:val="nil" w:sz="6" w:space="0" w:color="auto"/>
            </w:tcBorders>
          </w:tcPr>
          <w:p>
            <w:pPr>
              <w:pStyle w:val="TableParagraph"/>
              <w:spacing w:line="218" w:lineRule="exact"/>
              <w:ind w:right="102"/>
              <w:jc w:val="right"/>
              <w:rPr>
                <w:rFonts w:ascii="宋体" w:hAnsi="宋体" w:cs="宋体" w:eastAsia="宋体" w:hint="default"/>
                <w:sz w:val="18"/>
                <w:szCs w:val="18"/>
              </w:rPr>
            </w:pPr>
            <w:r>
              <w:rPr>
                <w:rFonts w:ascii="宋体" w:hAnsi="宋体" w:cs="宋体" w:eastAsia="宋体" w:hint="default"/>
                <w:sz w:val="18"/>
                <w:szCs w:val="18"/>
              </w:rPr>
              <w:t>范围</w:t>
            </w:r>
            <w:r>
              <w:rPr>
                <w:rFonts w:ascii="Arial" w:hAnsi="Arial" w:cs="Arial" w:eastAsia="Arial" w:hint="default"/>
                <w:sz w:val="18"/>
                <w:szCs w:val="18"/>
              </w:rPr>
              <w:t>/</w:t>
            </w:r>
            <w:r>
              <w:rPr>
                <w:rFonts w:ascii="宋体" w:hAnsi="宋体" w:cs="宋体" w:eastAsia="宋体" w:hint="default"/>
                <w:sz w:val="18"/>
                <w:szCs w:val="18"/>
              </w:rPr>
              <w:t>加权</w:t>
            </w:r>
          </w:p>
        </w:tc>
        <w:tc>
          <w:tcPr>
            <w:tcW w:w="1775" w:type="dxa"/>
            <w:tcBorders>
              <w:top w:val="single" w:sz="4" w:space="0" w:color="000000"/>
              <w:left w:val="nil" w:sz="6" w:space="0" w:color="auto"/>
              <w:bottom w:val="nil" w:sz="6" w:space="0" w:color="auto"/>
              <w:right w:val="nil" w:sz="6" w:space="0" w:color="auto"/>
            </w:tcBorders>
          </w:tcPr>
          <w:p>
            <w:pPr>
              <w:pStyle w:val="TableParagraph"/>
              <w:spacing w:line="205" w:lineRule="exact"/>
              <w:ind w:right="134"/>
              <w:jc w:val="right"/>
              <w:rPr>
                <w:rFonts w:ascii="宋体" w:hAnsi="宋体" w:cs="宋体" w:eastAsia="宋体" w:hint="default"/>
                <w:sz w:val="18"/>
                <w:szCs w:val="18"/>
              </w:rPr>
            </w:pPr>
            <w:r>
              <w:rPr>
                <w:rFonts w:ascii="宋体" w:hAnsi="宋体" w:cs="宋体" w:eastAsia="宋体" w:hint="default"/>
                <w:sz w:val="18"/>
                <w:szCs w:val="18"/>
              </w:rPr>
              <w:t>与公允价值之间的</w:t>
            </w:r>
          </w:p>
        </w:tc>
        <w:tc>
          <w:tcPr>
            <w:tcW w:w="963" w:type="dxa"/>
            <w:tcBorders>
              <w:top w:val="single" w:sz="4" w:space="0" w:color="000000"/>
              <w:left w:val="nil" w:sz="6" w:space="0" w:color="auto"/>
              <w:bottom w:val="nil" w:sz="6" w:space="0" w:color="auto"/>
              <w:right w:val="nil" w:sz="6" w:space="0" w:color="auto"/>
            </w:tcBorders>
          </w:tcPr>
          <w:p>
            <w:pPr>
              <w:pStyle w:val="TableParagraph"/>
              <w:spacing w:line="218" w:lineRule="exact"/>
              <w:ind w:right="54"/>
              <w:jc w:val="right"/>
              <w:rPr>
                <w:rFonts w:ascii="宋体" w:hAnsi="宋体" w:cs="宋体" w:eastAsia="宋体" w:hint="default"/>
                <w:sz w:val="18"/>
                <w:szCs w:val="18"/>
              </w:rPr>
            </w:pPr>
            <w:r>
              <w:rPr>
                <w:rFonts w:ascii="宋体" w:hAnsi="宋体" w:cs="宋体" w:eastAsia="宋体" w:hint="default"/>
                <w:sz w:val="18"/>
                <w:szCs w:val="18"/>
              </w:rPr>
              <w:t>可观察</w:t>
            </w:r>
            <w:r>
              <w:rPr>
                <w:rFonts w:ascii="Arial" w:hAnsi="Arial" w:cs="Arial" w:eastAsia="Arial" w:hint="default"/>
                <w:sz w:val="18"/>
                <w:szCs w:val="18"/>
              </w:rPr>
              <w:t>/</w:t>
            </w:r>
            <w:r>
              <w:rPr>
                <w:rFonts w:ascii="宋体" w:hAnsi="宋体" w:cs="宋体" w:eastAsia="宋体" w:hint="default"/>
                <w:sz w:val="18"/>
                <w:szCs w:val="18"/>
              </w:rPr>
              <w:t>不</w:t>
            </w:r>
          </w:p>
        </w:tc>
      </w:tr>
      <w:tr>
        <w:trPr>
          <w:trHeight w:val="234"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tabs>
                <w:tab w:pos="991" w:val="left" w:leader="none"/>
                <w:tab w:pos="2345" w:val="left" w:leader="none"/>
              </w:tabs>
              <w:spacing w:line="203" w:lineRule="exact"/>
              <w:ind w:right="158"/>
              <w:jc w:val="right"/>
              <w:rPr>
                <w:rFonts w:ascii="宋体" w:hAnsi="宋体" w:cs="宋体" w:eastAsia="宋体" w:hint="default"/>
                <w:sz w:val="18"/>
                <w:szCs w:val="18"/>
              </w:rPr>
            </w:pPr>
            <w:r>
              <w:rPr>
                <w:rFonts w:ascii="宋体" w:hAnsi="宋体" w:cs="宋体" w:eastAsia="宋体" w:hint="default"/>
                <w:sz w:val="18"/>
                <w:szCs w:val="18"/>
              </w:rPr>
              <w:t>公允价值</w:t>
              <w:tab/>
              <w:t>估值技术</w:t>
              <w:tab/>
              <w:t>名称</w:t>
            </w:r>
          </w:p>
        </w:tc>
        <w:tc>
          <w:tcPr>
            <w:tcW w:w="1035" w:type="dxa"/>
            <w:tcBorders>
              <w:top w:val="nil" w:sz="6" w:space="0" w:color="auto"/>
              <w:left w:val="nil" w:sz="6" w:space="0" w:color="auto"/>
              <w:bottom w:val="nil" w:sz="6" w:space="0" w:color="auto"/>
              <w:right w:val="nil" w:sz="6" w:space="0" w:color="auto"/>
            </w:tcBorders>
          </w:tcPr>
          <w:p>
            <w:pPr>
              <w:pStyle w:val="TableParagraph"/>
              <w:spacing w:line="203" w:lineRule="exact"/>
              <w:ind w:right="102"/>
              <w:jc w:val="right"/>
              <w:rPr>
                <w:rFonts w:ascii="宋体" w:hAnsi="宋体" w:cs="宋体" w:eastAsia="宋体" w:hint="default"/>
                <w:sz w:val="18"/>
                <w:szCs w:val="18"/>
              </w:rPr>
            </w:pPr>
            <w:r>
              <w:rPr>
                <w:rFonts w:ascii="宋体" w:hAnsi="宋体" w:cs="宋体" w:eastAsia="宋体" w:hint="default"/>
                <w:sz w:val="18"/>
                <w:szCs w:val="18"/>
              </w:rPr>
              <w:t>平均值</w:t>
            </w:r>
          </w:p>
        </w:tc>
        <w:tc>
          <w:tcPr>
            <w:tcW w:w="1775" w:type="dxa"/>
            <w:tcBorders>
              <w:top w:val="nil" w:sz="6" w:space="0" w:color="auto"/>
              <w:left w:val="nil" w:sz="6" w:space="0" w:color="auto"/>
              <w:bottom w:val="nil" w:sz="6" w:space="0" w:color="auto"/>
              <w:right w:val="nil" w:sz="6" w:space="0" w:color="auto"/>
            </w:tcBorders>
          </w:tcPr>
          <w:p>
            <w:pPr>
              <w:pStyle w:val="TableParagraph"/>
              <w:spacing w:line="203" w:lineRule="exact"/>
              <w:ind w:right="134"/>
              <w:jc w:val="right"/>
              <w:rPr>
                <w:rFonts w:ascii="宋体" w:hAnsi="宋体" w:cs="宋体" w:eastAsia="宋体" w:hint="default"/>
                <w:sz w:val="18"/>
                <w:szCs w:val="18"/>
              </w:rPr>
            </w:pPr>
            <w:r>
              <w:rPr>
                <w:rFonts w:ascii="宋体" w:hAnsi="宋体" w:cs="宋体" w:eastAsia="宋体" w:hint="default"/>
                <w:sz w:val="18"/>
                <w:szCs w:val="18"/>
              </w:rPr>
              <w:t>关系</w:t>
            </w:r>
          </w:p>
        </w:tc>
        <w:tc>
          <w:tcPr>
            <w:tcW w:w="963" w:type="dxa"/>
            <w:tcBorders>
              <w:top w:val="nil" w:sz="6" w:space="0" w:color="auto"/>
              <w:left w:val="nil" w:sz="6" w:space="0" w:color="auto"/>
              <w:bottom w:val="nil" w:sz="6" w:space="0" w:color="auto"/>
              <w:right w:val="nil" w:sz="6" w:space="0" w:color="auto"/>
            </w:tcBorders>
          </w:tcPr>
          <w:p>
            <w:pPr>
              <w:pStyle w:val="TableParagraph"/>
              <w:spacing w:line="203" w:lineRule="exact"/>
              <w:ind w:right="54"/>
              <w:jc w:val="right"/>
              <w:rPr>
                <w:rFonts w:ascii="宋体" w:hAnsi="宋体" w:cs="宋体" w:eastAsia="宋体" w:hint="default"/>
                <w:sz w:val="18"/>
                <w:szCs w:val="18"/>
              </w:rPr>
            </w:pPr>
            <w:r>
              <w:rPr>
                <w:rFonts w:ascii="宋体" w:hAnsi="宋体" w:cs="宋体" w:eastAsia="宋体" w:hint="default"/>
                <w:sz w:val="18"/>
                <w:szCs w:val="18"/>
              </w:rPr>
              <w:t>可观察</w:t>
            </w:r>
          </w:p>
        </w:tc>
      </w:tr>
      <w:tr>
        <w:trPr>
          <w:trHeight w:val="244"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spacing w:line="212" w:lineRule="exact"/>
              <w:ind w:left="13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35"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r>
      <w:tr>
        <w:trPr>
          <w:trHeight w:val="487"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tabs>
                <w:tab w:pos="3231" w:val="left" w:leader="none"/>
                <w:tab w:pos="4226" w:val="left" w:leader="none"/>
              </w:tabs>
              <w:spacing w:line="212" w:lineRule="exact"/>
              <w:ind w:left="678" w:right="0" w:hanging="186"/>
              <w:jc w:val="left"/>
              <w:rPr>
                <w:rFonts w:ascii="宋体" w:hAnsi="宋体" w:cs="宋体" w:eastAsia="宋体" w:hint="default"/>
                <w:sz w:val="18"/>
                <w:szCs w:val="18"/>
              </w:rPr>
            </w:pPr>
            <w:r>
              <w:rPr>
                <w:rFonts w:ascii="宋体" w:hAnsi="宋体" w:cs="宋体" w:eastAsia="宋体" w:hint="default"/>
                <w:sz w:val="18"/>
                <w:szCs w:val="18"/>
              </w:rPr>
              <w:t>一年内到期的理财</w:t>
              <w:tab/>
              <w:t>现金流量</w:t>
              <w:tab/>
              <w:t>预期收益</w:t>
            </w:r>
          </w:p>
          <w:p>
            <w:pPr>
              <w:pStyle w:val="TableParagraph"/>
              <w:tabs>
                <w:tab w:pos="2160" w:val="left" w:leader="none"/>
                <w:tab w:pos="3231" w:val="left" w:leader="none"/>
                <w:tab w:pos="4766" w:val="left" w:leader="none"/>
              </w:tabs>
              <w:spacing w:line="240" w:lineRule="auto"/>
              <w:ind w:left="678" w:right="0"/>
              <w:jc w:val="left"/>
              <w:rPr>
                <w:rFonts w:ascii="宋体" w:hAnsi="宋体" w:cs="宋体" w:eastAsia="宋体" w:hint="default"/>
                <w:sz w:val="18"/>
                <w:szCs w:val="18"/>
              </w:rPr>
            </w:pPr>
            <w:r>
              <w:rPr>
                <w:rFonts w:ascii="宋体" w:hAnsi="宋体" w:cs="宋体" w:eastAsia="宋体" w:hint="default"/>
                <w:position w:val="1"/>
                <w:sz w:val="18"/>
                <w:szCs w:val="18"/>
              </w:rPr>
              <w:t>产品</w:t>
              <w:tab/>
            </w:r>
            <w:r>
              <w:rPr>
                <w:rFonts w:ascii="Arial" w:hAnsi="Arial" w:cs="Arial" w:eastAsia="Arial" w:hint="default"/>
                <w:spacing w:val="-1"/>
                <w:sz w:val="18"/>
                <w:szCs w:val="18"/>
              </w:rPr>
              <w:t>1,502,959</w:t>
              <w:tab/>
            </w:r>
            <w:r>
              <w:rPr>
                <w:rFonts w:ascii="宋体" w:hAnsi="宋体" w:cs="宋体" w:eastAsia="宋体" w:hint="default"/>
                <w:position w:val="1"/>
                <w:sz w:val="18"/>
                <w:szCs w:val="18"/>
              </w:rPr>
              <w:t>折现模型</w:t>
              <w:tab/>
              <w:t>率</w:t>
            </w:r>
            <w:r>
              <w:rPr>
                <w:rFonts w:ascii="宋体" w:hAnsi="宋体" w:cs="宋体" w:eastAsia="宋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5" w:right="0"/>
              <w:jc w:val="center"/>
              <w:rPr>
                <w:rFonts w:ascii="宋体" w:hAnsi="宋体" w:cs="宋体" w:eastAsia="宋体" w:hint="default"/>
                <w:sz w:val="18"/>
                <w:szCs w:val="18"/>
              </w:rPr>
            </w:pPr>
            <w:r>
              <w:rPr>
                <w:rFonts w:ascii="Arial" w:hAnsi="Arial" w:cs="Arial" w:eastAsia="Arial" w:hint="default"/>
                <w:sz w:val="18"/>
                <w:szCs w:val="18"/>
              </w:rPr>
              <w:t>3.20%</w:t>
            </w:r>
            <w:r>
              <w:rPr>
                <w:rFonts w:ascii="宋体" w:hAnsi="宋体" w:cs="宋体" w:eastAsia="宋体" w:hint="default"/>
                <w:sz w:val="18"/>
                <w:szCs w:val="18"/>
              </w:rPr>
              <w:t>至</w:t>
            </w:r>
          </w:p>
          <w:p>
            <w:pPr>
              <w:pStyle w:val="TableParagraph"/>
              <w:spacing w:line="240" w:lineRule="auto" w:before="12"/>
              <w:ind w:left="315" w:right="0"/>
              <w:jc w:val="center"/>
              <w:rPr>
                <w:rFonts w:ascii="Arial" w:hAnsi="Arial" w:cs="Arial" w:eastAsia="Arial" w:hint="default"/>
                <w:sz w:val="18"/>
                <w:szCs w:val="18"/>
              </w:rPr>
            </w:pPr>
            <w:r>
              <w:rPr>
                <w:rFonts w:ascii="Arial"/>
                <w:sz w:val="18"/>
              </w:rPr>
              <w:t>5.90%</w:t>
            </w:r>
          </w:p>
        </w:tc>
        <w:tc>
          <w:tcPr>
            <w:tcW w:w="1775" w:type="dxa"/>
            <w:tcBorders>
              <w:top w:val="nil" w:sz="6" w:space="0" w:color="auto"/>
              <w:left w:val="nil" w:sz="6" w:space="0" w:color="auto"/>
              <w:bottom w:val="nil" w:sz="6" w:space="0" w:color="auto"/>
              <w:right w:val="nil" w:sz="6" w:space="0" w:color="auto"/>
            </w:tcBorders>
          </w:tcPr>
          <w:p>
            <w:pPr>
              <w:pStyle w:val="TableParagraph"/>
              <w:spacing w:line="210" w:lineRule="exact"/>
              <w:ind w:left="199"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4" w:lineRule="exact"/>
              <w:ind w:left="739"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233"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spacing w:line="201" w:lineRule="exact"/>
              <w:ind w:left="13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35"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r>
      <w:tr>
        <w:trPr>
          <w:trHeight w:val="488"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tabs>
                <w:tab w:pos="4226" w:val="left" w:leader="none"/>
              </w:tabs>
              <w:spacing w:line="212" w:lineRule="exact"/>
              <w:ind w:left="3231" w:right="0"/>
              <w:jc w:val="left"/>
              <w:rPr>
                <w:rFonts w:ascii="宋体" w:hAnsi="宋体" w:cs="宋体" w:eastAsia="宋体" w:hint="default"/>
                <w:sz w:val="18"/>
                <w:szCs w:val="18"/>
              </w:rPr>
            </w:pPr>
            <w:r>
              <w:rPr>
                <w:rFonts w:ascii="宋体" w:hAnsi="宋体" w:cs="宋体" w:eastAsia="宋体" w:hint="default"/>
                <w:sz w:val="18"/>
                <w:szCs w:val="18"/>
              </w:rPr>
              <w:t>现金流量</w:t>
              <w:tab/>
              <w:t>预期收益</w:t>
            </w:r>
          </w:p>
          <w:p>
            <w:pPr>
              <w:pStyle w:val="TableParagraph"/>
              <w:tabs>
                <w:tab w:pos="2310" w:val="left" w:leader="none"/>
                <w:tab w:pos="3231" w:val="left" w:leader="none"/>
                <w:tab w:pos="4766" w:val="left" w:leader="none"/>
              </w:tabs>
              <w:spacing w:line="240" w:lineRule="auto" w:before="1"/>
              <w:ind w:left="492" w:right="0"/>
              <w:jc w:val="left"/>
              <w:rPr>
                <w:rFonts w:ascii="宋体" w:hAnsi="宋体" w:cs="宋体" w:eastAsia="宋体" w:hint="default"/>
                <w:sz w:val="18"/>
                <w:szCs w:val="18"/>
              </w:rPr>
            </w:pPr>
            <w:r>
              <w:rPr>
                <w:rFonts w:ascii="宋体" w:hAnsi="宋体" w:cs="宋体" w:eastAsia="宋体" w:hint="default"/>
                <w:position w:val="1"/>
                <w:sz w:val="18"/>
                <w:szCs w:val="18"/>
              </w:rPr>
              <w:t>理财产品</w:t>
              <w:tab/>
            </w:r>
            <w:r>
              <w:rPr>
                <w:rFonts w:ascii="Arial" w:hAnsi="Arial" w:cs="Arial" w:eastAsia="Arial" w:hint="default"/>
                <w:spacing w:val="-1"/>
                <w:sz w:val="18"/>
                <w:szCs w:val="18"/>
              </w:rPr>
              <w:t>816,473</w:t>
              <w:tab/>
            </w:r>
            <w:r>
              <w:rPr>
                <w:rFonts w:ascii="宋体" w:hAnsi="宋体" w:cs="宋体" w:eastAsia="宋体" w:hint="default"/>
                <w:position w:val="1"/>
                <w:sz w:val="18"/>
                <w:szCs w:val="18"/>
              </w:rPr>
              <w:t>折现模型</w:t>
              <w:tab/>
              <w:t>率</w:t>
            </w:r>
            <w:r>
              <w:rPr>
                <w:rFonts w:ascii="宋体" w:hAnsi="宋体" w:cs="宋体" w:eastAsia="宋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5" w:right="0"/>
              <w:jc w:val="center"/>
              <w:rPr>
                <w:rFonts w:ascii="宋体" w:hAnsi="宋体" w:cs="宋体" w:eastAsia="宋体" w:hint="default"/>
                <w:sz w:val="18"/>
                <w:szCs w:val="18"/>
              </w:rPr>
            </w:pPr>
            <w:r>
              <w:rPr>
                <w:rFonts w:ascii="Arial" w:hAnsi="Arial" w:cs="Arial" w:eastAsia="Arial" w:hint="default"/>
                <w:sz w:val="18"/>
                <w:szCs w:val="18"/>
              </w:rPr>
              <w:t>2.30%</w:t>
            </w:r>
            <w:r>
              <w:rPr>
                <w:rFonts w:ascii="宋体" w:hAnsi="宋体" w:cs="宋体" w:eastAsia="宋体" w:hint="default"/>
                <w:sz w:val="18"/>
                <w:szCs w:val="18"/>
              </w:rPr>
              <w:t>至</w:t>
            </w:r>
          </w:p>
          <w:p>
            <w:pPr>
              <w:pStyle w:val="TableParagraph"/>
              <w:spacing w:line="240" w:lineRule="auto" w:before="14"/>
              <w:ind w:left="316" w:right="0"/>
              <w:jc w:val="center"/>
              <w:rPr>
                <w:rFonts w:ascii="Arial" w:hAnsi="Arial" w:cs="Arial" w:eastAsia="Arial" w:hint="default"/>
                <w:sz w:val="18"/>
                <w:szCs w:val="18"/>
              </w:rPr>
            </w:pPr>
            <w:r>
              <w:rPr>
                <w:rFonts w:ascii="Arial"/>
                <w:sz w:val="18"/>
              </w:rPr>
              <w:t>4.00%</w:t>
            </w:r>
          </w:p>
        </w:tc>
        <w:tc>
          <w:tcPr>
            <w:tcW w:w="1775" w:type="dxa"/>
            <w:tcBorders>
              <w:top w:val="nil" w:sz="6" w:space="0" w:color="auto"/>
              <w:left w:val="nil" w:sz="6" w:space="0" w:color="auto"/>
              <w:bottom w:val="nil" w:sz="6" w:space="0" w:color="auto"/>
              <w:right w:val="nil" w:sz="6" w:space="0" w:color="auto"/>
            </w:tcBorders>
          </w:tcPr>
          <w:p>
            <w:pPr>
              <w:pStyle w:val="TableParagraph"/>
              <w:spacing w:line="210" w:lineRule="exact"/>
              <w:ind w:left="199"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4" w:lineRule="exact"/>
              <w:ind w:left="739"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227"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tabs>
                <w:tab w:pos="994" w:val="left" w:leader="none"/>
              </w:tabs>
              <w:spacing w:line="200" w:lineRule="exact"/>
              <w:ind w:right="158"/>
              <w:jc w:val="right"/>
              <w:rPr>
                <w:rFonts w:ascii="宋体" w:hAnsi="宋体" w:cs="宋体" w:eastAsia="宋体" w:hint="default"/>
                <w:sz w:val="18"/>
                <w:szCs w:val="18"/>
              </w:rPr>
            </w:pPr>
            <w:r>
              <w:rPr>
                <w:rFonts w:ascii="宋体" w:hAnsi="宋体" w:cs="宋体" w:eastAsia="宋体" w:hint="default"/>
                <w:sz w:val="18"/>
                <w:szCs w:val="18"/>
              </w:rPr>
              <w:t>市场可比</w:t>
              <w:tab/>
            </w:r>
            <w:r>
              <w:rPr>
                <w:rFonts w:ascii="宋体" w:hAnsi="宋体" w:cs="宋体" w:eastAsia="宋体" w:hint="default"/>
                <w:w w:val="95"/>
                <w:sz w:val="18"/>
                <w:szCs w:val="18"/>
              </w:rPr>
              <w:t>缺乏流动</w:t>
            </w:r>
          </w:p>
        </w:tc>
        <w:tc>
          <w:tcPr>
            <w:tcW w:w="1035"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00" w:lineRule="exact"/>
              <w:ind w:right="134"/>
              <w:jc w:val="right"/>
              <w:rPr>
                <w:rFonts w:ascii="宋体" w:hAnsi="宋体" w:cs="宋体" w:eastAsia="宋体" w:hint="default"/>
                <w:sz w:val="18"/>
                <w:szCs w:val="18"/>
              </w:rPr>
            </w:pPr>
            <w:r>
              <w:rPr>
                <w:rFonts w:ascii="宋体" w:hAnsi="宋体" w:cs="宋体" w:eastAsia="宋体" w:hint="default"/>
                <w:sz w:val="18"/>
                <w:szCs w:val="18"/>
              </w:rPr>
              <w:t>与金融资产公允价</w:t>
            </w:r>
          </w:p>
        </w:tc>
        <w:tc>
          <w:tcPr>
            <w:tcW w:w="963" w:type="dxa"/>
            <w:tcBorders>
              <w:top w:val="nil" w:sz="6" w:space="0" w:color="auto"/>
              <w:left w:val="nil" w:sz="6" w:space="0" w:color="auto"/>
              <w:bottom w:val="nil" w:sz="6" w:space="0" w:color="auto"/>
              <w:right w:val="nil" w:sz="6" w:space="0" w:color="auto"/>
            </w:tcBorders>
          </w:tcPr>
          <w:p>
            <w:pPr/>
          </w:p>
        </w:tc>
      </w:tr>
      <w:tr>
        <w:trPr>
          <w:trHeight w:val="466"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tabs>
                <w:tab w:pos="1817" w:val="left" w:leader="none"/>
                <w:tab w:pos="2739" w:val="left" w:leader="none"/>
                <w:tab w:pos="3914" w:val="left" w:leader="none"/>
              </w:tabs>
              <w:spacing w:line="233" w:lineRule="exact"/>
              <w:ind w:right="158"/>
              <w:jc w:val="right"/>
              <w:rPr>
                <w:rFonts w:ascii="宋体" w:hAnsi="宋体" w:cs="宋体" w:eastAsia="宋体" w:hint="default"/>
                <w:sz w:val="18"/>
                <w:szCs w:val="18"/>
              </w:rPr>
            </w:pPr>
            <w:r>
              <w:rPr>
                <w:rFonts w:ascii="宋体" w:hAnsi="宋体" w:cs="宋体" w:eastAsia="宋体" w:hint="default"/>
                <w:position w:val="1"/>
                <w:sz w:val="18"/>
                <w:szCs w:val="18"/>
              </w:rPr>
              <w:t>可供出售权益工具</w:t>
              <w:tab/>
            </w:r>
            <w:r>
              <w:rPr>
                <w:rFonts w:ascii="Arial" w:hAnsi="Arial" w:cs="Arial" w:eastAsia="Arial" w:hint="default"/>
                <w:spacing w:val="-1"/>
                <w:sz w:val="18"/>
                <w:szCs w:val="18"/>
              </w:rPr>
              <w:t>894,743</w:t>
              <w:tab/>
            </w:r>
            <w:r>
              <w:rPr>
                <w:rFonts w:ascii="宋体" w:hAnsi="宋体" w:cs="宋体" w:eastAsia="宋体" w:hint="default"/>
                <w:position w:val="1"/>
                <w:sz w:val="18"/>
                <w:szCs w:val="18"/>
              </w:rPr>
              <w:t>公司模型</w:t>
              <w:tab/>
              <w:t>性折价</w:t>
            </w:r>
            <w:r>
              <w:rPr>
                <w:rFonts w:ascii="宋体" w:hAnsi="宋体" w:cs="宋体" w:eastAsia="宋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right"/>
              <w:rPr>
                <w:rFonts w:ascii="Arial" w:hAnsi="Arial" w:cs="Arial" w:eastAsia="Arial" w:hint="default"/>
                <w:sz w:val="18"/>
                <w:szCs w:val="18"/>
              </w:rPr>
            </w:pPr>
            <w:r>
              <w:rPr>
                <w:rFonts w:ascii="Arial"/>
                <w:spacing w:val="-1"/>
                <w:w w:val="95"/>
                <w:sz w:val="18"/>
              </w:rPr>
              <w:t>15%</w:t>
            </w:r>
            <w:r>
              <w:rPr>
                <w:rFonts w:ascii="Arial"/>
                <w:sz w:val="18"/>
              </w:rPr>
            </w:r>
          </w:p>
        </w:tc>
        <w:tc>
          <w:tcPr>
            <w:tcW w:w="1775" w:type="dxa"/>
            <w:tcBorders>
              <w:top w:val="nil" w:sz="6" w:space="0" w:color="auto"/>
              <w:left w:val="nil" w:sz="6" w:space="0" w:color="auto"/>
              <w:bottom w:val="nil" w:sz="6" w:space="0" w:color="auto"/>
              <w:right w:val="nil" w:sz="6" w:space="0" w:color="auto"/>
            </w:tcBorders>
          </w:tcPr>
          <w:p>
            <w:pPr>
              <w:pStyle w:val="TableParagraph"/>
              <w:spacing w:line="207" w:lineRule="exact"/>
              <w:ind w:right="134"/>
              <w:jc w:val="right"/>
              <w:rPr>
                <w:rFonts w:ascii="宋体" w:hAnsi="宋体" w:cs="宋体" w:eastAsia="宋体" w:hint="default"/>
                <w:sz w:val="18"/>
                <w:szCs w:val="18"/>
              </w:rPr>
            </w:pPr>
            <w:r>
              <w:rPr>
                <w:rFonts w:ascii="宋体" w:hAnsi="宋体" w:cs="宋体" w:eastAsia="宋体" w:hint="default"/>
                <w:sz w:val="18"/>
                <w:szCs w:val="18"/>
              </w:rPr>
              <w:t>值反向变动</w:t>
            </w:r>
          </w:p>
        </w:tc>
        <w:tc>
          <w:tcPr>
            <w:tcW w:w="963" w:type="dxa"/>
            <w:tcBorders>
              <w:top w:val="nil" w:sz="6" w:space="0" w:color="auto"/>
              <w:left w:val="nil" w:sz="6" w:space="0" w:color="auto"/>
              <w:bottom w:val="nil" w:sz="6" w:space="0" w:color="auto"/>
              <w:right w:val="nil" w:sz="6" w:space="0" w:color="auto"/>
            </w:tcBorders>
          </w:tcPr>
          <w:p>
            <w:pPr>
              <w:pStyle w:val="TableParagraph"/>
              <w:spacing w:line="207" w:lineRule="exact"/>
              <w:ind w:right="54"/>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444"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p>
        </w:tc>
        <w:tc>
          <w:tcPr>
            <w:tcW w:w="1035"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r>
      <w:tr>
        <w:trPr>
          <w:trHeight w:val="233"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spacing w:line="207" w:lineRule="exact"/>
              <w:ind w:left="492" w:right="0"/>
              <w:jc w:val="left"/>
              <w:rPr>
                <w:rFonts w:ascii="宋体" w:hAnsi="宋体" w:cs="宋体" w:eastAsia="宋体" w:hint="default"/>
                <w:sz w:val="18"/>
                <w:szCs w:val="18"/>
              </w:rPr>
            </w:pPr>
            <w:r>
              <w:rPr>
                <w:rFonts w:ascii="宋体" w:hAnsi="宋体" w:cs="宋体" w:eastAsia="宋体" w:hint="default"/>
                <w:spacing w:val="3"/>
                <w:sz w:val="18"/>
                <w:szCs w:val="18"/>
              </w:rPr>
              <w:t>动计入当期损益的</w:t>
            </w:r>
          </w:p>
        </w:tc>
        <w:tc>
          <w:tcPr>
            <w:tcW w:w="1035"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r>
      <w:tr>
        <w:trPr>
          <w:trHeight w:val="238"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spacing w:line="206" w:lineRule="exact"/>
              <w:ind w:left="49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35"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r>
      <w:tr>
        <w:trPr>
          <w:trHeight w:val="239"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tabs>
                <w:tab w:pos="994" w:val="left" w:leader="none"/>
              </w:tabs>
              <w:spacing w:line="212" w:lineRule="exact"/>
              <w:ind w:right="158"/>
              <w:jc w:val="right"/>
              <w:rPr>
                <w:rFonts w:ascii="宋体" w:hAnsi="宋体" w:cs="宋体" w:eastAsia="宋体" w:hint="default"/>
                <w:sz w:val="18"/>
                <w:szCs w:val="18"/>
              </w:rPr>
            </w:pPr>
            <w:r>
              <w:rPr>
                <w:rFonts w:ascii="宋体" w:hAnsi="宋体" w:cs="宋体" w:eastAsia="宋体" w:hint="default"/>
                <w:sz w:val="18"/>
                <w:szCs w:val="18"/>
              </w:rPr>
              <w:t>期权定价</w:t>
              <w:tab/>
            </w:r>
            <w:r>
              <w:rPr>
                <w:rFonts w:ascii="宋体" w:hAnsi="宋体" w:cs="宋体" w:eastAsia="宋体" w:hint="default"/>
                <w:w w:val="95"/>
                <w:sz w:val="18"/>
                <w:szCs w:val="18"/>
              </w:rPr>
              <w:t>债券风险</w:t>
            </w:r>
          </w:p>
        </w:tc>
        <w:tc>
          <w:tcPr>
            <w:tcW w:w="1035"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12" w:lineRule="exact"/>
              <w:ind w:right="134"/>
              <w:jc w:val="right"/>
              <w:rPr>
                <w:rFonts w:ascii="宋体" w:hAnsi="宋体" w:cs="宋体" w:eastAsia="宋体" w:hint="default"/>
                <w:sz w:val="18"/>
                <w:szCs w:val="18"/>
              </w:rPr>
            </w:pPr>
            <w:r>
              <w:rPr>
                <w:rFonts w:ascii="宋体" w:hAnsi="宋体" w:cs="宋体" w:eastAsia="宋体" w:hint="default"/>
                <w:sz w:val="18"/>
                <w:szCs w:val="18"/>
              </w:rPr>
              <w:t>与金融负债公允价</w:t>
            </w:r>
          </w:p>
        </w:tc>
        <w:tc>
          <w:tcPr>
            <w:tcW w:w="963" w:type="dxa"/>
            <w:tcBorders>
              <w:top w:val="nil" w:sz="6" w:space="0" w:color="auto"/>
              <w:left w:val="nil" w:sz="6" w:space="0" w:color="auto"/>
              <w:bottom w:val="nil" w:sz="6" w:space="0" w:color="auto"/>
              <w:right w:val="nil" w:sz="6" w:space="0" w:color="auto"/>
            </w:tcBorders>
          </w:tcPr>
          <w:p>
            <w:pPr/>
          </w:p>
        </w:tc>
      </w:tr>
      <w:tr>
        <w:trPr>
          <w:trHeight w:val="329" w:hRule="exact"/>
        </w:trPr>
        <w:tc>
          <w:tcPr>
            <w:tcW w:w="647" w:type="dxa"/>
            <w:tcBorders>
              <w:top w:val="nil" w:sz="6" w:space="0" w:color="auto"/>
              <w:left w:val="nil" w:sz="6" w:space="0" w:color="auto"/>
              <w:bottom w:val="nil" w:sz="6" w:space="0" w:color="auto"/>
              <w:right w:val="nil" w:sz="6" w:space="0" w:color="auto"/>
            </w:tcBorders>
          </w:tcPr>
          <w:p>
            <w:pPr/>
          </w:p>
        </w:tc>
        <w:tc>
          <w:tcPr>
            <w:tcW w:w="5107" w:type="dxa"/>
            <w:tcBorders>
              <w:top w:val="nil" w:sz="6" w:space="0" w:color="auto"/>
              <w:left w:val="nil" w:sz="6" w:space="0" w:color="auto"/>
              <w:bottom w:val="nil" w:sz="6" w:space="0" w:color="auto"/>
              <w:right w:val="nil" w:sz="6" w:space="0" w:color="auto"/>
            </w:tcBorders>
          </w:tcPr>
          <w:p>
            <w:pPr>
              <w:pStyle w:val="TableParagraph"/>
              <w:tabs>
                <w:tab w:pos="1917" w:val="left" w:leader="none"/>
                <w:tab w:pos="3099" w:val="left" w:leader="none"/>
                <w:tab w:pos="4094" w:val="left" w:leader="none"/>
              </w:tabs>
              <w:spacing w:line="233" w:lineRule="exact"/>
              <w:ind w:right="158"/>
              <w:jc w:val="right"/>
              <w:rPr>
                <w:rFonts w:ascii="宋体" w:hAnsi="宋体" w:cs="宋体" w:eastAsia="宋体" w:hint="default"/>
                <w:sz w:val="18"/>
                <w:szCs w:val="18"/>
              </w:rPr>
            </w:pPr>
            <w:r>
              <w:rPr>
                <w:rFonts w:ascii="宋体" w:hAnsi="宋体" w:cs="宋体" w:eastAsia="宋体" w:hint="default"/>
                <w:position w:val="1"/>
                <w:sz w:val="18"/>
                <w:szCs w:val="18"/>
              </w:rPr>
              <w:t>投资者回售选择权</w:t>
              <w:tab/>
            </w:r>
            <w:r>
              <w:rPr>
                <w:rFonts w:ascii="Arial" w:hAnsi="Arial" w:cs="Arial" w:eastAsia="Arial" w:hint="default"/>
                <w:spacing w:val="-1"/>
                <w:sz w:val="18"/>
                <w:szCs w:val="18"/>
              </w:rPr>
              <w:t>14,910</w:t>
              <w:tab/>
            </w:r>
            <w:r>
              <w:rPr>
                <w:rFonts w:ascii="宋体" w:hAnsi="宋体" w:cs="宋体" w:eastAsia="宋体" w:hint="default"/>
                <w:position w:val="1"/>
                <w:sz w:val="18"/>
                <w:szCs w:val="18"/>
              </w:rPr>
              <w:t>模型</w:t>
              <w:tab/>
              <w:t>溢价</w:t>
            </w:r>
            <w:r>
              <w:rPr>
                <w:rFonts w:ascii="宋体" w:hAnsi="宋体" w:cs="宋体" w:eastAsia="宋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2"/>
              <w:jc w:val="right"/>
              <w:rPr>
                <w:rFonts w:ascii="Arial" w:hAnsi="Arial" w:cs="Arial" w:eastAsia="Arial" w:hint="default"/>
                <w:sz w:val="18"/>
                <w:szCs w:val="18"/>
              </w:rPr>
            </w:pPr>
            <w:r>
              <w:rPr>
                <w:rFonts w:ascii="Arial"/>
                <w:spacing w:val="-1"/>
                <w:sz w:val="18"/>
              </w:rPr>
              <w:t>0.49%</w:t>
            </w:r>
          </w:p>
        </w:tc>
        <w:tc>
          <w:tcPr>
            <w:tcW w:w="1775" w:type="dxa"/>
            <w:tcBorders>
              <w:top w:val="nil" w:sz="6" w:space="0" w:color="auto"/>
              <w:left w:val="nil" w:sz="6" w:space="0" w:color="auto"/>
              <w:bottom w:val="nil" w:sz="6" w:space="0" w:color="auto"/>
              <w:right w:val="nil" w:sz="6" w:space="0" w:color="auto"/>
            </w:tcBorders>
          </w:tcPr>
          <w:p>
            <w:pPr>
              <w:pStyle w:val="TableParagraph"/>
              <w:spacing w:line="207" w:lineRule="exact"/>
              <w:ind w:right="134"/>
              <w:jc w:val="right"/>
              <w:rPr>
                <w:rFonts w:ascii="宋体" w:hAnsi="宋体" w:cs="宋体" w:eastAsia="宋体" w:hint="default"/>
                <w:sz w:val="18"/>
                <w:szCs w:val="18"/>
              </w:rPr>
            </w:pPr>
            <w:r>
              <w:rPr>
                <w:rFonts w:ascii="宋体" w:hAnsi="宋体" w:cs="宋体" w:eastAsia="宋体" w:hint="default"/>
                <w:sz w:val="18"/>
                <w:szCs w:val="18"/>
              </w:rPr>
              <w:t>值同向变动</w:t>
            </w:r>
          </w:p>
        </w:tc>
        <w:tc>
          <w:tcPr>
            <w:tcW w:w="963" w:type="dxa"/>
            <w:tcBorders>
              <w:top w:val="nil" w:sz="6" w:space="0" w:color="auto"/>
              <w:left w:val="nil" w:sz="6" w:space="0" w:color="auto"/>
              <w:bottom w:val="nil" w:sz="6" w:space="0" w:color="auto"/>
              <w:right w:val="nil" w:sz="6" w:space="0" w:color="auto"/>
            </w:tcBorders>
          </w:tcPr>
          <w:p>
            <w:pPr>
              <w:pStyle w:val="TableParagraph"/>
              <w:spacing w:line="207" w:lineRule="exact"/>
              <w:ind w:right="54"/>
              <w:jc w:val="right"/>
              <w:rPr>
                <w:rFonts w:ascii="宋体" w:hAnsi="宋体" w:cs="宋体" w:eastAsia="宋体" w:hint="default"/>
                <w:sz w:val="18"/>
                <w:szCs w:val="18"/>
              </w:rPr>
            </w:pPr>
            <w:r>
              <w:rPr>
                <w:rFonts w:ascii="宋体" w:hAnsi="宋体" w:cs="宋体" w:eastAsia="宋体" w:hint="default"/>
                <w:sz w:val="18"/>
                <w:szCs w:val="18"/>
              </w:rPr>
              <w:t>不可观察</w:t>
            </w:r>
          </w:p>
        </w:tc>
      </w:tr>
    </w:tbl>
    <w:p>
      <w:pPr>
        <w:spacing w:line="240" w:lineRule="auto" w:before="0"/>
        <w:rPr>
          <w:rFonts w:ascii="Times New Roman" w:hAnsi="Times New Roman" w:cs="Times New Roman" w:eastAsia="Times New Roman" w:hint="default"/>
          <w:sz w:val="20"/>
          <w:szCs w:val="20"/>
        </w:rPr>
      </w:pPr>
    </w:p>
    <w:p>
      <w:pPr>
        <w:pStyle w:val="Heading3"/>
        <w:spacing w:line="240" w:lineRule="auto" w:before="188"/>
        <w:ind w:left="888" w:right="0"/>
        <w:jc w:val="left"/>
      </w:pPr>
      <w:r>
        <w:rPr/>
        <w:t>第二层次公允价值计量的相关信息如下：</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55" w:footer="914" w:top="1860" w:bottom="1180" w:left="1500" w:right="0"/>
        </w:sect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082" w:right="-7" w:hanging="195"/>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当期损益的金融资产——</w:t>
      </w:r>
    </w:p>
    <w:p>
      <w:pPr>
        <w:spacing w:line="241" w:lineRule="exact" w:before="54"/>
        <w:ind w:left="152" w:right="-20" w:firstLine="0"/>
        <w:jc w:val="left"/>
        <w:rPr>
          <w:rFonts w:ascii="宋体" w:hAnsi="宋体" w:cs="宋体" w:eastAsia="宋体" w:hint="default"/>
          <w:sz w:val="18"/>
          <w:szCs w:val="18"/>
        </w:rPr>
      </w:pPr>
      <w:r>
        <w:rPr/>
        <w:br w:type="column"/>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tabs>
          <w:tab w:pos="2228" w:val="left" w:leader="none"/>
        </w:tabs>
        <w:spacing w:line="241" w:lineRule="exact" w:before="0"/>
        <w:ind w:left="103" w:right="-20" w:firstLine="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日公允价值</w:t>
        <w:tab/>
        <w:t>估值技术</w:t>
      </w:r>
    </w:p>
    <w:p>
      <w:pPr>
        <w:spacing w:before="44"/>
        <w:ind w:left="88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可观察输入值</w:t>
      </w:r>
    </w:p>
    <w:p>
      <w:pPr>
        <w:tabs>
          <w:tab w:pos="1627" w:val="left" w:leader="none"/>
        </w:tabs>
        <w:spacing w:before="8"/>
        <w:ind w:left="986" w:right="0" w:firstLine="0"/>
        <w:jc w:val="left"/>
        <w:rPr>
          <w:rFonts w:ascii="宋体" w:hAnsi="宋体" w:cs="宋体" w:eastAsia="宋体" w:hint="default"/>
          <w:sz w:val="18"/>
          <w:szCs w:val="18"/>
        </w:rPr>
      </w:pPr>
      <w:r>
        <w:rPr/>
        <w:pict>
          <v:group style="position:absolute;margin-left:398.140015pt;margin-top:1.371727pt;width:158.950pt;height:.5pt;mso-position-horizontal-relative:page;mso-position-vertical-relative:paragraph;z-index:-1830760" coordorigin="7963,27" coordsize="3179,10">
            <v:group style="position:absolute;left:7968;top:32;width:1560;height:2" coordorigin="7968,32" coordsize="1560,2">
              <v:shape style="position:absolute;left:7968;top:32;width:1560;height:2" coordorigin="7968,32" coordsize="1560,0" path="m7968,32l9528,32e" filled="false" stroked="true" strokeweight=".48pt" strokecolor="#000000">
                <v:path arrowok="t"/>
              </v:shape>
            </v:group>
            <v:group style="position:absolute;left:9528;top:32;width:10;height:2" coordorigin="9528,32" coordsize="10,2">
              <v:shape style="position:absolute;left:9528;top:32;width:10;height:2" coordorigin="9528,32" coordsize="10,0" path="m9528,32l9537,32e" filled="false" stroked="true" strokeweight=".48pt" strokecolor="#000000">
                <v:path arrowok="t"/>
              </v:shape>
            </v:group>
            <v:group style="position:absolute;left:9537;top:32;width:131;height:2" coordorigin="9537,32" coordsize="131,2">
              <v:shape style="position:absolute;left:9537;top:32;width:131;height:2" coordorigin="9537,32" coordsize="131,0" path="m9537,32l9668,32e" filled="false" stroked="true" strokeweight=".48pt" strokecolor="#000000">
                <v:path arrowok="t"/>
              </v:shape>
            </v:group>
            <v:group style="position:absolute;left:9668;top:32;width:10;height:2" coordorigin="9668,32" coordsize="10,2">
              <v:shape style="position:absolute;left:9668;top:32;width:10;height:2" coordorigin="9668,32" coordsize="10,0" path="m9668,32l9678,32e" filled="false" stroked="true" strokeweight=".48pt" strokecolor="#000000">
                <v:path arrowok="t"/>
              </v:shape>
            </v:group>
            <v:group style="position:absolute;left:9678;top:32;width:1460;height:2" coordorigin="9678,32" coordsize="1460,2">
              <v:shape style="position:absolute;left:9678;top:32;width:1460;height:2" coordorigin="9678,32" coordsize="1460,0" path="m9678,32l11137,32e" filled="false" stroked="true" strokeweight=".48pt" strokecolor="#000000">
                <v:path arrowok="t"/>
              </v:shape>
            </v:group>
            <w10:wrap type="none"/>
          </v:group>
        </w:pict>
      </w:r>
      <w:r>
        <w:rPr>
          <w:rFonts w:ascii="宋体" w:hAnsi="宋体" w:cs="宋体" w:eastAsia="宋体" w:hint="default"/>
          <w:sz w:val="18"/>
          <w:szCs w:val="18"/>
        </w:rPr>
        <w:t>名称</w:t>
        <w:tab/>
        <w:t>范围</w:t>
      </w:r>
      <w:r>
        <w:rPr>
          <w:rFonts w:ascii="Arial" w:hAnsi="Arial" w:cs="Arial" w:eastAsia="Arial" w:hint="default"/>
          <w:sz w:val="18"/>
          <w:szCs w:val="18"/>
        </w:rPr>
        <w:t>/</w:t>
      </w:r>
      <w:r>
        <w:rPr>
          <w:rFonts w:ascii="宋体" w:hAnsi="宋体" w:cs="宋体" w:eastAsia="宋体" w:hint="default"/>
          <w:sz w:val="18"/>
          <w:szCs w:val="18"/>
        </w:rPr>
        <w:t>加权平均值</w:t>
      </w:r>
    </w:p>
    <w:p>
      <w:pPr>
        <w:spacing w:after="0"/>
        <w:jc w:val="left"/>
        <w:rPr>
          <w:rFonts w:ascii="宋体" w:hAnsi="宋体" w:cs="宋体" w:eastAsia="宋体" w:hint="default"/>
          <w:sz w:val="18"/>
          <w:szCs w:val="18"/>
        </w:rPr>
        <w:sectPr>
          <w:type w:val="continuous"/>
          <w:pgSz w:w="11910" w:h="16840"/>
          <w:pgMar w:top="1060" w:bottom="1160" w:left="1500" w:right="0"/>
          <w:cols w:num="3" w:equalWidth="0">
            <w:col w:w="3280" w:space="40"/>
            <w:col w:w="2949" w:space="355"/>
            <w:col w:w="3786"/>
          </w:cols>
        </w:sectPr>
      </w:pPr>
    </w:p>
    <w:p>
      <w:pPr>
        <w:tabs>
          <w:tab w:pos="3917" w:val="left" w:leader="none"/>
          <w:tab w:pos="4827" w:val="left" w:leader="none"/>
          <w:tab w:pos="6839" w:val="left" w:leader="none"/>
          <w:tab w:pos="9578" w:val="right" w:leader="none"/>
        </w:tabs>
        <w:spacing w:before="0"/>
        <w:ind w:left="1111" w:right="0" w:firstLine="0"/>
        <w:jc w:val="left"/>
        <w:rPr>
          <w:rFonts w:ascii="Arial" w:hAnsi="Arial" w:cs="Arial" w:eastAsia="Arial" w:hint="default"/>
          <w:sz w:val="18"/>
          <w:szCs w:val="18"/>
        </w:rPr>
      </w:pPr>
      <w:r>
        <w:rPr>
          <w:rFonts w:ascii="宋体" w:hAnsi="宋体" w:cs="宋体" w:eastAsia="宋体" w:hint="default"/>
          <w:position w:val="1"/>
          <w:sz w:val="18"/>
          <w:szCs w:val="18"/>
        </w:rPr>
        <w:t>理财产品</w:t>
        <w:tab/>
      </w:r>
      <w:r>
        <w:rPr>
          <w:rFonts w:ascii="Arial" w:hAnsi="Arial" w:cs="Arial" w:eastAsia="Arial" w:hint="default"/>
          <w:spacing w:val="-1"/>
          <w:sz w:val="18"/>
          <w:szCs w:val="18"/>
        </w:rPr>
        <w:t>657,495</w:t>
        <w:tab/>
      </w:r>
      <w:r>
        <w:rPr>
          <w:rFonts w:ascii="宋体" w:hAnsi="宋体" w:cs="宋体" w:eastAsia="宋体" w:hint="default"/>
          <w:position w:val="1"/>
          <w:sz w:val="18"/>
          <w:szCs w:val="18"/>
        </w:rPr>
        <w:t>现金流量折现模型</w:t>
        <w:tab/>
        <w:t>欧元</w:t>
      </w:r>
      <w:r>
        <w:rPr>
          <w:rFonts w:ascii="Arial" w:hAnsi="Arial" w:cs="Arial" w:eastAsia="Arial" w:hint="default"/>
          <w:position w:val="1"/>
          <w:sz w:val="18"/>
          <w:szCs w:val="18"/>
        </w:rPr>
        <w:t>/</w:t>
      </w:r>
      <w:r>
        <w:rPr>
          <w:rFonts w:ascii="宋体" w:hAnsi="宋体" w:cs="宋体" w:eastAsia="宋体" w:hint="default"/>
          <w:position w:val="1"/>
          <w:sz w:val="18"/>
          <w:szCs w:val="18"/>
        </w:rPr>
        <w:t>美元汇率</w:t>
      </w:r>
      <w:r>
        <w:rPr>
          <w:rFonts w:ascii="Arial" w:hAnsi="Arial" w:cs="Arial" w:eastAsia="Arial" w:hint="default"/>
          <w:sz w:val="18"/>
          <w:szCs w:val="18"/>
        </w:rPr>
        <w:tab/>
      </w:r>
      <w:r>
        <w:rPr>
          <w:rFonts w:ascii="Arial" w:hAnsi="Arial" w:cs="Arial" w:eastAsia="Arial" w:hint="default"/>
          <w:spacing w:val="-1"/>
          <w:sz w:val="18"/>
          <w:szCs w:val="18"/>
        </w:rPr>
        <w:t>1.0926</w:t>
      </w:r>
    </w:p>
    <w:tbl>
      <w:tblPr>
        <w:tblW w:w="0" w:type="auto"/>
        <w:jc w:val="left"/>
        <w:tblInd w:w="853" w:type="dxa"/>
        <w:tblLayout w:type="fixed"/>
        <w:tblCellMar>
          <w:top w:w="0" w:type="dxa"/>
          <w:left w:w="0" w:type="dxa"/>
          <w:bottom w:w="0" w:type="dxa"/>
          <w:right w:w="0" w:type="dxa"/>
        </w:tblCellMar>
        <w:tblLook w:val="01E0"/>
      </w:tblPr>
      <w:tblGrid>
        <w:gridCol w:w="2450"/>
        <w:gridCol w:w="1395"/>
        <w:gridCol w:w="1747"/>
        <w:gridCol w:w="1995"/>
        <w:gridCol w:w="1175"/>
      </w:tblGrid>
      <w:tr>
        <w:trPr>
          <w:trHeight w:val="235"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184" w:lineRule="exact"/>
              <w:ind w:left="395" w:right="0"/>
              <w:jc w:val="left"/>
              <w:rPr>
                <w:rFonts w:ascii="宋体" w:hAnsi="宋体" w:cs="宋体" w:eastAsia="宋体" w:hint="default"/>
                <w:sz w:val="18"/>
                <w:szCs w:val="18"/>
              </w:rPr>
            </w:pPr>
            <w:r>
              <w:rPr>
                <w:rFonts w:ascii="宋体" w:hAnsi="宋体" w:cs="宋体" w:eastAsia="宋体" w:hint="default"/>
                <w:sz w:val="18"/>
                <w:szCs w:val="18"/>
              </w:rPr>
              <w:t>新股预约权</w:t>
            </w:r>
          </w:p>
        </w:tc>
        <w:tc>
          <w:tcPr>
            <w:tcW w:w="1395" w:type="dxa"/>
            <w:tcBorders>
              <w:top w:val="nil" w:sz="6" w:space="0" w:color="auto"/>
              <w:left w:val="nil" w:sz="6" w:space="0" w:color="auto"/>
              <w:bottom w:val="nil" w:sz="6" w:space="0" w:color="auto"/>
              <w:right w:val="nil" w:sz="6" w:space="0" w:color="auto"/>
            </w:tcBorders>
          </w:tcPr>
          <w:p>
            <w:pPr>
              <w:pStyle w:val="TableParagraph"/>
              <w:spacing w:line="184" w:lineRule="exact"/>
              <w:ind w:right="128"/>
              <w:jc w:val="right"/>
              <w:rPr>
                <w:rFonts w:ascii="Arial" w:hAnsi="Arial" w:cs="Arial" w:eastAsia="Arial" w:hint="default"/>
                <w:sz w:val="18"/>
                <w:szCs w:val="18"/>
              </w:rPr>
            </w:pPr>
            <w:r>
              <w:rPr>
                <w:rFonts w:ascii="Arial"/>
                <w:spacing w:val="-1"/>
                <w:sz w:val="18"/>
              </w:rPr>
              <w:t>21,376</w:t>
            </w:r>
          </w:p>
        </w:tc>
        <w:tc>
          <w:tcPr>
            <w:tcW w:w="1747" w:type="dxa"/>
            <w:tcBorders>
              <w:top w:val="nil" w:sz="6" w:space="0" w:color="auto"/>
              <w:left w:val="nil" w:sz="6" w:space="0" w:color="auto"/>
              <w:bottom w:val="nil" w:sz="6" w:space="0" w:color="auto"/>
              <w:right w:val="nil" w:sz="6" w:space="0" w:color="auto"/>
            </w:tcBorders>
          </w:tcPr>
          <w:p>
            <w:pPr>
              <w:pStyle w:val="TableParagraph"/>
              <w:spacing w:line="184" w:lineRule="exact"/>
              <w:ind w:right="173"/>
              <w:jc w:val="right"/>
              <w:rPr>
                <w:rFonts w:ascii="宋体" w:hAnsi="宋体" w:cs="宋体" w:eastAsia="宋体" w:hint="default"/>
                <w:sz w:val="18"/>
                <w:szCs w:val="18"/>
              </w:rPr>
            </w:pPr>
            <w:r>
              <w:rPr>
                <w:rFonts w:ascii="宋体" w:hAnsi="宋体" w:cs="宋体" w:eastAsia="宋体" w:hint="default"/>
                <w:sz w:val="18"/>
                <w:szCs w:val="18"/>
              </w:rPr>
              <w:t>蒙特卡罗模型</w:t>
            </w:r>
          </w:p>
        </w:tc>
        <w:tc>
          <w:tcPr>
            <w:tcW w:w="1995" w:type="dxa"/>
            <w:tcBorders>
              <w:top w:val="nil" w:sz="6" w:space="0" w:color="auto"/>
              <w:left w:val="nil" w:sz="6" w:space="0" w:color="auto"/>
              <w:bottom w:val="nil" w:sz="6" w:space="0" w:color="auto"/>
              <w:right w:val="nil" w:sz="6" w:space="0" w:color="auto"/>
            </w:tcBorders>
          </w:tcPr>
          <w:p>
            <w:pPr>
              <w:pStyle w:val="TableParagraph"/>
              <w:spacing w:line="184" w:lineRule="exact"/>
              <w:ind w:left="355" w:right="0"/>
              <w:jc w:val="left"/>
              <w:rPr>
                <w:rFonts w:ascii="宋体" w:hAnsi="宋体" w:cs="宋体" w:eastAsia="宋体" w:hint="default"/>
                <w:sz w:val="18"/>
                <w:szCs w:val="18"/>
              </w:rPr>
            </w:pPr>
            <w:r>
              <w:rPr>
                <w:rFonts w:ascii="宋体" w:hAnsi="宋体" w:cs="宋体" w:eastAsia="宋体" w:hint="default"/>
                <w:sz w:val="18"/>
                <w:szCs w:val="18"/>
              </w:rPr>
              <w:t>无风险收益率</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Arial" w:hAnsi="Arial" w:cs="Arial" w:eastAsia="Arial" w:hint="default"/>
                <w:sz w:val="18"/>
                <w:szCs w:val="18"/>
              </w:rPr>
            </w:pPr>
            <w:r>
              <w:rPr>
                <w:rFonts w:ascii="Arial"/>
                <w:spacing w:val="-1"/>
                <w:sz w:val="18"/>
              </w:rPr>
              <w:t>-0.009%</w:t>
            </w:r>
          </w:p>
        </w:tc>
      </w:tr>
      <w:tr>
        <w:trPr>
          <w:trHeight w:val="464"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95"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182" w:lineRule="exact"/>
              <w:ind w:left="175" w:right="0"/>
              <w:jc w:val="left"/>
              <w:rPr>
                <w:rFonts w:ascii="宋体" w:hAnsi="宋体" w:cs="宋体" w:eastAsia="宋体" w:hint="default"/>
                <w:sz w:val="18"/>
                <w:szCs w:val="18"/>
              </w:rPr>
            </w:pPr>
            <w:r>
              <w:rPr>
                <w:rFonts w:ascii="宋体" w:hAnsi="宋体" w:cs="宋体" w:eastAsia="宋体" w:hint="default"/>
                <w:sz w:val="18"/>
                <w:szCs w:val="18"/>
              </w:rPr>
              <w:t>预计股价波动率</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18"/>
                <w:szCs w:val="18"/>
              </w:rPr>
            </w:pPr>
            <w:r>
              <w:rPr>
                <w:rFonts w:ascii="Arial"/>
                <w:spacing w:val="-1"/>
                <w:sz w:val="18"/>
              </w:rPr>
              <w:t>69.3%</w:t>
            </w:r>
          </w:p>
        </w:tc>
      </w:tr>
      <w:tr>
        <w:trPr>
          <w:trHeight w:val="287"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28" w:lineRule="exact"/>
              <w:ind w:left="31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8"/>
              <w:jc w:val="right"/>
              <w:rPr>
                <w:rFonts w:ascii="Arial" w:hAnsi="Arial" w:cs="Arial" w:eastAsia="Arial" w:hint="default"/>
                <w:sz w:val="18"/>
                <w:szCs w:val="18"/>
              </w:rPr>
            </w:pPr>
            <w:r>
              <w:rPr>
                <w:rFonts w:ascii="Arial"/>
                <w:spacing w:val="-1"/>
                <w:sz w:val="18"/>
              </w:rPr>
              <w:t>106,006</w:t>
            </w:r>
          </w:p>
        </w:tc>
        <w:tc>
          <w:tcPr>
            <w:tcW w:w="1747" w:type="dxa"/>
            <w:tcBorders>
              <w:top w:val="nil" w:sz="6" w:space="0" w:color="auto"/>
              <w:left w:val="nil" w:sz="6" w:space="0" w:color="auto"/>
              <w:bottom w:val="nil" w:sz="6" w:space="0" w:color="auto"/>
              <w:right w:val="nil" w:sz="6" w:space="0" w:color="auto"/>
            </w:tcBorders>
          </w:tcPr>
          <w:p>
            <w:pPr>
              <w:pStyle w:val="TableParagraph"/>
              <w:spacing w:line="228" w:lineRule="exact"/>
              <w:ind w:right="174"/>
              <w:jc w:val="right"/>
              <w:rPr>
                <w:rFonts w:ascii="宋体" w:hAnsi="宋体" w:cs="宋体" w:eastAsia="宋体" w:hint="default"/>
                <w:sz w:val="18"/>
                <w:szCs w:val="18"/>
              </w:rPr>
            </w:pPr>
            <w:r>
              <w:rPr>
                <w:rFonts w:ascii="宋体" w:hAnsi="宋体" w:cs="宋体" w:eastAsia="宋体" w:hint="default"/>
                <w:sz w:val="18"/>
                <w:szCs w:val="18"/>
              </w:rPr>
              <w:t>现金流量折现模型</w:t>
            </w:r>
          </w:p>
        </w:tc>
        <w:tc>
          <w:tcPr>
            <w:tcW w:w="1995" w:type="dxa"/>
            <w:tcBorders>
              <w:top w:val="nil" w:sz="6" w:space="0" w:color="auto"/>
              <w:left w:val="nil" w:sz="6" w:space="0" w:color="auto"/>
              <w:bottom w:val="nil" w:sz="6" w:space="0" w:color="auto"/>
              <w:right w:val="nil" w:sz="6" w:space="0" w:color="auto"/>
            </w:tcBorders>
          </w:tcPr>
          <w:p>
            <w:pPr>
              <w:pStyle w:val="TableParagraph"/>
              <w:spacing w:line="228" w:lineRule="exact"/>
              <w:ind w:right="467"/>
              <w:jc w:val="right"/>
              <w:rPr>
                <w:rFonts w:ascii="宋体" w:hAnsi="宋体" w:cs="宋体" w:eastAsia="宋体" w:hint="default"/>
                <w:sz w:val="18"/>
                <w:szCs w:val="18"/>
              </w:rPr>
            </w:pPr>
            <w:r>
              <w:rPr>
                <w:rFonts w:ascii="宋体" w:hAnsi="宋体" w:cs="宋体" w:eastAsia="宋体" w:hint="default"/>
                <w:sz w:val="18"/>
                <w:szCs w:val="18"/>
              </w:rPr>
              <w:t>基金份额</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6</w:t>
            </w:r>
            <w:r>
              <w:rPr>
                <w:rFonts w:ascii="Arial"/>
                <w:sz w:val="18"/>
              </w:rPr>
            </w:r>
          </w:p>
        </w:tc>
      </w:tr>
      <w:tr>
        <w:trPr>
          <w:trHeight w:val="265"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95"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r>
      <w:tr>
        <w:trPr>
          <w:trHeight w:val="350"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1" w:lineRule="exact"/>
              <w:ind w:left="395" w:right="0"/>
              <w:jc w:val="left"/>
              <w:rPr>
                <w:rFonts w:ascii="Arial" w:hAnsi="Arial" w:cs="Arial" w:eastAsia="Arial" w:hint="default"/>
                <w:sz w:val="18"/>
                <w:szCs w:val="18"/>
              </w:rPr>
            </w:pPr>
            <w:r>
              <w:rPr>
                <w:rFonts w:ascii="宋体" w:hAnsi="宋体" w:cs="宋体" w:eastAsia="宋体" w:hint="default"/>
                <w:sz w:val="18"/>
                <w:szCs w:val="18"/>
              </w:rPr>
              <w:t>远期外汇合约</w:t>
            </w:r>
            <w:r>
              <w:rPr>
                <w:rFonts w:ascii="Arial" w:hAnsi="Arial" w:cs="Arial" w:eastAsia="Arial" w:hint="default"/>
                <w:sz w:val="18"/>
                <w:szCs w:val="18"/>
              </w:rPr>
              <w:t>(b)</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8"/>
              <w:jc w:val="right"/>
              <w:rPr>
                <w:rFonts w:ascii="Arial" w:hAnsi="Arial" w:cs="Arial" w:eastAsia="Arial" w:hint="default"/>
                <w:sz w:val="18"/>
                <w:szCs w:val="18"/>
              </w:rPr>
            </w:pPr>
            <w:r>
              <w:rPr>
                <w:rFonts w:ascii="Arial"/>
                <w:spacing w:val="-1"/>
                <w:sz w:val="18"/>
              </w:rPr>
              <w:t>20,499</w:t>
            </w:r>
          </w:p>
        </w:tc>
        <w:tc>
          <w:tcPr>
            <w:tcW w:w="1747" w:type="dxa"/>
            <w:tcBorders>
              <w:top w:val="nil" w:sz="6" w:space="0" w:color="auto"/>
              <w:left w:val="nil" w:sz="6" w:space="0" w:color="auto"/>
              <w:bottom w:val="nil" w:sz="6" w:space="0" w:color="auto"/>
              <w:right w:val="nil" w:sz="6" w:space="0" w:color="auto"/>
            </w:tcBorders>
          </w:tcPr>
          <w:p>
            <w:pPr>
              <w:pStyle w:val="TableParagraph"/>
              <w:spacing w:line="228" w:lineRule="exact"/>
              <w:ind w:right="174"/>
              <w:jc w:val="right"/>
              <w:rPr>
                <w:rFonts w:ascii="宋体" w:hAnsi="宋体" w:cs="宋体" w:eastAsia="宋体" w:hint="default"/>
                <w:sz w:val="18"/>
                <w:szCs w:val="18"/>
              </w:rPr>
            </w:pPr>
            <w:r>
              <w:rPr>
                <w:rFonts w:ascii="宋体" w:hAnsi="宋体" w:cs="宋体" w:eastAsia="宋体" w:hint="default"/>
                <w:sz w:val="18"/>
                <w:szCs w:val="18"/>
              </w:rPr>
              <w:t>现金流量折现模型</w:t>
            </w:r>
          </w:p>
        </w:tc>
        <w:tc>
          <w:tcPr>
            <w:tcW w:w="1995" w:type="dxa"/>
            <w:tcBorders>
              <w:top w:val="nil" w:sz="6" w:space="0" w:color="auto"/>
              <w:left w:val="nil" w:sz="6" w:space="0" w:color="auto"/>
              <w:bottom w:val="nil" w:sz="6" w:space="0" w:color="auto"/>
              <w:right w:val="nil" w:sz="6" w:space="0" w:color="auto"/>
            </w:tcBorders>
          </w:tcPr>
          <w:p>
            <w:pPr>
              <w:pStyle w:val="TableParagraph"/>
              <w:spacing w:line="241" w:lineRule="exact"/>
              <w:ind w:right="467"/>
              <w:jc w:val="right"/>
              <w:rPr>
                <w:rFonts w:ascii="宋体" w:hAnsi="宋体" w:cs="宋体" w:eastAsia="宋体" w:hint="default"/>
                <w:sz w:val="18"/>
                <w:szCs w:val="18"/>
              </w:rPr>
            </w:pPr>
            <w:r>
              <w:rPr>
                <w:rFonts w:ascii="宋体" w:hAnsi="宋体" w:cs="宋体" w:eastAsia="宋体" w:hint="default"/>
                <w:sz w:val="18"/>
                <w:szCs w:val="18"/>
              </w:rPr>
              <w:t>美元</w:t>
            </w:r>
            <w:r>
              <w:rPr>
                <w:rFonts w:ascii="Arial" w:hAnsi="Arial" w:cs="Arial" w:eastAsia="Arial" w:hint="default"/>
                <w:sz w:val="18"/>
                <w:szCs w:val="18"/>
              </w:rPr>
              <w:t>/</w:t>
            </w:r>
            <w:r>
              <w:rPr>
                <w:rFonts w:ascii="宋体" w:hAnsi="宋体" w:cs="宋体" w:eastAsia="宋体" w:hint="default"/>
                <w:sz w:val="18"/>
                <w:szCs w:val="18"/>
              </w:rPr>
              <w:t>港币汇率</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
              <w:jc w:val="right"/>
              <w:rPr>
                <w:rFonts w:ascii="Arial" w:hAnsi="Arial" w:cs="Arial" w:eastAsia="Arial" w:hint="default"/>
                <w:sz w:val="18"/>
                <w:szCs w:val="18"/>
              </w:rPr>
            </w:pPr>
            <w:r>
              <w:rPr>
                <w:rFonts w:ascii="Arial"/>
                <w:spacing w:val="-1"/>
                <w:sz w:val="18"/>
              </w:rPr>
              <w:t>7.7510</w:t>
            </w:r>
          </w:p>
        </w:tc>
      </w:tr>
    </w:tbl>
    <w:p>
      <w:pPr>
        <w:pStyle w:val="Heading3"/>
        <w:tabs>
          <w:tab w:pos="887" w:val="left" w:leader="none"/>
        </w:tabs>
        <w:spacing w:line="240" w:lineRule="auto" w:before="202"/>
        <w:ind w:left="144" w:right="0"/>
        <w:jc w:val="left"/>
        <w:rPr>
          <w:rFonts w:ascii="黑体" w:hAnsi="黑体" w:cs="黑体" w:eastAsia="黑体" w:hint="default"/>
        </w:rPr>
      </w:pPr>
      <w:r>
        <w:rPr>
          <w:rFonts w:ascii="Arial" w:hAnsi="Arial" w:cs="Arial" w:eastAsia="Arial" w:hint="default"/>
          <w:w w:val="95"/>
          <w:position w:val="2"/>
        </w:rPr>
        <w:t>(2)</w:t>
        <w:tab/>
      </w:r>
      <w:r>
        <w:rPr>
          <w:rFonts w:ascii="黑体" w:hAnsi="黑体" w:cs="黑体" w:eastAsia="黑体" w:hint="default"/>
        </w:rPr>
        <w:t>非持续的以公允价值计量的资产</w:t>
      </w:r>
    </w:p>
    <w:p>
      <w:pPr>
        <w:spacing w:line="240" w:lineRule="auto" w:before="7"/>
        <w:rPr>
          <w:rFonts w:ascii="黑体" w:hAnsi="黑体" w:cs="黑体" w:eastAsia="黑体" w:hint="default"/>
          <w:sz w:val="23"/>
          <w:szCs w:val="23"/>
        </w:rPr>
      </w:pPr>
    </w:p>
    <w:p>
      <w:pPr>
        <w:pStyle w:val="Heading3"/>
        <w:spacing w:line="240" w:lineRule="auto"/>
        <w:ind w:left="888" w:right="0"/>
        <w:jc w:val="left"/>
      </w:pPr>
      <w:r>
        <w:rPr/>
        <w:t>本集团无非持续的以公允价值计量的资产。</w:t>
      </w:r>
    </w:p>
    <w:p>
      <w:pPr>
        <w:spacing w:after="0" w:line="240" w:lineRule="auto"/>
        <w:jc w:val="left"/>
        <w:sectPr>
          <w:type w:val="continuous"/>
          <w:pgSz w:w="11910" w:h="16840"/>
          <w:pgMar w:top="1060" w:bottom="1160" w:left="150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23" w:type="dxa"/>
        <w:tblLayout w:type="fixed"/>
        <w:tblCellMar>
          <w:top w:w="0" w:type="dxa"/>
          <w:left w:w="0" w:type="dxa"/>
          <w:bottom w:w="0" w:type="dxa"/>
          <w:right w:w="0" w:type="dxa"/>
        </w:tblCellMar>
        <w:tblLook w:val="01E0"/>
      </w:tblPr>
      <w:tblGrid>
        <w:gridCol w:w="812"/>
        <w:gridCol w:w="8564"/>
      </w:tblGrid>
      <w:tr>
        <w:trPr>
          <w:trHeight w:val="416"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8564" w:type="dxa"/>
            <w:tcBorders>
              <w:top w:val="nil" w:sz="6" w:space="0" w:color="auto"/>
              <w:left w:val="nil" w:sz="6" w:space="0" w:color="auto"/>
              <w:bottom w:val="nil" w:sz="6" w:space="0" w:color="auto"/>
              <w:right w:val="nil" w:sz="6" w:space="0" w:color="auto"/>
            </w:tcBorders>
          </w:tcPr>
          <w:p>
            <w:pPr>
              <w:pStyle w:val="TableParagraph"/>
              <w:spacing w:line="257" w:lineRule="exact"/>
              <w:ind w:left="131"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w:t>
            </w:r>
          </w:p>
        </w:tc>
        <w:tc>
          <w:tcPr>
            <w:tcW w:w="856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31" w:right="0"/>
              <w:jc w:val="left"/>
              <w:rPr>
                <w:rFonts w:ascii="黑体" w:hAnsi="黑体" w:cs="黑体" w:eastAsia="黑体" w:hint="default"/>
                <w:sz w:val="24"/>
                <w:szCs w:val="24"/>
              </w:rPr>
            </w:pPr>
            <w:r>
              <w:rPr>
                <w:rFonts w:ascii="黑体" w:hAnsi="黑体" w:cs="黑体" w:eastAsia="黑体" w:hint="default"/>
                <w:sz w:val="24"/>
                <w:szCs w:val="24"/>
              </w:rPr>
              <w:t>不以公允价值作为后续计量但披露其公允价值的资产和负债</w:t>
            </w:r>
          </w:p>
        </w:tc>
      </w:tr>
      <w:tr>
        <w:trPr>
          <w:trHeight w:val="1521" w:hRule="exact"/>
        </w:trPr>
        <w:tc>
          <w:tcPr>
            <w:tcW w:w="812" w:type="dxa"/>
            <w:tcBorders>
              <w:top w:val="nil" w:sz="6" w:space="0" w:color="auto"/>
              <w:left w:val="nil" w:sz="6" w:space="0" w:color="auto"/>
              <w:bottom w:val="nil" w:sz="6" w:space="0" w:color="auto"/>
              <w:right w:val="nil" w:sz="6" w:space="0" w:color="auto"/>
            </w:tcBorders>
          </w:tcPr>
          <w:p>
            <w:pPr/>
          </w:p>
        </w:tc>
        <w:tc>
          <w:tcPr>
            <w:tcW w:w="8564"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1" w:right="198"/>
              <w:jc w:val="both"/>
              <w:rPr>
                <w:rFonts w:ascii="宋体" w:hAnsi="宋体" w:cs="宋体" w:eastAsia="宋体" w:hint="default"/>
                <w:sz w:val="24"/>
                <w:szCs w:val="24"/>
              </w:rPr>
            </w:pPr>
            <w:r>
              <w:rPr>
                <w:rFonts w:ascii="宋体" w:hAnsi="宋体" w:cs="宋体" w:eastAsia="宋体" w:hint="default"/>
                <w:sz w:val="24"/>
                <w:szCs w:val="24"/>
              </w:rPr>
              <w:t>本集团以摊余成本计量的金融资产和金融负债主要包括：发放贷款及垫款、应</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收票据、应收账款、应收利息、其他应收款、长期应收款、短期借款、应付票</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据、应付账款、应付利息、其他应付款、一年内到期的长期借款、长期借款和</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应付债券。</w:t>
            </w:r>
          </w:p>
        </w:tc>
      </w:tr>
      <w:tr>
        <w:trPr>
          <w:trHeight w:val="725" w:hRule="exact"/>
        </w:trPr>
        <w:tc>
          <w:tcPr>
            <w:tcW w:w="812" w:type="dxa"/>
            <w:tcBorders>
              <w:top w:val="nil" w:sz="6" w:space="0" w:color="auto"/>
              <w:left w:val="nil" w:sz="6" w:space="0" w:color="auto"/>
              <w:bottom w:val="nil" w:sz="6" w:space="0" w:color="auto"/>
              <w:right w:val="nil" w:sz="6" w:space="0" w:color="auto"/>
            </w:tcBorders>
          </w:tcPr>
          <w:p>
            <w:pPr/>
          </w:p>
        </w:tc>
        <w:tc>
          <w:tcPr>
            <w:tcW w:w="8564"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31" w:right="206"/>
              <w:jc w:val="left"/>
              <w:rPr>
                <w:rFonts w:ascii="宋体" w:hAnsi="宋体" w:cs="宋体" w:eastAsia="宋体" w:hint="default"/>
                <w:sz w:val="24"/>
                <w:szCs w:val="24"/>
              </w:rPr>
            </w:pPr>
            <w:r>
              <w:rPr>
                <w:rFonts w:ascii="宋体" w:hAnsi="宋体" w:cs="宋体" w:eastAsia="宋体" w:hint="default"/>
                <w:sz w:val="24"/>
                <w:szCs w:val="24"/>
              </w:rPr>
              <w:t>本集团不以公允价值作为后续计量的金融资产和金融负债的账面价值与公允价</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值差异不重大。</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812"/>
        <w:gridCol w:w="3036"/>
        <w:gridCol w:w="2828"/>
        <w:gridCol w:w="2715"/>
      </w:tblGrid>
      <w:tr>
        <w:trPr>
          <w:trHeight w:val="422"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036" w:type="dxa"/>
            <w:tcBorders>
              <w:top w:val="nil" w:sz="6" w:space="0" w:color="auto"/>
              <w:left w:val="nil" w:sz="6" w:space="0" w:color="auto"/>
              <w:bottom w:val="nil" w:sz="6" w:space="0" w:color="auto"/>
              <w:right w:val="nil" w:sz="6" w:space="0" w:color="auto"/>
            </w:tcBorders>
          </w:tcPr>
          <w:p>
            <w:pPr>
              <w:pStyle w:val="TableParagraph"/>
              <w:spacing w:line="240" w:lineRule="exact"/>
              <w:ind w:left="131" w:right="0"/>
              <w:jc w:val="left"/>
              <w:rPr>
                <w:rFonts w:ascii="黑体" w:hAnsi="黑体" w:cs="黑体" w:eastAsia="黑体" w:hint="default"/>
                <w:sz w:val="24"/>
                <w:szCs w:val="24"/>
              </w:rPr>
            </w:pPr>
            <w:r>
              <w:rPr>
                <w:rFonts w:ascii="黑体" w:hAnsi="黑体" w:cs="黑体" w:eastAsia="黑体" w:hint="default"/>
                <w:sz w:val="24"/>
                <w:szCs w:val="24"/>
              </w:rPr>
              <w:t>资本管理</w:t>
            </w:r>
          </w:p>
        </w:tc>
        <w:tc>
          <w:tcPr>
            <w:tcW w:w="2828" w:type="dxa"/>
            <w:tcBorders>
              <w:top w:val="nil" w:sz="6" w:space="0" w:color="auto"/>
              <w:left w:val="nil" w:sz="6" w:space="0" w:color="auto"/>
              <w:bottom w:val="nil" w:sz="6" w:space="0" w:color="auto"/>
              <w:right w:val="nil" w:sz="6" w:space="0" w:color="auto"/>
            </w:tcBorders>
          </w:tcPr>
          <w:p>
            <w:pPr/>
          </w:p>
        </w:tc>
        <w:tc>
          <w:tcPr>
            <w:tcW w:w="2715" w:type="dxa"/>
            <w:tcBorders>
              <w:top w:val="nil" w:sz="6" w:space="0" w:color="auto"/>
              <w:left w:val="nil" w:sz="6" w:space="0" w:color="auto"/>
              <w:bottom w:val="nil" w:sz="6" w:space="0" w:color="auto"/>
              <w:right w:val="nil" w:sz="6" w:space="0" w:color="auto"/>
            </w:tcBorders>
          </w:tcPr>
          <w:p>
            <w:pPr/>
          </w:p>
        </w:tc>
      </w:tr>
      <w:tr>
        <w:trPr>
          <w:trHeight w:val="915" w:hRule="exact"/>
        </w:trPr>
        <w:tc>
          <w:tcPr>
            <w:tcW w:w="812" w:type="dxa"/>
            <w:tcBorders>
              <w:top w:val="nil" w:sz="6" w:space="0" w:color="auto"/>
              <w:left w:val="nil" w:sz="6" w:space="0" w:color="auto"/>
              <w:bottom w:val="nil" w:sz="6" w:space="0" w:color="auto"/>
              <w:right w:val="nil" w:sz="6" w:space="0" w:color="auto"/>
            </w:tcBorders>
          </w:tcPr>
          <w:p>
            <w:pPr/>
          </w:p>
        </w:tc>
        <w:tc>
          <w:tcPr>
            <w:tcW w:w="8579"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40"/>
              <w:ind w:left="131" w:right="198"/>
              <w:jc w:val="left"/>
              <w:rPr>
                <w:rFonts w:ascii="宋体" w:hAnsi="宋体" w:cs="宋体" w:eastAsia="宋体" w:hint="default"/>
                <w:sz w:val="24"/>
                <w:szCs w:val="24"/>
              </w:rPr>
            </w:pPr>
            <w:r>
              <w:rPr>
                <w:rFonts w:ascii="宋体" w:hAnsi="宋体" w:cs="宋体" w:eastAsia="宋体" w:hint="default"/>
                <w:spacing w:val="2"/>
                <w:sz w:val="24"/>
                <w:szCs w:val="24"/>
              </w:rPr>
              <w:t>本集团资本管理政策的目标是为了保障本集团能够持续经营，从而为股东提供</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回报，并使其他利益相关者获益，同时维持最佳的资本结构以降低资本成本。</w:t>
            </w:r>
          </w:p>
        </w:tc>
      </w:tr>
      <w:tr>
        <w:trPr>
          <w:trHeight w:val="916" w:hRule="exact"/>
        </w:trPr>
        <w:tc>
          <w:tcPr>
            <w:tcW w:w="812" w:type="dxa"/>
            <w:tcBorders>
              <w:top w:val="nil" w:sz="6" w:space="0" w:color="auto"/>
              <w:left w:val="nil" w:sz="6" w:space="0" w:color="auto"/>
              <w:bottom w:val="nil" w:sz="6" w:space="0" w:color="auto"/>
              <w:right w:val="nil" w:sz="6" w:space="0" w:color="auto"/>
            </w:tcBorders>
          </w:tcPr>
          <w:p>
            <w:pPr/>
          </w:p>
        </w:tc>
        <w:tc>
          <w:tcPr>
            <w:tcW w:w="8579"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40"/>
              <w:ind w:left="131" w:right="198"/>
              <w:jc w:val="left"/>
              <w:rPr>
                <w:rFonts w:ascii="宋体" w:hAnsi="宋体" w:cs="宋体" w:eastAsia="宋体" w:hint="default"/>
                <w:sz w:val="24"/>
                <w:szCs w:val="24"/>
              </w:rPr>
            </w:pPr>
            <w:r>
              <w:rPr>
                <w:rFonts w:ascii="宋体" w:hAnsi="宋体" w:cs="宋体" w:eastAsia="宋体" w:hint="default"/>
                <w:spacing w:val="2"/>
                <w:sz w:val="24"/>
                <w:szCs w:val="24"/>
              </w:rPr>
              <w:t>为了维持或调整资本结构，本集团可能会调整支付给股东的股利金额、向股东</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返还资本、发行新股或出售资产以减低债务。</w:t>
            </w:r>
          </w:p>
        </w:tc>
      </w:tr>
      <w:tr>
        <w:trPr>
          <w:trHeight w:val="916" w:hRule="exact"/>
        </w:trPr>
        <w:tc>
          <w:tcPr>
            <w:tcW w:w="812" w:type="dxa"/>
            <w:tcBorders>
              <w:top w:val="nil" w:sz="6" w:space="0" w:color="auto"/>
              <w:left w:val="nil" w:sz="6" w:space="0" w:color="auto"/>
              <w:bottom w:val="nil" w:sz="6" w:space="0" w:color="auto"/>
              <w:right w:val="nil" w:sz="6" w:space="0" w:color="auto"/>
            </w:tcBorders>
          </w:tcPr>
          <w:p>
            <w:pPr/>
          </w:p>
        </w:tc>
        <w:tc>
          <w:tcPr>
            <w:tcW w:w="8579"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41"/>
              <w:ind w:left="131" w:right="198"/>
              <w:jc w:val="left"/>
              <w:rPr>
                <w:rFonts w:ascii="宋体" w:hAnsi="宋体" w:cs="宋体" w:eastAsia="宋体" w:hint="default"/>
                <w:sz w:val="24"/>
                <w:szCs w:val="24"/>
              </w:rPr>
            </w:pPr>
            <w:r>
              <w:rPr>
                <w:rFonts w:ascii="宋体" w:hAnsi="宋体" w:cs="宋体" w:eastAsia="宋体" w:hint="default"/>
                <w:spacing w:val="2"/>
                <w:sz w:val="24"/>
                <w:szCs w:val="24"/>
              </w:rPr>
              <w:t>本集团的总资本为合并资产负债表中所列示的股东权益。本集团不受制于外部</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强制性资本要求，利用资产负债率监控资本。</w:t>
            </w:r>
          </w:p>
        </w:tc>
      </w:tr>
      <w:tr>
        <w:trPr>
          <w:trHeight w:val="602" w:hRule="exact"/>
        </w:trPr>
        <w:tc>
          <w:tcPr>
            <w:tcW w:w="812" w:type="dxa"/>
            <w:tcBorders>
              <w:top w:val="nil" w:sz="6" w:space="0" w:color="auto"/>
              <w:left w:val="nil" w:sz="6" w:space="0" w:color="auto"/>
              <w:bottom w:val="nil" w:sz="6" w:space="0" w:color="auto"/>
              <w:right w:val="nil" w:sz="6" w:space="0" w:color="auto"/>
            </w:tcBorders>
          </w:tcPr>
          <w:p>
            <w:pPr/>
          </w:p>
        </w:tc>
        <w:tc>
          <w:tcPr>
            <w:tcW w:w="857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8"/>
              <w:ind w:left="131" w:right="0"/>
              <w:jc w:val="left"/>
              <w:rPr>
                <w:rFonts w:ascii="宋体" w:hAnsi="宋体" w:cs="宋体" w:eastAsia="宋体" w:hint="default"/>
                <w:sz w:val="24"/>
                <w:szCs w:val="24"/>
              </w:rPr>
            </w:pPr>
            <w:r>
              <w:rPr>
                <w:rFonts w:ascii="宋体" w:hAnsi="宋体" w:cs="宋体" w:eastAsia="宋体" w:hint="default"/>
                <w:sz w:val="24"/>
                <w:szCs w:val="24"/>
              </w:rPr>
              <w:t>于</w:t>
            </w:r>
            <w:r>
              <w:rPr>
                <w:rFonts w:ascii="Arial" w:hAnsi="Arial" w:cs="Arial" w:eastAsia="Arial" w:hint="default"/>
                <w:sz w:val="24"/>
                <w:szCs w:val="24"/>
              </w:rPr>
              <w:t>2015</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日及</w:t>
            </w:r>
            <w:r>
              <w:rPr>
                <w:rFonts w:ascii="Arial" w:hAnsi="Arial" w:cs="Arial" w:eastAsia="Arial" w:hint="default"/>
                <w:sz w:val="24"/>
                <w:szCs w:val="24"/>
              </w:rPr>
              <w:t>2014</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日，本集团的资产负债率列示如下﹕</w:t>
            </w:r>
          </w:p>
        </w:tc>
      </w:tr>
      <w:tr>
        <w:trPr>
          <w:trHeight w:val="587" w:hRule="exact"/>
        </w:trPr>
        <w:tc>
          <w:tcPr>
            <w:tcW w:w="812"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66"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7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36" w:hRule="exact"/>
        </w:trPr>
        <w:tc>
          <w:tcPr>
            <w:tcW w:w="812"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6" w:right="0"/>
              <w:jc w:val="left"/>
              <w:rPr>
                <w:rFonts w:ascii="宋体" w:hAnsi="宋体" w:cs="宋体" w:eastAsia="宋体" w:hint="default"/>
                <w:sz w:val="24"/>
                <w:szCs w:val="24"/>
              </w:rPr>
            </w:pPr>
            <w:r>
              <w:rPr>
                <w:rFonts w:ascii="宋体" w:hAnsi="宋体" w:cs="宋体" w:eastAsia="宋体" w:hint="default"/>
                <w:sz w:val="24"/>
                <w:szCs w:val="24"/>
              </w:rPr>
              <w:t>资产负债率</w:t>
            </w:r>
          </w:p>
        </w:tc>
        <w:tc>
          <w:tcPr>
            <w:tcW w:w="2828" w:type="dxa"/>
            <w:tcBorders>
              <w:top w:val="nil" w:sz="6" w:space="0" w:color="auto"/>
              <w:left w:val="nil" w:sz="6" w:space="0" w:color="auto"/>
              <w:bottom w:val="nil" w:sz="6" w:space="0" w:color="auto"/>
              <w:right w:val="nil" w:sz="6" w:space="0" w:color="auto"/>
            </w:tcBorders>
          </w:tcPr>
          <w:p>
            <w:pPr>
              <w:pStyle w:val="TableParagraph"/>
              <w:tabs>
                <w:tab w:pos="1639" w:val="left" w:leader="none"/>
                <w:tab w:pos="2562" w:val="left" w:leader="none"/>
              </w:tabs>
              <w:spacing w:line="240" w:lineRule="auto" w:before="165"/>
              <w:ind w:left="13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63.75%</w:t>
              <w:tab/>
            </w:r>
            <w:r>
              <w:rPr>
                <w:rFonts w:ascii="Arial"/>
                <w:sz w:val="24"/>
              </w:rPr>
            </w:r>
          </w:p>
        </w:tc>
        <w:tc>
          <w:tcPr>
            <w:tcW w:w="2715" w:type="dxa"/>
            <w:tcBorders>
              <w:top w:val="nil" w:sz="6" w:space="0" w:color="auto"/>
              <w:left w:val="nil" w:sz="6" w:space="0" w:color="auto"/>
              <w:bottom w:val="nil" w:sz="6" w:space="0" w:color="auto"/>
              <w:right w:val="nil" w:sz="6" w:space="0" w:color="auto"/>
            </w:tcBorders>
          </w:tcPr>
          <w:p>
            <w:pPr>
              <w:pStyle w:val="TableParagraph"/>
              <w:tabs>
                <w:tab w:pos="1647" w:val="left" w:leader="none"/>
                <w:tab w:pos="2569" w:val="left" w:leader="none"/>
              </w:tabs>
              <w:spacing w:line="240" w:lineRule="auto" w:before="165"/>
              <w:ind w:left="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64.06%</w:t>
              <w:tab/>
            </w:r>
            <w:r>
              <w:rPr>
                <w:rFonts w:ascii="Arial"/>
                <w:sz w:val="24"/>
              </w:rPr>
            </w:r>
          </w:p>
        </w:tc>
      </w:tr>
    </w:tbl>
    <w:p>
      <w:pPr>
        <w:spacing w:after="0" w:line="240" w:lineRule="auto"/>
        <w:jc w:val="left"/>
        <w:rPr>
          <w:rFonts w:ascii="Arial" w:hAnsi="Arial" w:cs="Arial" w:eastAsia="Arial" w:hint="default"/>
          <w:sz w:val="24"/>
          <w:szCs w:val="24"/>
        </w:rPr>
        <w:sectPr>
          <w:pgSz w:w="11910" w:h="16840"/>
          <w:pgMar w:header="755" w:footer="914" w:top="1860" w:bottom="1180" w:left="13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59" w:type="dxa"/>
        <w:tblLayout w:type="fixed"/>
        <w:tblCellMar>
          <w:top w:w="0" w:type="dxa"/>
          <w:left w:w="0" w:type="dxa"/>
          <w:bottom w:w="0" w:type="dxa"/>
          <w:right w:w="0" w:type="dxa"/>
        </w:tblCellMar>
        <w:tblLook w:val="01E0"/>
      </w:tblPr>
      <w:tblGrid>
        <w:gridCol w:w="802"/>
        <w:gridCol w:w="3270"/>
        <w:gridCol w:w="2409"/>
        <w:gridCol w:w="353"/>
        <w:gridCol w:w="2351"/>
      </w:tblGrid>
      <w:tr>
        <w:trPr>
          <w:trHeight w:val="49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3270" w:type="dxa"/>
            <w:tcBorders>
              <w:top w:val="nil" w:sz="6" w:space="0" w:color="auto"/>
              <w:left w:val="nil" w:sz="6" w:space="0" w:color="auto"/>
              <w:bottom w:val="nil" w:sz="6" w:space="0" w:color="auto"/>
              <w:right w:val="nil" w:sz="6" w:space="0" w:color="auto"/>
            </w:tcBorders>
          </w:tcPr>
          <w:p>
            <w:pPr>
              <w:pStyle w:val="TableParagraph"/>
              <w:spacing w:line="240" w:lineRule="exact"/>
              <w:ind w:left="121" w:right="0"/>
              <w:jc w:val="left"/>
              <w:rPr>
                <w:rFonts w:ascii="黑体" w:hAnsi="黑体" w:cs="黑体" w:eastAsia="黑体" w:hint="default"/>
                <w:sz w:val="24"/>
                <w:szCs w:val="24"/>
              </w:rPr>
            </w:pPr>
            <w:r>
              <w:rPr>
                <w:rFonts w:ascii="黑体" w:hAnsi="黑体" w:cs="黑体" w:eastAsia="黑体" w:hint="default"/>
                <w:sz w:val="24"/>
                <w:szCs w:val="24"/>
              </w:rPr>
              <w:t>公司财务报表附注</w:t>
            </w:r>
          </w:p>
        </w:tc>
        <w:tc>
          <w:tcPr>
            <w:tcW w:w="2409"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
        </w:tc>
      </w:tr>
      <w:tr>
        <w:trPr>
          <w:trHeight w:val="752"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w:t>
            </w:r>
          </w:p>
        </w:tc>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21"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2409"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
        </w:tc>
      </w:tr>
      <w:tr>
        <w:trPr>
          <w:trHeight w:val="753" w:hRule="exact"/>
        </w:trPr>
        <w:tc>
          <w:tcPr>
            <w:tcW w:w="802" w:type="dxa"/>
            <w:tcBorders>
              <w:top w:val="nil" w:sz="6" w:space="0" w:color="auto"/>
              <w:left w:val="nil" w:sz="6" w:space="0" w:color="auto"/>
              <w:bottom w:val="nil" w:sz="6" w:space="0" w:color="auto"/>
              <w:right w:val="nil" w:sz="6" w:space="0" w:color="auto"/>
            </w:tcBorders>
          </w:tcPr>
          <w:p>
            <w:pPr/>
          </w:p>
        </w:tc>
        <w:tc>
          <w:tcPr>
            <w:tcW w:w="3270" w:type="dxa"/>
            <w:tcBorders>
              <w:top w:val="nil" w:sz="6" w:space="0" w:color="auto"/>
              <w:left w:val="nil" w:sz="6" w:space="0" w:color="auto"/>
              <w:bottom w:val="nil" w:sz="6" w:space="0" w:color="auto"/>
              <w:right w:val="nil" w:sz="6" w:space="0" w:color="auto"/>
            </w:tcBorders>
          </w:tcPr>
          <w:p>
            <w:pP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4"/>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53"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802" w:type="dxa"/>
            <w:tcBorders>
              <w:top w:val="nil" w:sz="6" w:space="0" w:color="auto"/>
              <w:left w:val="nil" w:sz="6" w:space="0" w:color="auto"/>
              <w:bottom w:val="nil" w:sz="6" w:space="0" w:color="auto"/>
              <w:right w:val="nil" w:sz="6" w:space="0" w:color="auto"/>
            </w:tcBorders>
          </w:tcPr>
          <w:p>
            <w:pPr/>
          </w:p>
        </w:tc>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21"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5"/>
              <w:jc w:val="right"/>
              <w:rPr>
                <w:rFonts w:ascii="Arial" w:hAnsi="Arial" w:cs="Arial" w:eastAsia="Arial" w:hint="default"/>
                <w:sz w:val="24"/>
                <w:szCs w:val="24"/>
              </w:rPr>
            </w:pPr>
            <w:r>
              <w:rPr>
                <w:rFonts w:ascii="Arial"/>
                <w:w w:val="95"/>
                <w:sz w:val="24"/>
              </w:rPr>
              <w:t>24,698,333</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62" w:right="0"/>
              <w:jc w:val="left"/>
              <w:rPr>
                <w:rFonts w:ascii="Arial" w:hAnsi="Arial" w:cs="Arial" w:eastAsia="Arial" w:hint="default"/>
                <w:sz w:val="24"/>
                <w:szCs w:val="24"/>
              </w:rPr>
            </w:pPr>
            <w:r>
              <w:rPr>
                <w:rFonts w:ascii="Arial"/>
                <w:sz w:val="24"/>
              </w:rPr>
              <w:t>17,026,526</w:t>
            </w:r>
          </w:p>
        </w:tc>
      </w:tr>
      <w:tr>
        <w:trPr>
          <w:trHeight w:val="382" w:hRule="exact"/>
        </w:trPr>
        <w:tc>
          <w:tcPr>
            <w:tcW w:w="802" w:type="dxa"/>
            <w:tcBorders>
              <w:top w:val="nil" w:sz="6" w:space="0" w:color="auto"/>
              <w:left w:val="nil" w:sz="6" w:space="0" w:color="auto"/>
              <w:bottom w:val="nil" w:sz="6" w:space="0" w:color="auto"/>
              <w:right w:val="nil" w:sz="6" w:space="0" w:color="auto"/>
            </w:tcBorders>
          </w:tcPr>
          <w:p>
            <w:pPr/>
          </w:p>
        </w:tc>
        <w:tc>
          <w:tcPr>
            <w:tcW w:w="3270" w:type="dxa"/>
            <w:tcBorders>
              <w:top w:val="nil" w:sz="6" w:space="0" w:color="auto"/>
              <w:left w:val="nil" w:sz="6" w:space="0" w:color="auto"/>
              <w:bottom w:val="nil" w:sz="6" w:space="0" w:color="auto"/>
              <w:right w:val="nil" w:sz="6" w:space="0" w:color="auto"/>
            </w:tcBorders>
          </w:tcPr>
          <w:p>
            <w:pPr>
              <w:pStyle w:val="TableParagraph"/>
              <w:spacing w:line="302" w:lineRule="exact"/>
              <w:ind w:left="121"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40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34"/>
              <w:jc w:val="right"/>
              <w:rPr>
                <w:rFonts w:ascii="Arial" w:hAnsi="Arial" w:cs="Arial" w:eastAsia="Arial" w:hint="default"/>
                <w:sz w:val="24"/>
                <w:szCs w:val="24"/>
              </w:rPr>
            </w:pPr>
            <w:r>
              <w:rPr>
                <w:rFonts w:ascii="Arial"/>
                <w:w w:val="95"/>
                <w:sz w:val="24"/>
              </w:rPr>
              <w:t>(9,138)</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
              <w:jc w:val="right"/>
              <w:rPr>
                <w:rFonts w:ascii="Arial" w:hAnsi="Arial" w:cs="Arial" w:eastAsia="Arial" w:hint="default"/>
                <w:sz w:val="24"/>
                <w:szCs w:val="24"/>
              </w:rPr>
            </w:pPr>
            <w:r>
              <w:rPr>
                <w:rFonts w:ascii="Arial"/>
                <w:w w:val="95"/>
                <w:sz w:val="24"/>
              </w:rPr>
              <w:t>(7,065)</w:t>
            </w:r>
            <w:r>
              <w:rPr>
                <w:rFonts w:ascii="Arial"/>
                <w:sz w:val="24"/>
              </w:rPr>
            </w:r>
          </w:p>
        </w:tc>
      </w:tr>
      <w:tr>
        <w:trPr>
          <w:trHeight w:val="376" w:hRule="exact"/>
        </w:trPr>
        <w:tc>
          <w:tcPr>
            <w:tcW w:w="802" w:type="dxa"/>
            <w:tcBorders>
              <w:top w:val="nil" w:sz="6" w:space="0" w:color="auto"/>
              <w:left w:val="nil" w:sz="6" w:space="0" w:color="auto"/>
              <w:bottom w:val="nil" w:sz="6" w:space="0" w:color="auto"/>
              <w:right w:val="nil" w:sz="6" w:space="0" w:color="auto"/>
            </w:tcBorders>
          </w:tcPr>
          <w:p>
            <w:pPr/>
          </w:p>
        </w:tc>
        <w:tc>
          <w:tcPr>
            <w:tcW w:w="3270" w:type="dxa"/>
            <w:tcBorders>
              <w:top w:val="nil" w:sz="6" w:space="0" w:color="auto"/>
              <w:left w:val="nil" w:sz="6" w:space="0" w:color="auto"/>
              <w:bottom w:val="nil" w:sz="6" w:space="0" w:color="auto"/>
              <w:right w:val="nil" w:sz="6" w:space="0" w:color="auto"/>
            </w:tcBorders>
          </w:tcPr>
          <w:p>
            <w:pPr/>
          </w:p>
        </w:tc>
        <w:tc>
          <w:tcPr>
            <w:tcW w:w="2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5"/>
              <w:jc w:val="right"/>
              <w:rPr>
                <w:rFonts w:ascii="Arial" w:hAnsi="Arial" w:cs="Arial" w:eastAsia="Arial" w:hint="default"/>
                <w:sz w:val="24"/>
                <w:szCs w:val="24"/>
              </w:rPr>
            </w:pPr>
            <w:r>
              <w:rPr>
                <w:rFonts w:ascii="Arial"/>
                <w:w w:val="95"/>
                <w:sz w:val="24"/>
              </w:rPr>
              <w:t>24,689,195</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070" w:right="0"/>
              <w:jc w:val="left"/>
              <w:rPr>
                <w:rFonts w:ascii="Arial" w:hAnsi="Arial" w:cs="Arial" w:eastAsia="Arial" w:hint="default"/>
                <w:sz w:val="24"/>
                <w:szCs w:val="24"/>
              </w:rPr>
            </w:pPr>
            <w:r>
              <w:rPr>
                <w:rFonts w:ascii="Arial"/>
                <w:sz w:val="24"/>
              </w:rPr>
              <w:t>17,019,461</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705"/>
        <w:gridCol w:w="3370"/>
        <w:gridCol w:w="2415"/>
        <w:gridCol w:w="352"/>
        <w:gridCol w:w="2347"/>
      </w:tblGrid>
      <w:tr>
        <w:trPr>
          <w:trHeight w:val="501"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3370" w:type="dxa"/>
            <w:tcBorders>
              <w:top w:val="nil" w:sz="6" w:space="0" w:color="auto"/>
              <w:left w:val="nil" w:sz="6" w:space="0" w:color="auto"/>
              <w:bottom w:val="nil" w:sz="6" w:space="0" w:color="auto"/>
              <w:right w:val="nil" w:sz="6" w:space="0" w:color="auto"/>
            </w:tcBorders>
          </w:tcPr>
          <w:p>
            <w:pPr>
              <w:pStyle w:val="TableParagraph"/>
              <w:spacing w:line="247" w:lineRule="exact"/>
              <w:ind w:left="212"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2415" w:type="dxa"/>
            <w:tcBorders>
              <w:top w:val="nil" w:sz="6" w:space="0" w:color="auto"/>
              <w:left w:val="nil" w:sz="6" w:space="0" w:color="auto"/>
              <w:bottom w:val="nil" w:sz="6" w:space="0" w:color="auto"/>
              <w:right w:val="nil" w:sz="6" w:space="0" w:color="auto"/>
            </w:tcBorders>
          </w:tcPr>
          <w:p>
            <w:pPr/>
          </w:p>
        </w:tc>
        <w:tc>
          <w:tcPr>
            <w:tcW w:w="352"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nil" w:sz="6" w:space="0" w:color="auto"/>
              <w:right w:val="nil" w:sz="6" w:space="0" w:color="auto"/>
            </w:tcBorders>
          </w:tcPr>
          <w:p>
            <w:pPr/>
          </w:p>
        </w:tc>
      </w:tr>
      <w:tr>
        <w:trPr>
          <w:trHeight w:val="749" w:hRule="exact"/>
        </w:trPr>
        <w:tc>
          <w:tcPr>
            <w:tcW w:w="705"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4"/>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52"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8" w:hRule="exact"/>
        </w:trPr>
        <w:tc>
          <w:tcPr>
            <w:tcW w:w="705"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2"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85"/>
              <w:jc w:val="right"/>
              <w:rPr>
                <w:rFonts w:ascii="Arial" w:hAnsi="Arial" w:cs="Arial" w:eastAsia="Arial" w:hint="default"/>
                <w:sz w:val="24"/>
                <w:szCs w:val="24"/>
              </w:rPr>
            </w:pPr>
            <w:r>
              <w:rPr>
                <w:rFonts w:ascii="Arial"/>
                <w:w w:val="95"/>
                <w:sz w:val="24"/>
              </w:rPr>
              <w:t>24,663,224</w:t>
            </w:r>
            <w:r>
              <w:rPr>
                <w:rFonts w:ascii="Arial"/>
                <w:sz w:val="24"/>
              </w:rPr>
            </w:r>
          </w:p>
        </w:tc>
        <w:tc>
          <w:tcPr>
            <w:tcW w:w="352"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24"/>
                <w:szCs w:val="24"/>
              </w:rPr>
            </w:pPr>
            <w:r>
              <w:rPr>
                <w:rFonts w:ascii="Arial"/>
                <w:w w:val="95"/>
                <w:sz w:val="24"/>
              </w:rPr>
              <w:t>16,992,391</w:t>
            </w:r>
            <w:r>
              <w:rPr>
                <w:rFonts w:ascii="Arial"/>
                <w:sz w:val="24"/>
              </w:rPr>
            </w: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5"/>
              <w:jc w:val="right"/>
              <w:rPr>
                <w:rFonts w:ascii="Arial" w:hAnsi="Arial" w:cs="Arial" w:eastAsia="Arial" w:hint="default"/>
                <w:sz w:val="24"/>
                <w:szCs w:val="24"/>
              </w:rPr>
            </w:pPr>
            <w:r>
              <w:rPr>
                <w:rFonts w:ascii="Arial"/>
                <w:w w:val="95"/>
                <w:sz w:val="24"/>
              </w:rPr>
              <w:t>17,540</w:t>
            </w:r>
            <w:r>
              <w:rPr>
                <w:rFonts w:ascii="Arial"/>
                <w:sz w:val="24"/>
              </w:rPr>
            </w:r>
          </w:p>
        </w:tc>
        <w:tc>
          <w:tcPr>
            <w:tcW w:w="352"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3"/>
              <w:jc w:val="right"/>
              <w:rPr>
                <w:rFonts w:ascii="Arial" w:hAnsi="Arial" w:cs="Arial" w:eastAsia="Arial" w:hint="default"/>
                <w:sz w:val="24"/>
                <w:szCs w:val="24"/>
              </w:rPr>
            </w:pPr>
            <w:r>
              <w:rPr>
                <w:rFonts w:ascii="Arial"/>
                <w:spacing w:val="-1"/>
                <w:sz w:val="24"/>
              </w:rPr>
              <w:t>20,626</w:t>
            </w: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4"/>
              <w:jc w:val="right"/>
              <w:rPr>
                <w:rFonts w:ascii="Arial" w:hAnsi="Arial" w:cs="Arial" w:eastAsia="Arial" w:hint="default"/>
                <w:sz w:val="24"/>
                <w:szCs w:val="24"/>
              </w:rPr>
            </w:pPr>
            <w:r>
              <w:rPr>
                <w:rFonts w:ascii="Arial"/>
                <w:w w:val="95"/>
                <w:sz w:val="24"/>
              </w:rPr>
              <w:t>14,232</w:t>
            </w:r>
            <w:r>
              <w:rPr>
                <w:rFonts w:ascii="Arial"/>
                <w:sz w:val="24"/>
              </w:rPr>
            </w:r>
          </w:p>
        </w:tc>
        <w:tc>
          <w:tcPr>
            <w:tcW w:w="352"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3"/>
              <w:jc w:val="right"/>
              <w:rPr>
                <w:rFonts w:ascii="Arial" w:hAnsi="Arial" w:cs="Arial" w:eastAsia="Arial" w:hint="default"/>
                <w:sz w:val="24"/>
                <w:szCs w:val="24"/>
              </w:rPr>
            </w:pPr>
            <w:r>
              <w:rPr>
                <w:rFonts w:ascii="Arial"/>
                <w:spacing w:val="-1"/>
                <w:sz w:val="24"/>
              </w:rPr>
              <w:t>7,697</w:t>
            </w: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4"/>
              <w:jc w:val="right"/>
              <w:rPr>
                <w:rFonts w:ascii="Arial" w:hAnsi="Arial" w:cs="Arial" w:eastAsia="Arial" w:hint="default"/>
                <w:sz w:val="24"/>
                <w:szCs w:val="24"/>
              </w:rPr>
            </w:pPr>
            <w:r>
              <w:rPr>
                <w:rFonts w:ascii="Arial"/>
                <w:w w:val="95"/>
                <w:sz w:val="24"/>
              </w:rPr>
              <w:t>2,126</w:t>
            </w:r>
            <w:r>
              <w:rPr>
                <w:rFonts w:ascii="Arial"/>
                <w:sz w:val="24"/>
              </w:rPr>
            </w:r>
          </w:p>
        </w:tc>
        <w:tc>
          <w:tcPr>
            <w:tcW w:w="352"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3"/>
              <w:jc w:val="right"/>
              <w:rPr>
                <w:rFonts w:ascii="Arial" w:hAnsi="Arial" w:cs="Arial" w:eastAsia="Arial" w:hint="default"/>
                <w:sz w:val="24"/>
                <w:szCs w:val="24"/>
              </w:rPr>
            </w:pPr>
            <w:r>
              <w:rPr>
                <w:rFonts w:ascii="Arial"/>
                <w:w w:val="95"/>
                <w:sz w:val="24"/>
              </w:rPr>
              <w:t>5,651</w:t>
            </w:r>
            <w:r>
              <w:rPr>
                <w:rFonts w:ascii="Arial"/>
                <w:sz w:val="24"/>
              </w:rPr>
            </w: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4"/>
              <w:jc w:val="right"/>
              <w:rPr>
                <w:rFonts w:ascii="Arial" w:hAnsi="Arial" w:cs="Arial" w:eastAsia="Arial" w:hint="default"/>
                <w:sz w:val="24"/>
                <w:szCs w:val="24"/>
              </w:rPr>
            </w:pPr>
            <w:r>
              <w:rPr>
                <w:rFonts w:ascii="Arial"/>
                <w:w w:val="95"/>
                <w:sz w:val="24"/>
              </w:rPr>
              <w:t>1,055</w:t>
            </w:r>
            <w:r>
              <w:rPr>
                <w:rFonts w:ascii="Arial"/>
                <w:sz w:val="24"/>
              </w:rPr>
            </w:r>
          </w:p>
        </w:tc>
        <w:tc>
          <w:tcPr>
            <w:tcW w:w="352"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3"/>
              <w:jc w:val="right"/>
              <w:rPr>
                <w:rFonts w:ascii="Arial" w:hAnsi="Arial" w:cs="Arial" w:eastAsia="Arial" w:hint="default"/>
                <w:sz w:val="24"/>
                <w:szCs w:val="24"/>
              </w:rPr>
            </w:pPr>
            <w:r>
              <w:rPr>
                <w:rFonts w:ascii="Arial"/>
                <w:spacing w:val="-1"/>
                <w:w w:val="95"/>
                <w:sz w:val="24"/>
              </w:rPr>
              <w:t>84</w:t>
            </w:r>
            <w:r>
              <w:rPr>
                <w:rFonts w:ascii="Arial"/>
                <w:sz w:val="24"/>
              </w:rPr>
            </w:r>
          </w:p>
        </w:tc>
      </w:tr>
      <w:tr>
        <w:trPr>
          <w:trHeight w:val="385" w:hRule="exact"/>
        </w:trPr>
        <w:tc>
          <w:tcPr>
            <w:tcW w:w="705"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41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84"/>
              <w:jc w:val="right"/>
              <w:rPr>
                <w:rFonts w:ascii="Arial" w:hAnsi="Arial" w:cs="Arial" w:eastAsia="Arial" w:hint="default"/>
                <w:sz w:val="24"/>
                <w:szCs w:val="24"/>
              </w:rPr>
            </w:pPr>
            <w:r>
              <w:rPr>
                <w:rFonts w:ascii="Arial"/>
                <w:spacing w:val="-1"/>
                <w:w w:val="95"/>
                <w:sz w:val="24"/>
              </w:rPr>
              <w:t>156</w:t>
            </w:r>
            <w:r>
              <w:rPr>
                <w:rFonts w:ascii="Arial"/>
                <w:sz w:val="24"/>
              </w:rPr>
            </w:r>
          </w:p>
        </w:tc>
        <w:tc>
          <w:tcPr>
            <w:tcW w:w="352"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73"/>
              <w:jc w:val="right"/>
              <w:rPr>
                <w:rFonts w:ascii="Arial" w:hAnsi="Arial" w:cs="Arial" w:eastAsia="Arial" w:hint="default"/>
                <w:sz w:val="24"/>
                <w:szCs w:val="24"/>
              </w:rPr>
            </w:pPr>
            <w:r>
              <w:rPr>
                <w:rFonts w:ascii="Arial"/>
                <w:spacing w:val="-1"/>
                <w:w w:val="95"/>
                <w:sz w:val="24"/>
              </w:rPr>
              <w:t>77</w:t>
            </w:r>
            <w:r>
              <w:rPr>
                <w:rFonts w:ascii="Arial"/>
                <w:sz w:val="24"/>
              </w:rPr>
            </w:r>
          </w:p>
        </w:tc>
      </w:tr>
      <w:tr>
        <w:trPr>
          <w:trHeight w:val="376" w:hRule="exact"/>
        </w:trPr>
        <w:tc>
          <w:tcPr>
            <w:tcW w:w="705"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
        </w:tc>
        <w:tc>
          <w:tcPr>
            <w:tcW w:w="24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83"/>
              <w:jc w:val="right"/>
              <w:rPr>
                <w:rFonts w:ascii="Arial" w:hAnsi="Arial" w:cs="Arial" w:eastAsia="Arial" w:hint="default"/>
                <w:sz w:val="24"/>
                <w:szCs w:val="24"/>
              </w:rPr>
            </w:pPr>
            <w:r>
              <w:rPr>
                <w:rFonts w:ascii="Arial"/>
                <w:w w:val="95"/>
                <w:sz w:val="24"/>
              </w:rPr>
              <w:t>24,698,333</w:t>
            </w:r>
            <w:r>
              <w:rPr>
                <w:rFonts w:ascii="Arial"/>
                <w:sz w:val="24"/>
              </w:rPr>
            </w:r>
          </w:p>
        </w:tc>
        <w:tc>
          <w:tcPr>
            <w:tcW w:w="352" w:type="dxa"/>
            <w:tcBorders>
              <w:top w:val="nil" w:sz="6" w:space="0" w:color="auto"/>
              <w:left w:val="nil" w:sz="6" w:space="0" w:color="auto"/>
              <w:bottom w:val="nil" w:sz="6" w:space="0" w:color="auto"/>
              <w:right w:val="nil" w:sz="6" w:space="0" w:color="auto"/>
            </w:tcBorders>
          </w:tcPr>
          <w:p>
            <w:pPr/>
          </w:p>
        </w:tc>
        <w:tc>
          <w:tcPr>
            <w:tcW w:w="23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73"/>
              <w:jc w:val="right"/>
              <w:rPr>
                <w:rFonts w:ascii="Arial" w:hAnsi="Arial" w:cs="Arial" w:eastAsia="Arial" w:hint="default"/>
                <w:sz w:val="24"/>
                <w:szCs w:val="24"/>
              </w:rPr>
            </w:pPr>
            <w:r>
              <w:rPr>
                <w:rFonts w:ascii="Arial"/>
                <w:w w:val="95"/>
                <w:sz w:val="24"/>
              </w:rPr>
              <w:t>17,026,526</w:t>
            </w:r>
            <w:r>
              <w:rPr>
                <w:rFonts w:ascii="Arial"/>
                <w:sz w:val="24"/>
              </w:rPr>
            </w:r>
          </w:p>
        </w:tc>
      </w:tr>
      <w:tr>
        <w:trPr>
          <w:trHeight w:val="1010" w:hRule="exact"/>
        </w:trPr>
        <w:tc>
          <w:tcPr>
            <w:tcW w:w="705" w:type="dxa"/>
            <w:tcBorders>
              <w:top w:val="nil" w:sz="6" w:space="0" w:color="auto"/>
              <w:left w:val="nil" w:sz="6" w:space="0" w:color="auto"/>
              <w:bottom w:val="nil" w:sz="6" w:space="0" w:color="auto"/>
              <w:right w:val="nil" w:sz="6" w:space="0" w:color="auto"/>
            </w:tcBorders>
          </w:tcPr>
          <w:p>
            <w:pPr/>
          </w:p>
        </w:tc>
        <w:tc>
          <w:tcPr>
            <w:tcW w:w="848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322" w:lineRule="exact"/>
              <w:ind w:left="282"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5"/>
                <w:sz w:val="24"/>
                <w:szCs w:val="24"/>
              </w:rPr>
              <w:t> </w:t>
            </w: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日，本公司无已逾期未减值的应收账款</w:t>
            </w:r>
            <w:r>
              <w:rPr>
                <w:rFonts w:ascii="宋体" w:hAnsi="宋体" w:cs="宋体" w:eastAsia="宋体" w:hint="default"/>
                <w:spacing w:val="-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p>
          <w:p>
            <w:pPr>
              <w:pStyle w:val="TableParagraph"/>
              <w:spacing w:line="322" w:lineRule="exact"/>
              <w:ind w:left="282" w:right="0"/>
              <w:jc w:val="left"/>
              <w:rPr>
                <w:rFonts w:ascii="宋体" w:hAnsi="宋体" w:cs="宋体" w:eastAsia="宋体" w:hint="default"/>
                <w:sz w:val="24"/>
                <w:szCs w:val="24"/>
              </w:rPr>
            </w:pPr>
            <w:r>
              <w:rPr>
                <w:rFonts w:ascii="Arial" w:hAnsi="Arial" w:cs="Arial" w:eastAsia="Arial" w:hint="default"/>
                <w:sz w:val="24"/>
                <w:szCs w:val="24"/>
              </w:rPr>
              <w:t>31 </w:t>
            </w:r>
            <w:r>
              <w:rPr>
                <w:rFonts w:ascii="宋体" w:hAnsi="宋体" w:cs="宋体" w:eastAsia="宋体" w:hint="default"/>
                <w:sz w:val="24"/>
                <w:szCs w:val="24"/>
              </w:rPr>
              <w:t>日：无</w:t>
            </w:r>
            <w:r>
              <w:rPr>
                <w:rFonts w:ascii="Arial" w:hAnsi="Arial" w:cs="Arial" w:eastAsia="Arial" w:hint="default"/>
                <w:sz w:val="24"/>
                <w:szCs w:val="24"/>
              </w:rPr>
              <w:t>)</w:t>
            </w:r>
            <w:r>
              <w:rPr>
                <w:rFonts w:ascii="Arial" w:hAnsi="Arial" w:cs="Arial" w:eastAsia="Arial" w:hint="default"/>
                <w:spacing w:val="45"/>
                <w:sz w:val="24"/>
                <w:szCs w:val="24"/>
              </w:rPr>
              <w:t> </w:t>
            </w:r>
            <w:r>
              <w:rPr>
                <w:rFonts w:ascii="宋体" w:hAnsi="宋体" w:cs="宋体" w:eastAsia="宋体" w:hint="default"/>
                <w:sz w:val="24"/>
                <w:szCs w:val="24"/>
              </w:rPr>
              <w:t>。</w:t>
            </w:r>
          </w:p>
        </w:tc>
      </w:tr>
    </w:tbl>
    <w:p>
      <w:pPr>
        <w:spacing w:after="0" w:line="322" w:lineRule="exact"/>
        <w:jc w:val="left"/>
        <w:rPr>
          <w:rFonts w:ascii="宋体" w:hAnsi="宋体" w:cs="宋体" w:eastAsia="宋体" w:hint="default"/>
          <w:sz w:val="24"/>
          <w:szCs w:val="24"/>
        </w:rPr>
        <w:sectPr>
          <w:pgSz w:w="11910" w:h="16840"/>
          <w:pgMar w:header="755" w:footer="914" w:top="1860" w:bottom="11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791"/>
        <w:gridCol w:w="1729"/>
        <w:gridCol w:w="1163"/>
        <w:gridCol w:w="674"/>
        <w:gridCol w:w="142"/>
        <w:gridCol w:w="698"/>
        <w:gridCol w:w="588"/>
        <w:gridCol w:w="132"/>
        <w:gridCol w:w="1062"/>
        <w:gridCol w:w="655"/>
        <w:gridCol w:w="132"/>
        <w:gridCol w:w="736"/>
        <w:gridCol w:w="630"/>
      </w:tblGrid>
      <w:tr>
        <w:trPr>
          <w:trHeight w:val="416"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289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0"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67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r>
      <w:tr>
        <w:trPr>
          <w:trHeight w:val="588"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0"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63"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r>
      <w:tr>
        <w:trPr>
          <w:trHeight w:val="546"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35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r>
      <w:tr>
        <w:trPr>
          <w:trHeight w:val="348"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267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79"/>
              <w:ind w:left="89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88" w:type="dxa"/>
            <w:tcBorders>
              <w:top w:val="nil" w:sz="6" w:space="0" w:color="auto"/>
              <w:left w:val="nil" w:sz="6" w:space="0" w:color="auto"/>
              <w:bottom w:val="single" w:sz="4" w:space="0" w:color="000000"/>
              <w:right w:val="nil" w:sz="6" w:space="0" w:color="auto"/>
            </w:tcBorders>
          </w:tcPr>
          <w:p>
            <w:pPr/>
          </w:p>
        </w:tc>
        <w:tc>
          <w:tcPr>
            <w:tcW w:w="2716"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79"/>
              <w:ind w:left="100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30" w:type="dxa"/>
            <w:tcBorders>
              <w:top w:val="nil" w:sz="6" w:space="0" w:color="auto"/>
              <w:left w:val="nil" w:sz="6" w:space="0" w:color="auto"/>
              <w:bottom w:val="single" w:sz="4" w:space="0" w:color="000000"/>
              <w:right w:val="nil" w:sz="6" w:space="0" w:color="auto"/>
            </w:tcBorders>
          </w:tcPr>
          <w:p>
            <w:pPr/>
          </w:p>
        </w:tc>
      </w:tr>
      <w:tr>
        <w:trPr>
          <w:trHeight w:val="242"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1837" w:type="dxa"/>
            <w:gridSpan w:val="2"/>
            <w:tcBorders>
              <w:top w:val="single" w:sz="4" w:space="0" w:color="000000"/>
              <w:left w:val="nil" w:sz="6" w:space="0" w:color="auto"/>
              <w:bottom w:val="single" w:sz="4" w:space="0" w:color="000000"/>
              <w:right w:val="nil" w:sz="6" w:space="0" w:color="auto"/>
            </w:tcBorders>
          </w:tcPr>
          <w:p>
            <w:pPr>
              <w:pStyle w:val="TableParagraph"/>
              <w:spacing w:line="205" w:lineRule="exact"/>
              <w:ind w:left="6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8" w:type="dxa"/>
            <w:gridSpan w:val="3"/>
            <w:tcBorders>
              <w:top w:val="single" w:sz="4" w:space="0" w:color="000000"/>
              <w:left w:val="nil" w:sz="6" w:space="0" w:color="auto"/>
              <w:bottom w:val="single" w:sz="4" w:space="0" w:color="000000"/>
              <w:right w:val="nil" w:sz="6" w:space="0" w:color="auto"/>
            </w:tcBorders>
          </w:tcPr>
          <w:p>
            <w:pPr>
              <w:pStyle w:val="TableParagraph"/>
              <w:spacing w:line="205" w:lineRule="exact"/>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8" w:type="dxa"/>
            <w:gridSpan w:val="3"/>
            <w:tcBorders>
              <w:top w:val="single" w:sz="4" w:space="0" w:color="000000"/>
              <w:left w:val="nil" w:sz="6" w:space="0" w:color="auto"/>
              <w:bottom w:val="single" w:sz="4" w:space="0" w:color="000000"/>
              <w:right w:val="nil" w:sz="6" w:space="0" w:color="auto"/>
            </w:tcBorders>
          </w:tcPr>
          <w:p>
            <w:pPr>
              <w:pStyle w:val="TableParagraph"/>
              <w:spacing w:line="205" w:lineRule="exact"/>
              <w:ind w:left="6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8" w:type="dxa"/>
            <w:gridSpan w:val="3"/>
            <w:tcBorders>
              <w:top w:val="single" w:sz="4" w:space="0" w:color="000000"/>
              <w:left w:val="nil" w:sz="6" w:space="0" w:color="auto"/>
              <w:bottom w:val="single" w:sz="4" w:space="0" w:color="000000"/>
              <w:right w:val="nil" w:sz="6" w:space="0" w:color="auto"/>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4"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7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74" w:type="dxa"/>
            <w:tcBorders>
              <w:top w:val="single" w:sz="4" w:space="0" w:color="000000"/>
              <w:left w:val="nil" w:sz="6" w:space="0" w:color="auto"/>
              <w:bottom w:val="nil" w:sz="6" w:space="0" w:color="auto"/>
              <w:right w:val="nil" w:sz="6" w:space="0" w:color="auto"/>
            </w:tcBorders>
          </w:tcPr>
          <w:p>
            <w:pPr>
              <w:pStyle w:val="TableParagraph"/>
              <w:spacing w:line="205" w:lineRule="exact"/>
              <w:ind w:left="274"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2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4" w:space="0" w:color="000000"/>
              <w:left w:val="nil" w:sz="6" w:space="0" w:color="auto"/>
              <w:bottom w:val="nil" w:sz="6" w:space="0" w:color="auto"/>
              <w:right w:val="nil" w:sz="6" w:space="0" w:color="auto"/>
            </w:tcBorders>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2" w:type="dxa"/>
            <w:tcBorders>
              <w:top w:val="nil" w:sz="6" w:space="0" w:color="auto"/>
              <w:left w:val="nil" w:sz="6" w:space="0" w:color="auto"/>
              <w:bottom w:val="nil" w:sz="6" w:space="0" w:color="auto"/>
              <w:right w:val="nil" w:sz="6" w:space="0" w:color="auto"/>
            </w:tcBorders>
          </w:tcPr>
          <w:p>
            <w:pP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5" w:type="dxa"/>
            <w:tcBorders>
              <w:top w:val="single" w:sz="4" w:space="0" w:color="000000"/>
              <w:left w:val="nil" w:sz="6" w:space="0" w:color="auto"/>
              <w:bottom w:val="nil" w:sz="6" w:space="0" w:color="auto"/>
              <w:right w:val="nil" w:sz="6" w:space="0" w:color="auto"/>
            </w:tcBorders>
          </w:tcPr>
          <w:p>
            <w:pPr>
              <w:pStyle w:val="TableParagraph"/>
              <w:spacing w:line="205" w:lineRule="exact"/>
              <w:ind w:left="245" w:right="0" w:hanging="172"/>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2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4" w:space="0" w:color="000000"/>
              <w:left w:val="nil" w:sz="6" w:space="0" w:color="auto"/>
              <w:bottom w:val="nil" w:sz="6" w:space="0" w:color="auto"/>
              <w:right w:val="nil" w:sz="6" w:space="0" w:color="auto"/>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37"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3"/>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163"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r>
      <w:tr>
        <w:trPr>
          <w:trHeight w:val="244"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07" w:lineRule="exact"/>
              <w:ind w:left="120" w:right="0"/>
              <w:jc w:val="left"/>
              <w:rPr>
                <w:rFonts w:ascii="宋体" w:hAnsi="宋体" w:cs="宋体" w:eastAsia="宋体" w:hint="default"/>
                <w:sz w:val="18"/>
                <w:szCs w:val="18"/>
              </w:rPr>
            </w:pPr>
            <w:r>
              <w:rPr>
                <w:rFonts w:ascii="宋体" w:hAnsi="宋体" w:cs="宋体" w:eastAsia="宋体" w:hint="default"/>
                <w:sz w:val="18"/>
                <w:szCs w:val="18"/>
              </w:rPr>
              <w:t>应收节能补贴组合</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70" w:right="0"/>
              <w:jc w:val="left"/>
              <w:rPr>
                <w:rFonts w:ascii="Arial" w:hAnsi="Arial" w:cs="Arial" w:eastAsia="Arial" w:hint="default"/>
                <w:sz w:val="18"/>
                <w:szCs w:val="18"/>
              </w:rPr>
            </w:pPr>
            <w:r>
              <w:rPr>
                <w:rFonts w:ascii="Arial"/>
                <w:sz w:val="18"/>
              </w:rPr>
              <w:t>756</w:t>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6"/>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37" w:right="0"/>
              <w:jc w:val="left"/>
              <w:rPr>
                <w:rFonts w:ascii="Arial" w:hAnsi="Arial" w:cs="Arial" w:eastAsia="Arial" w:hint="default"/>
                <w:sz w:val="18"/>
                <w:szCs w:val="18"/>
              </w:rPr>
            </w:pPr>
            <w:r>
              <w:rPr>
                <w:rFonts w:ascii="Arial"/>
                <w:sz w:val="18"/>
              </w:rPr>
              <w:t>2,749</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Arial" w:hAnsi="Arial" w:cs="Arial" w:eastAsia="Arial" w:hint="default"/>
                <w:sz w:val="18"/>
                <w:szCs w:val="18"/>
              </w:rPr>
            </w:pPr>
            <w:r>
              <w:rPr>
                <w:rFonts w:ascii="Arial"/>
                <w:w w:val="99"/>
                <w:sz w:val="18"/>
              </w:rPr>
              <w:t>-</w:t>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236"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195" w:lineRule="exact"/>
              <w:ind w:left="120"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163" w:type="dxa"/>
            <w:tcBorders>
              <w:top w:val="nil" w:sz="6" w:space="0" w:color="auto"/>
              <w:left w:val="nil" w:sz="6" w:space="0" w:color="auto"/>
              <w:bottom w:val="nil" w:sz="6" w:space="0" w:color="auto"/>
              <w:right w:val="nil" w:sz="6" w:space="0" w:color="auto"/>
            </w:tcBorders>
          </w:tcPr>
          <w:p>
            <w:pPr>
              <w:pStyle w:val="TableParagraph"/>
              <w:tabs>
                <w:tab w:pos="1317" w:val="left" w:leader="none"/>
              </w:tabs>
              <w:spacing w:line="240" w:lineRule="auto" w:before="14"/>
              <w:ind w:right="-155"/>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z w:val="18"/>
                <w:u w:val="single" w:color="000000"/>
              </w:rPr>
              <w:t>24,697,577</w:t>
              <w:tab/>
            </w:r>
            <w:r>
              <w:rPr>
                <w:rFonts w:ascii="Arial"/>
                <w:sz w:val="18"/>
              </w:rPr>
            </w:r>
          </w:p>
        </w:tc>
        <w:tc>
          <w:tcPr>
            <w:tcW w:w="674" w:type="dxa"/>
            <w:tcBorders>
              <w:top w:val="nil" w:sz="6" w:space="0" w:color="auto"/>
              <w:left w:val="nil" w:sz="6" w:space="0" w:color="auto"/>
              <w:bottom w:val="nil" w:sz="6" w:space="0" w:color="auto"/>
              <w:right w:val="nil" w:sz="6" w:space="0" w:color="auto"/>
            </w:tcBorders>
          </w:tcPr>
          <w:p>
            <w:pPr>
              <w:pStyle w:val="TableParagraph"/>
              <w:tabs>
                <w:tab w:pos="519" w:val="left" w:leader="none"/>
              </w:tabs>
              <w:spacing w:line="240" w:lineRule="auto" w:before="14"/>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100%</w:t>
              <w:tab/>
            </w:r>
            <w:r>
              <w:rPr>
                <w:rFonts w:ascii="Arial"/>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(9,138)</w:t>
            </w:r>
            <w:r>
              <w:rPr>
                <w:rFonts w:ascii="Arial"/>
                <w:spacing w:val="-1"/>
                <w:sz w:val="18"/>
              </w:rPr>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6"/>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tabs>
                <w:tab w:pos="1252" w:val="left" w:leader="none"/>
              </w:tabs>
              <w:spacing w:line="240" w:lineRule="auto" w:before="14"/>
              <w:ind w:left="7" w:right="-192"/>
              <w:jc w:val="left"/>
              <w:rPr>
                <w:rFonts w:ascii="Arial" w:hAnsi="Arial" w:cs="Arial" w:eastAsia="Arial" w:hint="default"/>
                <w:sz w:val="18"/>
                <w:szCs w:val="18"/>
              </w:rPr>
            </w:pPr>
            <w:r>
              <w:rPr>
                <w:rFonts w:ascii="Arial"/>
                <w:w w:val="100"/>
                <w:sz w:val="18"/>
              </w:rPr>
            </w:r>
            <w:r>
              <w:rPr>
                <w:rFonts w:ascii="Arial"/>
                <w:spacing w:val="15"/>
                <w:w w:val="100"/>
                <w:sz w:val="18"/>
                <w:u w:val="single" w:color="000000"/>
              </w:rPr>
              <w:t> </w:t>
            </w:r>
            <w:r>
              <w:rPr>
                <w:rFonts w:ascii="Arial"/>
                <w:sz w:val="18"/>
                <w:u w:val="single" w:color="000000"/>
              </w:rPr>
              <w:t>17,023,777</w:t>
              <w:tab/>
            </w:r>
            <w:r>
              <w:rPr>
                <w:rFonts w:ascii="Arial"/>
                <w:sz w:val="18"/>
              </w:rPr>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w w:val="99"/>
                <w:sz w:val="18"/>
              </w:rPr>
            </w:r>
            <w:r>
              <w:rPr>
                <w:rFonts w:ascii="Arial"/>
                <w:spacing w:val="-1"/>
                <w:sz w:val="18"/>
                <w:u w:val="single" w:color="000000"/>
              </w:rPr>
              <w:t>100%</w:t>
            </w:r>
            <w:r>
              <w:rPr>
                <w:rFonts w:ascii="Arial"/>
                <w:spacing w:val="-1"/>
                <w:sz w:val="18"/>
              </w:rPr>
            </w: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(7,065)</w:t>
            </w:r>
            <w:r>
              <w:rPr>
                <w:rFonts w:ascii="Arial"/>
                <w:spacing w:val="-1"/>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12" w:space="0" w:color="000000"/>
              <w:right w:val="nil" w:sz="6" w:space="0" w:color="auto"/>
            </w:tcBorders>
          </w:tcPr>
          <w:p>
            <w:pPr>
              <w:pStyle w:val="TableParagraph"/>
              <w:spacing w:line="203" w:lineRule="exact"/>
              <w:ind w:left="160" w:right="0"/>
              <w:jc w:val="left"/>
              <w:rPr>
                <w:rFonts w:ascii="Arial" w:hAnsi="Arial" w:cs="Arial" w:eastAsia="Arial" w:hint="default"/>
                <w:sz w:val="18"/>
                <w:szCs w:val="18"/>
              </w:rPr>
            </w:pPr>
            <w:r>
              <w:rPr>
                <w:rFonts w:ascii="Arial"/>
                <w:sz w:val="18"/>
              </w:rPr>
              <w:t>24,698,333</w:t>
            </w:r>
          </w:p>
        </w:tc>
        <w:tc>
          <w:tcPr>
            <w:tcW w:w="674" w:type="dxa"/>
            <w:tcBorders>
              <w:top w:val="nil" w:sz="6" w:space="0" w:color="auto"/>
              <w:left w:val="nil" w:sz="6" w:space="0" w:color="auto"/>
              <w:bottom w:val="single" w:sz="12" w:space="0" w:color="000000"/>
              <w:right w:val="nil" w:sz="6" w:space="0" w:color="auto"/>
            </w:tcBorders>
          </w:tcPr>
          <w:p>
            <w:pPr>
              <w:pStyle w:val="TableParagraph"/>
              <w:spacing w:line="203" w:lineRule="exact"/>
              <w:ind w:right="57"/>
              <w:jc w:val="right"/>
              <w:rPr>
                <w:rFonts w:ascii="Arial" w:hAnsi="Arial" w:cs="Arial" w:eastAsia="Arial" w:hint="default"/>
                <w:sz w:val="18"/>
                <w:szCs w:val="18"/>
              </w:rPr>
            </w:pPr>
            <w:r>
              <w:rPr>
                <w:rFonts w:ascii="Arial"/>
                <w:spacing w:val="-1"/>
                <w:sz w:val="18"/>
              </w:rPr>
              <w:t>100%</w:t>
            </w: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single" w:sz="12" w:space="0" w:color="000000"/>
              <w:right w:val="nil" w:sz="6" w:space="0" w:color="auto"/>
            </w:tcBorders>
          </w:tcPr>
          <w:p>
            <w:pPr>
              <w:pStyle w:val="TableParagraph"/>
              <w:spacing w:line="203" w:lineRule="exact"/>
              <w:ind w:right="8"/>
              <w:jc w:val="right"/>
              <w:rPr>
                <w:rFonts w:ascii="Arial" w:hAnsi="Arial" w:cs="Arial" w:eastAsia="Arial" w:hint="default"/>
                <w:sz w:val="18"/>
                <w:szCs w:val="18"/>
              </w:rPr>
            </w:pPr>
            <w:r>
              <w:rPr>
                <w:rFonts w:ascii="Arial"/>
                <w:spacing w:val="-1"/>
                <w:sz w:val="18"/>
              </w:rPr>
              <w:t>(9,138)</w:t>
            </w: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single" w:sz="12" w:space="0" w:color="000000"/>
              <w:right w:val="nil" w:sz="6" w:space="0" w:color="auto"/>
            </w:tcBorders>
          </w:tcPr>
          <w:p>
            <w:pPr>
              <w:pStyle w:val="TableParagraph"/>
              <w:spacing w:line="203" w:lineRule="exact"/>
              <w:ind w:left="73" w:right="0"/>
              <w:jc w:val="left"/>
              <w:rPr>
                <w:rFonts w:ascii="Arial" w:hAnsi="Arial" w:cs="Arial" w:eastAsia="Arial" w:hint="default"/>
                <w:sz w:val="18"/>
                <w:szCs w:val="18"/>
              </w:rPr>
            </w:pPr>
            <w:r>
              <w:rPr>
                <w:rFonts w:ascii="Arial"/>
                <w:sz w:val="18"/>
              </w:rPr>
              <w:t>17,026,526</w:t>
            </w:r>
          </w:p>
        </w:tc>
        <w:tc>
          <w:tcPr>
            <w:tcW w:w="655" w:type="dxa"/>
            <w:tcBorders>
              <w:top w:val="nil" w:sz="6" w:space="0" w:color="auto"/>
              <w:left w:val="nil" w:sz="6" w:space="0" w:color="auto"/>
              <w:bottom w:val="single" w:sz="12" w:space="0" w:color="000000"/>
              <w:right w:val="nil" w:sz="6" w:space="0" w:color="auto"/>
            </w:tcBorders>
          </w:tcPr>
          <w:p>
            <w:pPr>
              <w:pStyle w:val="TableParagraph"/>
              <w:spacing w:line="203" w:lineRule="exact"/>
              <w:ind w:right="13"/>
              <w:jc w:val="right"/>
              <w:rPr>
                <w:rFonts w:ascii="Arial" w:hAnsi="Arial" w:cs="Arial" w:eastAsia="Arial" w:hint="default"/>
                <w:sz w:val="18"/>
                <w:szCs w:val="18"/>
              </w:rPr>
            </w:pPr>
            <w:r>
              <w:rPr>
                <w:rFonts w:ascii="Arial"/>
                <w:spacing w:val="-1"/>
                <w:sz w:val="18"/>
              </w:rPr>
              <w:t>100%</w:t>
            </w: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single" w:sz="12" w:space="0" w:color="000000"/>
              <w:right w:val="nil" w:sz="6" w:space="0" w:color="auto"/>
            </w:tcBorders>
          </w:tcPr>
          <w:p>
            <w:pPr>
              <w:pStyle w:val="TableParagraph"/>
              <w:spacing w:line="203" w:lineRule="exact"/>
              <w:ind w:right="7"/>
              <w:jc w:val="right"/>
              <w:rPr>
                <w:rFonts w:ascii="Arial" w:hAnsi="Arial" w:cs="Arial" w:eastAsia="Arial" w:hint="default"/>
                <w:sz w:val="18"/>
                <w:szCs w:val="18"/>
              </w:rPr>
            </w:pPr>
            <w:r>
              <w:rPr>
                <w:rFonts w:ascii="Arial"/>
                <w:spacing w:val="-1"/>
                <w:sz w:val="18"/>
              </w:rPr>
              <w:t>(7,065)</w:t>
            </w:r>
          </w:p>
        </w:tc>
        <w:tc>
          <w:tcPr>
            <w:tcW w:w="630"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Times New Roman" w:hAnsi="Times New Roman" w:cs="Times New Roman" w:eastAsia="Times New Roman" w:hint="default"/>
          <w:sz w:val="27"/>
          <w:szCs w:val="27"/>
        </w:rPr>
      </w:pPr>
    </w:p>
    <w:tbl>
      <w:tblPr>
        <w:tblW w:w="0" w:type="auto"/>
        <w:jc w:val="left"/>
        <w:tblInd w:w="164" w:type="dxa"/>
        <w:tblLayout w:type="fixed"/>
        <w:tblCellMar>
          <w:top w:w="0" w:type="dxa"/>
          <w:left w:w="0" w:type="dxa"/>
          <w:bottom w:w="0" w:type="dxa"/>
          <w:right w:w="0" w:type="dxa"/>
        </w:tblCellMar>
        <w:tblLook w:val="01E0"/>
      </w:tblPr>
      <w:tblGrid>
        <w:gridCol w:w="680"/>
        <w:gridCol w:w="1331"/>
        <w:gridCol w:w="1344"/>
        <w:gridCol w:w="140"/>
        <w:gridCol w:w="1608"/>
        <w:gridCol w:w="618"/>
        <w:gridCol w:w="139"/>
        <w:gridCol w:w="1358"/>
        <w:gridCol w:w="134"/>
        <w:gridCol w:w="1014"/>
        <w:gridCol w:w="714"/>
      </w:tblGrid>
      <w:tr>
        <w:trPr>
          <w:trHeight w:val="693"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Arial" w:hAnsi="Arial" w:cs="Arial" w:eastAsia="Arial" w:hint="default"/>
                <w:sz w:val="24"/>
                <w:szCs w:val="24"/>
              </w:rPr>
            </w:pPr>
            <w:r>
              <w:rPr>
                <w:rFonts w:ascii="Arial"/>
                <w:sz w:val="24"/>
              </w:rPr>
              <w:t>(c)</w:t>
            </w:r>
          </w:p>
        </w:tc>
        <w:tc>
          <w:tcPr>
            <w:tcW w:w="8400" w:type="dxa"/>
            <w:gridSpan w:val="10"/>
            <w:tcBorders>
              <w:top w:val="nil" w:sz="6" w:space="0" w:color="auto"/>
              <w:left w:val="nil" w:sz="6" w:space="0" w:color="auto"/>
              <w:bottom w:val="nil" w:sz="6" w:space="0" w:color="auto"/>
              <w:right w:val="nil" w:sz="6" w:space="0" w:color="auto"/>
            </w:tcBorders>
          </w:tcPr>
          <w:p>
            <w:pPr>
              <w:pStyle w:val="TableParagraph"/>
              <w:spacing w:line="246" w:lineRule="exact"/>
              <w:ind w:left="188" w:right="0"/>
              <w:jc w:val="left"/>
              <w:rPr>
                <w:rFonts w:ascii="宋体" w:hAnsi="宋体" w:cs="宋体" w:eastAsia="宋体" w:hint="default"/>
                <w:sz w:val="24"/>
                <w:szCs w:val="24"/>
              </w:rPr>
            </w:pPr>
            <w:r>
              <w:rPr>
                <w:rFonts w:ascii="宋体" w:hAnsi="宋体" w:cs="宋体" w:eastAsia="宋体" w:hint="default"/>
                <w:sz w:val="24"/>
                <w:szCs w:val="24"/>
              </w:rPr>
              <w:t>按应收其他款项组合计提坏账准备的应收账款中，采用账龄分析法的组合分析</w:t>
            </w:r>
          </w:p>
          <w:p>
            <w:pPr>
              <w:pStyle w:val="TableParagraph"/>
              <w:spacing w:line="312" w:lineRule="exact"/>
              <w:ind w:left="201" w:right="0"/>
              <w:jc w:val="left"/>
              <w:rPr>
                <w:rFonts w:ascii="宋体" w:hAnsi="宋体" w:cs="宋体" w:eastAsia="宋体" w:hint="default"/>
                <w:sz w:val="24"/>
                <w:szCs w:val="24"/>
              </w:rPr>
            </w:pPr>
            <w:r>
              <w:rPr>
                <w:rFonts w:ascii="宋体" w:hAnsi="宋体" w:cs="宋体" w:eastAsia="宋体" w:hint="default"/>
                <w:sz w:val="24"/>
                <w:szCs w:val="24"/>
              </w:rPr>
              <w:t>如下：</w:t>
            </w:r>
          </w:p>
        </w:tc>
      </w:tr>
      <w:tr>
        <w:trPr>
          <w:trHeight w:val="348"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309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107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18" w:type="dxa"/>
            <w:tcBorders>
              <w:top w:val="nil" w:sz="6" w:space="0" w:color="auto"/>
              <w:left w:val="nil" w:sz="6" w:space="0" w:color="auto"/>
              <w:bottom w:val="single" w:sz="4" w:space="0" w:color="000000"/>
              <w:right w:val="nil" w:sz="6" w:space="0" w:color="auto"/>
            </w:tcBorders>
          </w:tcPr>
          <w:p>
            <w:pPr/>
          </w:p>
        </w:tc>
        <w:tc>
          <w:tcPr>
            <w:tcW w:w="2645"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79"/>
              <w:ind w:left="96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14" w:type="dxa"/>
            <w:tcBorders>
              <w:top w:val="nil" w:sz="6" w:space="0" w:color="auto"/>
              <w:left w:val="nil" w:sz="6" w:space="0" w:color="auto"/>
              <w:bottom w:val="single" w:sz="4" w:space="0" w:color="000000"/>
              <w:right w:val="nil" w:sz="6" w:space="0" w:color="auto"/>
            </w:tcBorders>
          </w:tcPr>
          <w:p>
            <w:pPr/>
          </w:p>
        </w:tc>
      </w:tr>
      <w:tr>
        <w:trPr>
          <w:trHeight w:val="242"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3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 w:type="dxa"/>
            <w:tcBorders>
              <w:top w:val="single" w:sz="4" w:space="0" w:color="000000"/>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7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18" w:type="dxa"/>
            <w:tcBorders>
              <w:top w:val="single" w:sz="4" w:space="0" w:color="000000"/>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gridSpan w:val="3"/>
            <w:tcBorders>
              <w:top w:val="single" w:sz="4" w:space="0" w:color="000000"/>
              <w:left w:val="nil" w:sz="6" w:space="0" w:color="auto"/>
              <w:bottom w:val="single" w:sz="4" w:space="0" w:color="000000"/>
              <w:right w:val="nil" w:sz="6" w:space="0" w:color="auto"/>
            </w:tcBorders>
          </w:tcPr>
          <w:p>
            <w:pPr>
              <w:pStyle w:val="TableParagraph"/>
              <w:spacing w:line="205" w:lineRule="exact"/>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5"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金额</w:t>
            </w:r>
          </w:p>
        </w:tc>
        <w:tc>
          <w:tcPr>
            <w:tcW w:w="140"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8" w:type="dxa"/>
            <w:tcBorders>
              <w:top w:val="single" w:sz="4" w:space="0" w:color="000000"/>
              <w:left w:val="nil" w:sz="6" w:space="0" w:color="auto"/>
              <w:bottom w:val="nil" w:sz="6" w:space="0" w:color="auto"/>
              <w:right w:val="nil" w:sz="6" w:space="0" w:color="auto"/>
            </w:tcBorders>
          </w:tcPr>
          <w:p>
            <w:pPr>
              <w:pStyle w:val="TableParagraph"/>
              <w:spacing w:line="206" w:lineRule="exact"/>
              <w:ind w:left="20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9"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金额</w:t>
            </w:r>
          </w:p>
        </w:tc>
        <w:tc>
          <w:tcPr>
            <w:tcW w:w="134" w:type="dxa"/>
            <w:tcBorders>
              <w:top w:val="nil" w:sz="6" w:space="0" w:color="auto"/>
              <w:left w:val="nil" w:sz="6" w:space="0" w:color="auto"/>
              <w:bottom w:val="nil" w:sz="6" w:space="0" w:color="auto"/>
              <w:right w:val="nil" w:sz="6" w:space="0" w:color="auto"/>
            </w:tcBorders>
          </w:tcPr>
          <w:p>
            <w:pP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金额</w:t>
            </w:r>
          </w:p>
        </w:tc>
        <w:tc>
          <w:tcPr>
            <w:tcW w:w="714" w:type="dxa"/>
            <w:tcBorders>
              <w:top w:val="single" w:sz="4" w:space="0" w:color="000000"/>
              <w:left w:val="nil" w:sz="6" w:space="0" w:color="auto"/>
              <w:bottom w:val="nil" w:sz="6" w:space="0" w:color="auto"/>
              <w:right w:val="nil" w:sz="6" w:space="0" w:color="auto"/>
            </w:tcBorders>
          </w:tcPr>
          <w:p>
            <w:pPr>
              <w:pStyle w:val="TableParagraph"/>
              <w:spacing w:line="206" w:lineRule="exact"/>
              <w:ind w:left="296"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29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8"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6"/>
              <w:jc w:val="right"/>
              <w:rPr>
                <w:rFonts w:ascii="Arial" w:hAnsi="Arial" w:cs="Arial" w:eastAsia="Arial" w:hint="default"/>
                <w:sz w:val="18"/>
                <w:szCs w:val="18"/>
              </w:rPr>
            </w:pPr>
            <w:r>
              <w:rPr>
                <w:rFonts w:ascii="Arial"/>
                <w:spacing w:val="-1"/>
                <w:sz w:val="18"/>
              </w:rPr>
              <w:t>24,662,468</w:t>
            </w:r>
          </w:p>
        </w:tc>
        <w:tc>
          <w:tcPr>
            <w:tcW w:w="14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57" w:right="0"/>
              <w:jc w:val="left"/>
              <w:rPr>
                <w:rFonts w:ascii="Arial" w:hAnsi="Arial" w:cs="Arial" w:eastAsia="Arial" w:hint="default"/>
                <w:sz w:val="18"/>
                <w:szCs w:val="18"/>
              </w:rPr>
            </w:pPr>
            <w:r>
              <w:rPr>
                <w:rFonts w:ascii="Arial"/>
                <w:spacing w:val="-4"/>
                <w:sz w:val="18"/>
              </w:rPr>
              <w:t>(3,111)</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
              <w:jc w:val="right"/>
              <w:rPr>
                <w:rFonts w:ascii="Arial" w:hAnsi="Arial" w:cs="Arial" w:eastAsia="Arial" w:hint="default"/>
                <w:sz w:val="18"/>
                <w:szCs w:val="18"/>
              </w:rPr>
            </w:pPr>
            <w:r>
              <w:rPr>
                <w:rFonts w:ascii="Arial"/>
                <w:spacing w:val="-1"/>
                <w:sz w:val="18"/>
              </w:rPr>
              <w:t>16,989,642</w:t>
            </w:r>
          </w:p>
        </w:tc>
        <w:tc>
          <w:tcPr>
            <w:tcW w:w="13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2"/>
              <w:jc w:val="right"/>
              <w:rPr>
                <w:rFonts w:ascii="Arial" w:hAnsi="Arial" w:cs="Arial" w:eastAsia="Arial" w:hint="default"/>
                <w:sz w:val="18"/>
                <w:szCs w:val="18"/>
              </w:rPr>
            </w:pPr>
            <w:r>
              <w:rPr>
                <w:rFonts w:ascii="Arial"/>
                <w:spacing w:val="-1"/>
                <w:sz w:val="18"/>
              </w:rPr>
              <w:t>(1,640)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17,540</w:t>
            </w:r>
          </w:p>
        </w:tc>
        <w:tc>
          <w:tcPr>
            <w:tcW w:w="14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(1,754)</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w w:val="95"/>
                <w:sz w:val="18"/>
              </w:rPr>
              <w:t>10%</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20,626</w:t>
            </w:r>
          </w:p>
        </w:tc>
        <w:tc>
          <w:tcPr>
            <w:tcW w:w="13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
              <w:jc w:val="right"/>
              <w:rPr>
                <w:rFonts w:ascii="Arial" w:hAnsi="Arial" w:cs="Arial" w:eastAsia="Arial" w:hint="default"/>
                <w:sz w:val="18"/>
                <w:szCs w:val="18"/>
              </w:rPr>
            </w:pPr>
            <w:r>
              <w:rPr>
                <w:rFonts w:ascii="Arial"/>
                <w:spacing w:val="-1"/>
                <w:sz w:val="18"/>
              </w:rPr>
              <w:t>(2,063)</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233"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14,232</w:t>
            </w:r>
          </w:p>
        </w:tc>
        <w:tc>
          <w:tcPr>
            <w:tcW w:w="14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30" w:right="0"/>
              <w:jc w:val="left"/>
              <w:rPr>
                <w:rFonts w:ascii="Arial" w:hAnsi="Arial" w:cs="Arial" w:eastAsia="Arial" w:hint="default"/>
                <w:sz w:val="18"/>
                <w:szCs w:val="18"/>
              </w:rPr>
            </w:pPr>
            <w:r>
              <w:rPr>
                <w:rFonts w:ascii="Arial"/>
                <w:sz w:val="18"/>
              </w:rPr>
              <w:t>(2,846)</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w w:val="95"/>
                <w:sz w:val="18"/>
              </w:rPr>
              <w:t>20%</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3"/>
              <w:jc w:val="right"/>
              <w:rPr>
                <w:rFonts w:ascii="Arial" w:hAnsi="Arial" w:cs="Arial" w:eastAsia="Arial" w:hint="default"/>
                <w:sz w:val="18"/>
                <w:szCs w:val="18"/>
              </w:rPr>
            </w:pPr>
            <w:r>
              <w:rPr>
                <w:rFonts w:ascii="Arial"/>
                <w:spacing w:val="-1"/>
                <w:sz w:val="18"/>
              </w:rPr>
              <w:t>7,697</w:t>
            </w:r>
          </w:p>
        </w:tc>
        <w:tc>
          <w:tcPr>
            <w:tcW w:w="13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2"/>
              <w:jc w:val="right"/>
              <w:rPr>
                <w:rFonts w:ascii="Arial" w:hAnsi="Arial" w:cs="Arial" w:eastAsia="Arial" w:hint="default"/>
                <w:sz w:val="18"/>
                <w:szCs w:val="18"/>
              </w:rPr>
            </w:pPr>
            <w:r>
              <w:rPr>
                <w:rFonts w:ascii="Arial"/>
                <w:spacing w:val="-1"/>
                <w:sz w:val="18"/>
              </w:rPr>
              <w:t>(1,539)</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234"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2,126</w:t>
            </w:r>
          </w:p>
        </w:tc>
        <w:tc>
          <w:tcPr>
            <w:tcW w:w="14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80" w:right="0"/>
              <w:jc w:val="left"/>
              <w:rPr>
                <w:rFonts w:ascii="Arial" w:hAnsi="Arial" w:cs="Arial" w:eastAsia="Arial" w:hint="default"/>
                <w:sz w:val="18"/>
                <w:szCs w:val="18"/>
              </w:rPr>
            </w:pPr>
            <w:r>
              <w:rPr>
                <w:rFonts w:ascii="Arial"/>
                <w:sz w:val="18"/>
              </w:rPr>
              <w:t>(638)</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w w:val="95"/>
                <w:sz w:val="18"/>
              </w:rPr>
              <w:t>30%</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5,651</w:t>
            </w:r>
          </w:p>
        </w:tc>
        <w:tc>
          <w:tcPr>
            <w:tcW w:w="13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
              <w:jc w:val="right"/>
              <w:rPr>
                <w:rFonts w:ascii="Arial" w:hAnsi="Arial" w:cs="Arial" w:eastAsia="Arial" w:hint="default"/>
                <w:sz w:val="18"/>
                <w:szCs w:val="18"/>
              </w:rPr>
            </w:pPr>
            <w:r>
              <w:rPr>
                <w:rFonts w:ascii="Arial"/>
                <w:spacing w:val="-1"/>
                <w:sz w:val="18"/>
              </w:rPr>
              <w:t>(1,695)</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233"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1,055</w:t>
            </w:r>
          </w:p>
        </w:tc>
        <w:tc>
          <w:tcPr>
            <w:tcW w:w="14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80" w:right="0"/>
              <w:jc w:val="left"/>
              <w:rPr>
                <w:rFonts w:ascii="Arial" w:hAnsi="Arial" w:cs="Arial" w:eastAsia="Arial" w:hint="default"/>
                <w:sz w:val="18"/>
                <w:szCs w:val="18"/>
              </w:rPr>
            </w:pPr>
            <w:r>
              <w:rPr>
                <w:rFonts w:ascii="Arial"/>
                <w:sz w:val="18"/>
              </w:rPr>
              <w:t>(633)</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w w:val="95"/>
                <w:sz w:val="18"/>
              </w:rPr>
              <w:t>60%</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w w:val="95"/>
                <w:sz w:val="18"/>
              </w:rPr>
              <w:t>84</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
              <w:jc w:val="right"/>
              <w:rPr>
                <w:rFonts w:ascii="Arial" w:hAnsi="Arial" w:cs="Arial" w:eastAsia="Arial" w:hint="default"/>
                <w:sz w:val="18"/>
                <w:szCs w:val="18"/>
              </w:rPr>
            </w:pPr>
            <w:r>
              <w:rPr>
                <w:rFonts w:ascii="Arial"/>
                <w:spacing w:val="-1"/>
                <w:sz w:val="18"/>
              </w:rPr>
              <w:t>(51)</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6"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344" w:type="dxa"/>
            <w:tcBorders>
              <w:top w:val="nil" w:sz="6" w:space="0" w:color="auto"/>
              <w:left w:val="nil" w:sz="6" w:space="0" w:color="auto"/>
              <w:bottom w:val="nil" w:sz="6" w:space="0" w:color="auto"/>
              <w:right w:val="nil" w:sz="6" w:space="0" w:color="auto"/>
            </w:tcBorders>
          </w:tcPr>
          <w:p>
            <w:pPr>
              <w:pStyle w:val="TableParagraph"/>
              <w:tabs>
                <w:tab w:pos="987" w:val="left" w:leader="none"/>
                <w:tab w:pos="1343"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156</w:t>
              <w:tab/>
            </w:r>
            <w:r>
              <w:rPr>
                <w:rFonts w:ascii="Arial"/>
                <w:spacing w:val="-1"/>
                <w:sz w:val="18"/>
              </w:rPr>
            </w:r>
          </w:p>
        </w:tc>
        <w:tc>
          <w:tcPr>
            <w:tcW w:w="14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tabs>
                <w:tab w:pos="880" w:val="left" w:leader="none"/>
                <w:tab w:pos="1357"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(156)</w:t>
              <w:tab/>
            </w:r>
            <w:r>
              <w:rPr>
                <w:rFonts w:ascii="Arial"/>
                <w:sz w:val="18"/>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
              <w:jc w:val="right"/>
              <w:rPr>
                <w:rFonts w:ascii="Arial" w:hAnsi="Arial" w:cs="Arial" w:eastAsia="Arial" w:hint="default"/>
                <w:sz w:val="18"/>
                <w:szCs w:val="18"/>
              </w:rPr>
            </w:pPr>
            <w:r>
              <w:rPr>
                <w:rFonts w:ascii="Arial"/>
                <w:spacing w:val="-1"/>
                <w:sz w:val="18"/>
              </w:rPr>
              <w:t>100%</w:t>
            </w:r>
          </w:p>
        </w:tc>
        <w:tc>
          <w:tcPr>
            <w:tcW w:w="139"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tabs>
                <w:tab w:pos="1101" w:val="left" w:leader="none"/>
                <w:tab w:pos="1357"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77</w:t>
              <w:tab/>
            </w:r>
            <w:r>
              <w:rPr>
                <w:rFonts w:ascii="Arial"/>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tabs>
                <w:tab w:pos="635" w:val="left" w:leader="none"/>
                <w:tab w:pos="1013"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(77)</w:t>
              <w:tab/>
            </w:r>
            <w:r>
              <w:rPr>
                <w:rFonts w:ascii="Arial"/>
                <w:spacing w:val="-1"/>
                <w:sz w:val="18"/>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100%</w:t>
            </w:r>
          </w:p>
        </w:tc>
      </w:tr>
      <w:tr>
        <w:trPr>
          <w:trHeight w:val="219"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12" w:space="0" w:color="000000"/>
              <w:right w:val="nil" w:sz="6" w:space="0" w:color="auto"/>
            </w:tcBorders>
          </w:tcPr>
          <w:p>
            <w:pPr>
              <w:pStyle w:val="TableParagraph"/>
              <w:spacing w:line="203" w:lineRule="exact"/>
              <w:ind w:right="55"/>
              <w:jc w:val="right"/>
              <w:rPr>
                <w:rFonts w:ascii="Arial" w:hAnsi="Arial" w:cs="Arial" w:eastAsia="Arial" w:hint="default"/>
                <w:sz w:val="18"/>
                <w:szCs w:val="18"/>
              </w:rPr>
            </w:pPr>
            <w:r>
              <w:rPr>
                <w:rFonts w:ascii="Arial"/>
                <w:spacing w:val="-1"/>
                <w:sz w:val="18"/>
              </w:rPr>
              <w:t>24,697,577</w:t>
            </w:r>
          </w:p>
        </w:tc>
        <w:tc>
          <w:tcPr>
            <w:tcW w:w="14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12" w:space="0" w:color="000000"/>
              <w:right w:val="nil" w:sz="6" w:space="0" w:color="auto"/>
            </w:tcBorders>
          </w:tcPr>
          <w:p>
            <w:pPr>
              <w:pStyle w:val="TableParagraph"/>
              <w:spacing w:line="203" w:lineRule="exact"/>
              <w:ind w:left="730" w:right="0"/>
              <w:jc w:val="left"/>
              <w:rPr>
                <w:rFonts w:ascii="Arial" w:hAnsi="Arial" w:cs="Arial" w:eastAsia="Arial" w:hint="default"/>
                <w:sz w:val="18"/>
                <w:szCs w:val="18"/>
              </w:rPr>
            </w:pPr>
            <w:r>
              <w:rPr>
                <w:rFonts w:ascii="Arial"/>
                <w:sz w:val="18"/>
              </w:rPr>
              <w:t>(9,138)</w:t>
            </w:r>
          </w:p>
        </w:tc>
        <w:tc>
          <w:tcPr>
            <w:tcW w:w="2115" w:type="dxa"/>
            <w:gridSpan w:val="3"/>
            <w:tcBorders>
              <w:top w:val="nil" w:sz="6" w:space="0" w:color="auto"/>
              <w:left w:val="nil" w:sz="6" w:space="0" w:color="auto"/>
              <w:bottom w:val="nil" w:sz="6" w:space="0" w:color="auto"/>
              <w:right w:val="nil" w:sz="6" w:space="0" w:color="auto"/>
            </w:tcBorders>
          </w:tcPr>
          <w:p>
            <w:pPr>
              <w:pStyle w:val="TableParagraph"/>
              <w:spacing w:line="203" w:lineRule="exact"/>
              <w:ind w:left="1158" w:right="0"/>
              <w:jc w:val="left"/>
              <w:rPr>
                <w:rFonts w:ascii="Arial" w:hAnsi="Arial" w:cs="Arial" w:eastAsia="Arial" w:hint="default"/>
                <w:sz w:val="18"/>
                <w:szCs w:val="18"/>
              </w:rPr>
            </w:pPr>
            <w:r>
              <w:rPr>
                <w:rFonts w:ascii="Arial"/>
                <w:sz w:val="18"/>
              </w:rPr>
              <w:t>17,023,777</w:t>
            </w:r>
          </w:p>
        </w:tc>
        <w:tc>
          <w:tcPr>
            <w:tcW w:w="13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single" w:sz="12" w:space="0" w:color="000000"/>
              <w:right w:val="nil" w:sz="6" w:space="0" w:color="auto"/>
            </w:tcBorders>
          </w:tcPr>
          <w:p>
            <w:pPr>
              <w:pStyle w:val="TableParagraph"/>
              <w:spacing w:line="203" w:lineRule="exact"/>
              <w:ind w:right="32"/>
              <w:jc w:val="right"/>
              <w:rPr>
                <w:rFonts w:ascii="Arial" w:hAnsi="Arial" w:cs="Arial" w:eastAsia="Arial" w:hint="default"/>
                <w:sz w:val="18"/>
                <w:szCs w:val="18"/>
              </w:rPr>
            </w:pPr>
            <w:r>
              <w:rPr>
                <w:rFonts w:ascii="Arial"/>
                <w:spacing w:val="-1"/>
                <w:sz w:val="18"/>
              </w:rPr>
              <w:t>(7,065)</w:t>
            </w:r>
          </w:p>
        </w:tc>
        <w:tc>
          <w:tcPr>
            <w:tcW w:w="714" w:type="dxa"/>
            <w:tcBorders>
              <w:top w:val="nil" w:sz="6" w:space="0" w:color="auto"/>
              <w:left w:val="nil" w:sz="6" w:space="0" w:color="auto"/>
              <w:bottom w:val="nil" w:sz="6" w:space="0" w:color="auto"/>
              <w:right w:val="nil" w:sz="6" w:space="0" w:color="auto"/>
            </w:tcBorders>
          </w:tcPr>
          <w:p>
            <w:pPr/>
          </w:p>
        </w:tc>
      </w:tr>
      <w:tr>
        <w:trPr>
          <w:trHeight w:val="509"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3" w:right="0"/>
              <w:jc w:val="center"/>
              <w:rPr>
                <w:rFonts w:ascii="Arial" w:hAnsi="Arial" w:cs="Arial" w:eastAsia="Arial" w:hint="default"/>
                <w:sz w:val="24"/>
                <w:szCs w:val="24"/>
              </w:rPr>
            </w:pPr>
            <w:r>
              <w:rPr>
                <w:rFonts w:ascii="Arial"/>
                <w:sz w:val="24"/>
              </w:rPr>
              <w:t>(d)</w:t>
            </w:r>
          </w:p>
        </w:tc>
        <w:tc>
          <w:tcPr>
            <w:tcW w:w="8400"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83"/>
              <w:ind w:left="186" w:right="0"/>
              <w:jc w:val="left"/>
              <w:rPr>
                <w:rFonts w:ascii="宋体" w:hAnsi="宋体" w:cs="宋体" w:eastAsia="宋体" w:hint="default"/>
                <w:sz w:val="24"/>
                <w:szCs w:val="24"/>
              </w:rPr>
            </w:pPr>
            <w:r>
              <w:rPr>
                <w:rFonts w:ascii="宋体" w:hAnsi="宋体" w:cs="宋体" w:eastAsia="宋体" w:hint="default"/>
                <w:sz w:val="24"/>
                <w:szCs w:val="24"/>
              </w:rPr>
              <w:t>本年度实际核销的应收账款约为人民币</w:t>
            </w:r>
            <w:r>
              <w:rPr>
                <w:rFonts w:ascii="宋体" w:hAnsi="宋体" w:cs="宋体" w:eastAsia="宋体" w:hint="default"/>
                <w:spacing w:val="-61"/>
                <w:sz w:val="24"/>
                <w:szCs w:val="24"/>
              </w:rPr>
              <w:t> </w:t>
            </w:r>
            <w:r>
              <w:rPr>
                <w:rFonts w:ascii="Arial" w:hAnsi="Arial" w:cs="Arial" w:eastAsia="Arial" w:hint="default"/>
                <w:sz w:val="24"/>
                <w:szCs w:val="24"/>
              </w:rPr>
              <w:t>1.4</w:t>
            </w:r>
            <w:r>
              <w:rPr>
                <w:rFonts w:ascii="Arial" w:hAnsi="Arial" w:cs="Arial" w:eastAsia="Arial" w:hint="default"/>
                <w:spacing w:val="-8"/>
                <w:sz w:val="24"/>
                <w:szCs w:val="24"/>
              </w:rPr>
              <w:t> </w:t>
            </w:r>
            <w:r>
              <w:rPr>
                <w:rFonts w:ascii="宋体" w:hAnsi="宋体" w:cs="宋体" w:eastAsia="宋体" w:hint="default"/>
                <w:sz w:val="24"/>
                <w:szCs w:val="24"/>
              </w:rPr>
              <w:t>万元，无重要的应收账款被核销。</w:t>
            </w:r>
          </w:p>
        </w:tc>
      </w:tr>
    </w:tbl>
    <w:p>
      <w:pPr>
        <w:spacing w:after="0" w:line="240" w:lineRule="auto"/>
        <w:jc w:val="left"/>
        <w:rPr>
          <w:rFonts w:ascii="宋体" w:hAnsi="宋体" w:cs="宋体" w:eastAsia="宋体" w:hint="default"/>
          <w:sz w:val="24"/>
          <w:szCs w:val="24"/>
        </w:rPr>
        <w:sectPr>
          <w:pgSz w:w="11910" w:h="16840"/>
          <w:pgMar w:header="755" w:footer="914" w:top="1860" w:bottom="110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pStyle w:val="Heading3"/>
        <w:tabs>
          <w:tab w:pos="975" w:val="left" w:leader="none"/>
        </w:tabs>
        <w:spacing w:line="427" w:lineRule="auto" w:before="26"/>
        <w:ind w:left="204" w:right="7090"/>
        <w:jc w:val="left"/>
        <w:rPr>
          <w:rFonts w:ascii="Arial" w:hAnsi="Arial" w:cs="Arial" w:eastAsia="Arial" w:hint="default"/>
        </w:rPr>
      </w:pPr>
      <w:r>
        <w:rPr>
          <w:rFonts w:ascii="黑体" w:hAnsi="黑体" w:cs="黑体" w:eastAsia="黑体" w:hint="default"/>
        </w:rPr>
        <w:t>十七</w:t>
        <w:tab/>
        <w:t>公司财务报表附注</w:t>
      </w:r>
      <w:r>
        <w:rPr>
          <w:rFonts w:ascii="Arial" w:hAnsi="Arial" w:cs="Arial" w:eastAsia="Arial" w:hint="default"/>
        </w:rPr>
        <w:t>(</w:t>
      </w:r>
      <w:r>
        <w:rPr>
          <w:rFonts w:ascii="黑体" w:hAnsi="黑体" w:cs="黑体" w:eastAsia="黑体" w:hint="default"/>
        </w:rPr>
        <w:t>续</w:t>
      </w:r>
      <w:r>
        <w:rPr>
          <w:rFonts w:ascii="Arial" w:hAnsi="Arial" w:cs="Arial" w:eastAsia="Arial" w:hint="default"/>
        </w:rPr>
        <w:t>) </w:t>
      </w:r>
      <w:r>
        <w:rPr>
          <w:rFonts w:ascii="Arial" w:hAnsi="Arial" w:cs="Arial" w:eastAsia="Arial" w:hint="default"/>
          <w:w w:val="95"/>
          <w:position w:val="2"/>
        </w:rPr>
        <w:t>(1)</w:t>
        <w:tab/>
      </w:r>
      <w:r>
        <w:rPr>
          <w:rFonts w:ascii="黑体" w:hAnsi="黑体" w:cs="黑体" w:eastAsia="黑体" w:hint="default"/>
        </w:rPr>
        <w:t>应收账款</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pStyle w:val="Heading3"/>
        <w:tabs>
          <w:tab w:pos="975" w:val="left" w:leader="none"/>
        </w:tabs>
        <w:spacing w:line="240" w:lineRule="auto" w:before="31"/>
        <w:ind w:left="204" w:right="0"/>
        <w:jc w:val="left"/>
      </w:pPr>
      <w:r>
        <w:rPr>
          <w:rFonts w:ascii="Arial" w:hAnsi="Arial" w:cs="Arial" w:eastAsia="Arial" w:hint="default"/>
          <w:w w:val="99"/>
          <w:position w:val="2"/>
        </w:rPr>
        <w:t>(</w:t>
      </w:r>
      <w:r>
        <w:rPr>
          <w:rFonts w:ascii="Arial" w:hAnsi="Arial" w:cs="Arial" w:eastAsia="Arial" w:hint="default"/>
          <w:spacing w:val="-1"/>
          <w:w w:val="99"/>
          <w:position w:val="2"/>
        </w:rPr>
        <w:t>e</w:t>
      </w:r>
      <w:r>
        <w:rPr>
          <w:rFonts w:ascii="Arial" w:hAnsi="Arial" w:cs="Arial" w:eastAsia="Arial" w:hint="default"/>
          <w:w w:val="99"/>
          <w:position w:val="2"/>
        </w:rPr>
        <w:t>)</w:t>
        <w:tab/>
      </w:r>
      <w:r>
        <w:rPr>
          <w:w w:val="99"/>
        </w:rPr>
        <w:t>于</w:t>
      </w:r>
      <w:r>
        <w:rPr>
          <w:spacing w:val="-60"/>
          <w:w w:val="99"/>
        </w:rPr>
        <w:t> </w:t>
      </w:r>
      <w:r>
        <w:rPr>
          <w:rFonts w:ascii="Arial" w:hAnsi="Arial" w:cs="Arial" w:eastAsia="Arial" w:hint="default"/>
          <w:spacing w:val="-1"/>
          <w:w w:val="99"/>
        </w:rPr>
        <w:t>201</w:t>
      </w:r>
      <w:r>
        <w:rPr>
          <w:rFonts w:ascii="Arial" w:hAnsi="Arial" w:cs="Arial" w:eastAsia="Arial" w:hint="default"/>
          <w:w w:val="99"/>
        </w:rPr>
        <w:t>5</w:t>
      </w:r>
      <w:r>
        <w:rPr>
          <w:rFonts w:ascii="Arial" w:hAnsi="Arial" w:cs="Arial" w:eastAsia="Arial" w:hint="default"/>
          <w:spacing w:val="-7"/>
        </w:rPr>
        <w:t> </w:t>
      </w:r>
      <w:r>
        <w:rPr/>
        <w:t>年</w:t>
      </w:r>
      <w:r>
        <w:rPr>
          <w:spacing w:val="-5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7"/>
        </w:rPr>
        <w:t> </w:t>
      </w:r>
      <w:r>
        <w:rPr/>
        <w:t>月</w:t>
      </w:r>
      <w:r>
        <w:rPr>
          <w:spacing w:val="-6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7"/>
        </w:rPr>
        <w:t> </w:t>
      </w:r>
      <w:r>
        <w:rPr>
          <w:spacing w:val="1"/>
        </w:rPr>
        <w:t>日</w:t>
      </w:r>
      <w:r>
        <w:rPr>
          <w:spacing w:val="-99"/>
        </w:rPr>
        <w:t>，</w:t>
      </w:r>
      <w:r>
        <w:rPr/>
        <w:t>按欠款方归集的余额前五名的应收账款汇总分析如下：</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55" w:footer="914" w:top="1860" w:bottom="1100" w:left="1520" w:right="0"/>
        </w:sectPr>
      </w:pPr>
    </w:p>
    <w:p>
      <w:pPr>
        <w:pStyle w:val="Heading3"/>
        <w:spacing w:line="312" w:lineRule="exact" w:before="26"/>
        <w:ind w:left="0" w:right="0"/>
        <w:jc w:val="right"/>
      </w:pPr>
      <w:r>
        <w:rPr/>
        <w:t>坏账准</w:t>
      </w:r>
    </w:p>
    <w:p>
      <w:pPr>
        <w:pStyle w:val="Heading3"/>
        <w:tabs>
          <w:tab w:pos="891" w:val="left" w:leader="none"/>
        </w:tabs>
        <w:spacing w:line="312" w:lineRule="exact"/>
        <w:ind w:left="0" w:right="0"/>
        <w:jc w:val="right"/>
      </w:pPr>
      <w:r>
        <w:rPr/>
        <w:t>余额</w:t>
        <w:tab/>
        <w:t>备金额</w:t>
      </w:r>
    </w:p>
    <w:p>
      <w:pPr>
        <w:pStyle w:val="Heading3"/>
        <w:spacing w:line="310" w:lineRule="exact" w:before="58"/>
        <w:ind w:left="603" w:right="1207" w:hanging="240"/>
        <w:jc w:val="left"/>
      </w:pPr>
      <w:r>
        <w:rPr/>
        <w:br w:type="column"/>
      </w:r>
      <w:r>
        <w:rPr/>
        <w:t>占应收账款余 额总额比例</w:t>
      </w:r>
    </w:p>
    <w:p>
      <w:pPr>
        <w:spacing w:after="0" w:line="310" w:lineRule="exact"/>
        <w:jc w:val="left"/>
        <w:sectPr>
          <w:type w:val="continuous"/>
          <w:pgSz w:w="11910" w:h="16840"/>
          <w:pgMar w:top="1060" w:bottom="1160" w:left="1520" w:right="0"/>
          <w:cols w:num="2" w:equalWidth="0">
            <w:col w:w="7318" w:space="40"/>
            <w:col w:w="3032"/>
          </w:cols>
        </w:sectPr>
      </w:pPr>
    </w:p>
    <w:p>
      <w:pPr>
        <w:spacing w:line="240" w:lineRule="auto" w:before="9"/>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612"/>
        <w:gridCol w:w="3349"/>
        <w:gridCol w:w="5254"/>
      </w:tblGrid>
      <w:tr>
        <w:trPr>
          <w:trHeight w:val="1131" w:hRule="exact"/>
        </w:trPr>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125" w:right="0"/>
              <w:jc w:val="left"/>
              <w:rPr>
                <w:rFonts w:ascii="Arial" w:hAnsi="Arial" w:cs="Arial" w:eastAsia="Arial" w:hint="default"/>
                <w:sz w:val="24"/>
                <w:szCs w:val="24"/>
              </w:rPr>
            </w:pPr>
            <w:r>
              <w:rPr>
                <w:rFonts w:ascii="Arial"/>
                <w:sz w:val="24"/>
              </w:rPr>
              <w:t>(2)</w:t>
            </w: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4" w:right="0"/>
              <w:jc w:val="left"/>
              <w:rPr>
                <w:rFonts w:ascii="宋体" w:hAnsi="宋体" w:cs="宋体" w:eastAsia="宋体" w:hint="default"/>
                <w:sz w:val="24"/>
                <w:szCs w:val="24"/>
              </w:rPr>
            </w:pPr>
            <w:r>
              <w:rPr>
                <w:rFonts w:ascii="宋体" w:hAnsi="宋体" w:cs="宋体" w:eastAsia="宋体" w:hint="default"/>
                <w:sz w:val="24"/>
                <w:szCs w:val="24"/>
              </w:rPr>
              <w:t>余额前五名的应收账款总额</w:t>
            </w: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93" w:right="0"/>
              <w:jc w:val="left"/>
              <w:rPr>
                <w:rFonts w:ascii="黑体" w:hAnsi="黑体" w:cs="黑体" w:eastAsia="黑体" w:hint="default"/>
                <w:sz w:val="24"/>
                <w:szCs w:val="24"/>
              </w:rPr>
            </w:pPr>
            <w:r>
              <w:rPr>
                <w:rFonts w:ascii="黑体" w:hAnsi="黑体" w:cs="黑体" w:eastAsia="黑体" w:hint="default"/>
                <w:sz w:val="24"/>
                <w:szCs w:val="24"/>
              </w:rPr>
              <w:t>其他应收款</w:t>
            </w:r>
          </w:p>
        </w:tc>
        <w:tc>
          <w:tcPr>
            <w:tcW w:w="5254" w:type="dxa"/>
            <w:tcBorders>
              <w:top w:val="nil" w:sz="6" w:space="0" w:color="auto"/>
              <w:left w:val="nil" w:sz="6" w:space="0" w:color="auto"/>
              <w:bottom w:val="nil" w:sz="6" w:space="0" w:color="auto"/>
              <w:right w:val="nil" w:sz="6" w:space="0" w:color="auto"/>
            </w:tcBorders>
          </w:tcPr>
          <w:p>
            <w:pPr>
              <w:pStyle w:val="TableParagraph"/>
              <w:tabs>
                <w:tab w:pos="2491" w:val="left" w:leader="none"/>
                <w:tab w:pos="3935" w:val="left" w:leader="none"/>
                <w:tab w:pos="4547" w:val="left" w:leader="none"/>
              </w:tabs>
              <w:spacing w:line="240" w:lineRule="auto" w:before="98"/>
              <w:ind w:right="4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28"/>
                <w:sz w:val="24"/>
                <w:u w:val="thick" w:color="000000"/>
              </w:rPr>
              <w:t> </w:t>
            </w:r>
            <w:r>
              <w:rPr>
                <w:rFonts w:ascii="Arial"/>
                <w:w w:val="95"/>
                <w:sz w:val="24"/>
                <w:u w:val="thick" w:color="000000"/>
              </w:rPr>
              <w:t>10,799,176</w:t>
              <w:tab/>
            </w:r>
            <w:r>
              <w:rPr>
                <w:rFonts w:ascii="Arial"/>
                <w:sz w:val="24"/>
                <w:u w:val="thick" w:color="000000"/>
              </w:rPr>
              <w:t>-</w:t>
              <w:tab/>
            </w:r>
            <w:r>
              <w:rPr>
                <w:rFonts w:ascii="Arial"/>
                <w:spacing w:val="-1"/>
                <w:sz w:val="24"/>
                <w:u w:val="thick" w:color="000000"/>
              </w:rPr>
              <w:t>44%</w:t>
              <w:tab/>
            </w:r>
            <w:r>
              <w:rPr>
                <w:rFonts w:ascii="Arial"/>
                <w:spacing w:val="-1"/>
                <w:sz w:val="24"/>
              </w:rPr>
            </w:r>
          </w:p>
        </w:tc>
      </w:tr>
      <w:tr>
        <w:trPr>
          <w:trHeight w:val="593"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
        </w:tc>
        <w:tc>
          <w:tcPr>
            <w:tcW w:w="5254" w:type="dxa"/>
            <w:tcBorders>
              <w:top w:val="nil" w:sz="6" w:space="0" w:color="auto"/>
              <w:left w:val="nil" w:sz="6" w:space="0" w:color="auto"/>
              <w:bottom w:val="nil" w:sz="6" w:space="0" w:color="auto"/>
              <w:right w:val="nil" w:sz="6" w:space="0" w:color="auto"/>
            </w:tcBorders>
          </w:tcPr>
          <w:p>
            <w:pPr>
              <w:pStyle w:val="TableParagraph"/>
              <w:tabs>
                <w:tab w:pos="3015" w:val="left" w:leader="none"/>
              </w:tabs>
              <w:spacing w:line="240" w:lineRule="auto" w:before="99"/>
              <w:ind w:left="522"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tab/>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3" w:right="0"/>
              <w:jc w:val="left"/>
              <w:rPr>
                <w:rFonts w:ascii="宋体" w:hAnsi="宋体" w:cs="宋体" w:eastAsia="宋体" w:hint="default"/>
                <w:sz w:val="24"/>
                <w:szCs w:val="24"/>
              </w:rPr>
            </w:pPr>
            <w:r>
              <w:rPr>
                <w:rFonts w:ascii="宋体" w:hAnsi="宋体" w:cs="宋体" w:eastAsia="宋体" w:hint="default"/>
                <w:sz w:val="24"/>
                <w:szCs w:val="24"/>
              </w:rPr>
              <w:t>集团内部往来款项</w:t>
            </w:r>
          </w:p>
        </w:tc>
        <w:tc>
          <w:tcPr>
            <w:tcW w:w="5254" w:type="dxa"/>
            <w:tcBorders>
              <w:top w:val="nil" w:sz="6" w:space="0" w:color="auto"/>
              <w:left w:val="nil" w:sz="6" w:space="0" w:color="auto"/>
              <w:bottom w:val="nil" w:sz="6" w:space="0" w:color="auto"/>
              <w:right w:val="nil" w:sz="6" w:space="0" w:color="auto"/>
            </w:tcBorders>
          </w:tcPr>
          <w:p>
            <w:pPr>
              <w:pStyle w:val="TableParagraph"/>
              <w:tabs>
                <w:tab w:pos="4007" w:val="left" w:leader="none"/>
              </w:tabs>
              <w:spacing w:line="240" w:lineRule="auto" w:before="165"/>
              <w:ind w:left="1494" w:right="0"/>
              <w:jc w:val="left"/>
              <w:rPr>
                <w:rFonts w:ascii="Arial" w:hAnsi="Arial" w:cs="Arial" w:eastAsia="Arial" w:hint="default"/>
                <w:sz w:val="24"/>
                <w:szCs w:val="24"/>
              </w:rPr>
            </w:pPr>
            <w:r>
              <w:rPr>
                <w:rFonts w:ascii="Arial"/>
                <w:w w:val="95"/>
                <w:sz w:val="24"/>
              </w:rPr>
              <w:t>4,507,566</w:t>
              <w:tab/>
            </w:r>
            <w:r>
              <w:rPr>
                <w:rFonts w:ascii="Arial"/>
                <w:sz w:val="24"/>
              </w:rPr>
              <w:t>2,693,442</w:t>
            </w:r>
          </w:p>
        </w:tc>
      </w:tr>
      <w:tr>
        <w:trPr>
          <w:trHeight w:val="311"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保本保收益理财产品</w:t>
            </w:r>
          </w:p>
        </w:tc>
        <w:tc>
          <w:tcPr>
            <w:tcW w:w="5254" w:type="dxa"/>
            <w:tcBorders>
              <w:top w:val="nil" w:sz="6" w:space="0" w:color="auto"/>
              <w:left w:val="nil" w:sz="6" w:space="0" w:color="auto"/>
              <w:bottom w:val="nil" w:sz="6" w:space="0" w:color="auto"/>
              <w:right w:val="nil" w:sz="6" w:space="0" w:color="auto"/>
            </w:tcBorders>
          </w:tcPr>
          <w:p>
            <w:pPr>
              <w:pStyle w:val="TableParagraph"/>
              <w:tabs>
                <w:tab w:pos="4007" w:val="left" w:leader="none"/>
              </w:tabs>
              <w:spacing w:line="240" w:lineRule="auto" w:before="18"/>
              <w:ind w:left="1494" w:right="0"/>
              <w:jc w:val="left"/>
              <w:rPr>
                <w:rFonts w:ascii="Arial" w:hAnsi="Arial" w:cs="Arial" w:eastAsia="Arial" w:hint="default"/>
                <w:sz w:val="24"/>
                <w:szCs w:val="24"/>
              </w:rPr>
            </w:pPr>
            <w:r>
              <w:rPr>
                <w:rFonts w:ascii="Arial"/>
                <w:w w:val="95"/>
                <w:sz w:val="24"/>
              </w:rPr>
              <w:t>2,030,000</w:t>
              <w:tab/>
            </w:r>
            <w:r>
              <w:rPr>
                <w:rFonts w:ascii="Arial"/>
                <w:sz w:val="24"/>
              </w:rPr>
              <w:t>1,220,000</w:t>
            </w:r>
          </w:p>
        </w:tc>
      </w:tr>
      <w:tr>
        <w:trPr>
          <w:trHeight w:val="311"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5254" w:type="dxa"/>
            <w:tcBorders>
              <w:top w:val="nil" w:sz="6" w:space="0" w:color="auto"/>
              <w:left w:val="nil" w:sz="6" w:space="0" w:color="auto"/>
              <w:bottom w:val="nil" w:sz="6" w:space="0" w:color="auto"/>
              <w:right w:val="nil" w:sz="6" w:space="0" w:color="auto"/>
            </w:tcBorders>
          </w:tcPr>
          <w:p>
            <w:pPr>
              <w:pStyle w:val="TableParagraph"/>
              <w:tabs>
                <w:tab w:pos="4341" w:val="left" w:leader="none"/>
              </w:tabs>
              <w:spacing w:line="240" w:lineRule="auto" w:before="18"/>
              <w:ind w:left="1828" w:right="0"/>
              <w:jc w:val="left"/>
              <w:rPr>
                <w:rFonts w:ascii="Arial" w:hAnsi="Arial" w:cs="Arial" w:eastAsia="Arial" w:hint="default"/>
                <w:sz w:val="24"/>
                <w:szCs w:val="24"/>
              </w:rPr>
            </w:pPr>
            <w:r>
              <w:rPr>
                <w:rFonts w:ascii="Arial"/>
                <w:w w:val="95"/>
                <w:sz w:val="24"/>
              </w:rPr>
              <w:t>15,409</w:t>
              <w:tab/>
            </w:r>
            <w:r>
              <w:rPr>
                <w:rFonts w:ascii="Arial"/>
                <w:sz w:val="24"/>
              </w:rPr>
              <w:t>14,698</w:t>
            </w:r>
          </w:p>
        </w:tc>
      </w:tr>
      <w:tr>
        <w:trPr>
          <w:trHeight w:val="312"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5254" w:type="dxa"/>
            <w:tcBorders>
              <w:top w:val="nil" w:sz="6" w:space="0" w:color="auto"/>
              <w:left w:val="nil" w:sz="6" w:space="0" w:color="auto"/>
              <w:bottom w:val="nil" w:sz="6" w:space="0" w:color="auto"/>
              <w:right w:val="nil" w:sz="6" w:space="0" w:color="auto"/>
            </w:tcBorders>
          </w:tcPr>
          <w:p>
            <w:pPr>
              <w:pStyle w:val="TableParagraph"/>
              <w:tabs>
                <w:tab w:pos="4474" w:val="left" w:leader="none"/>
              </w:tabs>
              <w:spacing w:line="240" w:lineRule="auto" w:before="20"/>
              <w:ind w:left="1962" w:right="0"/>
              <w:jc w:val="left"/>
              <w:rPr>
                <w:rFonts w:ascii="Arial" w:hAnsi="Arial" w:cs="Arial" w:eastAsia="Arial" w:hint="default"/>
                <w:sz w:val="24"/>
                <w:szCs w:val="24"/>
              </w:rPr>
            </w:pPr>
            <w:r>
              <w:rPr>
                <w:rFonts w:ascii="Arial"/>
                <w:spacing w:val="-1"/>
                <w:sz w:val="24"/>
              </w:rPr>
              <w:t>4,405</w:t>
              <w:tab/>
              <w:t>3,151</w:t>
            </w:r>
          </w:p>
        </w:tc>
      </w:tr>
      <w:tr>
        <w:trPr>
          <w:trHeight w:val="311"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售后租回交易应收款</w:t>
            </w:r>
          </w:p>
        </w:tc>
        <w:tc>
          <w:tcPr>
            <w:tcW w:w="5254" w:type="dxa"/>
            <w:tcBorders>
              <w:top w:val="nil" w:sz="6" w:space="0" w:color="auto"/>
              <w:left w:val="nil" w:sz="6" w:space="0" w:color="auto"/>
              <w:bottom w:val="nil" w:sz="6" w:space="0" w:color="auto"/>
              <w:right w:val="nil" w:sz="6" w:space="0" w:color="auto"/>
            </w:tcBorders>
          </w:tcPr>
          <w:p>
            <w:pPr>
              <w:pStyle w:val="TableParagraph"/>
              <w:tabs>
                <w:tab w:pos="4208" w:val="left" w:leader="none"/>
              </w:tabs>
              <w:spacing w:line="240" w:lineRule="auto" w:before="18"/>
              <w:ind w:left="2482" w:right="0"/>
              <w:jc w:val="left"/>
              <w:rPr>
                <w:rFonts w:ascii="Arial" w:hAnsi="Arial" w:cs="Arial" w:eastAsia="Arial" w:hint="default"/>
                <w:sz w:val="24"/>
                <w:szCs w:val="24"/>
              </w:rPr>
            </w:pPr>
            <w:r>
              <w:rPr>
                <w:rFonts w:ascii="Arial"/>
                <w:sz w:val="24"/>
              </w:rPr>
              <w:t>-</w:t>
              <w:tab/>
              <w:t>225,700</w:t>
            </w:r>
          </w:p>
        </w:tc>
      </w:tr>
      <w:tr>
        <w:trPr>
          <w:trHeight w:val="313"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5254" w:type="dxa"/>
            <w:tcBorders>
              <w:top w:val="nil" w:sz="6" w:space="0" w:color="auto"/>
              <w:left w:val="nil" w:sz="6" w:space="0" w:color="auto"/>
              <w:bottom w:val="nil" w:sz="6" w:space="0" w:color="auto"/>
              <w:right w:val="nil" w:sz="6" w:space="0" w:color="auto"/>
            </w:tcBorders>
          </w:tcPr>
          <w:p>
            <w:pPr>
              <w:pStyle w:val="TableParagraph"/>
              <w:tabs>
                <w:tab w:pos="1589" w:val="left" w:leader="none"/>
                <w:tab w:pos="2688" w:val="left" w:leader="none"/>
                <w:tab w:pos="4100" w:val="left" w:leader="none"/>
                <w:tab w:pos="4962" w:val="left" w:leader="none"/>
              </w:tabs>
              <w:spacing w:line="240" w:lineRule="auto" w:before="19"/>
              <w:ind w:right="4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44,167</w:t>
            </w:r>
            <w:r>
              <w:rPr>
                <w:rFonts w:ascii="Arial"/>
                <w:w w:val="95"/>
                <w:sz w:val="24"/>
              </w:rPr>
              <w:tab/>
            </w:r>
            <w:r>
              <w:rPr>
                <w:rFonts w:ascii="Arial"/>
                <w:w w:val="95"/>
                <w:sz w:val="24"/>
                <w:u w:val="single" w:color="000000"/>
              </w:rPr>
              <w:t> </w:t>
              <w:tab/>
              <w:t>61,348</w:t>
            </w:r>
            <w:r>
              <w:rPr>
                <w:rFonts w:ascii="Arial"/>
                <w:sz w:val="24"/>
                <w:u w:val="single" w:color="000000"/>
              </w:rPr>
              <w:tab/>
            </w:r>
            <w:r>
              <w:rPr>
                <w:rFonts w:ascii="Arial"/>
                <w:sz w:val="24"/>
              </w:rPr>
            </w:r>
          </w:p>
        </w:tc>
      </w:tr>
      <w:tr>
        <w:trPr>
          <w:trHeight w:val="423"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
        </w:tc>
        <w:tc>
          <w:tcPr>
            <w:tcW w:w="5254" w:type="dxa"/>
            <w:tcBorders>
              <w:top w:val="nil" w:sz="6" w:space="0" w:color="auto"/>
              <w:left w:val="nil" w:sz="6" w:space="0" w:color="auto"/>
              <w:bottom w:val="nil" w:sz="6" w:space="0" w:color="auto"/>
              <w:right w:val="nil" w:sz="6" w:space="0" w:color="auto"/>
            </w:tcBorders>
          </w:tcPr>
          <w:p>
            <w:pPr>
              <w:pStyle w:val="TableParagraph"/>
              <w:tabs>
                <w:tab w:pos="4006" w:val="left" w:leader="none"/>
              </w:tabs>
              <w:spacing w:line="268" w:lineRule="exact"/>
              <w:ind w:left="1494" w:right="0"/>
              <w:jc w:val="left"/>
              <w:rPr>
                <w:rFonts w:ascii="Arial" w:hAnsi="Arial" w:cs="Arial" w:eastAsia="Arial" w:hint="default"/>
                <w:sz w:val="24"/>
                <w:szCs w:val="24"/>
              </w:rPr>
            </w:pPr>
            <w:r>
              <w:rPr>
                <w:rFonts w:ascii="Arial"/>
                <w:w w:val="95"/>
                <w:sz w:val="24"/>
              </w:rPr>
              <w:t>6,601,547</w:t>
              <w:tab/>
            </w:r>
            <w:r>
              <w:rPr>
                <w:rFonts w:ascii="Arial"/>
                <w:sz w:val="24"/>
              </w:rPr>
              <w:t>4,218,339</w:t>
            </w:r>
          </w:p>
        </w:tc>
      </w:tr>
      <w:tr>
        <w:trPr>
          <w:trHeight w:val="450"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93"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5254" w:type="dxa"/>
            <w:tcBorders>
              <w:top w:val="nil" w:sz="6" w:space="0" w:color="auto"/>
              <w:left w:val="nil" w:sz="6" w:space="0" w:color="auto"/>
              <w:bottom w:val="nil" w:sz="6" w:space="0" w:color="auto"/>
              <w:right w:val="nil" w:sz="6" w:space="0" w:color="auto"/>
            </w:tcBorders>
          </w:tcPr>
          <w:p>
            <w:pPr>
              <w:pStyle w:val="TableParagraph"/>
              <w:tabs>
                <w:tab w:pos="1872" w:val="left" w:leader="none"/>
                <w:tab w:pos="2927" w:val="left" w:leader="none"/>
                <w:tab w:pos="4385" w:val="left" w:leader="none"/>
              </w:tabs>
              <w:spacing w:line="240" w:lineRule="auto" w:before="156"/>
              <w:ind w:left="239"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(5,408)</w:t>
            </w:r>
            <w:r>
              <w:rPr>
                <w:rFonts w:ascii="Arial"/>
                <w:w w:val="95"/>
                <w:sz w:val="24"/>
              </w:rPr>
              <w:tab/>
            </w:r>
            <w:r>
              <w:rPr>
                <w:rFonts w:ascii="Arial"/>
                <w:w w:val="95"/>
                <w:sz w:val="24"/>
                <w:u w:val="single" w:color="000000"/>
              </w:rPr>
              <w:t> </w:t>
              <w:tab/>
            </w:r>
            <w:r>
              <w:rPr>
                <w:rFonts w:ascii="Arial"/>
                <w:sz w:val="24"/>
                <w:u w:val="single" w:color="000000"/>
              </w:rPr>
              <w:t>(7,343)</w:t>
            </w:r>
            <w:r>
              <w:rPr>
                <w:rFonts w:ascii="Arial"/>
                <w:sz w:val="24"/>
              </w:rPr>
            </w:r>
          </w:p>
        </w:tc>
      </w:tr>
      <w:tr>
        <w:trPr>
          <w:trHeight w:val="434"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
        </w:tc>
        <w:tc>
          <w:tcPr>
            <w:tcW w:w="5254" w:type="dxa"/>
            <w:tcBorders>
              <w:top w:val="nil" w:sz="6" w:space="0" w:color="auto"/>
              <w:left w:val="nil" w:sz="6" w:space="0" w:color="auto"/>
              <w:bottom w:val="nil" w:sz="6" w:space="0" w:color="auto"/>
              <w:right w:val="nil" w:sz="6" w:space="0" w:color="auto"/>
            </w:tcBorders>
          </w:tcPr>
          <w:p>
            <w:pPr>
              <w:pStyle w:val="TableParagraph"/>
              <w:tabs>
                <w:tab w:pos="1252" w:val="left" w:leader="none"/>
                <w:tab w:pos="2688" w:val="left" w:leader="none"/>
                <w:tab w:pos="3767" w:val="left" w:leader="none"/>
                <w:tab w:pos="4979" w:val="left" w:leader="none"/>
              </w:tabs>
              <w:spacing w:line="269"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6,596,139</w:t>
            </w:r>
            <w:r>
              <w:rPr>
                <w:rFonts w:ascii="Arial"/>
                <w:w w:val="95"/>
                <w:sz w:val="24"/>
              </w:rPr>
              <w:tab/>
            </w:r>
            <w:r>
              <w:rPr>
                <w:rFonts w:ascii="Arial"/>
                <w:w w:val="95"/>
                <w:sz w:val="24"/>
                <w:u w:val="thick" w:color="000000"/>
              </w:rPr>
              <w:t> </w:t>
              <w:tab/>
              <w:t>4,210,996</w:t>
            </w:r>
            <w:r>
              <w:rPr>
                <w:rFonts w:ascii="Arial"/>
                <w:sz w:val="24"/>
                <w:u w:val="thick" w:color="000000"/>
              </w:rPr>
              <w:tab/>
            </w:r>
            <w:r>
              <w:rPr>
                <w:rFonts w:ascii="Arial"/>
                <w:sz w:val="24"/>
              </w:rPr>
            </w:r>
          </w:p>
        </w:tc>
      </w:tr>
      <w:tr>
        <w:trPr>
          <w:trHeight w:val="592" w:hRule="exact"/>
        </w:trPr>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93"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p>
        </w:tc>
        <w:tc>
          <w:tcPr>
            <w:tcW w:w="5254" w:type="dxa"/>
            <w:tcBorders>
              <w:top w:val="nil" w:sz="6" w:space="0" w:color="auto"/>
              <w:left w:val="nil" w:sz="6" w:space="0" w:color="auto"/>
              <w:bottom w:val="nil" w:sz="6" w:space="0" w:color="auto"/>
              <w:right w:val="nil" w:sz="6" w:space="0" w:color="auto"/>
            </w:tcBorders>
          </w:tcPr>
          <w:p>
            <w:pPr/>
          </w:p>
        </w:tc>
      </w:tr>
      <w:tr>
        <w:trPr>
          <w:trHeight w:val="593"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
        </w:tc>
        <w:tc>
          <w:tcPr>
            <w:tcW w:w="5254" w:type="dxa"/>
            <w:tcBorders>
              <w:top w:val="nil" w:sz="6" w:space="0" w:color="auto"/>
              <w:left w:val="nil" w:sz="6" w:space="0" w:color="auto"/>
              <w:bottom w:val="nil" w:sz="6" w:space="0" w:color="auto"/>
              <w:right w:val="nil" w:sz="6" w:space="0" w:color="auto"/>
            </w:tcBorders>
          </w:tcPr>
          <w:p>
            <w:pPr>
              <w:pStyle w:val="TableParagraph"/>
              <w:tabs>
                <w:tab w:pos="3016" w:val="left" w:leader="none"/>
              </w:tabs>
              <w:spacing w:line="240" w:lineRule="auto" w:before="99"/>
              <w:ind w:left="522"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tab/>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3"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5254" w:type="dxa"/>
            <w:tcBorders>
              <w:top w:val="nil" w:sz="6" w:space="0" w:color="auto"/>
              <w:left w:val="nil" w:sz="6" w:space="0" w:color="auto"/>
              <w:bottom w:val="nil" w:sz="6" w:space="0" w:color="auto"/>
              <w:right w:val="nil" w:sz="6" w:space="0" w:color="auto"/>
            </w:tcBorders>
          </w:tcPr>
          <w:p>
            <w:pPr>
              <w:pStyle w:val="TableParagraph"/>
              <w:tabs>
                <w:tab w:pos="3988" w:val="left" w:leader="none"/>
              </w:tabs>
              <w:spacing w:line="240" w:lineRule="auto" w:before="165"/>
              <w:ind w:left="1495" w:right="0"/>
              <w:jc w:val="left"/>
              <w:rPr>
                <w:rFonts w:ascii="Arial" w:hAnsi="Arial" w:cs="Arial" w:eastAsia="Arial" w:hint="default"/>
                <w:sz w:val="24"/>
                <w:szCs w:val="24"/>
              </w:rPr>
            </w:pPr>
            <w:r>
              <w:rPr>
                <w:rFonts w:ascii="Arial"/>
                <w:w w:val="95"/>
                <w:sz w:val="24"/>
              </w:rPr>
              <w:t>6,584,191</w:t>
              <w:tab/>
            </w:r>
            <w:r>
              <w:rPr>
                <w:rFonts w:ascii="Arial"/>
                <w:sz w:val="24"/>
              </w:rPr>
              <w:t>4,198,682</w:t>
            </w:r>
          </w:p>
        </w:tc>
      </w:tr>
      <w:tr>
        <w:trPr>
          <w:trHeight w:val="311"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5254" w:type="dxa"/>
            <w:tcBorders>
              <w:top w:val="nil" w:sz="6" w:space="0" w:color="auto"/>
              <w:left w:val="nil" w:sz="6" w:space="0" w:color="auto"/>
              <w:bottom w:val="nil" w:sz="6" w:space="0" w:color="auto"/>
              <w:right w:val="nil" w:sz="6" w:space="0" w:color="auto"/>
            </w:tcBorders>
          </w:tcPr>
          <w:p>
            <w:pPr>
              <w:pStyle w:val="TableParagraph"/>
              <w:tabs>
                <w:tab w:pos="4323" w:val="left" w:leader="none"/>
              </w:tabs>
              <w:spacing w:line="240" w:lineRule="auto" w:before="18"/>
              <w:ind w:left="1829" w:right="0"/>
              <w:jc w:val="left"/>
              <w:rPr>
                <w:rFonts w:ascii="Arial" w:hAnsi="Arial" w:cs="Arial" w:eastAsia="Arial" w:hint="default"/>
                <w:sz w:val="24"/>
                <w:szCs w:val="24"/>
              </w:rPr>
            </w:pPr>
            <w:r>
              <w:rPr>
                <w:rFonts w:ascii="Arial"/>
                <w:w w:val="95"/>
                <w:sz w:val="24"/>
              </w:rPr>
              <w:t>12,645</w:t>
              <w:tab/>
            </w:r>
            <w:r>
              <w:rPr>
                <w:rFonts w:ascii="Arial"/>
                <w:sz w:val="24"/>
              </w:rPr>
              <w:t>10,790</w:t>
            </w:r>
          </w:p>
        </w:tc>
      </w:tr>
      <w:tr>
        <w:trPr>
          <w:trHeight w:val="311"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5254" w:type="dxa"/>
            <w:tcBorders>
              <w:top w:val="nil" w:sz="6" w:space="0" w:color="auto"/>
              <w:left w:val="nil" w:sz="6" w:space="0" w:color="auto"/>
              <w:bottom w:val="nil" w:sz="6" w:space="0" w:color="auto"/>
              <w:right w:val="nil" w:sz="6" w:space="0" w:color="auto"/>
            </w:tcBorders>
          </w:tcPr>
          <w:p>
            <w:pPr>
              <w:pStyle w:val="TableParagraph"/>
              <w:tabs>
                <w:tab w:pos="4456" w:val="left" w:leader="none"/>
              </w:tabs>
              <w:spacing w:line="240" w:lineRule="auto" w:before="18"/>
              <w:ind w:left="1962" w:right="0"/>
              <w:jc w:val="left"/>
              <w:rPr>
                <w:rFonts w:ascii="Arial" w:hAnsi="Arial" w:cs="Arial" w:eastAsia="Arial" w:hint="default"/>
                <w:sz w:val="24"/>
                <w:szCs w:val="24"/>
              </w:rPr>
            </w:pPr>
            <w:r>
              <w:rPr>
                <w:rFonts w:ascii="Arial"/>
                <w:w w:val="95"/>
                <w:sz w:val="24"/>
              </w:rPr>
              <w:t>2,002</w:t>
              <w:tab/>
            </w:r>
            <w:r>
              <w:rPr>
                <w:rFonts w:ascii="Arial"/>
                <w:sz w:val="24"/>
              </w:rPr>
              <w:t>5,128</w:t>
            </w:r>
          </w:p>
        </w:tc>
      </w:tr>
      <w:tr>
        <w:trPr>
          <w:trHeight w:val="312"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5254" w:type="dxa"/>
            <w:tcBorders>
              <w:top w:val="nil" w:sz="6" w:space="0" w:color="auto"/>
              <w:left w:val="nil" w:sz="6" w:space="0" w:color="auto"/>
              <w:bottom w:val="nil" w:sz="6" w:space="0" w:color="auto"/>
              <w:right w:val="nil" w:sz="6" w:space="0" w:color="auto"/>
            </w:tcBorders>
          </w:tcPr>
          <w:p>
            <w:pPr>
              <w:pStyle w:val="TableParagraph"/>
              <w:tabs>
                <w:tab w:pos="4456" w:val="left" w:leader="none"/>
              </w:tabs>
              <w:spacing w:line="240" w:lineRule="auto" w:before="19"/>
              <w:ind w:left="1962" w:right="0"/>
              <w:jc w:val="left"/>
              <w:rPr>
                <w:rFonts w:ascii="Arial" w:hAnsi="Arial" w:cs="Arial" w:eastAsia="Arial" w:hint="default"/>
                <w:sz w:val="24"/>
                <w:szCs w:val="24"/>
              </w:rPr>
            </w:pPr>
            <w:r>
              <w:rPr>
                <w:rFonts w:ascii="Arial"/>
                <w:w w:val="95"/>
                <w:sz w:val="24"/>
              </w:rPr>
              <w:t>1,018</w:t>
              <w:tab/>
            </w:r>
            <w:r>
              <w:rPr>
                <w:rFonts w:ascii="Arial"/>
                <w:sz w:val="24"/>
              </w:rPr>
              <w:t>3,484</w:t>
            </w:r>
          </w:p>
        </w:tc>
      </w:tr>
      <w:tr>
        <w:trPr>
          <w:trHeight w:val="311"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5254" w:type="dxa"/>
            <w:tcBorders>
              <w:top w:val="nil" w:sz="6" w:space="0" w:color="auto"/>
              <w:left w:val="nil" w:sz="6" w:space="0" w:color="auto"/>
              <w:bottom w:val="nil" w:sz="6" w:space="0" w:color="auto"/>
              <w:right w:val="nil" w:sz="6" w:space="0" w:color="auto"/>
            </w:tcBorders>
          </w:tcPr>
          <w:p>
            <w:pPr>
              <w:pStyle w:val="TableParagraph"/>
              <w:tabs>
                <w:tab w:pos="4656" w:val="left" w:leader="none"/>
              </w:tabs>
              <w:spacing w:line="240" w:lineRule="auto" w:before="18"/>
              <w:ind w:left="1962" w:right="0"/>
              <w:jc w:val="left"/>
              <w:rPr>
                <w:rFonts w:ascii="Arial" w:hAnsi="Arial" w:cs="Arial" w:eastAsia="Arial" w:hint="default"/>
                <w:sz w:val="24"/>
                <w:szCs w:val="24"/>
              </w:rPr>
            </w:pPr>
            <w:r>
              <w:rPr>
                <w:rFonts w:ascii="Arial"/>
                <w:w w:val="95"/>
                <w:sz w:val="24"/>
              </w:rPr>
              <w:t>1,466</w:t>
              <w:tab/>
            </w:r>
            <w:r>
              <w:rPr>
                <w:rFonts w:ascii="Arial"/>
                <w:sz w:val="24"/>
              </w:rPr>
              <w:t>103</w:t>
            </w:r>
          </w:p>
        </w:tc>
      </w:tr>
      <w:tr>
        <w:trPr>
          <w:trHeight w:val="313"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2" w:lineRule="exact"/>
              <w:ind w:left="193"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5254" w:type="dxa"/>
            <w:tcBorders>
              <w:top w:val="nil" w:sz="6" w:space="0" w:color="auto"/>
              <w:left w:val="nil" w:sz="6" w:space="0" w:color="auto"/>
              <w:bottom w:val="nil" w:sz="6" w:space="0" w:color="auto"/>
              <w:right w:val="nil" w:sz="6" w:space="0" w:color="auto"/>
            </w:tcBorders>
          </w:tcPr>
          <w:p>
            <w:pPr>
              <w:pStyle w:val="TableParagraph"/>
              <w:tabs>
                <w:tab w:pos="1922" w:val="left" w:leader="none"/>
                <w:tab w:pos="2661" w:val="left" w:leader="none"/>
                <w:tab w:pos="4417" w:val="left" w:leader="none"/>
                <w:tab w:pos="4943" w:val="left" w:leader="none"/>
              </w:tabs>
              <w:spacing w:line="240" w:lineRule="auto" w:before="19"/>
              <w:ind w:right="7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225</w:t>
            </w:r>
            <w:r>
              <w:rPr>
                <w:rFonts w:ascii="Arial"/>
                <w:spacing w:val="-1"/>
                <w:sz w:val="24"/>
              </w:rPr>
              <w:tab/>
            </w:r>
            <w:r>
              <w:rPr>
                <w:rFonts w:ascii="Arial"/>
                <w:spacing w:val="-1"/>
                <w:sz w:val="24"/>
                <w:u w:val="single" w:color="000000"/>
              </w:rPr>
              <w:t> </w:t>
              <w:tab/>
              <w:t>152</w:t>
              <w:tab/>
            </w:r>
            <w:r>
              <w:rPr>
                <w:rFonts w:ascii="Arial"/>
                <w:spacing w:val="-1"/>
                <w:sz w:val="24"/>
              </w:rPr>
            </w:r>
          </w:p>
        </w:tc>
      </w:tr>
      <w:tr>
        <w:trPr>
          <w:trHeight w:val="363" w:hRule="exact"/>
        </w:trPr>
        <w:tc>
          <w:tcPr>
            <w:tcW w:w="612"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
        </w:tc>
        <w:tc>
          <w:tcPr>
            <w:tcW w:w="5254" w:type="dxa"/>
            <w:tcBorders>
              <w:top w:val="nil" w:sz="6" w:space="0" w:color="auto"/>
              <w:left w:val="nil" w:sz="6" w:space="0" w:color="auto"/>
              <w:bottom w:val="nil" w:sz="6" w:space="0" w:color="auto"/>
              <w:right w:val="nil" w:sz="6" w:space="0" w:color="auto"/>
            </w:tcBorders>
          </w:tcPr>
          <w:p>
            <w:pPr>
              <w:pStyle w:val="TableParagraph"/>
              <w:tabs>
                <w:tab w:pos="1270" w:val="left" w:leader="none"/>
                <w:tab w:pos="3763" w:val="left" w:leader="none"/>
                <w:tab w:pos="4957" w:val="left" w:leader="none"/>
              </w:tabs>
              <w:spacing w:line="268" w:lineRule="exact"/>
              <w:ind w:right="6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6,601,547</w:t>
            </w:r>
            <w:r>
              <w:rPr>
                <w:rFonts w:ascii="Arial"/>
                <w:w w:val="95"/>
                <w:sz w:val="24"/>
              </w:rPr>
            </w:r>
            <w:r>
              <w:rPr>
                <w:rFonts w:ascii="Arial"/>
                <w:w w:val="95"/>
                <w:sz w:val="24"/>
                <w:u w:val="thick" w:color="000000"/>
              </w:rPr>
              <w:t> </w:t>
              <w:tab/>
              <w:t>4,218,339</w:t>
            </w:r>
            <w:r>
              <w:rPr>
                <w:rFonts w:ascii="Arial"/>
                <w:sz w:val="24"/>
                <w:u w:val="thick" w:color="000000"/>
              </w:rPr>
              <w:tab/>
            </w:r>
            <w:r>
              <w:rPr>
                <w:rFonts w:ascii="Arial"/>
                <w:sz w:val="24"/>
              </w:rPr>
            </w:r>
          </w:p>
        </w:tc>
      </w:tr>
    </w:tbl>
    <w:p>
      <w:pPr>
        <w:spacing w:line="240" w:lineRule="auto" w:before="4"/>
        <w:rPr>
          <w:rFonts w:ascii="宋体" w:hAnsi="宋体" w:cs="宋体" w:eastAsia="宋体" w:hint="default"/>
          <w:sz w:val="15"/>
          <w:szCs w:val="15"/>
        </w:rPr>
      </w:pPr>
    </w:p>
    <w:p>
      <w:pPr>
        <w:pStyle w:val="Heading3"/>
        <w:spacing w:line="312" w:lineRule="exact" w:before="56"/>
        <w:ind w:left="919" w:right="1167"/>
        <w:jc w:val="left"/>
      </w:pPr>
      <w:r>
        <w:rPr/>
        <w:t>于</w:t>
      </w:r>
      <w:r>
        <w:rPr>
          <w:spacing w:val="-58"/>
        </w:rPr>
        <w:t> </w:t>
      </w:r>
      <w:r>
        <w:rPr>
          <w:rFonts w:ascii="Arial" w:hAnsi="Arial" w:cs="Arial" w:eastAsia="Arial" w:hint="default"/>
          <w:spacing w:val="-1"/>
          <w:w w:val="99"/>
        </w:rPr>
        <w:t>2015</w:t>
      </w:r>
      <w:r>
        <w:rPr>
          <w:rFonts w:ascii="Arial" w:hAnsi="Arial" w:cs="Arial" w:eastAsia="Arial" w:hint="default"/>
          <w:spacing w:val="-5"/>
          <w:w w:val="99"/>
        </w:rPr>
        <w:t> </w:t>
      </w:r>
      <w:r>
        <w:rPr/>
        <w:t>年</w:t>
      </w:r>
      <w:r>
        <w:rPr>
          <w:spacing w:val="-57"/>
        </w:rPr>
        <w:t> </w:t>
      </w:r>
      <w:r>
        <w:rPr>
          <w:rFonts w:ascii="Arial" w:hAnsi="Arial" w:cs="Arial" w:eastAsia="Arial" w:hint="default"/>
          <w:spacing w:val="-1"/>
          <w:w w:val="99"/>
        </w:rPr>
        <w:t>12</w:t>
      </w:r>
      <w:r>
        <w:rPr>
          <w:rFonts w:ascii="Arial" w:hAnsi="Arial" w:cs="Arial" w:eastAsia="Arial" w:hint="default"/>
          <w:spacing w:val="-5"/>
          <w:w w:val="99"/>
        </w:rPr>
        <w:t> </w:t>
      </w:r>
      <w:r>
        <w:rPr/>
        <w:t>月</w:t>
      </w:r>
      <w:r>
        <w:rPr>
          <w:spacing w:val="-58"/>
        </w:rPr>
        <w:t> </w:t>
      </w:r>
      <w:r>
        <w:rPr>
          <w:rFonts w:ascii="Arial" w:hAnsi="Arial" w:cs="Arial" w:eastAsia="Arial" w:hint="default"/>
          <w:spacing w:val="-1"/>
          <w:w w:val="99"/>
        </w:rPr>
        <w:t>31</w:t>
      </w:r>
      <w:r>
        <w:rPr>
          <w:rFonts w:ascii="Arial" w:hAnsi="Arial" w:cs="Arial" w:eastAsia="Arial" w:hint="default"/>
          <w:spacing w:val="-5"/>
          <w:w w:val="99"/>
        </w:rPr>
        <w:t> </w:t>
      </w:r>
      <w:r>
        <w:rPr>
          <w:spacing w:val="-6"/>
          <w:w w:val="99"/>
        </w:rPr>
        <w:t>日，无已逾期但未减值的其他应收款</w:t>
      </w:r>
      <w:r>
        <w:rPr>
          <w:rFonts w:ascii="Arial" w:hAnsi="Arial" w:cs="Arial" w:eastAsia="Arial" w:hint="default"/>
          <w:spacing w:val="-6"/>
          <w:w w:val="99"/>
        </w:rPr>
        <w:t>(2014 </w:t>
      </w:r>
      <w:r>
        <w:rPr/>
        <w:t>年</w:t>
      </w:r>
      <w:r>
        <w:rPr>
          <w:spacing w:val="-58"/>
        </w:rPr>
        <w:t> </w:t>
      </w:r>
      <w:r>
        <w:rPr>
          <w:rFonts w:ascii="Arial" w:hAnsi="Arial" w:cs="Arial" w:eastAsia="Arial" w:hint="default"/>
          <w:w w:val="99"/>
        </w:rPr>
        <w:t>12</w:t>
      </w:r>
      <w:r>
        <w:rPr>
          <w:rFonts w:ascii="Arial" w:hAnsi="Arial" w:cs="Arial" w:eastAsia="Arial" w:hint="default"/>
          <w:spacing w:val="-5"/>
          <w:w w:val="99"/>
        </w:rPr>
        <w:t> </w:t>
      </w:r>
      <w:r>
        <w:rPr/>
        <w:t>月</w:t>
      </w:r>
      <w:r>
        <w:rPr>
          <w:spacing w:val="-58"/>
        </w:rPr>
        <w:t> </w:t>
      </w:r>
      <w:r>
        <w:rPr>
          <w:rFonts w:ascii="Arial" w:hAnsi="Arial" w:cs="Arial" w:eastAsia="Arial" w:hint="default"/>
          <w:spacing w:val="-1"/>
          <w:w w:val="99"/>
        </w:rPr>
        <w:t>31</w:t>
      </w:r>
      <w:r>
        <w:rPr>
          <w:rFonts w:ascii="Arial" w:hAnsi="Arial" w:cs="Arial" w:eastAsia="Arial" w:hint="default"/>
          <w:spacing w:val="-5"/>
          <w:w w:val="99"/>
        </w:rPr>
        <w:t> </w:t>
      </w:r>
      <w:r>
        <w:rPr>
          <w:spacing w:val="1"/>
        </w:rPr>
        <w:t>日﹕ </w:t>
      </w:r>
      <w:r>
        <w:rPr/>
        <w:t>无</w:t>
      </w:r>
      <w:r>
        <w:rPr>
          <w:rFonts w:ascii="Arial" w:hAnsi="Arial" w:cs="Arial" w:eastAsia="Arial" w:hint="default"/>
        </w:rPr>
        <w:t>)</w:t>
      </w:r>
      <w:r>
        <w:rPr>
          <w:rFonts w:ascii="Arial" w:hAnsi="Arial" w:cs="Arial" w:eastAsia="Arial" w:hint="default"/>
          <w:spacing w:val="53"/>
        </w:rPr>
        <w:t> </w:t>
      </w:r>
      <w:r>
        <w:rPr/>
        <w:t>。</w:t>
      </w:r>
    </w:p>
    <w:p>
      <w:pPr>
        <w:spacing w:after="0" w:line="312" w:lineRule="exact"/>
        <w:jc w:val="left"/>
        <w:sectPr>
          <w:type w:val="continuous"/>
          <w:pgSz w:w="11910" w:h="16840"/>
          <w:pgMar w:top="1060" w:bottom="1160" w:left="15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796"/>
        <w:gridCol w:w="1885"/>
        <w:gridCol w:w="1276"/>
        <w:gridCol w:w="557"/>
        <w:gridCol w:w="128"/>
        <w:gridCol w:w="1175"/>
        <w:gridCol w:w="444"/>
        <w:gridCol w:w="134"/>
        <w:gridCol w:w="936"/>
        <w:gridCol w:w="659"/>
        <w:gridCol w:w="127"/>
        <w:gridCol w:w="901"/>
        <w:gridCol w:w="618"/>
      </w:tblGrid>
      <w:tr>
        <w:trPr>
          <w:trHeight w:val="496"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316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5"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57"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tcPr>
          <w:p>
            <w:pPr/>
          </w:p>
        </w:tc>
      </w:tr>
      <w:tr>
        <w:trPr>
          <w:trHeight w:val="765"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5" w:right="0"/>
              <w:jc w:val="left"/>
              <w:rPr>
                <w:rFonts w:ascii="Arial" w:hAnsi="Arial" w:cs="Arial" w:eastAsia="Arial" w:hint="default"/>
                <w:sz w:val="24"/>
                <w:szCs w:val="24"/>
              </w:rPr>
            </w:pPr>
            <w:r>
              <w:rPr>
                <w:rFonts w:ascii="黑体" w:hAnsi="黑体" w:cs="黑体" w:eastAsia="黑体" w:hint="default"/>
                <w:sz w:val="24"/>
                <w:szCs w:val="24"/>
              </w:rPr>
              <w:t>其他应收款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tcPr>
          <w:p>
            <w:pPr/>
          </w:p>
        </w:tc>
      </w:tr>
      <w:tr>
        <w:trPr>
          <w:trHeight w:val="723"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7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5"/>
              <w:ind w:left="115" w:right="0"/>
              <w:jc w:val="left"/>
              <w:rPr>
                <w:rFonts w:ascii="宋体" w:hAnsi="宋体" w:cs="宋体" w:eastAsia="宋体" w:hint="default"/>
                <w:sz w:val="24"/>
                <w:szCs w:val="24"/>
              </w:rPr>
            </w:pPr>
            <w:r>
              <w:rPr>
                <w:rFonts w:ascii="宋体" w:hAnsi="宋体" w:cs="宋体" w:eastAsia="宋体" w:hint="default"/>
                <w:sz w:val="24"/>
                <w:szCs w:val="24"/>
              </w:rPr>
              <w:t>其他应收款按类别分析如下：</w:t>
            </w:r>
          </w:p>
        </w:tc>
        <w:tc>
          <w:tcPr>
            <w:tcW w:w="128"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tcPr>
          <w:p>
            <w:pPr/>
          </w:p>
        </w:tc>
      </w:tr>
      <w:tr>
        <w:trPr>
          <w:trHeight w:val="466"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313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58"/>
              <w:ind w:left="10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444" w:type="dxa"/>
            <w:tcBorders>
              <w:top w:val="nil" w:sz="6" w:space="0" w:color="auto"/>
              <w:left w:val="nil" w:sz="6" w:space="0" w:color="auto"/>
              <w:bottom w:val="single" w:sz="4" w:space="0" w:color="000000"/>
              <w:right w:val="nil" w:sz="6" w:space="0" w:color="auto"/>
            </w:tcBorders>
          </w:tcPr>
          <w:p>
            <w:pPr/>
          </w:p>
        </w:tc>
        <w:tc>
          <w:tcPr>
            <w:tcW w:w="2758"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58"/>
              <w:ind w:left="97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18" w:type="dxa"/>
            <w:tcBorders>
              <w:top w:val="nil" w:sz="6" w:space="0" w:color="auto"/>
              <w:left w:val="nil" w:sz="6" w:space="0" w:color="auto"/>
              <w:bottom w:val="single" w:sz="4" w:space="0" w:color="000000"/>
              <w:right w:val="nil" w:sz="6" w:space="0" w:color="auto"/>
            </w:tcBorders>
          </w:tcPr>
          <w:p>
            <w:pPr/>
          </w:p>
        </w:tc>
      </w:tr>
      <w:tr>
        <w:trPr>
          <w:trHeight w:val="324"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580" w:right="-25"/>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57" w:type="dxa"/>
            <w:tcBorders>
              <w:top w:val="single" w:sz="4" w:space="0" w:color="000000"/>
              <w:left w:val="nil" w:sz="6" w:space="0" w:color="auto"/>
              <w:bottom w:val="single" w:sz="4" w:space="0" w:color="000000"/>
              <w:right w:val="nil" w:sz="6" w:space="0" w:color="auto"/>
            </w:tcBorders>
          </w:tcPr>
          <w:p>
            <w:pPr/>
          </w:p>
        </w:tc>
        <w:tc>
          <w:tcPr>
            <w:tcW w:w="128" w:type="dxa"/>
            <w:tcBorders>
              <w:top w:val="single" w:sz="4" w:space="0" w:color="000000"/>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77" w:right="-23"/>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44" w:type="dxa"/>
            <w:tcBorders>
              <w:top w:val="single" w:sz="4" w:space="0" w:color="000000"/>
              <w:left w:val="nil" w:sz="6" w:space="0" w:color="auto"/>
              <w:bottom w:val="single" w:sz="4" w:space="0" w:color="000000"/>
              <w:right w:val="nil" w:sz="6" w:space="0" w:color="auto"/>
            </w:tcBorders>
          </w:tcPr>
          <w:p>
            <w:pPr/>
          </w:p>
        </w:tc>
        <w:tc>
          <w:tcPr>
            <w:tcW w:w="172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6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6"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5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5"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6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55" w:right="41" w:hanging="180"/>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28" w:type="dxa"/>
            <w:tcBorders>
              <w:top w:val="nil" w:sz="6" w:space="0" w:color="auto"/>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44"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77" w:right="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34"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91" w:right="5" w:hanging="180"/>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金额</w:t>
            </w:r>
          </w:p>
        </w:tc>
        <w:tc>
          <w:tcPr>
            <w:tcW w:w="61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00" w:right="55"/>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936"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37" w:lineRule="auto" w:before="156"/>
              <w:ind w:left="306" w:right="43" w:hanging="192"/>
              <w:jc w:val="both"/>
              <w:rPr>
                <w:rFonts w:ascii="宋体" w:hAnsi="宋体" w:cs="宋体" w:eastAsia="宋体" w:hint="default"/>
                <w:sz w:val="18"/>
                <w:szCs w:val="18"/>
              </w:rPr>
            </w:pPr>
            <w:r>
              <w:rPr>
                <w:rFonts w:ascii="宋体" w:hAnsi="宋体" w:cs="宋体" w:eastAsia="宋体" w:hint="default"/>
                <w:spacing w:val="9"/>
                <w:sz w:val="18"/>
                <w:szCs w:val="18"/>
              </w:rPr>
              <w:t>单项金额重大并单独</w:t>
            </w:r>
            <w:r>
              <w:rPr>
                <w:rFonts w:ascii="宋体" w:hAnsi="宋体" w:cs="宋体" w:eastAsia="宋体" w:hint="default"/>
                <w:sz w:val="18"/>
                <w:szCs w:val="18"/>
              </w:rPr>
              <w:t> </w:t>
            </w:r>
            <w:r>
              <w:rPr>
                <w:rFonts w:ascii="宋体" w:hAnsi="宋体" w:cs="宋体" w:eastAsia="宋体" w:hint="default"/>
                <w:spacing w:val="11"/>
                <w:sz w:val="18"/>
                <w:szCs w:val="18"/>
              </w:rPr>
              <w:t>计提坏账准备－售</w:t>
            </w:r>
            <w:r>
              <w:rPr>
                <w:rFonts w:ascii="宋体" w:hAnsi="宋体" w:cs="宋体" w:eastAsia="宋体" w:hint="default"/>
                <w:spacing w:val="12"/>
                <w:sz w:val="18"/>
                <w:szCs w:val="18"/>
              </w:rPr>
              <w:t> </w:t>
            </w:r>
            <w:r>
              <w:rPr>
                <w:rFonts w:ascii="宋体" w:hAnsi="宋体" w:cs="宋体" w:eastAsia="宋体" w:hint="default"/>
                <w:sz w:val="18"/>
                <w:szCs w:val="18"/>
              </w:rPr>
              <w:t>后租回交易应收款</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08"/>
              <w:jc w:val="right"/>
              <w:rPr>
                <w:rFonts w:ascii="Arial" w:hAnsi="Arial" w:cs="Arial" w:eastAsia="Arial" w:hint="default"/>
                <w:sz w:val="18"/>
                <w:szCs w:val="18"/>
              </w:rPr>
            </w:pPr>
            <w:r>
              <w:rPr>
                <w:rFonts w:ascii="Arial"/>
                <w:w w:val="99"/>
                <w:sz w:val="18"/>
              </w:rPr>
              <w:t>-</w:t>
            </w:r>
            <w:r>
              <w:rPr>
                <w:rFonts w:ascii="Arial"/>
                <w:sz w:val="18"/>
              </w:rPr>
            </w: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96" w:right="0"/>
              <w:jc w:val="center"/>
              <w:rPr>
                <w:rFonts w:ascii="Arial" w:hAnsi="Arial" w:cs="Arial" w:eastAsia="Arial" w:hint="default"/>
                <w:sz w:val="18"/>
                <w:szCs w:val="18"/>
              </w:rPr>
            </w:pPr>
            <w:r>
              <w:rPr>
                <w:rFonts w:ascii="Arial"/>
                <w:w w:val="99"/>
                <w:sz w:val="18"/>
              </w:rPr>
              <w:t>-</w:t>
            </w:r>
            <w:r>
              <w:rPr>
                <w:rFonts w:ascii="Arial"/>
                <w:sz w:val="18"/>
              </w:rPr>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43"/>
              <w:jc w:val="right"/>
              <w:rPr>
                <w:rFonts w:ascii="Arial" w:hAnsi="Arial" w:cs="Arial" w:eastAsia="Arial" w:hint="default"/>
                <w:sz w:val="18"/>
                <w:szCs w:val="18"/>
              </w:rPr>
            </w:pPr>
            <w:r>
              <w:rPr>
                <w:rFonts w:ascii="Arial"/>
                <w:spacing w:val="-1"/>
                <w:sz w:val="18"/>
              </w:rPr>
              <w:t>225,700</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6"/>
              <w:jc w:val="right"/>
              <w:rPr>
                <w:rFonts w:ascii="Arial" w:hAnsi="Arial" w:cs="Arial" w:eastAsia="Arial" w:hint="default"/>
                <w:sz w:val="18"/>
                <w:szCs w:val="18"/>
              </w:rPr>
            </w:pPr>
            <w:r>
              <w:rPr>
                <w:rFonts w:ascii="Arial"/>
                <w:spacing w:val="-1"/>
                <w:w w:val="95"/>
                <w:sz w:val="18"/>
              </w:rPr>
              <w:t>5%</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15"/>
              <w:jc w:val="right"/>
              <w:rPr>
                <w:rFonts w:ascii="Arial" w:hAnsi="Arial" w:cs="Arial" w:eastAsia="Arial" w:hint="default"/>
                <w:sz w:val="18"/>
                <w:szCs w:val="18"/>
              </w:rPr>
            </w:pPr>
            <w:r>
              <w:rPr>
                <w:rFonts w:ascii="Arial"/>
                <w:w w:val="99"/>
                <w:sz w:val="18"/>
              </w:rPr>
              <w:t>-</w:t>
            </w:r>
            <w:r>
              <w:rPr>
                <w:rFonts w:ascii="Arial"/>
                <w:sz w:val="18"/>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02"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7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tcPr>
          <w:p>
            <w:pPr/>
          </w:p>
        </w:tc>
      </w:tr>
      <w:tr>
        <w:trPr>
          <w:trHeight w:val="559"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8" w:right="58" w:hanging="204"/>
              <w:jc w:val="left"/>
              <w:rPr>
                <w:rFonts w:ascii="宋体" w:hAnsi="宋体" w:cs="宋体" w:eastAsia="宋体" w:hint="default"/>
                <w:sz w:val="18"/>
                <w:szCs w:val="18"/>
              </w:rPr>
            </w:pPr>
            <w:r>
              <w:rPr>
                <w:rFonts w:ascii="宋体" w:hAnsi="宋体" w:cs="宋体" w:eastAsia="宋体" w:hint="default"/>
                <w:spacing w:val="9"/>
                <w:sz w:val="18"/>
                <w:szCs w:val="18"/>
              </w:rPr>
              <w:t>应收保本保收益理财</w:t>
            </w:r>
            <w:r>
              <w:rPr>
                <w:rFonts w:ascii="宋体" w:hAnsi="宋体" w:cs="宋体" w:eastAsia="宋体" w:hint="default"/>
                <w:sz w:val="18"/>
                <w:szCs w:val="18"/>
              </w:rPr>
              <w:t> 产品组合</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65" w:right="0"/>
              <w:jc w:val="left"/>
              <w:rPr>
                <w:rFonts w:ascii="Arial" w:hAnsi="Arial" w:cs="Arial" w:eastAsia="Arial" w:hint="default"/>
                <w:sz w:val="18"/>
                <w:szCs w:val="18"/>
              </w:rPr>
            </w:pPr>
            <w:r>
              <w:rPr>
                <w:rFonts w:ascii="Arial"/>
                <w:sz w:val="18"/>
              </w:rPr>
              <w:t>2,030,000</w:t>
            </w: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Arial" w:hAnsi="Arial" w:cs="Arial" w:eastAsia="Arial" w:hint="default"/>
                <w:sz w:val="18"/>
                <w:szCs w:val="18"/>
              </w:rPr>
            </w:pPr>
            <w:r>
              <w:rPr>
                <w:rFonts w:ascii="Arial"/>
                <w:spacing w:val="-1"/>
                <w:w w:val="95"/>
                <w:sz w:val="18"/>
              </w:rPr>
              <w:t>31%</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96" w:right="0"/>
              <w:jc w:val="center"/>
              <w:rPr>
                <w:rFonts w:ascii="Arial" w:hAnsi="Arial" w:cs="Arial" w:eastAsia="Arial" w:hint="default"/>
                <w:sz w:val="18"/>
                <w:szCs w:val="18"/>
              </w:rPr>
            </w:pPr>
            <w:r>
              <w:rPr>
                <w:rFonts w:ascii="Arial"/>
                <w:w w:val="99"/>
                <w:sz w:val="18"/>
              </w:rPr>
              <w:t>-</w:t>
            </w:r>
            <w:r>
              <w:rPr>
                <w:rFonts w:ascii="Arial"/>
                <w:sz w:val="18"/>
              </w:rPr>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9"/>
              <w:jc w:val="right"/>
              <w:rPr>
                <w:rFonts w:ascii="Arial" w:hAnsi="Arial" w:cs="Arial" w:eastAsia="Arial" w:hint="default"/>
                <w:sz w:val="18"/>
                <w:szCs w:val="18"/>
              </w:rPr>
            </w:pPr>
            <w:r>
              <w:rPr>
                <w:rFonts w:ascii="Arial"/>
                <w:spacing w:val="-1"/>
                <w:sz w:val="18"/>
              </w:rPr>
              <w:t>1,220,000</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29%</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15"/>
              <w:jc w:val="right"/>
              <w:rPr>
                <w:rFonts w:ascii="Arial" w:hAnsi="Arial" w:cs="Arial" w:eastAsia="Arial" w:hint="default"/>
                <w:sz w:val="18"/>
                <w:szCs w:val="18"/>
              </w:rPr>
            </w:pPr>
            <w:r>
              <w:rPr>
                <w:rFonts w:ascii="Arial"/>
                <w:w w:val="99"/>
                <w:sz w:val="18"/>
              </w:rPr>
              <w:t>-</w:t>
            </w:r>
            <w:r>
              <w:rPr>
                <w:rFonts w:ascii="Arial"/>
                <w:sz w:val="18"/>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07"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65" w:right="0"/>
              <w:jc w:val="left"/>
              <w:rPr>
                <w:rFonts w:ascii="Arial" w:hAnsi="Arial" w:cs="Arial" w:eastAsia="Arial" w:hint="default"/>
                <w:sz w:val="18"/>
                <w:szCs w:val="18"/>
              </w:rPr>
            </w:pPr>
            <w:r>
              <w:rPr>
                <w:rFonts w:ascii="Arial"/>
                <w:sz w:val="18"/>
              </w:rPr>
              <w:t>4,571,547</w:t>
            </w:r>
          </w:p>
        </w:tc>
        <w:tc>
          <w:tcPr>
            <w:tcW w:w="55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69%</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88" w:right="0"/>
              <w:jc w:val="left"/>
              <w:rPr>
                <w:rFonts w:ascii="Arial" w:hAnsi="Arial" w:cs="Arial" w:eastAsia="Arial" w:hint="default"/>
                <w:sz w:val="18"/>
                <w:szCs w:val="18"/>
              </w:rPr>
            </w:pPr>
            <w:r>
              <w:rPr>
                <w:rFonts w:ascii="Arial"/>
                <w:sz w:val="18"/>
              </w:rPr>
              <w:t>(5,408)</w:t>
            </w:r>
          </w:p>
        </w:tc>
        <w:tc>
          <w:tcPr>
            <w:tcW w:w="44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3" w:right="55"/>
              <w:jc w:val="right"/>
              <w:rPr>
                <w:rFonts w:ascii="Arial" w:hAnsi="Arial" w:cs="Arial" w:eastAsia="Arial" w:hint="default"/>
                <w:sz w:val="18"/>
                <w:szCs w:val="18"/>
              </w:rPr>
            </w:pPr>
            <w:r>
              <w:rPr>
                <w:rFonts w:ascii="Arial"/>
                <w:spacing w:val="-1"/>
                <w:sz w:val="18"/>
              </w:rPr>
              <w:t>0.1%</w:t>
            </w:r>
          </w:p>
        </w:tc>
        <w:tc>
          <w:tcPr>
            <w:tcW w:w="13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10"/>
              <w:jc w:val="right"/>
              <w:rPr>
                <w:rFonts w:ascii="Arial" w:hAnsi="Arial" w:cs="Arial" w:eastAsia="Arial" w:hint="default"/>
                <w:sz w:val="18"/>
                <w:szCs w:val="18"/>
              </w:rPr>
            </w:pPr>
            <w:r>
              <w:rPr>
                <w:rFonts w:ascii="Arial"/>
                <w:spacing w:val="-1"/>
                <w:sz w:val="18"/>
              </w:rPr>
              <w:t>2,772,639</w:t>
            </w:r>
          </w:p>
        </w:tc>
        <w:tc>
          <w:tcPr>
            <w:tcW w:w="65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66%</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(7,343)</w:t>
            </w:r>
          </w:p>
        </w:tc>
        <w:tc>
          <w:tcPr>
            <w:tcW w:w="61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0.3%</w:t>
            </w:r>
          </w:p>
        </w:tc>
      </w:tr>
      <w:tr>
        <w:trPr>
          <w:trHeight w:val="307"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left="165" w:right="0"/>
              <w:jc w:val="left"/>
              <w:rPr>
                <w:rFonts w:ascii="Arial" w:hAnsi="Arial" w:cs="Arial" w:eastAsia="Arial" w:hint="default"/>
                <w:sz w:val="18"/>
                <w:szCs w:val="18"/>
              </w:rPr>
            </w:pPr>
            <w:r>
              <w:rPr>
                <w:rFonts w:ascii="Arial"/>
                <w:sz w:val="18"/>
              </w:rPr>
              <w:t>6,601,547</w:t>
            </w:r>
          </w:p>
        </w:tc>
        <w:tc>
          <w:tcPr>
            <w:tcW w:w="5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6"/>
              <w:jc w:val="right"/>
              <w:rPr>
                <w:rFonts w:ascii="Arial" w:hAnsi="Arial" w:cs="Arial" w:eastAsia="Arial" w:hint="default"/>
                <w:sz w:val="18"/>
                <w:szCs w:val="18"/>
              </w:rPr>
            </w:pPr>
            <w:r>
              <w:rPr>
                <w:rFonts w:ascii="Arial"/>
                <w:spacing w:val="-1"/>
                <w:sz w:val="18"/>
              </w:rPr>
              <w:t>100%</w:t>
            </w:r>
          </w:p>
        </w:tc>
        <w:tc>
          <w:tcPr>
            <w:tcW w:w="128" w:type="dxa"/>
            <w:tcBorders>
              <w:top w:val="nil" w:sz="6" w:space="0" w:color="auto"/>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left="288" w:right="0"/>
              <w:jc w:val="left"/>
              <w:rPr>
                <w:rFonts w:ascii="Arial" w:hAnsi="Arial" w:cs="Arial" w:eastAsia="Arial" w:hint="default"/>
                <w:sz w:val="18"/>
                <w:szCs w:val="18"/>
              </w:rPr>
            </w:pPr>
            <w:r>
              <w:rPr>
                <w:rFonts w:ascii="Arial"/>
                <w:sz w:val="18"/>
              </w:rPr>
              <w:t>(5,408)</w:t>
            </w:r>
          </w:p>
        </w:tc>
        <w:tc>
          <w:tcPr>
            <w:tcW w:w="444" w:type="dxa"/>
            <w:tcBorders>
              <w:top w:val="single" w:sz="4"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10"/>
              <w:jc w:val="right"/>
              <w:rPr>
                <w:rFonts w:ascii="Arial" w:hAnsi="Arial" w:cs="Arial" w:eastAsia="Arial" w:hint="default"/>
                <w:sz w:val="18"/>
                <w:szCs w:val="18"/>
              </w:rPr>
            </w:pPr>
            <w:r>
              <w:rPr>
                <w:rFonts w:ascii="Arial"/>
                <w:spacing w:val="-1"/>
                <w:sz w:val="18"/>
              </w:rPr>
              <w:t>4,218,339</w:t>
            </w:r>
          </w:p>
        </w:tc>
        <w:tc>
          <w:tcPr>
            <w:tcW w:w="6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6"/>
              <w:jc w:val="right"/>
              <w:rPr>
                <w:rFonts w:ascii="Arial" w:hAnsi="Arial" w:cs="Arial" w:eastAsia="Arial" w:hint="default"/>
                <w:sz w:val="18"/>
                <w:szCs w:val="18"/>
              </w:rPr>
            </w:pPr>
            <w:r>
              <w:rPr>
                <w:rFonts w:ascii="Arial"/>
                <w:spacing w:val="-1"/>
                <w:sz w:val="18"/>
              </w:rPr>
              <w:t>100%</w:t>
            </w: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6"/>
              <w:jc w:val="right"/>
              <w:rPr>
                <w:rFonts w:ascii="Arial" w:hAnsi="Arial" w:cs="Arial" w:eastAsia="Arial" w:hint="default"/>
                <w:sz w:val="18"/>
                <w:szCs w:val="18"/>
              </w:rPr>
            </w:pPr>
            <w:r>
              <w:rPr>
                <w:rFonts w:ascii="Arial"/>
                <w:spacing w:val="-1"/>
                <w:sz w:val="18"/>
              </w:rPr>
              <w:t>(7,343)</w:t>
            </w:r>
          </w:p>
        </w:tc>
        <w:tc>
          <w:tcPr>
            <w:tcW w:w="618"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00"/>
        <w:gridCol w:w="1967"/>
        <w:gridCol w:w="1274"/>
        <w:gridCol w:w="182"/>
        <w:gridCol w:w="1490"/>
        <w:gridCol w:w="636"/>
        <w:gridCol w:w="168"/>
        <w:gridCol w:w="1148"/>
        <w:gridCol w:w="140"/>
        <w:gridCol w:w="1147"/>
        <w:gridCol w:w="785"/>
      </w:tblGrid>
      <w:tr>
        <w:trPr>
          <w:trHeight w:val="772"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8940" w:type="dxa"/>
            <w:gridSpan w:val="10"/>
            <w:tcBorders>
              <w:top w:val="nil" w:sz="6" w:space="0" w:color="auto"/>
              <w:left w:val="nil" w:sz="6" w:space="0" w:color="auto"/>
              <w:bottom w:val="nil" w:sz="6" w:space="0" w:color="auto"/>
              <w:right w:val="nil" w:sz="6" w:space="0" w:color="auto"/>
            </w:tcBorders>
          </w:tcPr>
          <w:p>
            <w:pPr>
              <w:pStyle w:val="TableParagraph"/>
              <w:spacing w:line="245" w:lineRule="exact"/>
              <w:ind w:left="219" w:right="0"/>
              <w:jc w:val="left"/>
              <w:rPr>
                <w:rFonts w:ascii="宋体" w:hAnsi="宋体" w:cs="宋体" w:eastAsia="宋体" w:hint="default"/>
                <w:sz w:val="24"/>
                <w:szCs w:val="24"/>
              </w:rPr>
            </w:pPr>
            <w:r>
              <w:rPr>
                <w:rFonts w:ascii="宋体" w:hAnsi="宋体" w:cs="宋体" w:eastAsia="宋体" w:hint="default"/>
                <w:sz w:val="24"/>
                <w:szCs w:val="24"/>
              </w:rPr>
              <w:t>按应收其他款项组合计提坏账准备的其他应收款中，采用账龄分析法的组合分析如</w:t>
            </w:r>
          </w:p>
          <w:p>
            <w:pPr>
              <w:pStyle w:val="TableParagraph"/>
              <w:spacing w:line="312" w:lineRule="exact"/>
              <w:ind w:left="219" w:right="0"/>
              <w:jc w:val="left"/>
              <w:rPr>
                <w:rFonts w:ascii="宋体" w:hAnsi="宋体" w:cs="宋体" w:eastAsia="宋体" w:hint="default"/>
                <w:sz w:val="24"/>
                <w:szCs w:val="24"/>
              </w:rPr>
            </w:pPr>
            <w:r>
              <w:rPr>
                <w:rFonts w:ascii="宋体" w:hAnsi="宋体" w:cs="宋体" w:eastAsia="宋体" w:hint="default"/>
                <w:sz w:val="24"/>
                <w:szCs w:val="24"/>
              </w:rPr>
              <w:t>下：</w:t>
            </w:r>
          </w:p>
        </w:tc>
      </w:tr>
      <w:tr>
        <w:trPr>
          <w:trHeight w:val="467"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c>
          <w:tcPr>
            <w:tcW w:w="294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9"/>
              <w:ind w:left="1009"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36" w:type="dxa"/>
            <w:tcBorders>
              <w:top w:val="nil" w:sz="6" w:space="0" w:color="auto"/>
              <w:left w:val="nil" w:sz="6" w:space="0" w:color="auto"/>
              <w:bottom w:val="single" w:sz="4" w:space="0" w:color="000000"/>
              <w:right w:val="nil" w:sz="6" w:space="0" w:color="auto"/>
            </w:tcBorders>
          </w:tcPr>
          <w:p>
            <w:pPr/>
          </w:p>
        </w:tc>
        <w:tc>
          <w:tcPr>
            <w:tcW w:w="260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9"/>
              <w:ind w:left="99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85" w:type="dxa"/>
            <w:tcBorders>
              <w:top w:val="nil" w:sz="6" w:space="0" w:color="auto"/>
              <w:left w:val="nil" w:sz="6" w:space="0" w:color="auto"/>
              <w:bottom w:val="single" w:sz="4" w:space="0" w:color="000000"/>
              <w:right w:val="nil" w:sz="6" w:space="0" w:color="auto"/>
            </w:tcBorders>
          </w:tcPr>
          <w:p>
            <w:pPr/>
          </w:p>
        </w:tc>
      </w:tr>
      <w:tr>
        <w:trPr>
          <w:trHeight w:val="324"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 w:type="dxa"/>
            <w:tcBorders>
              <w:top w:val="single" w:sz="4" w:space="0" w:color="000000"/>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7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36" w:type="dxa"/>
            <w:tcBorders>
              <w:top w:val="single" w:sz="4" w:space="0" w:color="000000"/>
              <w:left w:val="nil" w:sz="6" w:space="0" w:color="auto"/>
              <w:bottom w:val="single" w:sz="4"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72"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7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5"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金额</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6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6"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218" w:right="5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金额</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367" w:right="55"/>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468"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1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spacing w:val="-1"/>
                <w:sz w:val="18"/>
              </w:rPr>
              <w:t>4,554,191</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(2,333)</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0.05%</w:t>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spacing w:val="-1"/>
                <w:sz w:val="18"/>
              </w:rPr>
              <w:t>2,752,982</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(3,979)</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0.14%</w:t>
            </w:r>
          </w:p>
        </w:tc>
      </w:tr>
      <w:tr>
        <w:trPr>
          <w:trHeight w:val="314"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spacing w:val="-1"/>
                <w:sz w:val="18"/>
              </w:rPr>
              <w:t>12,645</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06" w:right="0"/>
              <w:jc w:val="left"/>
              <w:rPr>
                <w:rFonts w:ascii="Arial" w:hAnsi="Arial" w:cs="Arial" w:eastAsia="Arial" w:hint="default"/>
                <w:sz w:val="18"/>
                <w:szCs w:val="18"/>
              </w:rPr>
            </w:pPr>
            <w:r>
              <w:rPr>
                <w:rFonts w:ascii="Arial"/>
                <w:sz w:val="18"/>
              </w:rPr>
              <w:t>(1,265)</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
              <w:jc w:val="right"/>
              <w:rPr>
                <w:rFonts w:ascii="Arial" w:hAnsi="Arial" w:cs="Arial" w:eastAsia="Arial" w:hint="default"/>
                <w:sz w:val="18"/>
                <w:szCs w:val="18"/>
              </w:rPr>
            </w:pPr>
            <w:r>
              <w:rPr>
                <w:rFonts w:ascii="Arial"/>
                <w:spacing w:val="-1"/>
                <w:w w:val="95"/>
                <w:sz w:val="18"/>
              </w:rPr>
              <w:t>10%</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
              <w:jc w:val="right"/>
              <w:rPr>
                <w:rFonts w:ascii="Arial" w:hAnsi="Arial" w:cs="Arial" w:eastAsia="Arial" w:hint="default"/>
                <w:sz w:val="18"/>
                <w:szCs w:val="18"/>
              </w:rPr>
            </w:pPr>
            <w:r>
              <w:rPr>
                <w:rFonts w:ascii="Arial"/>
                <w:spacing w:val="-1"/>
                <w:sz w:val="18"/>
              </w:rPr>
              <w:t>10,790</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
              <w:jc w:val="right"/>
              <w:rPr>
                <w:rFonts w:ascii="Arial" w:hAnsi="Arial" w:cs="Arial" w:eastAsia="Arial" w:hint="default"/>
                <w:sz w:val="18"/>
                <w:szCs w:val="18"/>
              </w:rPr>
            </w:pPr>
            <w:r>
              <w:rPr>
                <w:rFonts w:ascii="Arial"/>
                <w:spacing w:val="-1"/>
                <w:sz w:val="18"/>
              </w:rPr>
              <w:t>(1,079)</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313"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2,002</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6" w:right="0"/>
              <w:jc w:val="left"/>
              <w:rPr>
                <w:rFonts w:ascii="Arial" w:hAnsi="Arial" w:cs="Arial" w:eastAsia="Arial" w:hint="default"/>
                <w:sz w:val="18"/>
                <w:szCs w:val="18"/>
              </w:rPr>
            </w:pPr>
            <w:r>
              <w:rPr>
                <w:rFonts w:ascii="Arial"/>
                <w:sz w:val="18"/>
              </w:rPr>
              <w:t>(400)</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w w:val="95"/>
                <w:sz w:val="18"/>
              </w:rPr>
              <w:t>20%</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spacing w:val="-1"/>
                <w:sz w:val="18"/>
              </w:rPr>
              <w:t>5,128</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(1,026)</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313"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1,018</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6" w:right="0"/>
              <w:jc w:val="left"/>
              <w:rPr>
                <w:rFonts w:ascii="Arial" w:hAnsi="Arial" w:cs="Arial" w:eastAsia="Arial" w:hint="default"/>
                <w:sz w:val="18"/>
                <w:szCs w:val="18"/>
              </w:rPr>
            </w:pPr>
            <w:r>
              <w:rPr>
                <w:rFonts w:ascii="Arial"/>
                <w:sz w:val="18"/>
              </w:rPr>
              <w:t>(305)</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w w:val="95"/>
                <w:sz w:val="18"/>
              </w:rPr>
              <w:t>30%</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spacing w:val="-1"/>
                <w:sz w:val="18"/>
              </w:rPr>
              <w:t>3,484</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(1,045)</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313"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1,466</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6" w:right="0"/>
              <w:jc w:val="left"/>
              <w:rPr>
                <w:rFonts w:ascii="Arial" w:hAnsi="Arial" w:cs="Arial" w:eastAsia="Arial" w:hint="default"/>
                <w:sz w:val="18"/>
                <w:szCs w:val="18"/>
              </w:rPr>
            </w:pPr>
            <w:r>
              <w:rPr>
                <w:rFonts w:ascii="Arial"/>
                <w:sz w:val="18"/>
              </w:rPr>
              <w:t>(880)</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w w:val="95"/>
                <w:sz w:val="18"/>
              </w:rPr>
              <w:t>60%</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w w:val="95"/>
                <w:sz w:val="18"/>
              </w:rPr>
              <w:t>103</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(62)</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309"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225</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656" w:right="0"/>
              <w:jc w:val="left"/>
              <w:rPr>
                <w:rFonts w:ascii="Arial" w:hAnsi="Arial" w:cs="Arial" w:eastAsia="Arial" w:hint="default"/>
                <w:sz w:val="18"/>
                <w:szCs w:val="18"/>
              </w:rPr>
            </w:pPr>
            <w:r>
              <w:rPr>
                <w:rFonts w:ascii="Arial"/>
                <w:sz w:val="18"/>
              </w:rPr>
              <w:t>(225)</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100%</w:t>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w w:val="95"/>
                <w:sz w:val="18"/>
              </w:rPr>
              <w:t>152</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(152)</w:t>
            </w:r>
            <w:r>
              <w:rPr>
                <w:rFonts w:ascii="Arial"/>
                <w:sz w:val="18"/>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100%</w:t>
            </w:r>
          </w:p>
        </w:tc>
      </w:tr>
      <w:tr>
        <w:trPr>
          <w:trHeight w:val="307" w:hRule="exact"/>
        </w:trPr>
        <w:tc>
          <w:tcPr>
            <w:tcW w:w="70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4"/>
              <w:jc w:val="right"/>
              <w:rPr>
                <w:rFonts w:ascii="Arial" w:hAnsi="Arial" w:cs="Arial" w:eastAsia="Arial" w:hint="default"/>
                <w:sz w:val="18"/>
                <w:szCs w:val="18"/>
              </w:rPr>
            </w:pPr>
            <w:r>
              <w:rPr>
                <w:rFonts w:ascii="Arial"/>
                <w:spacing w:val="-1"/>
                <w:sz w:val="18"/>
              </w:rPr>
              <w:t>4,571,547</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506" w:right="0"/>
              <w:jc w:val="left"/>
              <w:rPr>
                <w:rFonts w:ascii="Arial" w:hAnsi="Arial" w:cs="Arial" w:eastAsia="Arial" w:hint="default"/>
                <w:sz w:val="18"/>
                <w:szCs w:val="18"/>
              </w:rPr>
            </w:pPr>
            <w:r>
              <w:rPr>
                <w:rFonts w:ascii="Arial"/>
                <w:sz w:val="18"/>
              </w:rPr>
              <w:t>(5,408)</w:t>
            </w:r>
          </w:p>
        </w:tc>
        <w:tc>
          <w:tcPr>
            <w:tcW w:w="636"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4"/>
              <w:jc w:val="right"/>
              <w:rPr>
                <w:rFonts w:ascii="Arial" w:hAnsi="Arial" w:cs="Arial" w:eastAsia="Arial" w:hint="default"/>
                <w:sz w:val="18"/>
                <w:szCs w:val="18"/>
              </w:rPr>
            </w:pPr>
            <w:r>
              <w:rPr>
                <w:rFonts w:ascii="Arial"/>
                <w:spacing w:val="-1"/>
                <w:sz w:val="18"/>
              </w:rPr>
              <w:t>2,772,639</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spacing w:val="-1"/>
                <w:sz w:val="18"/>
              </w:rPr>
              <w:t>(7,343)</w:t>
            </w:r>
          </w:p>
        </w:tc>
        <w:tc>
          <w:tcPr>
            <w:tcW w:w="78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914"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796"/>
        <w:gridCol w:w="8411"/>
      </w:tblGrid>
      <w:tr>
        <w:trPr>
          <w:trHeight w:val="496"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8411"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7"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w:t>
            </w:r>
          </w:p>
        </w:tc>
        <w:tc>
          <w:tcPr>
            <w:tcW w:w="841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6" w:right="0"/>
              <w:jc w:val="left"/>
              <w:rPr>
                <w:rFonts w:ascii="Arial" w:hAnsi="Arial" w:cs="Arial" w:eastAsia="Arial" w:hint="default"/>
                <w:sz w:val="24"/>
                <w:szCs w:val="24"/>
              </w:rPr>
            </w:pPr>
            <w:r>
              <w:rPr>
                <w:rFonts w:ascii="黑体" w:hAnsi="黑体" w:cs="黑体" w:eastAsia="黑体" w:hint="default"/>
                <w:sz w:val="24"/>
                <w:szCs w:val="24"/>
              </w:rPr>
              <w:t>其他应收款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841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6" w:right="0"/>
              <w:jc w:val="left"/>
              <w:rPr>
                <w:rFonts w:ascii="宋体" w:hAnsi="宋体" w:cs="宋体" w:eastAsia="宋体" w:hint="default"/>
                <w:sz w:val="24"/>
                <w:szCs w:val="24"/>
              </w:rPr>
            </w:pPr>
            <w:r>
              <w:rPr>
                <w:rFonts w:ascii="宋体" w:hAnsi="宋体" w:cs="宋体" w:eastAsia="宋体" w:hint="default"/>
                <w:sz w:val="24"/>
                <w:szCs w:val="24"/>
              </w:rPr>
              <w:t>本年度实际核销的其他应收款为人民币</w:t>
            </w:r>
            <w:r>
              <w:rPr>
                <w:rFonts w:ascii="宋体" w:hAnsi="宋体" w:cs="宋体" w:eastAsia="宋体" w:hint="default"/>
                <w:spacing w:val="-62"/>
                <w:sz w:val="24"/>
                <w:szCs w:val="24"/>
              </w:rPr>
              <w:t> </w:t>
            </w:r>
            <w:r>
              <w:rPr>
                <w:rFonts w:ascii="Arial" w:hAnsi="Arial" w:cs="Arial" w:eastAsia="Arial" w:hint="default"/>
                <w:sz w:val="24"/>
                <w:szCs w:val="24"/>
              </w:rPr>
              <w:t>2000</w:t>
            </w:r>
            <w:r>
              <w:rPr>
                <w:rFonts w:ascii="Arial" w:hAnsi="Arial" w:cs="Arial" w:eastAsia="Arial" w:hint="default"/>
                <w:spacing w:val="-8"/>
                <w:sz w:val="24"/>
                <w:szCs w:val="24"/>
              </w:rPr>
              <w:t> </w:t>
            </w:r>
            <w:r>
              <w:rPr>
                <w:rFonts w:ascii="宋体" w:hAnsi="宋体" w:cs="宋体" w:eastAsia="宋体" w:hint="default"/>
                <w:sz w:val="24"/>
                <w:szCs w:val="24"/>
              </w:rPr>
              <w:t>元，无重大的其他应收款核销。</w:t>
            </w:r>
          </w:p>
        </w:tc>
      </w:tr>
    </w:tbl>
    <w:p>
      <w:pPr>
        <w:spacing w:line="240" w:lineRule="auto" w:before="10"/>
        <w:rPr>
          <w:rFonts w:ascii="Times New Roman" w:hAnsi="Times New Roman" w:cs="Times New Roman" w:eastAsia="Times New Roman" w:hint="default"/>
          <w:sz w:val="27"/>
          <w:szCs w:val="27"/>
        </w:rPr>
      </w:pPr>
    </w:p>
    <w:p>
      <w:pPr>
        <w:pStyle w:val="Heading3"/>
        <w:tabs>
          <w:tab w:pos="1025" w:val="left" w:leader="none"/>
        </w:tabs>
        <w:spacing w:line="240" w:lineRule="auto" w:before="33"/>
        <w:ind w:left="305" w:right="0"/>
        <w:jc w:val="left"/>
      </w:pPr>
      <w:r>
        <w:rPr>
          <w:rFonts w:ascii="Arial" w:hAnsi="Arial" w:cs="Arial" w:eastAsia="Arial" w:hint="default"/>
          <w:spacing w:val="-1"/>
          <w:position w:val="2"/>
        </w:rPr>
        <w:t>(e)</w:t>
        <w:tab/>
      </w:r>
      <w:r>
        <w:rPr/>
        <w:t>于</w:t>
      </w:r>
      <w:r>
        <w:rPr>
          <w:spacing w:val="-60"/>
        </w:rPr>
        <w:t> </w:t>
      </w:r>
      <w:r>
        <w:rPr>
          <w:rFonts w:ascii="Arial" w:hAnsi="Arial" w:cs="Arial" w:eastAsia="Arial" w:hint="default"/>
          <w:spacing w:val="-1"/>
        </w:rPr>
        <w:t>2015</w:t>
      </w:r>
      <w:r>
        <w:rPr>
          <w:rFonts w:ascii="Arial" w:hAnsi="Arial" w:cs="Arial" w:eastAsia="Arial" w:hint="default"/>
          <w:spacing w:val="-7"/>
        </w:rPr>
        <w:t> </w:t>
      </w:r>
      <w:r>
        <w:rPr/>
        <w:t>年</w:t>
      </w:r>
      <w:r>
        <w:rPr>
          <w:spacing w:val="-59"/>
        </w:rPr>
        <w:t> </w:t>
      </w:r>
      <w:r>
        <w:rPr>
          <w:rFonts w:ascii="Arial" w:hAnsi="Arial" w:cs="Arial" w:eastAsia="Arial" w:hint="default"/>
          <w:spacing w:val="-1"/>
        </w:rPr>
        <w:t>12</w:t>
      </w:r>
      <w:r>
        <w:rPr>
          <w:rFonts w:ascii="Arial" w:hAnsi="Arial" w:cs="Arial" w:eastAsia="Arial" w:hint="default"/>
          <w:spacing w:val="-7"/>
        </w:rPr>
        <w:t> </w:t>
      </w:r>
      <w:r>
        <w:rPr/>
        <w:t>月</w:t>
      </w:r>
      <w:r>
        <w:rPr>
          <w:spacing w:val="-60"/>
        </w:rPr>
        <w:t> </w:t>
      </w:r>
      <w:r>
        <w:rPr>
          <w:rFonts w:ascii="Arial" w:hAnsi="Arial" w:cs="Arial" w:eastAsia="Arial" w:hint="default"/>
          <w:spacing w:val="-1"/>
        </w:rPr>
        <w:t>31</w:t>
      </w:r>
      <w:r>
        <w:rPr>
          <w:rFonts w:ascii="Arial" w:hAnsi="Arial" w:cs="Arial" w:eastAsia="Arial" w:hint="default"/>
          <w:spacing w:val="-7"/>
        </w:rPr>
        <w:t> </w:t>
      </w:r>
      <w:r>
        <w:rPr/>
        <w:t>日，按欠款方归集的余额前五名的其他应收款分析如下：</w:t>
      </w:r>
    </w:p>
    <w:p>
      <w:pPr>
        <w:spacing w:line="240" w:lineRule="auto" w:before="9"/>
        <w:rPr>
          <w:rFonts w:ascii="宋体" w:hAnsi="宋体" w:cs="宋体" w:eastAsia="宋体" w:hint="default"/>
          <w:sz w:val="23"/>
          <w:szCs w:val="23"/>
        </w:rPr>
      </w:pPr>
    </w:p>
    <w:tbl>
      <w:tblPr>
        <w:tblW w:w="0" w:type="auto"/>
        <w:jc w:val="left"/>
        <w:tblInd w:w="270" w:type="dxa"/>
        <w:tblLayout w:type="fixed"/>
        <w:tblCellMar>
          <w:top w:w="0" w:type="dxa"/>
          <w:left w:w="0" w:type="dxa"/>
          <w:bottom w:w="0" w:type="dxa"/>
          <w:right w:w="0" w:type="dxa"/>
        </w:tblCellMar>
        <w:tblLook w:val="01E0"/>
      </w:tblPr>
      <w:tblGrid>
        <w:gridCol w:w="535"/>
        <w:gridCol w:w="2963"/>
        <w:gridCol w:w="1361"/>
        <w:gridCol w:w="1227"/>
        <w:gridCol w:w="1042"/>
        <w:gridCol w:w="1447"/>
        <w:gridCol w:w="901"/>
      </w:tblGrid>
      <w:tr>
        <w:trPr>
          <w:trHeight w:val="725" w:hRule="exact"/>
        </w:trPr>
        <w:tc>
          <w:tcPr>
            <w:tcW w:w="535" w:type="dxa"/>
            <w:vMerge w:val="restart"/>
            <w:tcBorders>
              <w:top w:val="nil" w:sz="6" w:space="0" w:color="auto"/>
              <w:left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性质</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余额</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账龄</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3" w:right="122" w:hanging="360"/>
              <w:jc w:val="left"/>
              <w:rPr>
                <w:rFonts w:ascii="宋体" w:hAnsi="宋体" w:cs="宋体" w:eastAsia="宋体" w:hint="default"/>
                <w:sz w:val="18"/>
                <w:szCs w:val="18"/>
              </w:rPr>
            </w:pPr>
            <w:r>
              <w:rPr>
                <w:rFonts w:ascii="宋体" w:hAnsi="宋体" w:cs="宋体" w:eastAsia="宋体" w:hint="default"/>
                <w:sz w:val="18"/>
                <w:szCs w:val="18"/>
              </w:rPr>
              <w:t>占其他应收款余 额总额比例</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8" w:hRule="exact"/>
        </w:trPr>
        <w:tc>
          <w:tcPr>
            <w:tcW w:w="535" w:type="dxa"/>
            <w:vMerge/>
            <w:tcBorders>
              <w:left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19"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6"/>
              <w:jc w:val="right"/>
              <w:rPr>
                <w:rFonts w:ascii="Arial" w:hAnsi="Arial" w:cs="Arial" w:eastAsia="Arial" w:hint="default"/>
                <w:sz w:val="18"/>
                <w:szCs w:val="18"/>
              </w:rPr>
            </w:pPr>
            <w:r>
              <w:rPr>
                <w:rFonts w:ascii="Arial"/>
                <w:spacing w:val="-1"/>
                <w:sz w:val="18"/>
              </w:rPr>
              <w:t>2,030,000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4"/>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22"/>
              <w:jc w:val="right"/>
              <w:rPr>
                <w:rFonts w:ascii="Arial" w:hAnsi="Arial" w:cs="Arial" w:eastAsia="Arial" w:hint="default"/>
                <w:sz w:val="18"/>
                <w:szCs w:val="18"/>
              </w:rPr>
            </w:pPr>
            <w:r>
              <w:rPr>
                <w:rFonts w:ascii="Arial"/>
                <w:spacing w:val="-1"/>
                <w:w w:val="95"/>
                <w:sz w:val="18"/>
              </w:rPr>
              <w:t>31%</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535" w:type="dxa"/>
            <w:vMerge/>
            <w:tcBorders>
              <w:left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香港苏宁电器有限公司</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1,087,806</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Arial" w:hAnsi="Arial" w:cs="Arial" w:eastAsia="Arial" w:hint="default"/>
                <w:sz w:val="18"/>
                <w:szCs w:val="18"/>
              </w:rPr>
            </w:pPr>
            <w:r>
              <w:rPr>
                <w:rFonts w:ascii="Arial"/>
                <w:spacing w:val="-1"/>
                <w:w w:val="95"/>
                <w:sz w:val="18"/>
              </w:rPr>
              <w:t>16%</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535" w:type="dxa"/>
            <w:vMerge/>
            <w:tcBorders>
              <w:left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苏宁商业保理有限公司</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787,195</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Arial" w:hAnsi="Arial" w:cs="Arial" w:eastAsia="Arial" w:hint="default"/>
                <w:sz w:val="18"/>
                <w:szCs w:val="18"/>
              </w:rPr>
            </w:pPr>
            <w:r>
              <w:rPr>
                <w:rFonts w:ascii="Arial"/>
                <w:spacing w:val="-1"/>
                <w:w w:val="95"/>
                <w:sz w:val="18"/>
              </w:rPr>
              <w:t>12%</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535" w:type="dxa"/>
            <w:vMerge/>
            <w:tcBorders>
              <w:left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杭州苏宁云商物流有限公司</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777,428</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Arial" w:hAnsi="Arial" w:cs="Arial" w:eastAsia="Arial" w:hint="default"/>
                <w:sz w:val="18"/>
                <w:szCs w:val="18"/>
              </w:rPr>
            </w:pPr>
            <w:r>
              <w:rPr>
                <w:rFonts w:ascii="Arial"/>
                <w:spacing w:val="-1"/>
                <w:w w:val="95"/>
                <w:sz w:val="18"/>
              </w:rPr>
              <w:t>12%</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308" w:hRule="exact"/>
        </w:trPr>
        <w:tc>
          <w:tcPr>
            <w:tcW w:w="535" w:type="dxa"/>
            <w:vMerge/>
            <w:tcBorders>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汕头市苏宁龙湖电器有限公司</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501,203</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21"/>
              <w:jc w:val="right"/>
              <w:rPr>
                <w:rFonts w:ascii="Arial" w:hAnsi="Arial" w:cs="Arial" w:eastAsia="Arial" w:hint="default"/>
                <w:sz w:val="18"/>
                <w:szCs w:val="18"/>
              </w:rPr>
            </w:pPr>
            <w:r>
              <w:rPr>
                <w:rFonts w:ascii="Arial"/>
                <w:spacing w:val="-1"/>
                <w:sz w:val="18"/>
              </w:rPr>
              <w:t>8%</w:t>
            </w:r>
          </w:p>
        </w:tc>
        <w:tc>
          <w:tcPr>
            <w:tcW w:w="901"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307" w:hRule="exact"/>
        </w:trPr>
        <w:tc>
          <w:tcPr>
            <w:tcW w:w="535"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5,183,632</w:t>
            </w:r>
          </w:p>
        </w:tc>
        <w:tc>
          <w:tcPr>
            <w:tcW w:w="1042"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22"/>
              <w:jc w:val="right"/>
              <w:rPr>
                <w:rFonts w:ascii="Arial" w:hAnsi="Arial" w:cs="Arial" w:eastAsia="Arial" w:hint="default"/>
                <w:sz w:val="18"/>
                <w:szCs w:val="18"/>
              </w:rPr>
            </w:pPr>
            <w:r>
              <w:rPr>
                <w:rFonts w:ascii="Arial"/>
                <w:spacing w:val="-1"/>
                <w:w w:val="95"/>
                <w:sz w:val="18"/>
              </w:rPr>
              <w:t>79%</w:t>
            </w:r>
            <w:r>
              <w:rPr>
                <w:rFonts w:ascii="Arial"/>
                <w:sz w:val="18"/>
              </w:rPr>
            </w:r>
          </w:p>
        </w:tc>
        <w:tc>
          <w:tcPr>
            <w:tcW w:w="901" w:type="dxa"/>
            <w:tcBorders>
              <w:top w:val="single" w:sz="2" w:space="0" w:color="000000"/>
              <w:left w:val="nil" w:sz="6" w:space="0" w:color="auto"/>
              <w:bottom w:val="single" w:sz="12" w:space="0" w:color="000000"/>
              <w:right w:val="nil" w:sz="6" w:space="0" w:color="auto"/>
            </w:tcBorders>
          </w:tcPr>
          <w:p>
            <w:pPr>
              <w:pStyle w:val="TableParagraph"/>
              <w:spacing w:line="240" w:lineRule="auto" w:before="41"/>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718"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sz w:val="24"/>
              </w:rPr>
              <w:t>(3)</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6" w:right="0"/>
              <w:jc w:val="left"/>
              <w:rPr>
                <w:rFonts w:ascii="黑体" w:hAnsi="黑体" w:cs="黑体" w:eastAsia="黑体" w:hint="default"/>
                <w:sz w:val="24"/>
                <w:szCs w:val="24"/>
              </w:rPr>
            </w:pPr>
            <w:r>
              <w:rPr>
                <w:rFonts w:ascii="黑体" w:hAnsi="黑体" w:cs="黑体" w:eastAsia="黑体" w:hint="default"/>
                <w:sz w:val="24"/>
                <w:szCs w:val="24"/>
              </w:rPr>
              <w:t>长期股权投资</w:t>
            </w:r>
          </w:p>
        </w:tc>
        <w:tc>
          <w:tcPr>
            <w:tcW w:w="1361" w:type="dxa"/>
            <w:tcBorders>
              <w:top w:val="nil" w:sz="6" w:space="0" w:color="auto"/>
              <w:left w:val="nil" w:sz="6" w:space="0" w:color="auto"/>
              <w:bottom w:val="nil" w:sz="6" w:space="0" w:color="auto"/>
              <w:right w:val="nil" w:sz="6" w:space="0" w:color="auto"/>
            </w:tcBorders>
          </w:tcPr>
          <w:p>
            <w:pPr/>
          </w:p>
        </w:tc>
        <w:tc>
          <w:tcPr>
            <w:tcW w:w="1227" w:type="dxa"/>
            <w:tcBorders>
              <w:top w:val="single" w:sz="12" w:space="0" w:color="000000"/>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447" w:type="dxa"/>
            <w:tcBorders>
              <w:top w:val="single" w:sz="12" w:space="0" w:color="000000"/>
              <w:left w:val="nil" w:sz="6" w:space="0" w:color="auto"/>
              <w:bottom w:val="nil" w:sz="6" w:space="0" w:color="auto"/>
              <w:right w:val="nil" w:sz="6" w:space="0" w:color="auto"/>
            </w:tcBorders>
          </w:tcPr>
          <w:p>
            <w:pPr/>
          </w:p>
        </w:tc>
        <w:tc>
          <w:tcPr>
            <w:tcW w:w="901" w:type="dxa"/>
            <w:tcBorders>
              <w:top w:val="single" w:sz="12" w:space="0" w:color="000000"/>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3"/>
          <w:szCs w:val="23"/>
        </w:rPr>
      </w:pPr>
    </w:p>
    <w:tbl>
      <w:tblPr>
        <w:tblW w:w="0" w:type="auto"/>
        <w:jc w:val="left"/>
        <w:tblInd w:w="270" w:type="dxa"/>
        <w:tblLayout w:type="fixed"/>
        <w:tblCellMar>
          <w:top w:w="0" w:type="dxa"/>
          <w:left w:w="0" w:type="dxa"/>
          <w:bottom w:w="0" w:type="dxa"/>
          <w:right w:w="0" w:type="dxa"/>
        </w:tblCellMar>
        <w:tblLook w:val="01E0"/>
      </w:tblPr>
      <w:tblGrid>
        <w:gridCol w:w="535"/>
        <w:gridCol w:w="4535"/>
        <w:gridCol w:w="1267"/>
        <w:gridCol w:w="138"/>
        <w:gridCol w:w="3000"/>
      </w:tblGrid>
      <w:tr>
        <w:trPr>
          <w:trHeight w:val="1173" w:hRule="exact"/>
        </w:trPr>
        <w:tc>
          <w:tcPr>
            <w:tcW w:w="535" w:type="dxa"/>
            <w:vMerge w:val="restart"/>
            <w:tcBorders>
              <w:top w:val="nil" w:sz="6" w:space="0" w:color="auto"/>
              <w:left w:val="nil" w:sz="6" w:space="0" w:color="auto"/>
              <w:right w:val="nil" w:sz="6" w:space="0" w:color="auto"/>
            </w:tcBorders>
          </w:tcPr>
          <w:p>
            <w:pPr/>
          </w:p>
        </w:tc>
        <w:tc>
          <w:tcPr>
            <w:tcW w:w="45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2"/>
              <w:jc w:val="righ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31"/>
                <w:szCs w:val="31"/>
              </w:rPr>
            </w:pPr>
          </w:p>
          <w:p>
            <w:pPr>
              <w:pStyle w:val="TableParagraph"/>
              <w:spacing w:line="240" w:lineRule="auto"/>
              <w:ind w:left="206"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(a)</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p>
            <w:pPr>
              <w:pStyle w:val="TableParagraph"/>
              <w:spacing w:line="240" w:lineRule="auto" w:before="8"/>
              <w:ind w:right="0"/>
              <w:jc w:val="left"/>
              <w:rPr>
                <w:rFonts w:ascii="宋体" w:hAnsi="宋体" w:cs="宋体" w:eastAsia="宋体" w:hint="default"/>
                <w:sz w:val="34"/>
                <w:szCs w:val="34"/>
              </w:rPr>
            </w:pPr>
          </w:p>
          <w:p>
            <w:pPr>
              <w:pStyle w:val="TableParagraph"/>
              <w:spacing w:line="240" w:lineRule="auto"/>
              <w:ind w:left="7" w:right="0"/>
              <w:jc w:val="left"/>
              <w:rPr>
                <w:rFonts w:ascii="Arial" w:hAnsi="Arial" w:cs="Arial" w:eastAsia="Arial" w:hint="default"/>
                <w:sz w:val="24"/>
                <w:szCs w:val="24"/>
              </w:rPr>
            </w:pPr>
            <w:r>
              <w:rPr>
                <w:rFonts w:ascii="Arial"/>
                <w:sz w:val="24"/>
              </w:rPr>
              <w:t>15,084,571</w:t>
            </w:r>
          </w:p>
        </w:tc>
        <w:tc>
          <w:tcPr>
            <w:tcW w:w="138"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5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3"/>
              <w:ind w:left="1741" w:right="0"/>
              <w:jc w:val="left"/>
              <w:rPr>
                <w:rFonts w:ascii="Arial" w:hAnsi="Arial" w:cs="Arial" w:eastAsia="Arial" w:hint="default"/>
                <w:sz w:val="24"/>
                <w:szCs w:val="24"/>
              </w:rPr>
            </w:pPr>
            <w:r>
              <w:rPr>
                <w:rFonts w:ascii="Arial"/>
                <w:sz w:val="24"/>
              </w:rPr>
              <w:t>14,699,620</w:t>
            </w:r>
          </w:p>
        </w:tc>
      </w:tr>
      <w:tr>
        <w:trPr>
          <w:trHeight w:val="383" w:hRule="exact"/>
        </w:trPr>
        <w:tc>
          <w:tcPr>
            <w:tcW w:w="535" w:type="dxa"/>
            <w:vMerge/>
            <w:tcBorders>
              <w:left w:val="nil" w:sz="6" w:space="0" w:color="auto"/>
              <w:right w:val="nil" w:sz="6" w:space="0" w:color="auto"/>
            </w:tcBorders>
          </w:tcPr>
          <w:p>
            <w:pPr/>
          </w:p>
        </w:tc>
        <w:tc>
          <w:tcPr>
            <w:tcW w:w="4535" w:type="dxa"/>
            <w:tcBorders>
              <w:top w:val="nil" w:sz="6" w:space="0" w:color="auto"/>
              <w:left w:val="nil" w:sz="6" w:space="0" w:color="auto"/>
              <w:bottom w:val="nil" w:sz="6" w:space="0" w:color="auto"/>
              <w:right w:val="nil" w:sz="6" w:space="0" w:color="auto"/>
            </w:tcBorders>
          </w:tcPr>
          <w:p>
            <w:pPr>
              <w:pStyle w:val="TableParagraph"/>
              <w:spacing w:line="323" w:lineRule="exact"/>
              <w:ind w:left="206" w:right="0"/>
              <w:jc w:val="left"/>
              <w:rPr>
                <w:rFonts w:ascii="Arial" w:hAnsi="Arial" w:cs="Arial" w:eastAsia="Arial" w:hint="default"/>
                <w:sz w:val="24"/>
                <w:szCs w:val="24"/>
              </w:rPr>
            </w:pPr>
            <w:r>
              <w:rPr>
                <w:rFonts w:ascii="宋体" w:hAnsi="宋体" w:cs="宋体" w:eastAsia="宋体" w:hint="default"/>
                <w:sz w:val="24"/>
                <w:szCs w:val="24"/>
              </w:rPr>
              <w:t>合营企业</w:t>
            </w:r>
            <w:r>
              <w:rPr>
                <w:rFonts w:ascii="Arial" w:hAnsi="Arial" w:cs="Arial" w:eastAsia="Arial" w:hint="default"/>
                <w:sz w:val="24"/>
                <w:szCs w:val="24"/>
              </w:rPr>
              <w:t>(b)</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Arial" w:hAnsi="Arial" w:cs="Arial" w:eastAsia="Arial" w:hint="default"/>
                <w:sz w:val="24"/>
                <w:szCs w:val="24"/>
              </w:rPr>
            </w:pPr>
            <w:r>
              <w:rPr>
                <w:rFonts w:ascii="Arial"/>
                <w:w w:val="95"/>
                <w:sz w:val="24"/>
              </w:rPr>
              <w:t>19,829</w:t>
            </w:r>
            <w:r>
              <w:rPr>
                <w:rFonts w:ascii="Arial"/>
                <w:sz w:val="24"/>
              </w:rPr>
            </w:r>
          </w:p>
        </w:tc>
        <w:tc>
          <w:tcPr>
            <w:tcW w:w="138"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94" w:hRule="exact"/>
        </w:trPr>
        <w:tc>
          <w:tcPr>
            <w:tcW w:w="535" w:type="dxa"/>
            <w:vMerge/>
            <w:tcBorders>
              <w:left w:val="nil" w:sz="6" w:space="0" w:color="auto"/>
              <w:bottom w:val="nil" w:sz="6" w:space="0" w:color="auto"/>
              <w:right w:val="nil" w:sz="6" w:space="0" w:color="auto"/>
            </w:tcBorders>
          </w:tcPr>
          <w:p>
            <w:pPr/>
          </w:p>
        </w:tc>
        <w:tc>
          <w:tcPr>
            <w:tcW w:w="4535" w:type="dxa"/>
            <w:tcBorders>
              <w:top w:val="nil" w:sz="6" w:space="0" w:color="auto"/>
              <w:left w:val="nil" w:sz="6" w:space="0" w:color="auto"/>
              <w:bottom w:val="single" w:sz="4" w:space="0" w:color="000000"/>
              <w:right w:val="nil" w:sz="6" w:space="0" w:color="auto"/>
            </w:tcBorders>
          </w:tcPr>
          <w:p>
            <w:pPr>
              <w:pStyle w:val="TableParagraph"/>
              <w:spacing w:line="331" w:lineRule="exact"/>
              <w:ind w:left="206" w:right="0"/>
              <w:jc w:val="left"/>
              <w:rPr>
                <w:rFonts w:ascii="Arial" w:hAnsi="Arial" w:cs="Arial" w:eastAsia="Arial" w:hint="default"/>
                <w:sz w:val="24"/>
                <w:szCs w:val="24"/>
              </w:rPr>
            </w:pPr>
            <w:r>
              <w:rPr>
                <w:rFonts w:ascii="宋体" w:hAnsi="宋体" w:cs="宋体" w:eastAsia="宋体" w:hint="default"/>
                <w:sz w:val="24"/>
                <w:szCs w:val="24"/>
              </w:rPr>
              <w:t>联营企业</w:t>
            </w:r>
            <w:r>
              <w:rPr>
                <w:rFonts w:ascii="Arial" w:hAnsi="Arial" w:cs="Arial" w:eastAsia="Arial" w:hint="default"/>
                <w:sz w:val="24"/>
                <w:szCs w:val="24"/>
              </w:rPr>
              <w:t>(c)</w:t>
            </w: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5"/>
              <w:jc w:val="right"/>
              <w:rPr>
                <w:rFonts w:ascii="Arial" w:hAnsi="Arial" w:cs="Arial" w:eastAsia="Arial" w:hint="default"/>
                <w:sz w:val="24"/>
                <w:szCs w:val="24"/>
              </w:rPr>
            </w:pPr>
            <w:r>
              <w:rPr>
                <w:rFonts w:ascii="Arial"/>
                <w:spacing w:val="-1"/>
                <w:sz w:val="24"/>
              </w:rPr>
              <w:t>162,101</w:t>
            </w:r>
          </w:p>
        </w:tc>
        <w:tc>
          <w:tcPr>
            <w:tcW w:w="138"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76" w:hRule="exact"/>
        </w:trPr>
        <w:tc>
          <w:tcPr>
            <w:tcW w:w="535" w:type="dxa"/>
            <w:tcBorders>
              <w:top w:val="nil" w:sz="6" w:space="0" w:color="auto"/>
              <w:left w:val="nil" w:sz="6" w:space="0" w:color="auto"/>
              <w:bottom w:val="nil" w:sz="6" w:space="0" w:color="auto"/>
              <w:right w:val="nil" w:sz="6" w:space="0" w:color="auto"/>
            </w:tcBorders>
          </w:tcPr>
          <w:p>
            <w:pPr/>
          </w:p>
        </w:tc>
        <w:tc>
          <w:tcPr>
            <w:tcW w:w="4535" w:type="dxa"/>
            <w:tcBorders>
              <w:top w:val="single" w:sz="4" w:space="0" w:color="000000"/>
              <w:left w:val="nil" w:sz="6" w:space="0" w:color="auto"/>
              <w:bottom w:val="single" w:sz="12" w:space="0" w:color="000000"/>
              <w:right w:val="nil" w:sz="6" w:space="0" w:color="auto"/>
            </w:tcBorders>
          </w:tcPr>
          <w:p>
            <w:pPr/>
          </w:p>
        </w:tc>
        <w:tc>
          <w:tcPr>
            <w:tcW w:w="12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6"/>
              <w:jc w:val="right"/>
              <w:rPr>
                <w:rFonts w:ascii="Arial" w:hAnsi="Arial" w:cs="Arial" w:eastAsia="Arial" w:hint="default"/>
                <w:sz w:val="24"/>
                <w:szCs w:val="24"/>
              </w:rPr>
            </w:pPr>
            <w:r>
              <w:rPr>
                <w:rFonts w:ascii="Arial"/>
                <w:w w:val="95"/>
                <w:sz w:val="24"/>
              </w:rPr>
              <w:t>15,266,501</w:t>
            </w:r>
            <w:r>
              <w:rPr>
                <w:rFonts w:ascii="Arial"/>
                <w:sz w:val="24"/>
              </w:rPr>
            </w:r>
          </w:p>
        </w:tc>
        <w:tc>
          <w:tcPr>
            <w:tcW w:w="138" w:type="dxa"/>
            <w:tcBorders>
              <w:top w:val="nil" w:sz="6" w:space="0" w:color="auto"/>
              <w:left w:val="nil" w:sz="6" w:space="0" w:color="auto"/>
              <w:bottom w:val="nil" w:sz="6" w:space="0" w:color="auto"/>
              <w:right w:val="nil" w:sz="6" w:space="0" w:color="auto"/>
            </w:tcBorders>
          </w:tcPr>
          <w:p>
            <w:pPr/>
          </w:p>
        </w:tc>
        <w:tc>
          <w:tcPr>
            <w:tcW w:w="30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6"/>
              <w:jc w:val="right"/>
              <w:rPr>
                <w:rFonts w:ascii="Arial" w:hAnsi="Arial" w:cs="Arial" w:eastAsia="Arial" w:hint="default"/>
                <w:sz w:val="24"/>
                <w:szCs w:val="24"/>
              </w:rPr>
            </w:pPr>
            <w:r>
              <w:rPr>
                <w:rFonts w:ascii="Arial"/>
                <w:spacing w:val="-1"/>
                <w:sz w:val="24"/>
              </w:rPr>
              <w:t>14,699,620</w:t>
            </w:r>
          </w:p>
        </w:tc>
      </w:tr>
      <w:tr>
        <w:trPr>
          <w:trHeight w:val="787" w:hRule="exact"/>
        </w:trPr>
        <w:tc>
          <w:tcPr>
            <w:tcW w:w="535" w:type="dxa"/>
            <w:tcBorders>
              <w:top w:val="nil" w:sz="6" w:space="0" w:color="auto"/>
              <w:left w:val="nil" w:sz="6" w:space="0" w:color="auto"/>
              <w:bottom w:val="nil" w:sz="6" w:space="0" w:color="auto"/>
              <w:right w:val="nil" w:sz="6" w:space="0" w:color="auto"/>
            </w:tcBorders>
          </w:tcPr>
          <w:p>
            <w:pPr/>
          </w:p>
        </w:tc>
        <w:tc>
          <w:tcPr>
            <w:tcW w:w="4535"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06" w:right="0"/>
              <w:jc w:val="left"/>
              <w:rPr>
                <w:rFonts w:ascii="宋体" w:hAnsi="宋体" w:cs="宋体" w:eastAsia="宋体" w:hint="default"/>
                <w:sz w:val="24"/>
                <w:szCs w:val="24"/>
              </w:rPr>
            </w:pPr>
            <w:r>
              <w:rPr>
                <w:rFonts w:ascii="宋体" w:hAnsi="宋体" w:cs="宋体" w:eastAsia="宋体" w:hint="default"/>
                <w:sz w:val="24"/>
                <w:szCs w:val="24"/>
              </w:rPr>
              <w:t>本公司不存在长期投资变现的重大限制。</w:t>
            </w:r>
          </w:p>
        </w:tc>
        <w:tc>
          <w:tcPr>
            <w:tcW w:w="1267" w:type="dxa"/>
            <w:tcBorders>
              <w:top w:val="single" w:sz="12"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3000"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755" w:footer="914" w:top="1860" w:bottom="1100" w:left="142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59"/>
        <w:gridCol w:w="2963"/>
        <w:gridCol w:w="1335"/>
        <w:gridCol w:w="1382"/>
        <w:gridCol w:w="1463"/>
        <w:gridCol w:w="1715"/>
        <w:gridCol w:w="846"/>
        <w:gridCol w:w="1829"/>
        <w:gridCol w:w="1130"/>
        <w:gridCol w:w="1751"/>
      </w:tblGrid>
      <w:tr>
        <w:trPr>
          <w:trHeight w:val="416"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2963" w:type="dxa"/>
            <w:tcBorders>
              <w:top w:val="nil" w:sz="6" w:space="0" w:color="auto"/>
              <w:left w:val="nil" w:sz="6" w:space="0" w:color="auto"/>
              <w:bottom w:val="nil" w:sz="6" w:space="0" w:color="auto"/>
              <w:right w:val="nil" w:sz="6" w:space="0" w:color="auto"/>
            </w:tcBorders>
          </w:tcPr>
          <w:p>
            <w:pPr>
              <w:pStyle w:val="TableParagraph"/>
              <w:spacing w:line="257" w:lineRule="exact"/>
              <w:ind w:left="7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35"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r>
      <w:tr>
        <w:trPr>
          <w:trHeight w:val="588"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35"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r>
      <w:tr>
        <w:trPr>
          <w:trHeight w:val="625"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8"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335"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r>
      <w:tr>
        <w:trPr>
          <w:trHeight w:val="427"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4" w:space="0" w:color="000000"/>
              <w:right w:val="nil" w:sz="6" w:space="0" w:color="auto"/>
            </w:tcBorders>
          </w:tcPr>
          <w:p>
            <w:pPr/>
          </w:p>
        </w:tc>
        <w:tc>
          <w:tcPr>
            <w:tcW w:w="31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8"/>
              <w:ind w:left="780"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46" w:type="dxa"/>
            <w:tcBorders>
              <w:top w:val="nil" w:sz="6" w:space="0" w:color="auto"/>
              <w:left w:val="nil" w:sz="6" w:space="0" w:color="auto"/>
              <w:bottom w:val="single" w:sz="4" w:space="0" w:color="000000"/>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r>
      <w:tr>
        <w:trPr>
          <w:trHeight w:val="635"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16" w:lineRule="exact"/>
              <w:ind w:left="53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26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处置投资</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55"/>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8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829" w:type="dxa"/>
            <w:tcBorders>
              <w:top w:val="nil" w:sz="6" w:space="0" w:color="auto"/>
              <w:left w:val="nil" w:sz="6" w:space="0" w:color="auto"/>
              <w:bottom w:val="nil" w:sz="6" w:space="0" w:color="auto"/>
              <w:right w:val="nil" w:sz="6" w:space="0" w:color="auto"/>
            </w:tcBorders>
          </w:tcPr>
          <w:p>
            <w:pPr>
              <w:pStyle w:val="TableParagraph"/>
              <w:spacing w:line="216" w:lineRule="exact"/>
              <w:ind w:left="905"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6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0" w:type="dxa"/>
            <w:tcBorders>
              <w:top w:val="nil" w:sz="6" w:space="0" w:color="auto"/>
              <w:left w:val="nil" w:sz="6" w:space="0" w:color="auto"/>
              <w:bottom w:val="nil" w:sz="6" w:space="0" w:color="auto"/>
              <w:right w:val="nil" w:sz="6" w:space="0" w:color="auto"/>
            </w:tcBorders>
          </w:tcPr>
          <w:p>
            <w:pPr>
              <w:pStyle w:val="TableParagraph"/>
              <w:spacing w:line="209" w:lineRule="exact"/>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29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51" w:type="dxa"/>
            <w:tcBorders>
              <w:top w:val="nil" w:sz="6" w:space="0" w:color="auto"/>
              <w:left w:val="nil" w:sz="6" w:space="0" w:color="auto"/>
              <w:bottom w:val="nil" w:sz="6" w:space="0" w:color="auto"/>
              <w:right w:val="nil" w:sz="6" w:space="0" w:color="auto"/>
            </w:tcBorders>
          </w:tcPr>
          <w:p>
            <w:pPr>
              <w:pStyle w:val="TableParagraph"/>
              <w:spacing w:line="209" w:lineRule="exact"/>
              <w:ind w:left="110"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10"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421"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8" w:right="0"/>
              <w:jc w:val="left"/>
              <w:rPr>
                <w:rFonts w:ascii="宋体" w:hAnsi="宋体" w:cs="宋体" w:eastAsia="宋体" w:hint="default"/>
                <w:sz w:val="18"/>
                <w:szCs w:val="18"/>
              </w:rPr>
            </w:pPr>
            <w:r>
              <w:rPr>
                <w:rFonts w:ascii="宋体" w:hAnsi="宋体" w:cs="宋体" w:eastAsia="宋体" w:hint="default"/>
                <w:sz w:val="18"/>
                <w:szCs w:val="18"/>
              </w:rPr>
              <w:t>香港苏宁电器有限公司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8"/>
              <w:jc w:val="right"/>
              <w:rPr>
                <w:rFonts w:ascii="Arial" w:hAnsi="Arial" w:cs="Arial" w:eastAsia="Arial" w:hint="default"/>
                <w:sz w:val="18"/>
                <w:szCs w:val="18"/>
              </w:rPr>
            </w:pPr>
            <w:r>
              <w:rPr>
                <w:rFonts w:ascii="Arial"/>
                <w:spacing w:val="-1"/>
                <w:sz w:val="18"/>
              </w:rPr>
              <w:t>1,283,440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Arial" w:hAnsi="Arial" w:cs="Arial" w:eastAsia="Arial" w:hint="default"/>
                <w:sz w:val="18"/>
                <w:szCs w:val="18"/>
              </w:rPr>
            </w:pPr>
            <w:r>
              <w:rPr>
                <w:rFonts w:ascii="Arial"/>
                <w:spacing w:val="-1"/>
                <w:sz w:val="18"/>
              </w:rPr>
              <w:t>(43,691)</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51"/>
              <w:jc w:val="right"/>
              <w:rPr>
                <w:rFonts w:ascii="Arial" w:hAnsi="Arial" w:cs="Arial" w:eastAsia="Arial" w:hint="default"/>
                <w:sz w:val="18"/>
                <w:szCs w:val="18"/>
              </w:rPr>
            </w:pPr>
            <w:r>
              <w:rPr>
                <w:rFonts w:ascii="Arial"/>
                <w:spacing w:val="-1"/>
                <w:sz w:val="18"/>
              </w:rPr>
              <w:t>1,239,749</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5"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上海苏宁云商销售有限公司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683,694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683,694</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120,000</w:t>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6" w:lineRule="exact"/>
              <w:ind w:left="78" w:right="0"/>
              <w:jc w:val="left"/>
              <w:rPr>
                <w:rFonts w:ascii="宋体" w:hAnsi="宋体" w:cs="宋体" w:eastAsia="宋体" w:hint="default"/>
                <w:sz w:val="18"/>
                <w:szCs w:val="18"/>
              </w:rPr>
            </w:pPr>
            <w:r>
              <w:rPr>
                <w:rFonts w:ascii="宋体" w:hAnsi="宋体" w:cs="宋体" w:eastAsia="宋体" w:hint="default"/>
                <w:sz w:val="18"/>
                <w:szCs w:val="18"/>
              </w:rPr>
              <w:t>广州苏宁云商物流有限公司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515,831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515,831</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6" w:lineRule="exact"/>
              <w:ind w:left="78" w:right="0"/>
              <w:jc w:val="left"/>
              <w:rPr>
                <w:rFonts w:ascii="宋体" w:hAnsi="宋体" w:cs="宋体" w:eastAsia="宋体" w:hint="default"/>
                <w:sz w:val="18"/>
                <w:szCs w:val="18"/>
              </w:rPr>
            </w:pPr>
            <w:r>
              <w:rPr>
                <w:rFonts w:ascii="宋体" w:hAnsi="宋体" w:cs="宋体" w:eastAsia="宋体" w:hint="default"/>
                <w:sz w:val="18"/>
                <w:szCs w:val="18"/>
              </w:rPr>
              <w:t>重庆苏宁云商销售有限公司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513,177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513,177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220,000</w:t>
            </w:r>
          </w:p>
        </w:tc>
      </w:tr>
      <w:tr>
        <w:trPr>
          <w:trHeight w:val="275"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6" w:lineRule="exact"/>
              <w:ind w:left="78" w:right="0"/>
              <w:jc w:val="left"/>
              <w:rPr>
                <w:rFonts w:ascii="宋体" w:hAnsi="宋体" w:cs="宋体" w:eastAsia="宋体" w:hint="default"/>
                <w:sz w:val="18"/>
                <w:szCs w:val="18"/>
              </w:rPr>
            </w:pPr>
            <w:r>
              <w:rPr>
                <w:rFonts w:ascii="宋体" w:hAnsi="宋体" w:cs="宋体" w:eastAsia="宋体" w:hint="default"/>
                <w:sz w:val="18"/>
                <w:szCs w:val="18"/>
              </w:rPr>
              <w:t>上海长宁苏宁云商销售有限公司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8"/>
              <w:jc w:val="right"/>
              <w:rPr>
                <w:rFonts w:ascii="Arial" w:hAnsi="Arial" w:cs="Arial" w:eastAsia="Arial" w:hint="default"/>
                <w:sz w:val="18"/>
                <w:szCs w:val="18"/>
              </w:rPr>
            </w:pPr>
            <w:r>
              <w:rPr>
                <w:rFonts w:ascii="Arial"/>
                <w:spacing w:val="-1"/>
                <w:sz w:val="18"/>
              </w:rPr>
              <w:t>502,367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1"/>
              <w:jc w:val="right"/>
              <w:rPr>
                <w:rFonts w:ascii="Arial" w:hAnsi="Arial" w:cs="Arial" w:eastAsia="Arial" w:hint="default"/>
                <w:sz w:val="18"/>
                <w:szCs w:val="18"/>
              </w:rPr>
            </w:pPr>
            <w:r>
              <w:rPr>
                <w:rFonts w:ascii="Arial"/>
                <w:spacing w:val="-1"/>
                <w:sz w:val="18"/>
              </w:rPr>
              <w:t>502,367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北京苏宁云商销售有限公司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467,533</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2"/>
              <w:jc w:val="right"/>
              <w:rPr>
                <w:rFonts w:ascii="Arial" w:hAnsi="Arial" w:cs="Arial" w:eastAsia="Arial" w:hint="default"/>
                <w:sz w:val="18"/>
                <w:szCs w:val="18"/>
              </w:rPr>
            </w:pPr>
            <w:r>
              <w:rPr>
                <w:rFonts w:ascii="Arial"/>
                <w:spacing w:val="-1"/>
                <w:sz w:val="18"/>
              </w:rPr>
              <w:t>10,852</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478,385</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225,000</w:t>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福建苏宁云商商贸有限公司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443,546</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spacing w:val="-1"/>
                <w:sz w:val="18"/>
              </w:rPr>
              <w:t>4,050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447,596</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武汉苏宁云商销售有限公司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366,758</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spacing w:val="-1"/>
                <w:sz w:val="18"/>
              </w:rPr>
              <w:t>8,469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375,227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4"/>
              <w:jc w:val="right"/>
              <w:rPr>
                <w:rFonts w:ascii="Arial" w:hAnsi="Arial" w:cs="Arial" w:eastAsia="Arial" w:hint="default"/>
                <w:sz w:val="18"/>
                <w:szCs w:val="18"/>
              </w:rPr>
            </w:pPr>
            <w:r>
              <w:rPr>
                <w:rFonts w:ascii="Arial"/>
                <w:spacing w:val="-1"/>
                <w:sz w:val="18"/>
              </w:rPr>
              <w:t>45,000</w:t>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沈阳苏宁云商销售有限公司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352,566</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spacing w:val="-1"/>
                <w:sz w:val="18"/>
              </w:rPr>
              <w:t>1,332</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353,898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浙江苏宁云商商贸有限公司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315,948</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315,948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4"/>
              <w:jc w:val="right"/>
              <w:rPr>
                <w:rFonts w:ascii="Arial" w:hAnsi="Arial" w:cs="Arial" w:eastAsia="Arial" w:hint="default"/>
                <w:sz w:val="18"/>
                <w:szCs w:val="18"/>
              </w:rPr>
            </w:pPr>
            <w:r>
              <w:rPr>
                <w:rFonts w:ascii="Arial"/>
                <w:spacing w:val="-1"/>
                <w:sz w:val="18"/>
              </w:rPr>
              <w:t>40,000</w:t>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广东苏宁云商销售有限公司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303,964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spacing w:val="-3"/>
                <w:sz w:val="18"/>
              </w:rPr>
              <w:t>5,112</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309,076</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江苏苏宁商业投资有限公司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304,290</w:t>
            </w:r>
            <w:r>
              <w:rPr>
                <w:rFonts w:ascii="Arial"/>
                <w:sz w:val="18"/>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2"/>
              <w:jc w:val="right"/>
              <w:rPr>
                <w:rFonts w:ascii="Arial" w:hAnsi="Arial" w:cs="Arial" w:eastAsia="Arial" w:hint="default"/>
                <w:sz w:val="18"/>
                <w:szCs w:val="18"/>
              </w:rPr>
            </w:pPr>
            <w:r>
              <w:rPr>
                <w:rFonts w:ascii="Arial"/>
                <w:spacing w:val="-1"/>
                <w:sz w:val="18"/>
              </w:rPr>
              <w:t>304,290</w:t>
            </w:r>
            <w:r>
              <w:rPr>
                <w:rFonts w:ascii="Arial"/>
                <w:sz w:val="18"/>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4"/>
              <w:jc w:val="right"/>
              <w:rPr>
                <w:rFonts w:ascii="Arial" w:hAnsi="Arial" w:cs="Arial" w:eastAsia="Arial" w:hint="default"/>
                <w:sz w:val="18"/>
                <w:szCs w:val="18"/>
              </w:rPr>
            </w:pPr>
            <w:r>
              <w:rPr>
                <w:rFonts w:ascii="Arial"/>
                <w:spacing w:val="-1"/>
                <w:w w:val="95"/>
                <w:sz w:val="18"/>
              </w:rPr>
              <w:t>986</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杭州苏宁云商物流有限公司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302,435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302,435</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四川苏宁云商销售有限公司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278,024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278,024</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150,000</w:t>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福州苏宁云商商贸有限公司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260,357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260,357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苏宁云商江苏苏南有限公司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252,000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252,000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长春苏宁云商销售有限公司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spacing w:val="-1"/>
                <w:sz w:val="18"/>
              </w:rPr>
              <w:t>210,409</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210,409</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青岛胶宁苏宁云商商贸有限公司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9"/>
              <w:jc w:val="right"/>
              <w:rPr>
                <w:rFonts w:ascii="Arial" w:hAnsi="Arial" w:cs="Arial" w:eastAsia="Arial" w:hint="default"/>
                <w:sz w:val="18"/>
                <w:szCs w:val="18"/>
              </w:rPr>
            </w:pPr>
            <w:r>
              <w:rPr>
                <w:rFonts w:ascii="Arial"/>
                <w:spacing w:val="-1"/>
                <w:sz w:val="18"/>
              </w:rPr>
              <w:t>205,391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7"/>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205,391</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江苏苏宁易达物流投资有限公司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52,000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3"/>
              <w:jc w:val="right"/>
              <w:rPr>
                <w:rFonts w:ascii="Arial" w:hAnsi="Arial" w:cs="Arial" w:eastAsia="Arial" w:hint="default"/>
                <w:sz w:val="18"/>
                <w:szCs w:val="18"/>
              </w:rPr>
            </w:pPr>
            <w:r>
              <w:rPr>
                <w:rFonts w:ascii="Arial"/>
                <w:spacing w:val="-1"/>
                <w:sz w:val="18"/>
              </w:rPr>
              <w:t>148,000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4"/>
              <w:jc w:val="right"/>
              <w:rPr>
                <w:rFonts w:ascii="Arial" w:hAnsi="Arial" w:cs="Arial" w:eastAsia="Arial" w:hint="default"/>
                <w:sz w:val="18"/>
                <w:szCs w:val="18"/>
              </w:rPr>
            </w:pPr>
            <w:r>
              <w:rPr>
                <w:rFonts w:ascii="Arial"/>
                <w:w w:val="99"/>
                <w:sz w:val="18"/>
              </w:rPr>
              <w:t>-</w:t>
            </w:r>
            <w:r>
              <w:rPr>
                <w:rFonts w:ascii="Arial"/>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4"/>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1"/>
              <w:jc w:val="right"/>
              <w:rPr>
                <w:rFonts w:ascii="Arial" w:hAnsi="Arial" w:cs="Arial" w:eastAsia="Arial" w:hint="default"/>
                <w:sz w:val="18"/>
                <w:szCs w:val="18"/>
              </w:rPr>
            </w:pPr>
            <w:r>
              <w:rPr>
                <w:rFonts w:ascii="Arial"/>
                <w:spacing w:val="-1"/>
                <w:sz w:val="18"/>
              </w:rPr>
              <w:t>200,000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79"/>
          <w:footerReference w:type="default" r:id="rId80"/>
          <w:pgSz w:w="16840" w:h="11910" w:orient="landscape"/>
          <w:pgMar w:header="755" w:footer="915" w:top="1860" w:bottom="1100" w:left="800" w:right="0"/>
          <w:pgNumType w:start="271"/>
        </w:sectPr>
      </w:pPr>
    </w:p>
    <w:p>
      <w:pPr>
        <w:spacing w:line="240" w:lineRule="auto" w:before="2"/>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32"/>
        <w:gridCol w:w="3126"/>
        <w:gridCol w:w="1196"/>
        <w:gridCol w:w="1393"/>
        <w:gridCol w:w="1453"/>
        <w:gridCol w:w="1718"/>
        <w:gridCol w:w="846"/>
        <w:gridCol w:w="1807"/>
        <w:gridCol w:w="1131"/>
        <w:gridCol w:w="1772"/>
      </w:tblGrid>
      <w:tr>
        <w:trPr>
          <w:trHeight w:val="416"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3126" w:type="dxa"/>
            <w:tcBorders>
              <w:top w:val="nil" w:sz="6" w:space="0" w:color="auto"/>
              <w:left w:val="nil" w:sz="6" w:space="0" w:color="auto"/>
              <w:bottom w:val="nil" w:sz="6" w:space="0" w:color="auto"/>
              <w:right w:val="nil" w:sz="6" w:space="0" w:color="auto"/>
            </w:tcBorders>
          </w:tcPr>
          <w:p>
            <w:pPr>
              <w:pStyle w:val="TableParagraph"/>
              <w:spacing w:line="257" w:lineRule="exact"/>
              <w:ind w:left="51"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9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588"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1"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9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586"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9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3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
        </w:tc>
        <w:tc>
          <w:tcPr>
            <w:tcW w:w="317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7"/>
              <w:ind w:left="771"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46" w:type="dxa"/>
            <w:tcBorders>
              <w:top w:val="nil" w:sz="6" w:space="0" w:color="auto"/>
              <w:left w:val="nil" w:sz="6" w:space="0" w:color="auto"/>
              <w:bottom w:val="single" w:sz="4" w:space="0" w:color="000000"/>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525"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16" w:lineRule="exact"/>
              <w:ind w:left="39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12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45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处置投资</w:t>
            </w:r>
          </w:p>
        </w:tc>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55"/>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8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807" w:type="dxa"/>
            <w:tcBorders>
              <w:top w:val="nil" w:sz="6" w:space="0" w:color="auto"/>
              <w:left w:val="nil" w:sz="6" w:space="0" w:color="auto"/>
              <w:bottom w:val="nil" w:sz="6" w:space="0" w:color="auto"/>
              <w:right w:val="nil" w:sz="6" w:space="0" w:color="auto"/>
            </w:tcBorders>
          </w:tcPr>
          <w:p>
            <w:pPr>
              <w:pStyle w:val="TableParagraph"/>
              <w:spacing w:line="216" w:lineRule="exact"/>
              <w:ind w:left="90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63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1" w:type="dxa"/>
            <w:tcBorders>
              <w:top w:val="nil" w:sz="6" w:space="0" w:color="auto"/>
              <w:left w:val="nil" w:sz="6" w:space="0" w:color="auto"/>
              <w:bottom w:val="nil" w:sz="6" w:space="0" w:color="auto"/>
              <w:right w:val="nil" w:sz="6" w:space="0" w:color="auto"/>
            </w:tcBorders>
          </w:tcPr>
          <w:p>
            <w:pPr>
              <w:pStyle w:val="TableParagraph"/>
              <w:spacing w:line="209" w:lineRule="exact"/>
              <w:ind w:left="278"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27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72" w:type="dxa"/>
            <w:tcBorders>
              <w:top w:val="nil" w:sz="6" w:space="0" w:color="auto"/>
              <w:left w:val="nil" w:sz="6" w:space="0" w:color="auto"/>
              <w:bottom w:val="nil" w:sz="6" w:space="0" w:color="auto"/>
              <w:right w:val="nil" w:sz="6" w:space="0" w:color="auto"/>
            </w:tcBorders>
          </w:tcPr>
          <w:p>
            <w:pPr>
              <w:pStyle w:val="TableParagraph"/>
              <w:spacing w:line="209" w:lineRule="exact"/>
              <w:ind w:left="131"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31"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38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 w:right="0"/>
              <w:jc w:val="left"/>
              <w:rPr>
                <w:rFonts w:ascii="宋体" w:hAnsi="宋体" w:cs="宋体" w:eastAsia="宋体" w:hint="default"/>
                <w:sz w:val="18"/>
                <w:szCs w:val="18"/>
              </w:rPr>
            </w:pPr>
            <w:r>
              <w:rPr>
                <w:rFonts w:ascii="宋体" w:hAnsi="宋体" w:cs="宋体" w:eastAsia="宋体" w:hint="default"/>
                <w:sz w:val="18"/>
                <w:szCs w:val="18"/>
              </w:rPr>
              <w:t>湖北苏宁物流有限公司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52"/>
              <w:jc w:val="right"/>
              <w:rPr>
                <w:rFonts w:ascii="Arial" w:hAnsi="Arial" w:cs="Arial" w:eastAsia="Arial" w:hint="default"/>
                <w:sz w:val="18"/>
                <w:szCs w:val="18"/>
              </w:rPr>
            </w:pPr>
            <w:r>
              <w:rPr>
                <w:rFonts w:ascii="Arial"/>
                <w:spacing w:val="-1"/>
                <w:sz w:val="18"/>
              </w:rPr>
              <w:t>199,017</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9"/>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29"/>
              <w:jc w:val="right"/>
              <w:rPr>
                <w:rFonts w:ascii="Arial" w:hAnsi="Arial" w:cs="Arial" w:eastAsia="Arial" w:hint="default"/>
                <w:sz w:val="18"/>
                <w:szCs w:val="18"/>
              </w:rPr>
            </w:pPr>
            <w:r>
              <w:rPr>
                <w:rFonts w:ascii="Arial"/>
                <w:spacing w:val="-1"/>
                <w:sz w:val="18"/>
              </w:rPr>
              <w:t>199,017</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重庆苏宁云商采购有限公司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0"/>
              <w:jc w:val="right"/>
              <w:rPr>
                <w:rFonts w:ascii="Arial" w:hAnsi="Arial" w:cs="Arial" w:eastAsia="Arial" w:hint="default"/>
                <w:sz w:val="18"/>
                <w:szCs w:val="18"/>
              </w:rPr>
            </w:pPr>
            <w:r>
              <w:rPr>
                <w:rFonts w:ascii="Arial"/>
                <w:spacing w:val="-1"/>
                <w:sz w:val="18"/>
              </w:rPr>
              <w:t>195,027</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9"/>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195,027</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2"/>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5"/>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中山市苏宁物流有限公司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183,465</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9"/>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183,465</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哈尔滨苏宁采购有限公司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182,790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182,790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江西苏宁物流有限公司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179,199</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179,199</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贵阳苏宁物流有限公司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174,510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174,510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天津渤海苏宁云商有限公司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160,207</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160,207</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61"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山东渤宁苏宁云商商贸有限公司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151,668</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151,668</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195" w:lineRule="exact"/>
              <w:ind w:left="51" w:right="0"/>
              <w:jc w:val="left"/>
              <w:rPr>
                <w:rFonts w:ascii="宋体" w:hAnsi="宋体" w:cs="宋体" w:eastAsia="宋体" w:hint="default"/>
                <w:sz w:val="18"/>
                <w:szCs w:val="18"/>
              </w:rPr>
            </w:pPr>
            <w:r>
              <w:rPr>
                <w:rFonts w:ascii="宋体" w:hAnsi="宋体" w:cs="宋体" w:eastAsia="宋体" w:hint="default"/>
                <w:sz w:val="18"/>
                <w:szCs w:val="18"/>
              </w:rPr>
              <w:t>南京苏宁易付宝网络科技有限公司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0"/>
              <w:jc w:val="right"/>
              <w:rPr>
                <w:rFonts w:ascii="Arial" w:hAnsi="Arial" w:cs="Arial" w:eastAsia="Arial" w:hint="default"/>
                <w:sz w:val="18"/>
                <w:szCs w:val="18"/>
              </w:rPr>
            </w:pPr>
            <w:r>
              <w:rPr>
                <w:rFonts w:ascii="Arial"/>
                <w:spacing w:val="-1"/>
                <w:sz w:val="18"/>
              </w:rPr>
              <w:t>100,000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50,000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29"/>
              <w:jc w:val="right"/>
              <w:rPr>
                <w:rFonts w:ascii="Arial" w:hAnsi="Arial" w:cs="Arial" w:eastAsia="Arial" w:hint="default"/>
                <w:sz w:val="18"/>
                <w:szCs w:val="18"/>
              </w:rPr>
            </w:pPr>
            <w:r>
              <w:rPr>
                <w:rFonts w:ascii="Arial"/>
                <w:spacing w:val="-1"/>
                <w:sz w:val="18"/>
              </w:rPr>
              <w:t>150,000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196" w:lineRule="exact"/>
              <w:ind w:left="51" w:right="0"/>
              <w:jc w:val="left"/>
              <w:rPr>
                <w:rFonts w:ascii="宋体" w:hAnsi="宋体" w:cs="宋体" w:eastAsia="宋体" w:hint="default"/>
                <w:sz w:val="18"/>
                <w:szCs w:val="18"/>
              </w:rPr>
            </w:pPr>
            <w:r>
              <w:rPr>
                <w:rFonts w:ascii="宋体" w:hAnsi="宋体" w:cs="宋体" w:eastAsia="宋体" w:hint="default"/>
                <w:sz w:val="18"/>
                <w:szCs w:val="18"/>
              </w:rPr>
              <w:t>江苏苏宁易购电子商务有限公司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0"/>
              <w:jc w:val="right"/>
              <w:rPr>
                <w:rFonts w:ascii="Arial" w:hAnsi="Arial" w:cs="Arial" w:eastAsia="Arial" w:hint="default"/>
                <w:sz w:val="18"/>
                <w:szCs w:val="18"/>
              </w:rPr>
            </w:pPr>
            <w:r>
              <w:rPr>
                <w:rFonts w:ascii="Arial"/>
                <w:spacing w:val="-1"/>
                <w:sz w:val="18"/>
              </w:rPr>
              <w:t>140,000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9"/>
              <w:jc w:val="right"/>
              <w:rPr>
                <w:rFonts w:ascii="Arial" w:hAnsi="Arial" w:cs="Arial" w:eastAsia="Arial" w:hint="default"/>
                <w:sz w:val="18"/>
                <w:szCs w:val="18"/>
              </w:rPr>
            </w:pPr>
            <w:r>
              <w:rPr>
                <w:rFonts w:ascii="Arial"/>
                <w:spacing w:val="-1"/>
                <w:sz w:val="18"/>
              </w:rPr>
              <w:t>140,000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49"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196" w:lineRule="exact"/>
              <w:ind w:left="51" w:right="0"/>
              <w:jc w:val="left"/>
              <w:rPr>
                <w:rFonts w:ascii="宋体" w:hAnsi="宋体" w:cs="宋体" w:eastAsia="宋体" w:hint="default"/>
                <w:sz w:val="18"/>
                <w:szCs w:val="18"/>
              </w:rPr>
            </w:pPr>
            <w:r>
              <w:rPr>
                <w:rFonts w:ascii="宋体" w:hAnsi="宋体" w:cs="宋体" w:eastAsia="宋体" w:hint="default"/>
                <w:sz w:val="18"/>
                <w:szCs w:val="18"/>
              </w:rPr>
              <w:t>包头市滨河苏宁云商有限公司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0"/>
              <w:jc w:val="right"/>
              <w:rPr>
                <w:rFonts w:ascii="Arial" w:hAnsi="Arial" w:cs="Arial" w:eastAsia="Arial" w:hint="default"/>
                <w:sz w:val="18"/>
                <w:szCs w:val="18"/>
              </w:rPr>
            </w:pPr>
            <w:r>
              <w:rPr>
                <w:rFonts w:ascii="Arial"/>
                <w:spacing w:val="-1"/>
                <w:sz w:val="18"/>
              </w:rPr>
              <w:t>139,617</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29"/>
              <w:jc w:val="right"/>
              <w:rPr>
                <w:rFonts w:ascii="Arial" w:hAnsi="Arial" w:cs="Arial" w:eastAsia="Arial" w:hint="default"/>
                <w:sz w:val="18"/>
                <w:szCs w:val="18"/>
              </w:rPr>
            </w:pPr>
            <w:r>
              <w:rPr>
                <w:rFonts w:ascii="Arial"/>
                <w:spacing w:val="-1"/>
                <w:sz w:val="18"/>
              </w:rPr>
              <w:t>139,617</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江苏苏宁物流有限公司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1"/>
                <w:sz w:val="18"/>
              </w:rPr>
              <w:t>135,000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9"/>
              <w:jc w:val="right"/>
              <w:rPr>
                <w:rFonts w:ascii="Arial" w:hAnsi="Arial" w:cs="Arial" w:eastAsia="Arial" w:hint="default"/>
                <w:sz w:val="18"/>
                <w:szCs w:val="18"/>
              </w:rPr>
            </w:pPr>
            <w:r>
              <w:rPr>
                <w:rFonts w:ascii="Arial"/>
                <w:spacing w:val="-1"/>
                <w:sz w:val="18"/>
              </w:rPr>
              <w:t>135,000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徐州苏宁云商销售有限公司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1"/>
                <w:sz w:val="18"/>
              </w:rPr>
              <w:t>133,310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9"/>
              <w:jc w:val="right"/>
              <w:rPr>
                <w:rFonts w:ascii="Arial" w:hAnsi="Arial" w:cs="Arial" w:eastAsia="Arial" w:hint="default"/>
                <w:sz w:val="18"/>
                <w:szCs w:val="18"/>
              </w:rPr>
            </w:pPr>
            <w:r>
              <w:rPr>
                <w:rFonts w:ascii="Arial"/>
                <w:spacing w:val="-1"/>
                <w:sz w:val="18"/>
              </w:rPr>
              <w:t>133,310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盐城盐宁苏宁云商有限公司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1"/>
                <w:sz w:val="18"/>
              </w:rPr>
              <w:t>129,245</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9"/>
              <w:jc w:val="right"/>
              <w:rPr>
                <w:rFonts w:ascii="Arial" w:hAnsi="Arial" w:cs="Arial" w:eastAsia="Arial" w:hint="default"/>
                <w:sz w:val="18"/>
                <w:szCs w:val="18"/>
              </w:rPr>
            </w:pPr>
            <w:r>
              <w:rPr>
                <w:rFonts w:ascii="Arial"/>
                <w:spacing w:val="-1"/>
                <w:sz w:val="18"/>
              </w:rPr>
              <w:t>129,245</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深圳市苏宁云商销售有限公司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9"/>
              <w:jc w:val="right"/>
              <w:rPr>
                <w:rFonts w:ascii="Arial" w:hAnsi="Arial" w:cs="Arial" w:eastAsia="Arial" w:hint="default"/>
                <w:sz w:val="18"/>
                <w:szCs w:val="18"/>
              </w:rPr>
            </w:pPr>
            <w:r>
              <w:rPr>
                <w:rFonts w:ascii="Arial"/>
                <w:spacing w:val="-3"/>
                <w:sz w:val="18"/>
              </w:rPr>
              <w:t>119,273</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spacing w:val="-1"/>
                <w:sz w:val="18"/>
              </w:rPr>
              <w:t>3,573</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9"/>
              <w:jc w:val="right"/>
              <w:rPr>
                <w:rFonts w:ascii="Arial" w:hAnsi="Arial" w:cs="Arial" w:eastAsia="Arial" w:hint="default"/>
                <w:sz w:val="18"/>
                <w:szCs w:val="18"/>
              </w:rPr>
            </w:pPr>
            <w:r>
              <w:rPr>
                <w:rFonts w:ascii="Arial"/>
                <w:spacing w:val="-1"/>
                <w:sz w:val="18"/>
              </w:rPr>
              <w:t>122,846</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4"/>
              <w:jc w:val="right"/>
              <w:rPr>
                <w:rFonts w:ascii="Arial" w:hAnsi="Arial" w:cs="Arial" w:eastAsia="Arial" w:hint="default"/>
                <w:sz w:val="18"/>
                <w:szCs w:val="18"/>
              </w:rPr>
            </w:pPr>
            <w:r>
              <w:rPr>
                <w:rFonts w:ascii="Arial"/>
                <w:spacing w:val="-1"/>
                <w:sz w:val="18"/>
              </w:rPr>
              <w:t>60,000</w:t>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内江百大商贸有限公司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4"/>
                <w:w w:val="95"/>
                <w:sz w:val="18"/>
              </w:rPr>
              <w:t>111,430</w:t>
            </w:r>
            <w:r>
              <w:rPr>
                <w:rFonts w:ascii="Arial"/>
                <w:spacing w:val="-4"/>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9"/>
              <w:jc w:val="right"/>
              <w:rPr>
                <w:rFonts w:ascii="Arial" w:hAnsi="Arial" w:cs="Arial" w:eastAsia="Arial" w:hint="default"/>
                <w:sz w:val="18"/>
                <w:szCs w:val="18"/>
              </w:rPr>
            </w:pPr>
            <w:r>
              <w:rPr>
                <w:rFonts w:ascii="Arial"/>
                <w:spacing w:val="-4"/>
                <w:w w:val="95"/>
                <w:sz w:val="18"/>
              </w:rPr>
              <w:t>111,430</w:t>
            </w:r>
            <w:r>
              <w:rPr>
                <w:rFonts w:ascii="Arial"/>
                <w:spacing w:val="-4"/>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61"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陕西苏宁云商销售有限公司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18"/>
                <w:szCs w:val="18"/>
              </w:rPr>
            </w:pPr>
            <w:r>
              <w:rPr>
                <w:rFonts w:ascii="Arial"/>
                <w:spacing w:val="-1"/>
                <w:sz w:val="18"/>
              </w:rPr>
              <w:t>109,366</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9"/>
              <w:jc w:val="right"/>
              <w:rPr>
                <w:rFonts w:ascii="Arial" w:hAnsi="Arial" w:cs="Arial" w:eastAsia="Arial" w:hint="default"/>
                <w:sz w:val="18"/>
                <w:szCs w:val="18"/>
              </w:rPr>
            </w:pPr>
            <w:r>
              <w:rPr>
                <w:rFonts w:ascii="Arial"/>
                <w:spacing w:val="-1"/>
                <w:sz w:val="18"/>
              </w:rPr>
              <w:t>109,366</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49"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196" w:lineRule="exact"/>
              <w:ind w:left="47" w:right="0"/>
              <w:jc w:val="left"/>
              <w:rPr>
                <w:rFonts w:ascii="宋体" w:hAnsi="宋体" w:cs="宋体" w:eastAsia="宋体" w:hint="default"/>
                <w:sz w:val="18"/>
                <w:szCs w:val="18"/>
              </w:rPr>
            </w:pPr>
            <w:r>
              <w:rPr>
                <w:rFonts w:ascii="宋体" w:hAnsi="宋体" w:cs="宋体" w:eastAsia="宋体" w:hint="default"/>
                <w:sz w:val="18"/>
                <w:szCs w:val="18"/>
              </w:rPr>
              <w:t>湖南苏宁云商销售有限公司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0"/>
              <w:jc w:val="right"/>
              <w:rPr>
                <w:rFonts w:ascii="Arial" w:hAnsi="Arial" w:cs="Arial" w:eastAsia="Arial" w:hint="default"/>
                <w:sz w:val="18"/>
                <w:szCs w:val="18"/>
              </w:rPr>
            </w:pPr>
            <w:r>
              <w:rPr>
                <w:rFonts w:ascii="Arial"/>
                <w:spacing w:val="-1"/>
                <w:sz w:val="18"/>
              </w:rPr>
              <w:t>107,244</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9"/>
              <w:jc w:val="right"/>
              <w:rPr>
                <w:rFonts w:ascii="Arial" w:hAnsi="Arial" w:cs="Arial" w:eastAsia="Arial" w:hint="default"/>
                <w:sz w:val="18"/>
                <w:szCs w:val="18"/>
              </w:rPr>
            </w:pPr>
            <w:r>
              <w:rPr>
                <w:rFonts w:ascii="Arial"/>
                <w:spacing w:val="-1"/>
                <w:sz w:val="18"/>
              </w:rPr>
              <w:t>107,244</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安徽苏宁云商销售有限公司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107,030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107,030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天津苏宁云商销售有限公司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104,269</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104,269</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36" w:lineRule="exact"/>
              <w:ind w:left="51" w:right="0"/>
              <w:jc w:val="left"/>
              <w:rPr>
                <w:rFonts w:ascii="宋体" w:hAnsi="宋体" w:cs="宋体" w:eastAsia="宋体" w:hint="default"/>
                <w:sz w:val="18"/>
                <w:szCs w:val="18"/>
              </w:rPr>
            </w:pPr>
            <w:r>
              <w:rPr>
                <w:rFonts w:ascii="宋体" w:hAnsi="宋体" w:cs="宋体" w:eastAsia="宋体" w:hint="default"/>
                <w:sz w:val="18"/>
                <w:szCs w:val="18"/>
              </w:rPr>
              <w:t>苏宁</w:t>
            </w:r>
            <w:r>
              <w:rPr>
                <w:rFonts w:ascii="Arial" w:hAnsi="Arial" w:cs="Arial" w:eastAsia="Arial" w:hint="default"/>
                <w:sz w:val="18"/>
                <w:szCs w:val="18"/>
              </w:rPr>
              <w:t>(</w:t>
            </w:r>
            <w:r>
              <w:rPr>
                <w:rFonts w:ascii="宋体" w:hAnsi="宋体" w:cs="宋体" w:eastAsia="宋体" w:hint="default"/>
                <w:sz w:val="18"/>
                <w:szCs w:val="18"/>
              </w:rPr>
              <w:t>天津</w:t>
            </w:r>
            <w:r>
              <w:rPr>
                <w:rFonts w:ascii="Arial" w:hAnsi="Arial" w:cs="Arial" w:eastAsia="Arial" w:hint="default"/>
                <w:sz w:val="18"/>
                <w:szCs w:val="18"/>
              </w:rPr>
              <w:t>)</w:t>
            </w:r>
            <w:r>
              <w:rPr>
                <w:rFonts w:ascii="宋体" w:hAnsi="宋体" w:cs="宋体" w:eastAsia="宋体" w:hint="default"/>
                <w:sz w:val="18"/>
                <w:szCs w:val="18"/>
              </w:rPr>
              <w:t>电器采购有限公司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100,000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100,000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732"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23" w:lineRule="exact"/>
              <w:ind w:left="51" w:right="0"/>
              <w:jc w:val="left"/>
              <w:rPr>
                <w:rFonts w:ascii="宋体" w:hAnsi="宋体" w:cs="宋体" w:eastAsia="宋体" w:hint="default"/>
                <w:sz w:val="18"/>
                <w:szCs w:val="18"/>
              </w:rPr>
            </w:pPr>
            <w:r>
              <w:rPr>
                <w:rFonts w:ascii="宋体" w:hAnsi="宋体" w:cs="宋体" w:eastAsia="宋体" w:hint="default"/>
                <w:sz w:val="18"/>
                <w:szCs w:val="18"/>
              </w:rPr>
              <w:t>芜湖苏宁云商商贸有限公司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18"/>
                <w:szCs w:val="18"/>
              </w:rPr>
            </w:pPr>
            <w:r>
              <w:rPr>
                <w:rFonts w:ascii="Arial"/>
                <w:spacing w:val="-1"/>
                <w:sz w:val="18"/>
              </w:rPr>
              <w:t>93,898</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8"/>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0"/>
              <w:jc w:val="right"/>
              <w:rPr>
                <w:rFonts w:ascii="Arial" w:hAnsi="Arial" w:cs="Arial" w:eastAsia="Arial" w:hint="default"/>
                <w:sz w:val="18"/>
                <w:szCs w:val="18"/>
              </w:rPr>
            </w:pPr>
            <w:r>
              <w:rPr>
                <w:rFonts w:ascii="Arial"/>
                <w:spacing w:val="-1"/>
                <w:sz w:val="18"/>
              </w:rPr>
              <w:t>93,898</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915" w:top="1860" w:bottom="1100" w:left="80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53"/>
        <w:gridCol w:w="3189"/>
        <w:gridCol w:w="1136"/>
        <w:gridCol w:w="1392"/>
        <w:gridCol w:w="1443"/>
        <w:gridCol w:w="1706"/>
        <w:gridCol w:w="846"/>
        <w:gridCol w:w="1808"/>
        <w:gridCol w:w="1128"/>
        <w:gridCol w:w="1770"/>
      </w:tblGrid>
      <w:tr>
        <w:trPr>
          <w:trHeight w:val="416"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3189" w:type="dxa"/>
            <w:tcBorders>
              <w:top w:val="nil" w:sz="6" w:space="0" w:color="auto"/>
              <w:left w:val="nil" w:sz="6" w:space="0" w:color="auto"/>
              <w:bottom w:val="nil" w:sz="6" w:space="0" w:color="auto"/>
              <w:right w:val="nil" w:sz="6" w:space="0" w:color="auto"/>
            </w:tcBorders>
          </w:tcPr>
          <w:p>
            <w:pPr>
              <w:pStyle w:val="TableParagraph"/>
              <w:spacing w:line="257" w:lineRule="exact"/>
              <w:ind w:left="73"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588"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w:t>
            </w: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3"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586"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3"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3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3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315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7"/>
              <w:ind w:left="761"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46" w:type="dxa"/>
            <w:tcBorders>
              <w:top w:val="nil" w:sz="6" w:space="0" w:color="auto"/>
              <w:left w:val="nil" w:sz="6" w:space="0" w:color="auto"/>
              <w:bottom w:val="single" w:sz="4" w:space="0" w:color="000000"/>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490"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16" w:lineRule="exact"/>
              <w:ind w:left="34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7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处置投资</w:t>
            </w: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55"/>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8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808" w:type="dxa"/>
            <w:tcBorders>
              <w:top w:val="nil" w:sz="6" w:space="0" w:color="auto"/>
              <w:left w:val="nil" w:sz="6" w:space="0" w:color="auto"/>
              <w:bottom w:val="nil" w:sz="6" w:space="0" w:color="auto"/>
              <w:right w:val="nil" w:sz="6" w:space="0" w:color="auto"/>
            </w:tcBorders>
          </w:tcPr>
          <w:p>
            <w:pPr>
              <w:pStyle w:val="TableParagraph"/>
              <w:spacing w:line="216" w:lineRule="exact"/>
              <w:ind w:left="905"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6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28" w:type="dxa"/>
            <w:tcBorders>
              <w:top w:val="nil" w:sz="6" w:space="0" w:color="auto"/>
              <w:left w:val="nil" w:sz="6" w:space="0" w:color="auto"/>
              <w:bottom w:val="nil" w:sz="6" w:space="0" w:color="auto"/>
              <w:right w:val="nil" w:sz="6" w:space="0" w:color="auto"/>
            </w:tcBorders>
          </w:tcPr>
          <w:p>
            <w:pPr>
              <w:pStyle w:val="TableParagraph"/>
              <w:spacing w:line="209" w:lineRule="exact"/>
              <w:ind w:left="277"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27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70" w:type="dxa"/>
            <w:tcBorders>
              <w:top w:val="nil" w:sz="6" w:space="0" w:color="auto"/>
              <w:left w:val="nil" w:sz="6" w:space="0" w:color="auto"/>
              <w:bottom w:val="nil" w:sz="6" w:space="0" w:color="auto"/>
              <w:right w:val="nil" w:sz="6" w:space="0" w:color="auto"/>
            </w:tcBorders>
          </w:tcPr>
          <w:p>
            <w:pPr>
              <w:pStyle w:val="TableParagraph"/>
              <w:spacing w:line="209" w:lineRule="exact"/>
              <w:ind w:left="130"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30"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283"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30" w:lineRule="exact"/>
              <w:ind w:left="73" w:right="0"/>
              <w:jc w:val="left"/>
              <w:rPr>
                <w:rFonts w:ascii="宋体" w:hAnsi="宋体" w:cs="宋体" w:eastAsia="宋体" w:hint="default"/>
                <w:sz w:val="18"/>
                <w:szCs w:val="18"/>
              </w:rPr>
            </w:pPr>
            <w:r>
              <w:rPr>
                <w:rFonts w:ascii="宋体" w:hAnsi="宋体" w:cs="宋体" w:eastAsia="宋体" w:hint="default"/>
                <w:sz w:val="18"/>
                <w:szCs w:val="18"/>
              </w:rPr>
              <w:t>新疆苏宁云商商贸有限公司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8"/>
              <w:jc w:val="right"/>
              <w:rPr>
                <w:rFonts w:ascii="Arial" w:hAnsi="Arial" w:cs="Arial" w:eastAsia="Arial" w:hint="default"/>
                <w:sz w:val="18"/>
                <w:szCs w:val="18"/>
              </w:rPr>
            </w:pPr>
            <w:r>
              <w:rPr>
                <w:rFonts w:ascii="Arial"/>
                <w:spacing w:val="-1"/>
                <w:sz w:val="18"/>
              </w:rPr>
              <w:t>90,788</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29"/>
              <w:jc w:val="right"/>
              <w:rPr>
                <w:rFonts w:ascii="Arial" w:hAnsi="Arial" w:cs="Arial" w:eastAsia="Arial" w:hint="default"/>
                <w:sz w:val="18"/>
                <w:szCs w:val="18"/>
              </w:rPr>
            </w:pPr>
            <w:r>
              <w:rPr>
                <w:rFonts w:ascii="Arial"/>
                <w:spacing w:val="-1"/>
                <w:sz w:val="18"/>
              </w:rPr>
              <w:t>90,788</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上海嘉定苏宁电器有限公司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90,000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上海沪申苏宁电器有限公司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90,000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合肥高新苏宁销售有限公司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90,000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成都苏宁云商销售有限公司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90,000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苏宁保险销售有限公司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90,000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芜湖万联智能通卡有限公司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80,388</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80,388</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重庆苏宁小额贷款有限公司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w w:val="99"/>
                <w:sz w:val="18"/>
              </w:rPr>
              <w:t>-</w:t>
            </w:r>
            <w:r>
              <w:rPr>
                <w:rFonts w:ascii="Arial"/>
                <w:sz w:val="18"/>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spacing w:val="-1"/>
                <w:sz w:val="18"/>
              </w:rPr>
              <w:t>78,148</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78,148</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3" w:right="0"/>
              <w:jc w:val="left"/>
              <w:rPr>
                <w:rFonts w:ascii="Arial" w:hAnsi="Arial" w:cs="Arial" w:eastAsia="Arial" w:hint="default"/>
                <w:sz w:val="18"/>
                <w:szCs w:val="18"/>
              </w:rPr>
            </w:pPr>
            <w:r>
              <w:rPr>
                <w:rFonts w:ascii="Arial"/>
                <w:sz w:val="18"/>
              </w:rPr>
              <w:t>SUNING COMMERCE USA</w:t>
            </w:r>
            <w:r>
              <w:rPr>
                <w:rFonts w:ascii="Arial"/>
                <w:spacing w:val="-14"/>
                <w:sz w:val="18"/>
              </w:rPr>
              <w:t> </w:t>
            </w:r>
            <w:r>
              <w:rPr>
                <w:rFonts w:ascii="Arial"/>
                <w:sz w:val="18"/>
              </w:rPr>
              <w:t>INC.</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8"/>
              <w:jc w:val="right"/>
              <w:rPr>
                <w:rFonts w:ascii="Arial" w:hAnsi="Arial" w:cs="Arial" w:eastAsia="Arial" w:hint="default"/>
                <w:sz w:val="18"/>
                <w:szCs w:val="18"/>
              </w:rPr>
            </w:pPr>
            <w:r>
              <w:rPr>
                <w:rFonts w:ascii="Arial"/>
                <w:spacing w:val="-1"/>
                <w:sz w:val="18"/>
              </w:rPr>
              <w:t>49,076</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1"/>
              <w:jc w:val="right"/>
              <w:rPr>
                <w:rFonts w:ascii="Arial" w:hAnsi="Arial" w:cs="Arial" w:eastAsia="Arial" w:hint="default"/>
                <w:sz w:val="18"/>
                <w:szCs w:val="18"/>
              </w:rPr>
            </w:pPr>
            <w:r>
              <w:rPr>
                <w:rFonts w:ascii="Arial"/>
                <w:spacing w:val="-1"/>
                <w:sz w:val="18"/>
              </w:rPr>
              <w:t>25,293</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29"/>
              <w:jc w:val="right"/>
              <w:rPr>
                <w:rFonts w:ascii="Arial" w:hAnsi="Arial" w:cs="Arial" w:eastAsia="Arial" w:hint="default"/>
                <w:sz w:val="18"/>
                <w:szCs w:val="18"/>
              </w:rPr>
            </w:pPr>
            <w:r>
              <w:rPr>
                <w:rFonts w:ascii="Arial"/>
                <w:spacing w:val="-1"/>
                <w:sz w:val="18"/>
              </w:rPr>
              <w:t>74,369</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39"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left"/>
              <w:rPr>
                <w:rFonts w:ascii="宋体" w:hAnsi="宋体" w:cs="宋体" w:eastAsia="宋体" w:hint="default"/>
                <w:sz w:val="18"/>
                <w:szCs w:val="18"/>
              </w:rPr>
            </w:pPr>
            <w:r>
              <w:rPr>
                <w:rFonts w:ascii="宋体" w:hAnsi="宋体" w:cs="宋体" w:eastAsia="宋体" w:hint="default"/>
                <w:sz w:val="18"/>
                <w:szCs w:val="18"/>
              </w:rPr>
              <w:t>苏州苏宁云商采购有限公司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8"/>
              <w:jc w:val="right"/>
              <w:rPr>
                <w:rFonts w:ascii="Arial" w:hAnsi="Arial" w:cs="Arial" w:eastAsia="Arial" w:hint="default"/>
                <w:sz w:val="18"/>
                <w:szCs w:val="18"/>
              </w:rPr>
            </w:pPr>
            <w:r>
              <w:rPr>
                <w:rFonts w:ascii="Arial"/>
                <w:spacing w:val="-1"/>
                <w:sz w:val="18"/>
              </w:rPr>
              <w:t>68,400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29"/>
              <w:jc w:val="right"/>
              <w:rPr>
                <w:rFonts w:ascii="Arial" w:hAnsi="Arial" w:cs="Arial" w:eastAsia="Arial" w:hint="default"/>
                <w:sz w:val="18"/>
                <w:szCs w:val="18"/>
              </w:rPr>
            </w:pPr>
            <w:r>
              <w:rPr>
                <w:rFonts w:ascii="Arial"/>
                <w:spacing w:val="-1"/>
                <w:sz w:val="18"/>
              </w:rPr>
              <w:t>68,400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苏州苏宁云商销售有限公司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67,043</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67,043</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江西苏宁云商销售有限公司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62,406</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62,406</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宿迁苏宁云商物流有限公司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58,500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58,500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青岛苏宁云商商贸有限公司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51,670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51,670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江苏昌祺贸易有限公司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50,393</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50,393</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无锡胜利门苏宁云商销售有限公司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50,374</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50,374</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苏宁商业保理有限公司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50,058</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50,058</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江苏法迪欧电器有限公司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50,000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50,000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厦门苏宁云商销售有限公司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49,713</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2"/>
              <w:jc w:val="right"/>
              <w:rPr>
                <w:rFonts w:ascii="Arial" w:hAnsi="Arial" w:cs="Arial" w:eastAsia="Arial" w:hint="default"/>
                <w:sz w:val="18"/>
                <w:szCs w:val="18"/>
              </w:rPr>
            </w:pPr>
            <w:r>
              <w:rPr>
                <w:rFonts w:ascii="Arial"/>
                <w:spacing w:val="-1"/>
                <w:w w:val="95"/>
                <w:sz w:val="18"/>
              </w:rPr>
              <w:t>235</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49,948</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73" w:right="0"/>
              <w:jc w:val="left"/>
              <w:rPr>
                <w:rFonts w:ascii="宋体" w:hAnsi="宋体" w:cs="宋体" w:eastAsia="宋体" w:hint="default"/>
                <w:sz w:val="18"/>
                <w:szCs w:val="18"/>
              </w:rPr>
            </w:pPr>
            <w:r>
              <w:rPr>
                <w:rFonts w:ascii="宋体" w:hAnsi="宋体" w:cs="宋体" w:eastAsia="宋体" w:hint="default"/>
                <w:sz w:val="18"/>
                <w:szCs w:val="18"/>
              </w:rPr>
              <w:t>贵阳苏宁云商销售有限公司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8"/>
              <w:jc w:val="right"/>
              <w:rPr>
                <w:rFonts w:ascii="Arial" w:hAnsi="Arial" w:cs="Arial" w:eastAsia="Arial" w:hint="default"/>
                <w:sz w:val="18"/>
                <w:szCs w:val="18"/>
              </w:rPr>
            </w:pPr>
            <w:r>
              <w:rPr>
                <w:rFonts w:ascii="Arial"/>
                <w:spacing w:val="-1"/>
                <w:sz w:val="18"/>
              </w:rPr>
              <w:t>48,969</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48,969</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23" w:lineRule="exact"/>
              <w:ind w:left="69" w:right="0"/>
              <w:jc w:val="left"/>
              <w:rPr>
                <w:rFonts w:ascii="宋体" w:hAnsi="宋体" w:cs="宋体" w:eastAsia="宋体" w:hint="default"/>
                <w:sz w:val="18"/>
                <w:szCs w:val="18"/>
              </w:rPr>
            </w:pPr>
            <w:r>
              <w:rPr>
                <w:rFonts w:ascii="宋体" w:hAnsi="宋体" w:cs="宋体" w:eastAsia="宋体" w:hint="default"/>
                <w:sz w:val="18"/>
                <w:szCs w:val="18"/>
              </w:rPr>
              <w:t>淮安苏宁云商销售有限公司</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9"/>
              <w:jc w:val="right"/>
              <w:rPr>
                <w:rFonts w:ascii="Arial" w:hAnsi="Arial" w:cs="Arial" w:eastAsia="Arial" w:hint="default"/>
                <w:sz w:val="18"/>
                <w:szCs w:val="18"/>
              </w:rPr>
            </w:pPr>
            <w:r>
              <w:rPr>
                <w:rFonts w:ascii="Arial"/>
                <w:spacing w:val="-1"/>
                <w:sz w:val="18"/>
              </w:rPr>
              <w:t>48,551</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9"/>
              <w:jc w:val="right"/>
              <w:rPr>
                <w:rFonts w:ascii="Arial" w:hAnsi="Arial" w:cs="Arial" w:eastAsia="Arial" w:hint="default"/>
                <w:sz w:val="18"/>
                <w:szCs w:val="18"/>
              </w:rPr>
            </w:pPr>
            <w:r>
              <w:rPr>
                <w:rFonts w:ascii="Arial"/>
                <w:spacing w:val="-1"/>
                <w:sz w:val="18"/>
              </w:rPr>
              <w:t>48,551</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915" w:top="1860" w:bottom="1100" w:left="80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38"/>
        <w:gridCol w:w="3003"/>
        <w:gridCol w:w="1124"/>
        <w:gridCol w:w="1169"/>
        <w:gridCol w:w="1524"/>
        <w:gridCol w:w="1652"/>
        <w:gridCol w:w="820"/>
        <w:gridCol w:w="1717"/>
        <w:gridCol w:w="1073"/>
        <w:gridCol w:w="1740"/>
      </w:tblGrid>
      <w:tr>
        <w:trPr>
          <w:trHeight w:val="41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3003" w:type="dxa"/>
            <w:tcBorders>
              <w:top w:val="nil" w:sz="6" w:space="0" w:color="auto"/>
              <w:left w:val="nil" w:sz="6" w:space="0" w:color="auto"/>
              <w:bottom w:val="nil" w:sz="6" w:space="0" w:color="auto"/>
              <w:right w:val="nil" w:sz="6" w:space="0" w:color="auto"/>
            </w:tcBorders>
          </w:tcPr>
          <w:p>
            <w:pPr>
              <w:pStyle w:val="TableParagraph"/>
              <w:spacing w:line="257" w:lineRule="exact"/>
              <w:ind w:left="5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2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588"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2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58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8"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2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3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
        </w:tc>
        <w:tc>
          <w:tcPr>
            <w:tcW w:w="317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7"/>
              <w:ind w:left="872"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20" w:type="dxa"/>
            <w:tcBorders>
              <w:top w:val="nil" w:sz="6" w:space="0" w:color="auto"/>
              <w:left w:val="nil" w:sz="6" w:space="0" w:color="auto"/>
              <w:bottom w:val="single" w:sz="4" w:space="0" w:color="000000"/>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497"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16" w:lineRule="exact"/>
              <w:ind w:left="33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6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w:t>
            </w:r>
            <w:r>
              <w:rPr>
                <w:rFonts w:ascii="Arial" w:hAnsi="Arial" w:cs="Arial" w:eastAsia="Arial" w:hint="default"/>
                <w:sz w:val="18"/>
                <w:szCs w:val="18"/>
              </w:rPr>
              <w:t>)</w:t>
            </w:r>
            <w:r>
              <w:rPr>
                <w:rFonts w:ascii="宋体" w:hAnsi="宋体" w:cs="宋体" w:eastAsia="宋体" w:hint="default"/>
                <w:sz w:val="18"/>
                <w:szCs w:val="18"/>
              </w:rPr>
              <w:t>投资</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28"/>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82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nil" w:sz="6" w:space="0" w:color="auto"/>
              <w:left w:val="nil" w:sz="6" w:space="0" w:color="auto"/>
              <w:bottom w:val="nil" w:sz="6" w:space="0" w:color="auto"/>
              <w:right w:val="nil" w:sz="6" w:space="0" w:color="auto"/>
            </w:tcBorders>
          </w:tcPr>
          <w:p>
            <w:pPr>
              <w:pStyle w:val="TableParagraph"/>
              <w:spacing w:line="216" w:lineRule="exact"/>
              <w:ind w:left="84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57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3" w:type="dxa"/>
            <w:tcBorders>
              <w:top w:val="nil" w:sz="6" w:space="0" w:color="auto"/>
              <w:left w:val="nil" w:sz="6" w:space="0" w:color="auto"/>
              <w:bottom w:val="nil" w:sz="6" w:space="0" w:color="auto"/>
              <w:right w:val="nil" w:sz="6" w:space="0" w:color="auto"/>
            </w:tcBorders>
          </w:tcPr>
          <w:p>
            <w:pPr>
              <w:pStyle w:val="TableParagraph"/>
              <w:spacing w:line="209" w:lineRule="exact"/>
              <w:ind w:left="251"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25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40" w:type="dxa"/>
            <w:tcBorders>
              <w:top w:val="nil" w:sz="6" w:space="0" w:color="auto"/>
              <w:left w:val="nil" w:sz="6" w:space="0" w:color="auto"/>
              <w:bottom w:val="nil" w:sz="6" w:space="0" w:color="auto"/>
              <w:right w:val="nil" w:sz="6" w:space="0" w:color="auto"/>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00"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283"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24" w:lineRule="exact"/>
              <w:ind w:left="58" w:right="0"/>
              <w:jc w:val="left"/>
              <w:rPr>
                <w:rFonts w:ascii="宋体" w:hAnsi="宋体" w:cs="宋体" w:eastAsia="宋体" w:hint="default"/>
                <w:sz w:val="18"/>
                <w:szCs w:val="18"/>
              </w:rPr>
            </w:pPr>
            <w:r>
              <w:rPr>
                <w:rFonts w:ascii="宋体" w:hAnsi="宋体" w:cs="宋体" w:eastAsia="宋体" w:hint="default"/>
                <w:sz w:val="18"/>
                <w:szCs w:val="18"/>
              </w:rPr>
              <w:t>广西苏宁云商销售有限公司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5"/>
              <w:jc w:val="right"/>
              <w:rPr>
                <w:rFonts w:ascii="Arial" w:hAnsi="Arial" w:cs="Arial" w:eastAsia="Arial" w:hint="default"/>
                <w:sz w:val="18"/>
                <w:szCs w:val="18"/>
              </w:rPr>
            </w:pPr>
            <w:r>
              <w:rPr>
                <w:rFonts w:ascii="Arial"/>
                <w:spacing w:val="-1"/>
                <w:sz w:val="18"/>
              </w:rPr>
              <w:t>43,281</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0"/>
              <w:jc w:val="right"/>
              <w:rPr>
                <w:rFonts w:ascii="Arial" w:hAnsi="Arial" w:cs="Arial" w:eastAsia="Arial" w:hint="default"/>
                <w:sz w:val="18"/>
                <w:szCs w:val="18"/>
              </w:rPr>
            </w:pPr>
            <w:r>
              <w:rPr>
                <w:rFonts w:ascii="Arial"/>
                <w:spacing w:val="-1"/>
                <w:sz w:val="18"/>
              </w:rPr>
              <w:t>2,286</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20"/>
              <w:jc w:val="right"/>
              <w:rPr>
                <w:rFonts w:ascii="Arial" w:hAnsi="Arial" w:cs="Arial" w:eastAsia="Arial" w:hint="default"/>
                <w:sz w:val="18"/>
                <w:szCs w:val="18"/>
              </w:rPr>
            </w:pPr>
            <w:r>
              <w:rPr>
                <w:rFonts w:ascii="Arial"/>
                <w:spacing w:val="-1"/>
                <w:sz w:val="18"/>
              </w:rPr>
              <w:t>45,567</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甘肃苏宁云商销售有限公司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44,208</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44,208</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河南苏宁云商销售有限公司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3"/>
                <w:sz w:val="18"/>
              </w:rPr>
              <w:t>39,511</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0"/>
              <w:jc w:val="right"/>
              <w:rPr>
                <w:rFonts w:ascii="Arial" w:hAnsi="Arial" w:cs="Arial" w:eastAsia="Arial" w:hint="default"/>
                <w:sz w:val="18"/>
                <w:szCs w:val="18"/>
              </w:rPr>
            </w:pPr>
            <w:r>
              <w:rPr>
                <w:rFonts w:ascii="Arial"/>
                <w:spacing w:val="-1"/>
                <w:sz w:val="18"/>
              </w:rPr>
              <w:t>4,401</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43,912</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大同苏宁云商销售有限公司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39,844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39,844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南通苏宁云商销售有限公司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39,777</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39,777</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哈尔滨苏宁云商销售有限公司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37,069</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37,069</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石家庄苏宁云商商贸有限公司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35,940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35,940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内蒙古苏宁云商销售有限公司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35,044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35,044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唐山唐宁苏宁云商销售有限公司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32,260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32,260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无锡市苏宁云商销售有限公司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32,184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32,184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盐城苏宁云商销售有限公司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32,148</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32,148</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石家庄石宁苏宁贸易有限公司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31,500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31,500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488"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195" w:lineRule="exact"/>
              <w:ind w:left="58" w:right="0"/>
              <w:jc w:val="left"/>
              <w:rPr>
                <w:rFonts w:ascii="宋体" w:hAnsi="宋体" w:cs="宋体" w:eastAsia="宋体" w:hint="default"/>
                <w:sz w:val="18"/>
                <w:szCs w:val="18"/>
              </w:rPr>
            </w:pPr>
            <w:r>
              <w:rPr>
                <w:rFonts w:ascii="宋体" w:hAnsi="宋体" w:cs="宋体" w:eastAsia="宋体" w:hint="default"/>
                <w:sz w:val="18"/>
                <w:szCs w:val="18"/>
              </w:rPr>
              <w:t>苏宁云商集团南京苏宁易购投资</w:t>
            </w:r>
          </w:p>
          <w:p>
            <w:pPr>
              <w:pStyle w:val="TableParagraph"/>
              <w:spacing w:line="235" w:lineRule="exact"/>
              <w:ind w:left="24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spacing w:val="-1"/>
                <w:sz w:val="18"/>
              </w:rPr>
              <w:t>30,600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07"/>
              <w:jc w:val="right"/>
              <w:rPr>
                <w:rFonts w:ascii="Arial" w:hAnsi="Arial" w:cs="Arial" w:eastAsia="Arial" w:hint="default"/>
                <w:sz w:val="18"/>
                <w:szCs w:val="18"/>
              </w:rPr>
            </w:pPr>
            <w:r>
              <w:rPr>
                <w:rFonts w:ascii="Arial"/>
                <w:spacing w:val="-1"/>
                <w:sz w:val="18"/>
              </w:rPr>
              <w:t>30,600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海南苏宁云商商贸有限公司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30,384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30,384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27,000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27,000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常州苏宁云商商贸有限公司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3"/>
                <w:sz w:val="18"/>
              </w:rPr>
              <w:t>26,511</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3"/>
                <w:sz w:val="18"/>
              </w:rPr>
              <w:t>26,511</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山西苏宁云商销售有限公司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25,614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25,614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山东苏宁云商销售有限公司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24,685</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24,685</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云南苏宁云商销售有限公司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23,895</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23,895</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西宁苏宁云商销售有限公司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21,600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21,600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738"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17" w:lineRule="exact"/>
              <w:ind w:left="54" w:right="0"/>
              <w:jc w:val="left"/>
              <w:rPr>
                <w:rFonts w:ascii="宋体" w:hAnsi="宋体" w:cs="宋体" w:eastAsia="宋体" w:hint="default"/>
                <w:sz w:val="18"/>
                <w:szCs w:val="18"/>
              </w:rPr>
            </w:pPr>
            <w:r>
              <w:rPr>
                <w:rFonts w:ascii="宋体" w:hAnsi="宋体" w:cs="宋体" w:eastAsia="宋体" w:hint="default"/>
                <w:sz w:val="18"/>
                <w:szCs w:val="18"/>
              </w:rPr>
              <w:t>宁波甬宁苏宁云商销售有限公司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21,350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Arial" w:hAnsi="Arial" w:cs="Arial" w:eastAsia="Arial" w:hint="default"/>
                <w:sz w:val="18"/>
                <w:szCs w:val="18"/>
              </w:rPr>
            </w:pPr>
            <w:r>
              <w:rPr>
                <w:rFonts w:ascii="Arial"/>
                <w:spacing w:val="-1"/>
                <w:sz w:val="18"/>
              </w:rPr>
              <w:t>21,350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915" w:top="1860" w:bottom="1100" w:left="800" w:right="0"/>
        </w:sectPr>
      </w:pPr>
    </w:p>
    <w:p>
      <w:pPr>
        <w:spacing w:line="240" w:lineRule="auto" w:before="2"/>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38"/>
        <w:gridCol w:w="2767"/>
        <w:gridCol w:w="1220"/>
        <w:gridCol w:w="139"/>
        <w:gridCol w:w="1064"/>
        <w:gridCol w:w="142"/>
        <w:gridCol w:w="1373"/>
        <w:gridCol w:w="139"/>
        <w:gridCol w:w="1223"/>
        <w:gridCol w:w="138"/>
        <w:gridCol w:w="1085"/>
        <w:gridCol w:w="139"/>
        <w:gridCol w:w="1356"/>
        <w:gridCol w:w="138"/>
        <w:gridCol w:w="1157"/>
        <w:gridCol w:w="1568"/>
      </w:tblGrid>
      <w:tr>
        <w:trPr>
          <w:trHeight w:val="41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2767" w:type="dxa"/>
            <w:tcBorders>
              <w:top w:val="nil" w:sz="6" w:space="0" w:color="auto"/>
              <w:left w:val="nil" w:sz="6" w:space="0" w:color="auto"/>
              <w:bottom w:val="nil" w:sz="6" w:space="0" w:color="auto"/>
              <w:right w:val="nil" w:sz="6" w:space="0" w:color="auto"/>
            </w:tcBorders>
          </w:tcPr>
          <w:p>
            <w:pPr>
              <w:pStyle w:val="TableParagraph"/>
              <w:spacing w:line="257" w:lineRule="exact"/>
              <w:ind w:left="5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2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588"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2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58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8"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22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76" w:hRule="exact"/>
        </w:trPr>
        <w:tc>
          <w:tcPr>
            <w:tcW w:w="14386" w:type="dxa"/>
            <w:gridSpan w:val="16"/>
            <w:tcBorders>
              <w:top w:val="nil" w:sz="6" w:space="0" w:color="auto"/>
              <w:left w:val="nil" w:sz="6" w:space="0" w:color="auto"/>
              <w:bottom w:val="nil" w:sz="6" w:space="0" w:color="auto"/>
              <w:right w:val="nil" w:sz="6" w:space="0" w:color="auto"/>
            </w:tcBorders>
          </w:tcPr>
          <w:p>
            <w:pPr>
              <w:pStyle w:val="TableParagraph"/>
              <w:spacing w:line="240" w:lineRule="auto" w:before="107"/>
              <w:ind w:left="505"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r>
      <w:tr>
        <w:trPr>
          <w:trHeight w:val="497"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16" w:lineRule="exact"/>
              <w:ind w:left="566"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29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42" w:type="dxa"/>
            <w:tcBorders>
              <w:top w:val="single" w:sz="4" w:space="0" w:color="000000"/>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w:t>
            </w:r>
            <w:r>
              <w:rPr>
                <w:rFonts w:ascii="Arial" w:hAnsi="Arial" w:cs="Arial" w:eastAsia="Arial" w:hint="default"/>
                <w:sz w:val="18"/>
                <w:szCs w:val="18"/>
              </w:rPr>
              <w:t>)</w:t>
            </w:r>
            <w:r>
              <w:rPr>
                <w:rFonts w:ascii="宋体" w:hAnsi="宋体" w:cs="宋体" w:eastAsia="宋体" w:hint="default"/>
                <w:sz w:val="18"/>
                <w:szCs w:val="18"/>
              </w:rPr>
              <w:t>投资</w:t>
            </w:r>
          </w:p>
        </w:tc>
        <w:tc>
          <w:tcPr>
            <w:tcW w:w="139" w:type="dxa"/>
            <w:tcBorders>
              <w:top w:val="single" w:sz="4" w:space="0" w:color="000000"/>
              <w:left w:val="nil" w:sz="6" w:space="0" w:color="auto"/>
              <w:bottom w:val="nil" w:sz="6" w:space="0" w:color="auto"/>
              <w:right w:val="nil" w:sz="6" w:space="0" w:color="auto"/>
            </w:tcBorders>
          </w:tcPr>
          <w:p>
            <w:pPr/>
          </w:p>
        </w:tc>
        <w:tc>
          <w:tcPr>
            <w:tcW w:w="12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38" w:type="dxa"/>
            <w:tcBorders>
              <w:top w:val="single" w:sz="4" w:space="0" w:color="000000"/>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16" w:lineRule="exact"/>
              <w:ind w:left="70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43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09" w:lineRule="exact"/>
              <w:ind w:left="336"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33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00"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261"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24" w:lineRule="exact"/>
              <w:ind w:left="58" w:right="0"/>
              <w:jc w:val="left"/>
              <w:rPr>
                <w:rFonts w:ascii="宋体" w:hAnsi="宋体" w:cs="宋体" w:eastAsia="宋体" w:hint="default"/>
                <w:sz w:val="18"/>
                <w:szCs w:val="18"/>
              </w:rPr>
            </w:pPr>
            <w:r>
              <w:rPr>
                <w:rFonts w:ascii="宋体" w:hAnsi="宋体" w:cs="宋体" w:eastAsia="宋体" w:hint="default"/>
                <w:sz w:val="18"/>
                <w:szCs w:val="18"/>
              </w:rPr>
              <w:t>包头苏宁云商销售有限公司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spacing w:val="-1"/>
                <w:sz w:val="18"/>
              </w:rPr>
              <w:t>20,445</w:t>
            </w: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
              <w:jc w:val="right"/>
              <w:rPr>
                <w:rFonts w:ascii="Arial" w:hAnsi="Arial" w:cs="Arial" w:eastAsia="Arial" w:hint="default"/>
                <w:sz w:val="18"/>
                <w:szCs w:val="18"/>
              </w:rPr>
            </w:pPr>
            <w:r>
              <w:rPr>
                <w:rFonts w:ascii="Arial"/>
                <w:spacing w:val="-1"/>
                <w:sz w:val="18"/>
              </w:rPr>
              <w:t>20,445</w:t>
            </w: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Arial" w:hAnsi="Arial" w:cs="Arial" w:eastAsia="Arial" w:hint="default"/>
                <w:sz w:val="18"/>
                <w:szCs w:val="18"/>
              </w:rPr>
            </w:pPr>
            <w:r>
              <w:rPr>
                <w:rFonts w:ascii="Arial"/>
                <w:w w:val="99"/>
                <w:sz w:val="18"/>
              </w:rPr>
              <w:t>-</w:t>
            </w:r>
            <w:r>
              <w:rPr>
                <w:rFonts w:ascii="Arial"/>
                <w:sz w:val="18"/>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488"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195" w:lineRule="exact"/>
              <w:ind w:left="54" w:right="0"/>
              <w:jc w:val="left"/>
              <w:rPr>
                <w:rFonts w:ascii="宋体" w:hAnsi="宋体" w:cs="宋体" w:eastAsia="宋体" w:hint="default"/>
                <w:sz w:val="18"/>
                <w:szCs w:val="18"/>
              </w:rPr>
            </w:pPr>
            <w:r>
              <w:rPr>
                <w:rFonts w:ascii="宋体" w:hAnsi="宋体" w:cs="宋体" w:eastAsia="宋体" w:hint="default"/>
                <w:sz w:val="18"/>
                <w:szCs w:val="18"/>
              </w:rPr>
              <w:t>南京苏宁易之富电子商务有限公</w:t>
            </w:r>
          </w:p>
          <w:p>
            <w:pPr>
              <w:pStyle w:val="TableParagraph"/>
              <w:spacing w:line="235" w:lineRule="exact"/>
              <w:ind w:left="24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spacing w:val="-1"/>
                <w:sz w:val="18"/>
              </w:rPr>
              <w:t>20,000</w:t>
            </w: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20,000</w:t>
            </w: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宜兴市苏宁云商销售有限公司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20,000</w:t>
            </w: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Arial" w:hAnsi="Arial" w:cs="Arial" w:eastAsia="Arial" w:hint="default"/>
                <w:sz w:val="18"/>
                <w:szCs w:val="18"/>
              </w:rPr>
            </w:pPr>
            <w:r>
              <w:rPr>
                <w:rFonts w:ascii="Arial"/>
                <w:spacing w:val="-1"/>
                <w:sz w:val="18"/>
              </w:rPr>
              <w:t>20,000</w:t>
            </w: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日照苏宁云商销售有限公司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20,000</w:t>
            </w: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Arial" w:hAnsi="Arial" w:cs="Arial" w:eastAsia="Arial" w:hint="default"/>
                <w:sz w:val="18"/>
                <w:szCs w:val="18"/>
              </w:rPr>
            </w:pPr>
            <w:r>
              <w:rPr>
                <w:rFonts w:ascii="Arial"/>
                <w:spacing w:val="-1"/>
                <w:sz w:val="18"/>
              </w:rPr>
              <w:t>20,000</w:t>
            </w: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江苏酷博睿电器有限公司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20,000</w:t>
            </w: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Arial" w:hAnsi="Arial" w:cs="Arial" w:eastAsia="Arial" w:hint="default"/>
                <w:sz w:val="18"/>
                <w:szCs w:val="18"/>
              </w:rPr>
            </w:pPr>
            <w:r>
              <w:rPr>
                <w:rFonts w:ascii="Arial"/>
                <w:spacing w:val="-1"/>
                <w:sz w:val="18"/>
              </w:rPr>
              <w:t>20,000</w:t>
            </w: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湖南苏宁采购有限公司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20,000</w:t>
            </w: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Arial" w:hAnsi="Arial" w:cs="Arial" w:eastAsia="Arial" w:hint="default"/>
                <w:sz w:val="18"/>
                <w:szCs w:val="18"/>
              </w:rPr>
            </w:pPr>
            <w:r>
              <w:rPr>
                <w:rFonts w:ascii="Arial"/>
                <w:spacing w:val="-1"/>
                <w:sz w:val="18"/>
              </w:rPr>
              <w:t>20,000</w:t>
            </w: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195" w:lineRule="exact"/>
              <w:ind w:left="58"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122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258" w:hRule="exact"/>
        </w:trPr>
        <w:tc>
          <w:tcPr>
            <w:tcW w:w="738" w:type="dxa"/>
            <w:tcBorders>
              <w:top w:val="nil" w:sz="6" w:space="0" w:color="auto"/>
              <w:left w:val="nil" w:sz="6" w:space="0" w:color="auto"/>
              <w:bottom w:val="nil" w:sz="6" w:space="0" w:color="auto"/>
              <w:right w:val="nil" w:sz="6" w:space="0" w:color="auto"/>
            </w:tcBorders>
          </w:tcPr>
          <w:p>
            <w:pPr/>
          </w:p>
        </w:tc>
        <w:tc>
          <w:tcPr>
            <w:tcW w:w="4127" w:type="dxa"/>
            <w:gridSpan w:val="3"/>
            <w:tcBorders>
              <w:top w:val="nil" w:sz="6" w:space="0" w:color="auto"/>
              <w:left w:val="nil" w:sz="6" w:space="0" w:color="auto"/>
              <w:bottom w:val="nil" w:sz="6" w:space="0" w:color="auto"/>
              <w:right w:val="nil" w:sz="6" w:space="0" w:color="auto"/>
            </w:tcBorders>
          </w:tcPr>
          <w:p>
            <w:pPr>
              <w:pStyle w:val="TableParagraph"/>
              <w:tabs>
                <w:tab w:pos="391" w:val="left" w:leader="none"/>
              </w:tabs>
              <w:spacing w:line="240" w:lineRule="auto" w:before="2"/>
              <w:ind w:right="1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1,959,746</w:t>
            </w:r>
            <w:r>
              <w:rPr>
                <w:rFonts w:ascii="Arial"/>
                <w:spacing w:val="-1"/>
                <w:sz w:val="18"/>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4"/>
                <w:sz w:val="18"/>
                <w:u w:val="single" w:color="000000"/>
              </w:rPr>
              <w:t> </w:t>
            </w:r>
            <w:r>
              <w:rPr>
                <w:rFonts w:ascii="Arial"/>
                <w:spacing w:val="-1"/>
                <w:sz w:val="18"/>
                <w:u w:val="single" w:color="000000"/>
              </w:rPr>
              <w:t>4,379,291</w:t>
            </w:r>
            <w:r>
              <w:rPr>
                <w:rFonts w:ascii="Arial"/>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2"/>
              <w:ind w:right="2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(4,343,000)</w:t>
            </w:r>
            <w:r>
              <w:rPr>
                <w:rFonts w:ascii="Arial"/>
                <w:spacing w:val="-1"/>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tabs>
                <w:tab w:pos="1135" w:val="left" w:leader="none"/>
              </w:tabs>
              <w:spacing w:line="240" w:lineRule="auto" w:before="2"/>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2"/>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tabs>
                <w:tab w:pos="472" w:val="left" w:leader="none"/>
                <w:tab w:pos="1355" w:val="left" w:leader="none"/>
              </w:tabs>
              <w:spacing w:line="240" w:lineRule="auto" w:before="2"/>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1,996,037</w:t>
              <w:tab/>
            </w:r>
            <w:r>
              <w:rPr>
                <w:rFonts w:ascii="Arial"/>
                <w:spacing w:val="-1"/>
                <w:sz w:val="18"/>
              </w:rPr>
            </w: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tabs>
                <w:tab w:pos="996" w:val="left" w:leader="none"/>
              </w:tabs>
              <w:spacing w:line="240" w:lineRule="auto" w:before="2"/>
              <w:ind w:right="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68" w:type="dxa"/>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40" w:lineRule="auto" w:before="2"/>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254" w:hRule="exact"/>
        </w:trPr>
        <w:tc>
          <w:tcPr>
            <w:tcW w:w="738" w:type="dxa"/>
            <w:tcBorders>
              <w:top w:val="nil" w:sz="6" w:space="0" w:color="auto"/>
              <w:left w:val="nil" w:sz="6" w:space="0" w:color="auto"/>
              <w:bottom w:val="nil" w:sz="6" w:space="0" w:color="auto"/>
              <w:right w:val="nil" w:sz="6" w:space="0" w:color="auto"/>
            </w:tcBorders>
          </w:tcPr>
          <w:p>
            <w:pPr/>
          </w:p>
        </w:tc>
        <w:tc>
          <w:tcPr>
            <w:tcW w:w="41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right="166"/>
              <w:jc w:val="right"/>
              <w:rPr>
                <w:rFonts w:ascii="Arial" w:hAnsi="Arial" w:cs="Arial" w:eastAsia="Arial" w:hint="default"/>
                <w:sz w:val="18"/>
                <w:szCs w:val="18"/>
              </w:rPr>
            </w:pPr>
            <w:r>
              <w:rPr>
                <w:rFonts w:ascii="Arial"/>
                <w:spacing w:val="-1"/>
                <w:sz w:val="18"/>
              </w:rPr>
              <w:t>14,699,620</w:t>
            </w:r>
          </w:p>
        </w:tc>
        <w:tc>
          <w:tcPr>
            <w:tcW w:w="106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7"/>
              <w:jc w:val="right"/>
              <w:rPr>
                <w:rFonts w:ascii="Arial" w:hAnsi="Arial" w:cs="Arial" w:eastAsia="Arial" w:hint="default"/>
                <w:sz w:val="18"/>
                <w:szCs w:val="18"/>
              </w:rPr>
            </w:pPr>
            <w:r>
              <w:rPr>
                <w:rFonts w:ascii="Arial"/>
                <w:spacing w:val="-1"/>
                <w:sz w:val="18"/>
              </w:rPr>
              <w:t>4,771,642</w:t>
            </w: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7"/>
              <w:jc w:val="right"/>
              <w:rPr>
                <w:rFonts w:ascii="Arial" w:hAnsi="Arial" w:cs="Arial" w:eastAsia="Arial" w:hint="default"/>
                <w:sz w:val="18"/>
                <w:szCs w:val="18"/>
              </w:rPr>
            </w:pPr>
            <w:r>
              <w:rPr>
                <w:rFonts w:ascii="Arial"/>
                <w:spacing w:val="-1"/>
                <w:sz w:val="18"/>
              </w:rPr>
              <w:t>(4,386,691)</w:t>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81"/>
              <w:jc w:val="right"/>
              <w:rPr>
                <w:rFonts w:ascii="Arial" w:hAnsi="Arial" w:cs="Arial" w:eastAsia="Arial" w:hint="default"/>
                <w:sz w:val="18"/>
                <w:szCs w:val="18"/>
              </w:rPr>
            </w:pPr>
            <w:r>
              <w:rPr>
                <w:rFonts w:ascii="Arial"/>
                <w:spacing w:val="-1"/>
                <w:sz w:val="18"/>
              </w:rPr>
              <w:t>15,084,571</w:t>
            </w: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98"/>
              <w:jc w:val="right"/>
              <w:rPr>
                <w:rFonts w:ascii="Arial" w:hAnsi="Arial" w:cs="Arial" w:eastAsia="Arial" w:hint="default"/>
                <w:sz w:val="18"/>
                <w:szCs w:val="18"/>
              </w:rPr>
            </w:pPr>
            <w:r>
              <w:rPr>
                <w:rFonts w:ascii="Arial"/>
                <w:w w:val="99"/>
                <w:sz w:val="18"/>
              </w:rPr>
              <w:t>-</w:t>
            </w:r>
            <w:r>
              <w:rPr>
                <w:rFonts w:ascii="Arial"/>
                <w:sz w:val="18"/>
              </w:rPr>
            </w:r>
          </w:p>
        </w:tc>
        <w:tc>
          <w:tcPr>
            <w:tcW w:w="156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spacing w:val="-1"/>
                <w:sz w:val="18"/>
              </w:rPr>
              <w:t>860,986</w:t>
            </w:r>
          </w:p>
        </w:tc>
      </w:tr>
      <w:tr>
        <w:trPr>
          <w:trHeight w:val="740"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宋体" w:hAnsi="宋体" w:cs="宋体" w:eastAsia="宋体" w:hint="default"/>
                <w:sz w:val="24"/>
                <w:szCs w:val="24"/>
              </w:rPr>
            </w:pPr>
            <w:r>
              <w:rPr>
                <w:rFonts w:ascii="宋体" w:hAnsi="宋体" w:cs="宋体" w:eastAsia="宋体" w:hint="default"/>
                <w:sz w:val="24"/>
                <w:szCs w:val="24"/>
              </w:rPr>
              <w:t>合营企业</w:t>
            </w:r>
          </w:p>
        </w:tc>
        <w:tc>
          <w:tcPr>
            <w:tcW w:w="1220" w:type="dxa"/>
            <w:tcBorders>
              <w:top w:val="single" w:sz="1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single" w:sz="1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single" w:sz="12"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single" w:sz="1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single" w:sz="12"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single" w:sz="12" w:space="0" w:color="000000"/>
              <w:left w:val="nil" w:sz="6" w:space="0" w:color="auto"/>
              <w:bottom w:val="nil" w:sz="6" w:space="0" w:color="auto"/>
              <w:right w:val="nil" w:sz="6" w:space="0" w:color="auto"/>
            </w:tcBorders>
          </w:tcPr>
          <w:p>
            <w:pPr/>
          </w:p>
        </w:tc>
        <w:tc>
          <w:tcPr>
            <w:tcW w:w="1568" w:type="dxa"/>
            <w:tcBorders>
              <w:top w:val="single" w:sz="12" w:space="0" w:color="000000"/>
              <w:left w:val="nil" w:sz="6" w:space="0" w:color="auto"/>
              <w:bottom w:val="nil" w:sz="6" w:space="0" w:color="auto"/>
              <w:right w:val="nil" w:sz="6" w:space="0" w:color="auto"/>
            </w:tcBorders>
          </w:tcPr>
          <w:p>
            <w:pPr/>
          </w:p>
        </w:tc>
      </w:tr>
      <w:tr>
        <w:trPr>
          <w:trHeight w:val="589" w:hRule="exact"/>
        </w:trPr>
        <w:tc>
          <w:tcPr>
            <w:tcW w:w="14386" w:type="dxa"/>
            <w:gridSpan w:val="16"/>
            <w:tcBorders>
              <w:top w:val="nil" w:sz="6" w:space="0" w:color="auto"/>
              <w:left w:val="nil" w:sz="6" w:space="0" w:color="auto"/>
              <w:bottom w:val="nil" w:sz="6" w:space="0" w:color="auto"/>
              <w:right w:val="nil" w:sz="6" w:space="0" w:color="auto"/>
            </w:tcBorders>
          </w:tcPr>
          <w:p>
            <w:pPr>
              <w:pStyle w:val="TableParagraph"/>
              <w:spacing w:line="240" w:lineRule="auto" w:before="99"/>
              <w:ind w:left="796" w:right="0"/>
              <w:jc w:val="left"/>
              <w:rPr>
                <w:rFonts w:ascii="宋体" w:hAnsi="宋体" w:cs="宋体" w:eastAsia="宋体" w:hint="default"/>
                <w:sz w:val="24"/>
                <w:szCs w:val="24"/>
              </w:rPr>
            </w:pPr>
            <w:r>
              <w:rPr>
                <w:rFonts w:ascii="宋体" w:hAnsi="宋体" w:cs="宋体" w:eastAsia="宋体" w:hint="default"/>
                <w:sz w:val="24"/>
                <w:szCs w:val="24"/>
              </w:rPr>
              <w:t>本公司对合营企业投资的相关信息参见附注四</w:t>
            </w:r>
            <w:r>
              <w:rPr>
                <w:rFonts w:ascii="Arial" w:hAnsi="Arial" w:cs="Arial" w:eastAsia="Arial" w:hint="default"/>
                <w:sz w:val="24"/>
                <w:szCs w:val="24"/>
              </w:rPr>
              <w:t>(12)(a)</w:t>
            </w:r>
            <w:r>
              <w:rPr>
                <w:rFonts w:ascii="宋体" w:hAnsi="宋体" w:cs="宋体" w:eastAsia="宋体" w:hint="default"/>
                <w:sz w:val="24"/>
                <w:szCs w:val="24"/>
              </w:rPr>
              <w:t>。</w:t>
            </w:r>
          </w:p>
        </w:tc>
      </w:tr>
      <w:tr>
        <w:trPr>
          <w:trHeight w:val="585"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(c)</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8"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122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426" w:hRule="exact"/>
        </w:trPr>
        <w:tc>
          <w:tcPr>
            <w:tcW w:w="738" w:type="dxa"/>
            <w:tcBorders>
              <w:top w:val="nil" w:sz="6" w:space="0" w:color="auto"/>
              <w:left w:val="nil" w:sz="6" w:space="0" w:color="auto"/>
              <w:bottom w:val="nil" w:sz="6" w:space="0" w:color="auto"/>
              <w:right w:val="nil" w:sz="6" w:space="0" w:color="auto"/>
            </w:tcBorders>
          </w:tcPr>
          <w:p>
            <w:pPr/>
          </w:p>
        </w:tc>
        <w:tc>
          <w:tcPr>
            <w:tcW w:w="13648"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00"/>
              <w:ind w:left="58" w:right="0"/>
              <w:jc w:val="left"/>
              <w:rPr>
                <w:rFonts w:ascii="宋体" w:hAnsi="宋体" w:cs="宋体" w:eastAsia="宋体" w:hint="default"/>
                <w:sz w:val="24"/>
                <w:szCs w:val="24"/>
              </w:rPr>
            </w:pPr>
            <w:r>
              <w:rPr>
                <w:rFonts w:ascii="宋体" w:hAnsi="宋体" w:cs="宋体" w:eastAsia="宋体" w:hint="default"/>
                <w:sz w:val="24"/>
                <w:szCs w:val="24"/>
              </w:rPr>
              <w:t>本公司之联营企业为苏宁消费金融和锤子科技，本公司对苏宁消费金融和锤子科技投资的相关信息参见附注四</w:t>
            </w:r>
            <w:r>
              <w:rPr>
                <w:rFonts w:ascii="Arial" w:hAnsi="Arial" w:cs="Arial" w:eastAsia="Arial" w:hint="default"/>
                <w:sz w:val="24"/>
                <w:szCs w:val="24"/>
              </w:rPr>
              <w:t>(12)(b)</w:t>
            </w:r>
            <w:r>
              <w:rPr>
                <w:rFonts w:ascii="宋体" w:hAnsi="宋体" w:cs="宋体" w:eastAsia="宋体" w:hint="default"/>
                <w:sz w:val="24"/>
                <w:szCs w:val="24"/>
              </w:rPr>
              <w:t>。</w:t>
            </w:r>
          </w:p>
        </w:tc>
      </w:tr>
    </w:tbl>
    <w:p>
      <w:pPr>
        <w:spacing w:after="0" w:line="240" w:lineRule="auto"/>
        <w:jc w:val="left"/>
        <w:rPr>
          <w:rFonts w:ascii="宋体" w:hAnsi="宋体" w:cs="宋体" w:eastAsia="宋体" w:hint="default"/>
          <w:sz w:val="24"/>
          <w:szCs w:val="24"/>
        </w:rPr>
        <w:sectPr>
          <w:pgSz w:w="16840" w:h="11910" w:orient="landscape"/>
          <w:pgMar w:header="755" w:footer="915" w:top="1860" w:bottom="1100" w:left="8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809"/>
        <w:gridCol w:w="1669"/>
        <w:gridCol w:w="1607"/>
        <w:gridCol w:w="1676"/>
        <w:gridCol w:w="136"/>
        <w:gridCol w:w="1666"/>
        <w:gridCol w:w="1645"/>
      </w:tblGrid>
      <w:tr>
        <w:trPr>
          <w:trHeight w:val="416"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3276"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2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76"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r>
      <w:tr>
        <w:trPr>
          <w:trHeight w:val="585"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(4)</w:t>
            </w:r>
          </w:p>
        </w:tc>
        <w:tc>
          <w:tcPr>
            <w:tcW w:w="32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128" w:right="0"/>
              <w:jc w:val="left"/>
              <w:rPr>
                <w:rFonts w:ascii="黑体" w:hAnsi="黑体" w:cs="黑体" w:eastAsia="黑体" w:hint="default"/>
                <w:sz w:val="24"/>
                <w:szCs w:val="24"/>
              </w:rPr>
            </w:pPr>
            <w:r>
              <w:rPr>
                <w:rFonts w:ascii="黑体" w:hAnsi="黑体" w:cs="黑体" w:eastAsia="黑体" w:hint="default"/>
                <w:sz w:val="24"/>
                <w:szCs w:val="24"/>
              </w:rPr>
              <w:t>营业收入和营业成本</w:t>
            </w:r>
          </w:p>
        </w:tc>
        <w:tc>
          <w:tcPr>
            <w:tcW w:w="1676"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r>
      <w:tr>
        <w:trPr>
          <w:trHeight w:val="569"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9"/>
              <w:ind w:left="38" w:right="0"/>
              <w:jc w:val="center"/>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3"/>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33"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8"/>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607" w:type="dxa"/>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0"/>
              <w:ind w:left="961" w:right="0"/>
              <w:jc w:val="left"/>
              <w:rPr>
                <w:rFonts w:ascii="Arial" w:hAnsi="Arial" w:cs="Arial" w:eastAsia="Arial" w:hint="default"/>
                <w:sz w:val="24"/>
                <w:szCs w:val="24"/>
              </w:rPr>
            </w:pPr>
            <w:r>
              <w:rPr>
                <w:rFonts w:ascii="Arial"/>
                <w:sz w:val="24"/>
              </w:rPr>
              <w:t>104,945,176</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2"/>
              <w:jc w:val="right"/>
              <w:rPr>
                <w:rFonts w:ascii="Arial" w:hAnsi="Arial" w:cs="Arial" w:eastAsia="Arial" w:hint="default"/>
                <w:sz w:val="24"/>
                <w:szCs w:val="24"/>
              </w:rPr>
            </w:pPr>
            <w:r>
              <w:rPr>
                <w:rFonts w:ascii="Arial"/>
                <w:w w:val="95"/>
                <w:sz w:val="24"/>
              </w:rPr>
              <w:t>85,577,162</w:t>
            </w:r>
            <w:r>
              <w:rPr>
                <w:rFonts w:ascii="Arial"/>
                <w:sz w:val="24"/>
              </w:rPr>
            </w:r>
          </w:p>
        </w:tc>
      </w:tr>
      <w:tr>
        <w:trPr>
          <w:trHeight w:val="312"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62" w:lineRule="exact"/>
              <w:ind w:right="98"/>
              <w:jc w:val="right"/>
              <w:rPr>
                <w:rFonts w:ascii="宋体" w:hAnsi="宋体" w:cs="宋体" w:eastAsia="宋体" w:hint="default"/>
                <w:sz w:val="24"/>
                <w:szCs w:val="24"/>
              </w:rPr>
            </w:pPr>
            <w:r>
              <w:rPr>
                <w:rFonts w:ascii="宋体" w:hAnsi="宋体" w:cs="宋体" w:eastAsia="宋体" w:hint="default"/>
                <w:sz w:val="24"/>
                <w:szCs w:val="24"/>
              </w:rPr>
              <w:t>其他业务收入</w:t>
            </w:r>
          </w:p>
        </w:tc>
        <w:tc>
          <w:tcPr>
            <w:tcW w:w="5085" w:type="dxa"/>
            <w:gridSpan w:val="4"/>
            <w:tcBorders>
              <w:top w:val="nil" w:sz="6" w:space="0" w:color="auto"/>
              <w:left w:val="nil" w:sz="6" w:space="0" w:color="auto"/>
              <w:bottom w:val="nil" w:sz="6" w:space="0" w:color="auto"/>
              <w:right w:val="nil" w:sz="6" w:space="0" w:color="auto"/>
            </w:tcBorders>
          </w:tcPr>
          <w:p>
            <w:pPr>
              <w:pStyle w:val="TableParagraph"/>
              <w:tabs>
                <w:tab w:pos="3035" w:val="left" w:leader="none"/>
                <w:tab w:pos="4407" w:val="left" w:leader="none"/>
                <w:tab w:pos="5819" w:val="left" w:leader="none"/>
              </w:tabs>
              <w:spacing w:line="240" w:lineRule="auto" w:before="18"/>
              <w:ind w:left="1483" w:right="-735"/>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268,775</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
              <w:jc w:val="right"/>
              <w:rPr>
                <w:rFonts w:ascii="Arial" w:hAnsi="Arial" w:cs="Arial" w:eastAsia="Arial" w:hint="default"/>
                <w:sz w:val="24"/>
                <w:szCs w:val="24"/>
              </w:rPr>
            </w:pPr>
            <w:r>
              <w:rPr>
                <w:rFonts w:ascii="Arial"/>
                <w:w w:val="99"/>
                <w:sz w:val="24"/>
              </w:rPr>
            </w:r>
            <w:r>
              <w:rPr>
                <w:rFonts w:ascii="Arial"/>
                <w:spacing w:val="-1"/>
                <w:sz w:val="24"/>
                <w:u w:val="single" w:color="000000"/>
              </w:rPr>
              <w:t>237,604</w:t>
            </w:r>
            <w:r>
              <w:rPr>
                <w:rFonts w:ascii="Arial"/>
                <w:spacing w:val="-1"/>
                <w:sz w:val="24"/>
              </w:rPr>
            </w:r>
          </w:p>
        </w:tc>
      </w:tr>
      <w:tr>
        <w:trPr>
          <w:trHeight w:val="409"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5085" w:type="dxa"/>
            <w:gridSpan w:val="4"/>
            <w:tcBorders>
              <w:top w:val="nil" w:sz="6" w:space="0" w:color="auto"/>
              <w:left w:val="nil" w:sz="6" w:space="0" w:color="auto"/>
              <w:bottom w:val="nil" w:sz="6" w:space="0" w:color="auto"/>
              <w:right w:val="nil" w:sz="6" w:space="0" w:color="auto"/>
            </w:tcBorders>
          </w:tcPr>
          <w:p>
            <w:pPr>
              <w:pStyle w:val="TableParagraph"/>
              <w:tabs>
                <w:tab w:pos="2567" w:val="left" w:leader="none"/>
                <w:tab w:pos="4407" w:val="left" w:leader="none"/>
                <w:tab w:pos="5484" w:val="left" w:leader="none"/>
              </w:tabs>
              <w:spacing w:line="269" w:lineRule="exact"/>
              <w:ind w:left="1483" w:right="-40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105,213,951</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645" w:type="dxa"/>
            <w:tcBorders>
              <w:top w:val="nil" w:sz="6" w:space="0" w:color="auto"/>
              <w:left w:val="nil" w:sz="6" w:space="0" w:color="auto"/>
              <w:bottom w:val="nil" w:sz="6" w:space="0" w:color="auto"/>
              <w:right w:val="nil" w:sz="6" w:space="0" w:color="auto"/>
            </w:tcBorders>
          </w:tcPr>
          <w:p>
            <w:pPr>
              <w:pStyle w:val="TableParagraph"/>
              <w:spacing w:line="269" w:lineRule="exact"/>
              <w:ind w:right="42"/>
              <w:jc w:val="right"/>
              <w:rPr>
                <w:rFonts w:ascii="Arial" w:hAnsi="Arial" w:cs="Arial" w:eastAsia="Arial" w:hint="default"/>
                <w:sz w:val="24"/>
                <w:szCs w:val="24"/>
              </w:rPr>
            </w:pPr>
            <w:r>
              <w:rPr>
                <w:rFonts w:ascii="Arial"/>
                <w:w w:val="99"/>
                <w:sz w:val="24"/>
              </w:rPr>
            </w:r>
            <w:r>
              <w:rPr>
                <w:rFonts w:ascii="Arial"/>
                <w:w w:val="95"/>
                <w:sz w:val="24"/>
                <w:u w:val="thick" w:color="000000"/>
              </w:rPr>
              <w:t>85,814,766</w:t>
            </w:r>
            <w:r>
              <w:rPr>
                <w:rFonts w:ascii="Arial"/>
                <w:w w:val="95"/>
                <w:sz w:val="24"/>
              </w:rPr>
            </w:r>
            <w:r>
              <w:rPr>
                <w:rFonts w:ascii="Arial"/>
                <w:sz w:val="24"/>
              </w:rPr>
            </w:r>
          </w:p>
        </w:tc>
      </w:tr>
      <w:tr>
        <w:trPr>
          <w:trHeight w:val="535"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1"/>
              <w:ind w:left="38" w:right="0"/>
              <w:jc w:val="center"/>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27"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607" w:type="dxa"/>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5"/>
              <w:ind w:left="961" w:right="0"/>
              <w:jc w:val="left"/>
              <w:rPr>
                <w:rFonts w:ascii="Arial" w:hAnsi="Arial" w:cs="Arial" w:eastAsia="Arial" w:hint="default"/>
                <w:sz w:val="24"/>
                <w:szCs w:val="24"/>
              </w:rPr>
            </w:pPr>
            <w:r>
              <w:rPr>
                <w:rFonts w:ascii="Arial"/>
                <w:sz w:val="24"/>
              </w:rPr>
              <w:t>101,978,958</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2"/>
              <w:jc w:val="right"/>
              <w:rPr>
                <w:rFonts w:ascii="Arial" w:hAnsi="Arial" w:cs="Arial" w:eastAsia="Arial" w:hint="default"/>
                <w:sz w:val="24"/>
                <w:szCs w:val="24"/>
              </w:rPr>
            </w:pPr>
            <w:r>
              <w:rPr>
                <w:rFonts w:ascii="Arial"/>
                <w:w w:val="95"/>
                <w:sz w:val="24"/>
              </w:rPr>
              <w:t>83,665,744</w:t>
            </w:r>
            <w:r>
              <w:rPr>
                <w:rFonts w:ascii="Arial"/>
                <w:sz w:val="24"/>
              </w:rPr>
            </w:r>
          </w:p>
        </w:tc>
      </w:tr>
      <w:tr>
        <w:trPr>
          <w:trHeight w:val="313"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62" w:lineRule="exact"/>
              <w:ind w:right="98"/>
              <w:jc w:val="right"/>
              <w:rPr>
                <w:rFonts w:ascii="宋体" w:hAnsi="宋体" w:cs="宋体" w:eastAsia="宋体" w:hint="default"/>
                <w:sz w:val="24"/>
                <w:szCs w:val="24"/>
              </w:rPr>
            </w:pPr>
            <w:r>
              <w:rPr>
                <w:rFonts w:ascii="宋体" w:hAnsi="宋体" w:cs="宋体" w:eastAsia="宋体" w:hint="default"/>
                <w:sz w:val="24"/>
                <w:szCs w:val="24"/>
              </w:rPr>
              <w:t>其他业务成本</w:t>
            </w:r>
          </w:p>
        </w:tc>
        <w:tc>
          <w:tcPr>
            <w:tcW w:w="5085" w:type="dxa"/>
            <w:gridSpan w:val="4"/>
            <w:tcBorders>
              <w:top w:val="nil" w:sz="6" w:space="0" w:color="auto"/>
              <w:left w:val="nil" w:sz="6" w:space="0" w:color="auto"/>
              <w:bottom w:val="nil" w:sz="6" w:space="0" w:color="auto"/>
              <w:right w:val="nil" w:sz="6" w:space="0" w:color="auto"/>
            </w:tcBorders>
          </w:tcPr>
          <w:p>
            <w:pPr>
              <w:pStyle w:val="TableParagraph"/>
              <w:tabs>
                <w:tab w:pos="3169" w:val="left" w:leader="none"/>
                <w:tab w:pos="4407" w:val="left" w:leader="none"/>
                <w:tab w:pos="5952" w:val="left" w:leader="none"/>
              </w:tabs>
              <w:spacing w:line="240" w:lineRule="auto" w:before="19"/>
              <w:ind w:left="1483" w:right="-868"/>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70,169</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1"/>
              <w:jc w:val="right"/>
              <w:rPr>
                <w:rFonts w:ascii="Arial" w:hAnsi="Arial" w:cs="Arial" w:eastAsia="Arial" w:hint="default"/>
                <w:sz w:val="24"/>
                <w:szCs w:val="24"/>
              </w:rPr>
            </w:pPr>
            <w:r>
              <w:rPr>
                <w:rFonts w:ascii="Arial"/>
                <w:w w:val="99"/>
                <w:sz w:val="24"/>
              </w:rPr>
            </w:r>
            <w:r>
              <w:rPr>
                <w:rFonts w:ascii="Arial"/>
                <w:w w:val="95"/>
                <w:sz w:val="24"/>
                <w:u w:val="single" w:color="000000"/>
              </w:rPr>
              <w:t>53,106</w:t>
            </w:r>
            <w:r>
              <w:rPr>
                <w:rFonts w:ascii="Arial"/>
                <w:w w:val="95"/>
                <w:sz w:val="24"/>
              </w:rPr>
            </w:r>
            <w:r>
              <w:rPr>
                <w:rFonts w:ascii="Arial"/>
                <w:sz w:val="24"/>
              </w:rPr>
            </w:r>
          </w:p>
        </w:tc>
      </w:tr>
      <w:tr>
        <w:trPr>
          <w:trHeight w:val="434"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5085" w:type="dxa"/>
            <w:gridSpan w:val="4"/>
            <w:tcBorders>
              <w:top w:val="nil" w:sz="6" w:space="0" w:color="auto"/>
              <w:left w:val="nil" w:sz="6" w:space="0" w:color="auto"/>
              <w:bottom w:val="nil" w:sz="6" w:space="0" w:color="auto"/>
              <w:right w:val="nil" w:sz="6" w:space="0" w:color="auto"/>
            </w:tcBorders>
          </w:tcPr>
          <w:p>
            <w:pPr>
              <w:pStyle w:val="TableParagraph"/>
              <w:tabs>
                <w:tab w:pos="2567" w:val="left" w:leader="none"/>
                <w:tab w:pos="4407" w:val="left" w:leader="none"/>
                <w:tab w:pos="5484" w:val="left" w:leader="none"/>
              </w:tabs>
              <w:spacing w:line="268" w:lineRule="exact"/>
              <w:ind w:left="1483" w:right="-40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102,049,127</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645" w:type="dxa"/>
            <w:tcBorders>
              <w:top w:val="nil" w:sz="6" w:space="0" w:color="auto"/>
              <w:left w:val="nil" w:sz="6" w:space="0" w:color="auto"/>
              <w:bottom w:val="nil" w:sz="6" w:space="0" w:color="auto"/>
              <w:right w:val="nil" w:sz="6" w:space="0" w:color="auto"/>
            </w:tcBorders>
          </w:tcPr>
          <w:p>
            <w:pPr>
              <w:pStyle w:val="TableParagraph"/>
              <w:spacing w:line="268" w:lineRule="exact"/>
              <w:ind w:right="42"/>
              <w:jc w:val="right"/>
              <w:rPr>
                <w:rFonts w:ascii="Arial" w:hAnsi="Arial" w:cs="Arial" w:eastAsia="Arial" w:hint="default"/>
                <w:sz w:val="24"/>
                <w:szCs w:val="24"/>
              </w:rPr>
            </w:pPr>
            <w:r>
              <w:rPr>
                <w:rFonts w:ascii="Arial"/>
                <w:w w:val="99"/>
                <w:sz w:val="24"/>
              </w:rPr>
            </w:r>
            <w:r>
              <w:rPr>
                <w:rFonts w:ascii="Arial"/>
                <w:w w:val="95"/>
                <w:sz w:val="24"/>
                <w:u w:val="thick" w:color="000000"/>
              </w:rPr>
              <w:t>83,718,850</w:t>
            </w:r>
            <w:r>
              <w:rPr>
                <w:rFonts w:ascii="Arial"/>
                <w:w w:val="95"/>
                <w:sz w:val="24"/>
              </w:rPr>
            </w:r>
            <w:r>
              <w:rPr>
                <w:rFonts w:ascii="Arial"/>
                <w:sz w:val="24"/>
              </w:rPr>
            </w:r>
          </w:p>
        </w:tc>
      </w:tr>
      <w:tr>
        <w:trPr>
          <w:trHeight w:val="592"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(a)</w:t>
            </w:r>
          </w:p>
        </w:tc>
        <w:tc>
          <w:tcPr>
            <w:tcW w:w="32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28"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1676"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r>
      <w:tr>
        <w:trPr>
          <w:trHeight w:val="588" w:hRule="exact"/>
        </w:trPr>
        <w:tc>
          <w:tcPr>
            <w:tcW w:w="809" w:type="dxa"/>
            <w:tcBorders>
              <w:top w:val="nil" w:sz="6" w:space="0" w:color="auto"/>
              <w:left w:val="nil" w:sz="6" w:space="0" w:color="auto"/>
              <w:bottom w:val="nil" w:sz="6" w:space="0" w:color="auto"/>
              <w:right w:val="nil" w:sz="6" w:space="0" w:color="auto"/>
            </w:tcBorders>
          </w:tcPr>
          <w:p>
            <w:pPr/>
          </w:p>
        </w:tc>
        <w:tc>
          <w:tcPr>
            <w:tcW w:w="32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128"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1676"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r>
      <w:tr>
        <w:trPr>
          <w:trHeight w:val="457"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3283"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100"/>
              <w:ind w:right="0"/>
              <w:jc w:val="center"/>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447" w:type="dxa"/>
            <w:gridSpan w:val="3"/>
            <w:tcBorders>
              <w:top w:val="nil" w:sz="6" w:space="0" w:color="auto"/>
              <w:left w:val="nil" w:sz="6" w:space="0" w:color="auto"/>
              <w:bottom w:val="single" w:sz="6" w:space="0" w:color="000000"/>
              <w:right w:val="nil" w:sz="6" w:space="0" w:color="auto"/>
            </w:tcBorders>
          </w:tcPr>
          <w:p>
            <w:pPr>
              <w:pStyle w:val="TableParagraph"/>
              <w:spacing w:line="240" w:lineRule="auto" w:before="100"/>
              <w:ind w:left="1253"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61"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07" w:type="dxa"/>
            <w:tcBorders>
              <w:top w:val="single" w:sz="6" w:space="0" w:color="000000"/>
              <w:left w:val="nil" w:sz="6" w:space="0" w:color="auto"/>
              <w:bottom w:val="nil" w:sz="6" w:space="0" w:color="auto"/>
              <w:right w:val="nil" w:sz="6" w:space="0" w:color="auto"/>
            </w:tcBorders>
          </w:tcPr>
          <w:p>
            <w:pPr>
              <w:pStyle w:val="TableParagraph"/>
              <w:spacing w:line="275" w:lineRule="exact"/>
              <w:ind w:left="-14" w:right="179"/>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676" w:type="dxa"/>
            <w:tcBorders>
              <w:top w:val="single" w:sz="6" w:space="0" w:color="000000"/>
              <w:left w:val="nil" w:sz="6" w:space="0" w:color="auto"/>
              <w:bottom w:val="nil" w:sz="6" w:space="0" w:color="auto"/>
              <w:right w:val="nil" w:sz="6" w:space="0" w:color="auto"/>
            </w:tcBorders>
          </w:tcPr>
          <w:p>
            <w:pPr>
              <w:pStyle w:val="TableParagraph"/>
              <w:spacing w:line="275" w:lineRule="exact"/>
              <w:ind w:right="54"/>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36" w:type="dxa"/>
            <w:tcBorders>
              <w:top w:val="nil" w:sz="6" w:space="0" w:color="auto"/>
              <w:left w:val="nil" w:sz="6" w:space="0" w:color="auto"/>
              <w:bottom w:val="nil" w:sz="6" w:space="0" w:color="auto"/>
              <w:right w:val="nil" w:sz="6" w:space="0" w:color="auto"/>
            </w:tcBorders>
          </w:tcPr>
          <w:p>
            <w:pPr/>
          </w:p>
        </w:tc>
        <w:tc>
          <w:tcPr>
            <w:tcW w:w="1666" w:type="dxa"/>
            <w:tcBorders>
              <w:top w:val="single" w:sz="6" w:space="0" w:color="000000"/>
              <w:left w:val="nil" w:sz="6" w:space="0" w:color="auto"/>
              <w:bottom w:val="nil" w:sz="6" w:space="0" w:color="auto"/>
              <w:right w:val="nil" w:sz="6" w:space="0" w:color="auto"/>
            </w:tcBorders>
          </w:tcPr>
          <w:p>
            <w:pPr>
              <w:pStyle w:val="TableParagraph"/>
              <w:spacing w:line="275" w:lineRule="exact"/>
              <w:ind w:right="145"/>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645" w:type="dxa"/>
            <w:tcBorders>
              <w:top w:val="single" w:sz="6" w:space="0" w:color="000000"/>
              <w:left w:val="nil" w:sz="6" w:space="0" w:color="auto"/>
              <w:bottom w:val="nil" w:sz="6" w:space="0" w:color="auto"/>
              <w:right w:val="nil" w:sz="6" w:space="0" w:color="auto"/>
            </w:tcBorders>
          </w:tcPr>
          <w:p>
            <w:pPr>
              <w:pStyle w:val="TableParagraph"/>
              <w:spacing w:line="275" w:lineRule="exact"/>
              <w:ind w:right="55"/>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68"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宋体" w:hAnsi="宋体" w:cs="宋体" w:eastAsia="宋体" w:hint="default"/>
                <w:sz w:val="24"/>
                <w:szCs w:val="24"/>
              </w:rPr>
            </w:pPr>
            <w:r>
              <w:rPr>
                <w:rFonts w:ascii="宋体" w:hAnsi="宋体" w:cs="宋体" w:eastAsia="宋体" w:hint="default"/>
                <w:sz w:val="24"/>
                <w:szCs w:val="24"/>
              </w:rPr>
              <w:t>零售批发行业</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79"/>
              <w:jc w:val="right"/>
              <w:rPr>
                <w:rFonts w:ascii="Arial" w:hAnsi="Arial" w:cs="Arial" w:eastAsia="Arial" w:hint="default"/>
                <w:sz w:val="24"/>
                <w:szCs w:val="24"/>
              </w:rPr>
            </w:pPr>
            <w:r>
              <w:rPr>
                <w:rFonts w:ascii="Arial"/>
                <w:spacing w:val="-1"/>
                <w:sz w:val="24"/>
              </w:rPr>
              <w:t>104,816,306</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54"/>
              <w:jc w:val="right"/>
              <w:rPr>
                <w:rFonts w:ascii="Arial" w:hAnsi="Arial" w:cs="Arial" w:eastAsia="Arial" w:hint="default"/>
                <w:sz w:val="24"/>
                <w:szCs w:val="24"/>
              </w:rPr>
            </w:pPr>
            <w:r>
              <w:rPr>
                <w:rFonts w:ascii="Arial"/>
                <w:spacing w:val="-1"/>
                <w:sz w:val="24"/>
              </w:rPr>
              <w:t>101,859,371</w:t>
            </w:r>
          </w:p>
        </w:tc>
        <w:tc>
          <w:tcPr>
            <w:tcW w:w="1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45"/>
              <w:jc w:val="right"/>
              <w:rPr>
                <w:rFonts w:ascii="Arial" w:hAnsi="Arial" w:cs="Arial" w:eastAsia="Arial" w:hint="default"/>
                <w:sz w:val="24"/>
                <w:szCs w:val="24"/>
              </w:rPr>
            </w:pPr>
            <w:r>
              <w:rPr>
                <w:rFonts w:ascii="Arial"/>
                <w:w w:val="95"/>
                <w:sz w:val="24"/>
              </w:rPr>
              <w:t>85,426,782</w:t>
            </w:r>
            <w:r>
              <w:rPr>
                <w:rFonts w:ascii="Arial"/>
                <w:sz w:val="24"/>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55"/>
              <w:jc w:val="right"/>
              <w:rPr>
                <w:rFonts w:ascii="Arial" w:hAnsi="Arial" w:cs="Arial" w:eastAsia="Arial" w:hint="default"/>
                <w:sz w:val="24"/>
                <w:szCs w:val="24"/>
              </w:rPr>
            </w:pPr>
            <w:r>
              <w:rPr>
                <w:rFonts w:ascii="Arial"/>
                <w:w w:val="95"/>
                <w:sz w:val="24"/>
              </w:rPr>
              <w:t>83,525,527</w:t>
            </w:r>
            <w:r>
              <w:rPr>
                <w:rFonts w:ascii="Arial"/>
                <w:sz w:val="24"/>
              </w:rPr>
            </w:r>
          </w:p>
        </w:tc>
      </w:tr>
      <w:tr>
        <w:trPr>
          <w:trHeight w:val="315"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62" w:lineRule="exact"/>
              <w:ind w:right="98"/>
              <w:jc w:val="right"/>
              <w:rPr>
                <w:rFonts w:ascii="宋体" w:hAnsi="宋体" w:cs="宋体" w:eastAsia="宋体" w:hint="default"/>
                <w:sz w:val="24"/>
                <w:szCs w:val="24"/>
              </w:rPr>
            </w:pPr>
            <w:r>
              <w:rPr>
                <w:rFonts w:ascii="宋体" w:hAnsi="宋体" w:cs="宋体" w:eastAsia="宋体" w:hint="default"/>
                <w:sz w:val="24"/>
                <w:szCs w:val="24"/>
              </w:rPr>
              <w:t>安装维修行业</w:t>
            </w:r>
          </w:p>
        </w:tc>
        <w:tc>
          <w:tcPr>
            <w:tcW w:w="1607"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19"/>
              <w:ind w:right="17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128,870</w:t>
            </w:r>
            <w:r>
              <w:rPr>
                <w:rFonts w:ascii="Arial"/>
                <w:spacing w:val="-1"/>
                <w:sz w:val="24"/>
              </w:rPr>
            </w:r>
          </w:p>
        </w:tc>
        <w:tc>
          <w:tcPr>
            <w:tcW w:w="1676"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19"/>
              <w:ind w:right="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3"/>
                <w:sz w:val="24"/>
                <w:u w:val="single" w:color="000000"/>
              </w:rPr>
              <w:t>119,587</w:t>
            </w:r>
            <w:r>
              <w:rPr>
                <w:rFonts w:ascii="Arial"/>
                <w:spacing w:val="-3"/>
                <w:sz w:val="24"/>
              </w:rPr>
            </w:r>
          </w:p>
        </w:tc>
        <w:tc>
          <w:tcPr>
            <w:tcW w:w="1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tabs>
                <w:tab w:pos="650" w:val="left" w:leader="none"/>
              </w:tabs>
              <w:spacing w:line="240" w:lineRule="auto" w:before="19"/>
              <w:ind w:right="14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150,380</w:t>
            </w:r>
            <w:r>
              <w:rPr>
                <w:rFonts w:ascii="Arial"/>
                <w:spacing w:val="-1"/>
                <w:sz w:val="24"/>
              </w:rPr>
            </w:r>
          </w:p>
        </w:tc>
        <w:tc>
          <w:tcPr>
            <w:tcW w:w="1645" w:type="dxa"/>
            <w:tcBorders>
              <w:top w:val="nil" w:sz="6" w:space="0" w:color="auto"/>
              <w:left w:val="nil" w:sz="6" w:space="0" w:color="auto"/>
              <w:bottom w:val="nil" w:sz="6" w:space="0" w:color="auto"/>
              <w:right w:val="nil" w:sz="6" w:space="0" w:color="auto"/>
            </w:tcBorders>
          </w:tcPr>
          <w:p>
            <w:pPr>
              <w:pStyle w:val="TableParagraph"/>
              <w:tabs>
                <w:tab w:pos="675" w:val="left" w:leader="none"/>
              </w:tabs>
              <w:spacing w:line="240" w:lineRule="auto" w:before="19"/>
              <w:ind w:right="5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140,217</w:t>
            </w:r>
            <w:r>
              <w:rPr>
                <w:rFonts w:ascii="Arial"/>
                <w:spacing w:val="-1"/>
                <w:sz w:val="24"/>
              </w:rPr>
            </w:r>
          </w:p>
        </w:tc>
      </w:tr>
      <w:tr>
        <w:trPr>
          <w:trHeight w:val="265"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71" w:lineRule="exact"/>
              <w:ind w:right="17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41"/>
                <w:sz w:val="24"/>
                <w:u w:val="thick" w:color="000000"/>
              </w:rPr>
              <w:t> </w:t>
            </w:r>
            <w:r>
              <w:rPr>
                <w:rFonts w:ascii="Arial"/>
                <w:spacing w:val="-1"/>
                <w:sz w:val="24"/>
                <w:u w:val="thick" w:color="000000"/>
              </w:rPr>
              <w:t>104,945,176</w:t>
            </w:r>
            <w:r>
              <w:rPr>
                <w:rFonts w:ascii="Arial"/>
                <w:spacing w:val="-1"/>
                <w:sz w:val="24"/>
              </w:rPr>
            </w:r>
          </w:p>
        </w:tc>
        <w:tc>
          <w:tcPr>
            <w:tcW w:w="1676" w:type="dxa"/>
            <w:tcBorders>
              <w:top w:val="nil" w:sz="6" w:space="0" w:color="auto"/>
              <w:left w:val="nil" w:sz="6" w:space="0" w:color="auto"/>
              <w:bottom w:val="nil" w:sz="6" w:space="0" w:color="auto"/>
              <w:right w:val="nil" w:sz="6" w:space="0" w:color="auto"/>
            </w:tcBorders>
          </w:tcPr>
          <w:p>
            <w:pPr>
              <w:pStyle w:val="TableParagraph"/>
              <w:spacing w:line="271" w:lineRule="exact"/>
              <w:ind w:right="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29"/>
                <w:sz w:val="24"/>
                <w:u w:val="thick" w:color="000000"/>
              </w:rPr>
              <w:t> </w:t>
            </w:r>
            <w:r>
              <w:rPr>
                <w:rFonts w:ascii="Arial"/>
                <w:spacing w:val="-1"/>
                <w:sz w:val="24"/>
                <w:u w:val="thick" w:color="000000"/>
              </w:rPr>
              <w:t>101,978,958</w:t>
            </w:r>
            <w:r>
              <w:rPr>
                <w:rFonts w:ascii="Arial"/>
                <w:spacing w:val="-1"/>
                <w:sz w:val="24"/>
              </w:rPr>
            </w:r>
          </w:p>
        </w:tc>
        <w:tc>
          <w:tcPr>
            <w:tcW w:w="1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tabs>
                <w:tab w:pos="316" w:val="left" w:leader="none"/>
              </w:tabs>
              <w:spacing w:line="271" w:lineRule="exact"/>
              <w:ind w:right="14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85,577,162</w:t>
            </w:r>
            <w:r>
              <w:rPr>
                <w:rFonts w:ascii="Arial"/>
                <w:w w:val="95"/>
                <w:sz w:val="24"/>
              </w:rPr>
            </w:r>
            <w:r>
              <w:rPr>
                <w:rFonts w:ascii="Arial"/>
                <w:sz w:val="24"/>
              </w:rPr>
            </w:r>
          </w:p>
        </w:tc>
        <w:tc>
          <w:tcPr>
            <w:tcW w:w="1645" w:type="dxa"/>
            <w:tcBorders>
              <w:top w:val="nil" w:sz="6" w:space="0" w:color="auto"/>
              <w:left w:val="nil" w:sz="6" w:space="0" w:color="auto"/>
              <w:bottom w:val="nil" w:sz="6" w:space="0" w:color="auto"/>
              <w:right w:val="nil" w:sz="6" w:space="0" w:color="auto"/>
            </w:tcBorders>
          </w:tcPr>
          <w:p>
            <w:pPr>
              <w:pStyle w:val="TableParagraph"/>
              <w:tabs>
                <w:tab w:pos="341" w:val="left" w:leader="none"/>
              </w:tabs>
              <w:spacing w:line="271" w:lineRule="exact"/>
              <w:ind w:right="5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83,665,744</w:t>
            </w:r>
            <w:r>
              <w:rPr>
                <w:rFonts w:ascii="Arial"/>
                <w:w w:val="95"/>
                <w:sz w:val="24"/>
              </w:rPr>
            </w:r>
            <w:r>
              <w:rPr>
                <w:rFonts w:ascii="Arial"/>
                <w:sz w:val="24"/>
              </w:rPr>
            </w:r>
          </w:p>
        </w:tc>
      </w:tr>
    </w:tbl>
    <w:p>
      <w:pPr>
        <w:spacing w:after="0" w:line="271" w:lineRule="exact"/>
        <w:jc w:val="right"/>
        <w:rPr>
          <w:rFonts w:ascii="Arial" w:hAnsi="Arial" w:cs="Arial" w:eastAsia="Arial" w:hint="default"/>
          <w:sz w:val="24"/>
          <w:szCs w:val="24"/>
        </w:rPr>
        <w:sectPr>
          <w:headerReference w:type="default" r:id="rId81"/>
          <w:footerReference w:type="default" r:id="rId82"/>
          <w:pgSz w:w="11910" w:h="16840"/>
          <w:pgMar w:header="755" w:footer="914" w:top="1860" w:bottom="1100" w:left="1420" w:right="0"/>
          <w:pgNumType w:start="27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800"/>
        <w:gridCol w:w="1878"/>
        <w:gridCol w:w="1652"/>
        <w:gridCol w:w="78"/>
        <w:gridCol w:w="1565"/>
        <w:gridCol w:w="68"/>
        <w:gridCol w:w="80"/>
        <w:gridCol w:w="1540"/>
        <w:gridCol w:w="156"/>
        <w:gridCol w:w="1522"/>
      </w:tblGrid>
      <w:tr>
        <w:trPr>
          <w:trHeight w:val="41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587"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13" w:right="0"/>
              <w:jc w:val="left"/>
              <w:rPr>
                <w:rFonts w:ascii="Arial" w:hAnsi="Arial" w:cs="Arial" w:eastAsia="Arial" w:hint="default"/>
                <w:sz w:val="24"/>
                <w:szCs w:val="24"/>
              </w:rPr>
            </w:pPr>
            <w:r>
              <w:rPr>
                <w:rFonts w:ascii="Arial"/>
                <w:sz w:val="24"/>
              </w:rPr>
              <w:t>(4)</w:t>
            </w: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38"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591"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13" w:right="0"/>
              <w:jc w:val="left"/>
              <w:rPr>
                <w:rFonts w:ascii="Arial" w:hAnsi="Arial" w:cs="Arial" w:eastAsia="Arial" w:hint="default"/>
                <w:sz w:val="24"/>
                <w:szCs w:val="24"/>
              </w:rPr>
            </w:pPr>
            <w:r>
              <w:rPr>
                <w:rFonts w:ascii="Arial"/>
                <w:sz w:val="24"/>
              </w:rPr>
              <w:t>(a)</w:t>
            </w:r>
          </w:p>
        </w:tc>
        <w:tc>
          <w:tcPr>
            <w:tcW w:w="524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7"/>
              <w:ind w:left="138" w:right="0"/>
              <w:jc w:val="left"/>
              <w:rPr>
                <w:rFonts w:ascii="Arial" w:hAnsi="Arial" w:cs="Arial" w:eastAsia="Arial" w:hint="default"/>
                <w:sz w:val="24"/>
                <w:szCs w:val="24"/>
              </w:rPr>
            </w:pPr>
            <w:r>
              <w:rPr>
                <w:rFonts w:ascii="宋体" w:hAnsi="宋体" w:cs="宋体" w:eastAsia="宋体" w:hint="default"/>
                <w:sz w:val="24"/>
                <w:szCs w:val="24"/>
              </w:rPr>
              <w:t>主营业务收入和主营业务成本</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582" w:hRule="exact"/>
        </w:trPr>
        <w:tc>
          <w:tcPr>
            <w:tcW w:w="9340"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93"/>
              <w:ind w:left="938"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r>
      <w:tr>
        <w:trPr>
          <w:trHeight w:val="455"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336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1076"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29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1099"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4" w:hRule="exact"/>
        </w:trPr>
        <w:tc>
          <w:tcPr>
            <w:tcW w:w="800" w:type="dxa"/>
            <w:tcBorders>
              <w:top w:val="nil" w:sz="6" w:space="0" w:color="auto"/>
              <w:left w:val="nil" w:sz="6" w:space="0" w:color="auto"/>
              <w:bottom w:val="nil" w:sz="6" w:space="0" w:color="auto"/>
              <w:right w:val="nil" w:sz="6" w:space="0" w:color="auto"/>
            </w:tcBorders>
          </w:tcPr>
          <w:p>
            <w:pP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80" w:lineRule="exact"/>
              <w:ind w:left="1892"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78"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75" w:lineRule="exact"/>
              <w:ind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single" w:sz="4" w:space="0" w:color="000000"/>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nil" w:sz="6" w:space="0" w:color="auto"/>
              <w:right w:val="nil" w:sz="6" w:space="0" w:color="auto"/>
            </w:tcBorders>
          </w:tcPr>
          <w:p>
            <w:pPr>
              <w:pStyle w:val="TableParagraph"/>
              <w:spacing w:line="275" w:lineRule="exact"/>
              <w:ind w:right="97"/>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56" w:type="dxa"/>
            <w:tcBorders>
              <w:top w:val="single" w:sz="4" w:space="0" w:color="000000"/>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75" w:lineRule="exact"/>
              <w:ind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589"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38"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53" w:right="0"/>
              <w:jc w:val="left"/>
              <w:rPr>
                <w:rFonts w:ascii="Arial" w:hAnsi="Arial" w:cs="Arial" w:eastAsia="Arial" w:hint="default"/>
                <w:sz w:val="24"/>
                <w:szCs w:val="24"/>
              </w:rPr>
            </w:pPr>
            <w:r>
              <w:rPr>
                <w:rFonts w:ascii="Arial"/>
                <w:sz w:val="24"/>
              </w:rPr>
              <w:t>21,407,915</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8" w:right="0"/>
              <w:jc w:val="left"/>
              <w:rPr>
                <w:rFonts w:ascii="Arial" w:hAnsi="Arial" w:cs="Arial" w:eastAsia="Arial" w:hint="default"/>
                <w:sz w:val="24"/>
                <w:szCs w:val="24"/>
              </w:rPr>
            </w:pPr>
            <w:r>
              <w:rPr>
                <w:rFonts w:ascii="Arial"/>
                <w:sz w:val="24"/>
              </w:rPr>
              <w:t>20,859,592</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Arial" w:hAnsi="Arial" w:cs="Arial" w:eastAsia="Arial" w:hint="default"/>
                <w:sz w:val="24"/>
                <w:szCs w:val="24"/>
              </w:rPr>
            </w:pPr>
            <w:r>
              <w:rPr>
                <w:rFonts w:ascii="Arial"/>
                <w:w w:val="95"/>
                <w:sz w:val="24"/>
              </w:rPr>
              <w:t>19,850,721</w:t>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8" w:right="0"/>
              <w:jc w:val="left"/>
              <w:rPr>
                <w:rFonts w:ascii="Arial" w:hAnsi="Arial" w:cs="Arial" w:eastAsia="Arial" w:hint="default"/>
                <w:sz w:val="24"/>
                <w:szCs w:val="24"/>
              </w:rPr>
            </w:pPr>
            <w:r>
              <w:rPr>
                <w:rFonts w:ascii="Arial"/>
                <w:sz w:val="24"/>
              </w:rPr>
              <w:t>19,455,490</w:t>
            </w:r>
          </w:p>
        </w:tc>
      </w:tr>
      <w:tr>
        <w:trPr>
          <w:trHeight w:val="316"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7" w:lineRule="exact"/>
              <w:ind w:left="138"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53" w:right="0"/>
              <w:jc w:val="left"/>
              <w:rPr>
                <w:rFonts w:ascii="Arial" w:hAnsi="Arial" w:cs="Arial" w:eastAsia="Arial" w:hint="default"/>
                <w:sz w:val="24"/>
                <w:szCs w:val="24"/>
              </w:rPr>
            </w:pPr>
            <w:r>
              <w:rPr>
                <w:rFonts w:ascii="Arial"/>
                <w:sz w:val="24"/>
              </w:rPr>
              <w:t>19,779,619</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38" w:right="0"/>
              <w:jc w:val="left"/>
              <w:rPr>
                <w:rFonts w:ascii="Arial" w:hAnsi="Arial" w:cs="Arial" w:eastAsia="Arial" w:hint="default"/>
                <w:sz w:val="24"/>
                <w:szCs w:val="24"/>
              </w:rPr>
            </w:pPr>
            <w:r>
              <w:rPr>
                <w:rFonts w:ascii="Arial"/>
                <w:sz w:val="24"/>
              </w:rPr>
              <w:t>19,145,329</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7"/>
              <w:jc w:val="right"/>
              <w:rPr>
                <w:rFonts w:ascii="Arial" w:hAnsi="Arial" w:cs="Arial" w:eastAsia="Arial" w:hint="default"/>
                <w:sz w:val="24"/>
                <w:szCs w:val="24"/>
              </w:rPr>
            </w:pPr>
            <w:r>
              <w:rPr>
                <w:rFonts w:ascii="Arial"/>
                <w:w w:val="95"/>
                <w:sz w:val="24"/>
              </w:rPr>
              <w:t>17,366,676</w:t>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38" w:right="0"/>
              <w:jc w:val="left"/>
              <w:rPr>
                <w:rFonts w:ascii="Arial" w:hAnsi="Arial" w:cs="Arial" w:eastAsia="Arial" w:hint="default"/>
                <w:sz w:val="24"/>
                <w:szCs w:val="24"/>
              </w:rPr>
            </w:pPr>
            <w:r>
              <w:rPr>
                <w:rFonts w:ascii="Arial"/>
                <w:sz w:val="24"/>
              </w:rPr>
              <w:t>16,987,705</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79" w:lineRule="exact"/>
              <w:ind w:left="138"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53" w:right="0"/>
              <w:jc w:val="left"/>
              <w:rPr>
                <w:rFonts w:ascii="Arial" w:hAnsi="Arial" w:cs="Arial" w:eastAsia="Arial" w:hint="default"/>
                <w:sz w:val="24"/>
                <w:szCs w:val="24"/>
              </w:rPr>
            </w:pPr>
            <w:r>
              <w:rPr>
                <w:rFonts w:ascii="Arial"/>
                <w:sz w:val="24"/>
              </w:rPr>
              <w:t>18,496,761</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40" w:right="0"/>
              <w:jc w:val="left"/>
              <w:rPr>
                <w:rFonts w:ascii="Arial" w:hAnsi="Arial" w:cs="Arial" w:eastAsia="Arial" w:hint="default"/>
                <w:sz w:val="24"/>
                <w:szCs w:val="24"/>
              </w:rPr>
            </w:pPr>
            <w:r>
              <w:rPr>
                <w:rFonts w:ascii="Arial"/>
                <w:sz w:val="24"/>
              </w:rPr>
              <w:t>18,304,659</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7"/>
              <w:jc w:val="right"/>
              <w:rPr>
                <w:rFonts w:ascii="Arial" w:hAnsi="Arial" w:cs="Arial" w:eastAsia="Arial" w:hint="default"/>
                <w:sz w:val="24"/>
                <w:szCs w:val="24"/>
              </w:rPr>
            </w:pPr>
            <w:r>
              <w:rPr>
                <w:rFonts w:ascii="Arial"/>
                <w:w w:val="95"/>
                <w:sz w:val="24"/>
              </w:rPr>
              <w:t>13,949,370</w:t>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8" w:right="0"/>
              <w:jc w:val="left"/>
              <w:rPr>
                <w:rFonts w:ascii="Arial" w:hAnsi="Arial" w:cs="Arial" w:eastAsia="Arial" w:hint="default"/>
                <w:sz w:val="24"/>
                <w:szCs w:val="24"/>
              </w:rPr>
            </w:pPr>
            <w:r>
              <w:rPr>
                <w:rFonts w:ascii="Arial"/>
                <w:sz w:val="24"/>
              </w:rPr>
              <w:t>13,889,730</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空调产品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1" w:right="0"/>
              <w:jc w:val="left"/>
              <w:rPr>
                <w:rFonts w:ascii="Arial" w:hAnsi="Arial" w:cs="Arial" w:eastAsia="Arial" w:hint="default"/>
                <w:sz w:val="24"/>
                <w:szCs w:val="24"/>
              </w:rPr>
            </w:pPr>
            <w:r>
              <w:rPr>
                <w:rFonts w:ascii="Arial"/>
                <w:sz w:val="24"/>
              </w:rPr>
              <w:t>11,591,209</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56" w:right="0"/>
              <w:jc w:val="left"/>
              <w:rPr>
                <w:rFonts w:ascii="Arial" w:hAnsi="Arial" w:cs="Arial" w:eastAsia="Arial" w:hint="default"/>
                <w:sz w:val="24"/>
                <w:szCs w:val="24"/>
              </w:rPr>
            </w:pPr>
            <w:r>
              <w:rPr>
                <w:rFonts w:ascii="Arial"/>
                <w:sz w:val="24"/>
              </w:rPr>
              <w:t>11,227,895</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Arial" w:hAnsi="Arial" w:cs="Arial" w:eastAsia="Arial" w:hint="default"/>
                <w:sz w:val="24"/>
                <w:szCs w:val="24"/>
              </w:rPr>
            </w:pPr>
            <w:r>
              <w:rPr>
                <w:rFonts w:ascii="Arial"/>
                <w:spacing w:val="-2"/>
                <w:sz w:val="24"/>
              </w:rPr>
              <w:t>11,238,395</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8" w:right="0"/>
              <w:jc w:val="left"/>
              <w:rPr>
                <w:rFonts w:ascii="Arial" w:hAnsi="Arial" w:cs="Arial" w:eastAsia="Arial" w:hint="default"/>
                <w:sz w:val="24"/>
                <w:szCs w:val="24"/>
              </w:rPr>
            </w:pPr>
            <w:r>
              <w:rPr>
                <w:rFonts w:ascii="Arial"/>
                <w:sz w:val="24"/>
              </w:rPr>
              <w:t>10,961,013</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53" w:right="0"/>
              <w:jc w:val="left"/>
              <w:rPr>
                <w:rFonts w:ascii="Arial" w:hAnsi="Arial" w:cs="Arial" w:eastAsia="Arial" w:hint="default"/>
                <w:sz w:val="24"/>
                <w:szCs w:val="24"/>
              </w:rPr>
            </w:pPr>
            <w:r>
              <w:rPr>
                <w:rFonts w:ascii="Arial"/>
                <w:sz w:val="24"/>
              </w:rPr>
              <w:t>19,067,576</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40" w:right="0"/>
              <w:jc w:val="left"/>
              <w:rPr>
                <w:rFonts w:ascii="Arial" w:hAnsi="Arial" w:cs="Arial" w:eastAsia="Arial" w:hint="default"/>
                <w:sz w:val="24"/>
                <w:szCs w:val="24"/>
              </w:rPr>
            </w:pPr>
            <w:r>
              <w:rPr>
                <w:rFonts w:ascii="Arial"/>
                <w:sz w:val="24"/>
              </w:rPr>
              <w:t>18,872,435</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Arial" w:hAnsi="Arial" w:cs="Arial" w:eastAsia="Arial" w:hint="default"/>
                <w:sz w:val="24"/>
                <w:szCs w:val="24"/>
              </w:rPr>
            </w:pPr>
            <w:r>
              <w:rPr>
                <w:rFonts w:ascii="Arial"/>
                <w:spacing w:val="-2"/>
                <w:sz w:val="24"/>
              </w:rPr>
              <w:t>11,996,091</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4" w:right="0"/>
              <w:jc w:val="left"/>
              <w:rPr>
                <w:rFonts w:ascii="Arial" w:hAnsi="Arial" w:cs="Arial" w:eastAsia="Arial" w:hint="default"/>
                <w:sz w:val="24"/>
                <w:szCs w:val="24"/>
              </w:rPr>
            </w:pPr>
            <w:r>
              <w:rPr>
                <w:rFonts w:ascii="Arial"/>
                <w:spacing w:val="-4"/>
                <w:sz w:val="24"/>
              </w:rPr>
              <w:t>11,911,168</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79" w:lineRule="exact"/>
              <w:ind w:left="138" w:right="0"/>
              <w:jc w:val="left"/>
              <w:rPr>
                <w:rFonts w:ascii="Arial" w:hAnsi="Arial" w:cs="Arial" w:eastAsia="Arial" w:hint="default"/>
                <w:sz w:val="24"/>
                <w:szCs w:val="24"/>
              </w:rPr>
            </w:pPr>
            <w:r>
              <w:rPr>
                <w:rFonts w:ascii="宋体" w:hAnsi="宋体" w:cs="宋体" w:eastAsia="宋体" w:hint="default"/>
                <w:sz w:val="24"/>
                <w:szCs w:val="24"/>
              </w:rPr>
              <w:t>小家电等产品</w:t>
            </w:r>
            <w:r>
              <w:rPr>
                <w:rFonts w:ascii="Arial" w:hAnsi="Arial" w:cs="Arial" w:eastAsia="Arial" w:hint="default"/>
                <w:sz w:val="24"/>
                <w:szCs w:val="24"/>
              </w:rPr>
              <w:t>(i)</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53" w:right="0"/>
              <w:jc w:val="left"/>
              <w:rPr>
                <w:rFonts w:ascii="Arial" w:hAnsi="Arial" w:cs="Arial" w:eastAsia="Arial" w:hint="default"/>
                <w:sz w:val="24"/>
                <w:szCs w:val="24"/>
              </w:rPr>
            </w:pPr>
            <w:r>
              <w:rPr>
                <w:rFonts w:ascii="Arial"/>
                <w:sz w:val="24"/>
              </w:rPr>
              <w:t>14,422,950</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40" w:right="0"/>
              <w:jc w:val="left"/>
              <w:rPr>
                <w:rFonts w:ascii="Arial" w:hAnsi="Arial" w:cs="Arial" w:eastAsia="Arial" w:hint="default"/>
                <w:sz w:val="24"/>
                <w:szCs w:val="24"/>
              </w:rPr>
            </w:pPr>
            <w:r>
              <w:rPr>
                <w:rFonts w:ascii="Arial"/>
                <w:sz w:val="24"/>
              </w:rPr>
              <w:t>13,410,619</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8"/>
              <w:jc w:val="right"/>
              <w:rPr>
                <w:rFonts w:ascii="Arial" w:hAnsi="Arial" w:cs="Arial" w:eastAsia="Arial" w:hint="default"/>
                <w:sz w:val="24"/>
                <w:szCs w:val="24"/>
              </w:rPr>
            </w:pPr>
            <w:r>
              <w:rPr>
                <w:rFonts w:ascii="Arial"/>
                <w:spacing w:val="-2"/>
                <w:sz w:val="24"/>
              </w:rPr>
              <w:t>11,015,914</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8" w:right="0"/>
              <w:jc w:val="left"/>
              <w:rPr>
                <w:rFonts w:ascii="Arial" w:hAnsi="Arial" w:cs="Arial" w:eastAsia="Arial" w:hint="default"/>
                <w:sz w:val="24"/>
                <w:szCs w:val="24"/>
              </w:rPr>
            </w:pPr>
            <w:r>
              <w:rPr>
                <w:rFonts w:ascii="Arial"/>
                <w:sz w:val="24"/>
              </w:rPr>
              <w:t>10,312,299</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88" w:right="0"/>
              <w:jc w:val="left"/>
              <w:rPr>
                <w:rFonts w:ascii="Arial" w:hAnsi="Arial" w:cs="Arial" w:eastAsia="Arial" w:hint="default"/>
                <w:sz w:val="24"/>
                <w:szCs w:val="24"/>
              </w:rPr>
            </w:pPr>
            <w:r>
              <w:rPr>
                <w:rFonts w:ascii="Arial"/>
                <w:sz w:val="24"/>
              </w:rPr>
              <w:t>128,870</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90" w:right="0"/>
              <w:jc w:val="left"/>
              <w:rPr>
                <w:rFonts w:ascii="Arial" w:hAnsi="Arial" w:cs="Arial" w:eastAsia="Arial" w:hint="default"/>
                <w:sz w:val="24"/>
                <w:szCs w:val="24"/>
              </w:rPr>
            </w:pPr>
            <w:r>
              <w:rPr>
                <w:rFonts w:ascii="Arial"/>
                <w:spacing w:val="-3"/>
                <w:sz w:val="24"/>
              </w:rPr>
              <w:t>119,587</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Arial" w:hAnsi="Arial" w:cs="Arial" w:eastAsia="Arial" w:hint="default"/>
                <w:sz w:val="24"/>
                <w:szCs w:val="24"/>
              </w:rPr>
            </w:pPr>
            <w:r>
              <w:rPr>
                <w:rFonts w:ascii="Arial"/>
                <w:spacing w:val="-1"/>
                <w:sz w:val="24"/>
              </w:rPr>
              <w:t>150,380</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2" w:right="0"/>
              <w:jc w:val="left"/>
              <w:rPr>
                <w:rFonts w:ascii="Arial" w:hAnsi="Arial" w:cs="Arial" w:eastAsia="Arial" w:hint="default"/>
                <w:sz w:val="24"/>
                <w:szCs w:val="24"/>
              </w:rPr>
            </w:pPr>
            <w:r>
              <w:rPr>
                <w:rFonts w:ascii="Arial"/>
                <w:sz w:val="24"/>
              </w:rPr>
              <w:t>140,217</w:t>
            </w:r>
          </w:p>
        </w:tc>
      </w:tr>
      <w:tr>
        <w:trPr>
          <w:trHeight w:val="313"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52"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19"/>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50,276</w:t>
            </w:r>
            <w:r>
              <w:rPr>
                <w:rFonts w:ascii="Arial"/>
                <w:sz w:val="24"/>
              </w:rPr>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19"/>
              <w:ind w:left="-7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38,842</w:t>
            </w:r>
            <w:r>
              <w:rPr>
                <w:rFonts w:ascii="Arial"/>
                <w:sz w:val="24"/>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9"/>
              <w:ind w:left="-81" w:right="9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9,615</w:t>
            </w:r>
            <w:r>
              <w:rPr>
                <w:rFonts w:ascii="Arial"/>
                <w:w w:val="95"/>
                <w:sz w:val="24"/>
              </w:rPr>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9"/>
              <w:ind w:left="-6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8,122</w:t>
            </w:r>
            <w:r>
              <w:rPr>
                <w:rFonts w:ascii="Arial"/>
                <w:sz w:val="24"/>
              </w:rPr>
            </w:r>
          </w:p>
        </w:tc>
      </w:tr>
      <w:tr>
        <w:trPr>
          <w:trHeight w:val="434" w:hRule="exact"/>
        </w:trPr>
        <w:tc>
          <w:tcPr>
            <w:tcW w:w="800" w:type="dxa"/>
            <w:tcBorders>
              <w:top w:val="nil" w:sz="6" w:space="0" w:color="auto"/>
              <w:left w:val="nil" w:sz="6" w:space="0" w:color="auto"/>
              <w:bottom w:val="nil" w:sz="6" w:space="0" w:color="auto"/>
              <w:right w:val="nil" w:sz="6" w:space="0" w:color="auto"/>
            </w:tcBorders>
          </w:tcPr>
          <w:p>
            <w:pPr/>
          </w:p>
        </w:tc>
        <w:tc>
          <w:tcPr>
            <w:tcW w:w="3531" w:type="dxa"/>
            <w:gridSpan w:val="2"/>
            <w:tcBorders>
              <w:top w:val="nil" w:sz="6" w:space="0" w:color="auto"/>
              <w:left w:val="nil" w:sz="6" w:space="0" w:color="auto"/>
              <w:bottom w:val="nil" w:sz="6" w:space="0" w:color="auto"/>
              <w:right w:val="nil" w:sz="6" w:space="0" w:color="auto"/>
            </w:tcBorders>
          </w:tcPr>
          <w:p>
            <w:pPr>
              <w:pStyle w:val="TableParagraph"/>
              <w:tabs>
                <w:tab w:pos="3390" w:val="left" w:leader="none"/>
              </w:tabs>
              <w:spacing w:line="268" w:lineRule="exact"/>
              <w:ind w:left="187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32"/>
                <w:sz w:val="24"/>
                <w:u w:val="thick" w:color="000000"/>
              </w:rPr>
              <w:t> </w:t>
            </w:r>
            <w:r>
              <w:rPr>
                <w:rFonts w:ascii="Arial"/>
                <w:sz w:val="24"/>
                <w:u w:val="thick" w:color="000000"/>
              </w:rPr>
              <w:t>104,945,176</w:t>
              <w:tab/>
            </w:r>
            <w:r>
              <w:rPr>
                <w:rFonts w:ascii="Arial"/>
                <w:sz w:val="24"/>
              </w:rPr>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68" w:lineRule="exact"/>
              <w:ind w:left="-7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7"/>
                <w:sz w:val="24"/>
                <w:u w:val="thick" w:color="000000"/>
              </w:rPr>
              <w:t> </w:t>
            </w:r>
            <w:r>
              <w:rPr>
                <w:rFonts w:ascii="Arial"/>
                <w:sz w:val="24"/>
                <w:u w:val="thick" w:color="000000"/>
              </w:rPr>
              <w:t>101,978,958</w:t>
            </w:r>
            <w:r>
              <w:rPr>
                <w:rFonts w:ascii="Arial"/>
                <w:sz w:val="24"/>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tabs>
                <w:tab w:pos="238" w:val="left" w:leader="none"/>
              </w:tabs>
              <w:spacing w:line="268" w:lineRule="exact"/>
              <w:ind w:left="-81" w:right="9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85,577,162</w:t>
            </w:r>
            <w:r>
              <w:rPr>
                <w:rFonts w:ascii="Arial"/>
                <w:w w:val="95"/>
                <w:sz w:val="24"/>
              </w:rPr>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tabs>
                <w:tab w:pos="238" w:val="left" w:leader="none"/>
                <w:tab w:pos="1521" w:val="left" w:leader="none"/>
              </w:tabs>
              <w:spacing w:line="268" w:lineRule="exact"/>
              <w:ind w:left="-6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83,665,744</w:t>
              <w:tab/>
            </w:r>
            <w:r>
              <w:rPr>
                <w:rFonts w:ascii="Arial"/>
                <w:sz w:val="24"/>
              </w:rPr>
            </w:r>
          </w:p>
        </w:tc>
      </w:tr>
      <w:tr>
        <w:trPr>
          <w:trHeight w:val="90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13" w:right="0"/>
              <w:jc w:val="left"/>
              <w:rPr>
                <w:rFonts w:ascii="Arial" w:hAnsi="Arial" w:cs="Arial" w:eastAsia="Arial" w:hint="default"/>
                <w:sz w:val="24"/>
                <w:szCs w:val="24"/>
              </w:rPr>
            </w:pPr>
            <w:r>
              <w:rPr>
                <w:rFonts w:ascii="Arial"/>
                <w:sz w:val="24"/>
              </w:rPr>
              <w:t>(i)</w:t>
            </w:r>
          </w:p>
        </w:tc>
        <w:tc>
          <w:tcPr>
            <w:tcW w:w="8540" w:type="dxa"/>
            <w:gridSpan w:val="9"/>
            <w:tcBorders>
              <w:top w:val="nil" w:sz="6" w:space="0" w:color="auto"/>
              <w:left w:val="nil" w:sz="6" w:space="0" w:color="auto"/>
              <w:bottom w:val="nil" w:sz="6" w:space="0" w:color="auto"/>
              <w:right w:val="nil" w:sz="6" w:space="0" w:color="auto"/>
            </w:tcBorders>
          </w:tcPr>
          <w:p>
            <w:pPr>
              <w:pStyle w:val="TableParagraph"/>
              <w:spacing w:line="310" w:lineRule="exact" w:before="136"/>
              <w:ind w:left="138" w:right="85"/>
              <w:jc w:val="left"/>
              <w:rPr>
                <w:rFonts w:ascii="宋体" w:hAnsi="宋体" w:cs="宋体" w:eastAsia="宋体" w:hint="default"/>
                <w:sz w:val="24"/>
                <w:szCs w:val="24"/>
              </w:rPr>
            </w:pPr>
            <w:r>
              <w:rPr>
                <w:rFonts w:ascii="宋体" w:hAnsi="宋体" w:cs="宋体" w:eastAsia="宋体" w:hint="default"/>
                <w:spacing w:val="-3"/>
                <w:sz w:val="24"/>
                <w:szCs w:val="24"/>
              </w:rPr>
              <w:t>小家电等产品包括小家电、红孩子母婴及美妆、家居食品和其他日用百货类产品</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等。</w:t>
            </w:r>
          </w:p>
        </w:tc>
      </w:tr>
      <w:tr>
        <w:trPr>
          <w:trHeight w:val="58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13" w:right="0"/>
              <w:jc w:val="left"/>
              <w:rPr>
                <w:rFonts w:ascii="Arial" w:hAnsi="Arial" w:cs="Arial" w:eastAsia="Arial" w:hint="default"/>
                <w:sz w:val="24"/>
                <w:szCs w:val="24"/>
              </w:rPr>
            </w:pPr>
            <w:r>
              <w:rPr>
                <w:rFonts w:ascii="Arial"/>
                <w:sz w:val="24"/>
              </w:rPr>
              <w:t>(b)</w:t>
            </w: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19"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381"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336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3"/>
              <w:ind w:right="165"/>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329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3"/>
              <w:ind w:right="3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349"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nil" w:sz="6" w:space="0" w:color="auto"/>
              <w:right w:val="nil" w:sz="6" w:space="0" w:color="auto"/>
            </w:tcBorders>
          </w:tcPr>
          <w:p>
            <w:pPr>
              <w:pStyle w:val="TableParagraph"/>
              <w:spacing w:line="207" w:lineRule="exact"/>
              <w:ind w:right="55"/>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07" w:lineRule="exact"/>
              <w:ind w:right="0"/>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nil" w:sz="6" w:space="0" w:color="auto"/>
              <w:right w:val="nil" w:sz="6" w:space="0" w:color="auto"/>
            </w:tcBorders>
          </w:tcPr>
          <w:p>
            <w:pPr>
              <w:pStyle w:val="TableParagraph"/>
              <w:spacing w:line="207" w:lineRule="exact"/>
              <w:ind w:right="55"/>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56" w:type="dxa"/>
            <w:tcBorders>
              <w:top w:val="single" w:sz="4" w:space="0" w:color="000000"/>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07" w:lineRule="exact"/>
              <w:ind w:left="361" w:right="0"/>
              <w:jc w:val="left"/>
              <w:rPr>
                <w:rFonts w:ascii="宋体" w:hAnsi="宋体" w:cs="宋体" w:eastAsia="宋体" w:hint="default"/>
                <w:sz w:val="18"/>
                <w:szCs w:val="18"/>
              </w:rPr>
            </w:pPr>
            <w:r>
              <w:rPr>
                <w:rFonts w:ascii="宋体" w:hAnsi="宋体" w:cs="宋体" w:eastAsia="宋体" w:hint="default"/>
                <w:sz w:val="18"/>
                <w:szCs w:val="18"/>
              </w:rPr>
              <w:t>其他业务成本</w:t>
            </w:r>
          </w:p>
        </w:tc>
      </w:tr>
      <w:tr>
        <w:trPr>
          <w:trHeight w:val="365"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8"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4"/>
              <w:jc w:val="right"/>
              <w:rPr>
                <w:rFonts w:ascii="Arial" w:hAnsi="Arial" w:cs="Arial" w:eastAsia="Arial" w:hint="default"/>
                <w:sz w:val="18"/>
                <w:szCs w:val="18"/>
              </w:rPr>
            </w:pPr>
            <w:r>
              <w:rPr>
                <w:rFonts w:ascii="Arial"/>
                <w:spacing w:val="-1"/>
                <w:sz w:val="18"/>
              </w:rPr>
              <w:t>122,609</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
              <w:jc w:val="right"/>
              <w:rPr>
                <w:rFonts w:ascii="Arial" w:hAnsi="Arial" w:cs="Arial" w:eastAsia="Arial" w:hint="default"/>
                <w:sz w:val="18"/>
                <w:szCs w:val="18"/>
              </w:rPr>
            </w:pPr>
            <w:r>
              <w:rPr>
                <w:rFonts w:ascii="Arial"/>
                <w:spacing w:val="-1"/>
                <w:sz w:val="18"/>
              </w:rPr>
              <w:t>70,169</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5"/>
              <w:jc w:val="right"/>
              <w:rPr>
                <w:rFonts w:ascii="Arial" w:hAnsi="Arial" w:cs="Arial" w:eastAsia="Arial" w:hint="default"/>
                <w:sz w:val="18"/>
                <w:szCs w:val="18"/>
              </w:rPr>
            </w:pPr>
            <w:r>
              <w:rPr>
                <w:rFonts w:ascii="Arial"/>
                <w:spacing w:val="-1"/>
                <w:sz w:val="18"/>
              </w:rPr>
              <w:t>85,779</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857" w:right="0"/>
              <w:jc w:val="left"/>
              <w:rPr>
                <w:rFonts w:ascii="Arial" w:hAnsi="Arial" w:cs="Arial" w:eastAsia="Arial" w:hint="default"/>
                <w:sz w:val="18"/>
                <w:szCs w:val="18"/>
              </w:rPr>
            </w:pPr>
            <w:r>
              <w:rPr>
                <w:rFonts w:ascii="Arial"/>
                <w:sz w:val="18"/>
              </w:rPr>
              <w:t>53,106</w:t>
            </w:r>
          </w:p>
        </w:tc>
      </w:tr>
      <w:tr>
        <w:trPr>
          <w:trHeight w:val="260"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4" w:lineRule="exact"/>
              <w:ind w:left="138" w:right="0"/>
              <w:jc w:val="left"/>
              <w:rPr>
                <w:rFonts w:ascii="Arial" w:hAnsi="Arial" w:cs="Arial" w:eastAsia="Arial" w:hint="default"/>
                <w:sz w:val="18"/>
                <w:szCs w:val="18"/>
              </w:rPr>
            </w:pPr>
            <w:r>
              <w:rPr>
                <w:rFonts w:ascii="宋体" w:hAnsi="宋体" w:cs="宋体" w:eastAsia="宋体" w:hint="default"/>
                <w:sz w:val="18"/>
                <w:szCs w:val="18"/>
              </w:rPr>
              <w:t>连锁店服务收入</w:t>
            </w:r>
            <w:r>
              <w:rPr>
                <w:rFonts w:ascii="Arial" w:hAnsi="Arial" w:cs="Arial" w:eastAsia="Arial" w:hint="default"/>
                <w:sz w:val="18"/>
                <w:szCs w:val="18"/>
              </w:rPr>
              <w:t>(i)</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6"/>
              <w:jc w:val="right"/>
              <w:rPr>
                <w:rFonts w:ascii="Arial" w:hAnsi="Arial" w:cs="Arial" w:eastAsia="Arial" w:hint="default"/>
                <w:sz w:val="18"/>
                <w:szCs w:val="18"/>
              </w:rPr>
            </w:pPr>
            <w:r>
              <w:rPr>
                <w:rFonts w:ascii="Arial"/>
                <w:spacing w:val="-1"/>
                <w:sz w:val="18"/>
              </w:rPr>
              <w:t>78,121</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8"/>
                <w:szCs w:val="18"/>
              </w:rPr>
            </w:pPr>
            <w:r>
              <w:rPr>
                <w:rFonts w:ascii="Arial"/>
                <w:w w:val="99"/>
                <w:sz w:val="18"/>
              </w:rPr>
              <w:t>-</w:t>
            </w:r>
            <w:r>
              <w:rPr>
                <w:rFonts w:ascii="Arial"/>
                <w:sz w:val="18"/>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5"/>
              <w:jc w:val="right"/>
              <w:rPr>
                <w:rFonts w:ascii="Arial" w:hAnsi="Arial" w:cs="Arial" w:eastAsia="Arial" w:hint="default"/>
                <w:sz w:val="18"/>
                <w:szCs w:val="18"/>
              </w:rPr>
            </w:pPr>
            <w:r>
              <w:rPr>
                <w:rFonts w:ascii="Arial"/>
                <w:spacing w:val="-1"/>
                <w:sz w:val="18"/>
              </w:rPr>
              <w:t>84,991</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7" w:lineRule="exact"/>
              <w:ind w:left="138" w:right="0"/>
              <w:jc w:val="left"/>
              <w:rPr>
                <w:rFonts w:ascii="宋体" w:hAnsi="宋体" w:cs="宋体" w:eastAsia="宋体" w:hint="default"/>
                <w:sz w:val="18"/>
                <w:szCs w:val="18"/>
              </w:rPr>
            </w:pPr>
            <w:r>
              <w:rPr>
                <w:rFonts w:ascii="宋体" w:hAnsi="宋体" w:cs="宋体" w:eastAsia="宋体" w:hint="default"/>
                <w:sz w:val="18"/>
                <w:szCs w:val="18"/>
              </w:rPr>
              <w:t>代理费收入</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53,535</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57,468</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292"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7" w:lineRule="exact"/>
              <w:ind w:left="156" w:right="0"/>
              <w:jc w:val="left"/>
              <w:rPr>
                <w:rFonts w:ascii="宋体" w:hAnsi="宋体" w:cs="宋体" w:eastAsia="宋体" w:hint="default"/>
                <w:sz w:val="18"/>
                <w:szCs w:val="18"/>
              </w:rPr>
            </w:pPr>
            <w:r>
              <w:rPr>
                <w:rFonts w:ascii="宋体" w:hAnsi="宋体" w:cs="宋体" w:eastAsia="宋体" w:hint="default"/>
                <w:sz w:val="18"/>
                <w:szCs w:val="18"/>
              </w:rPr>
              <w:t>广告位使用费收入</w:t>
            </w:r>
          </w:p>
        </w:tc>
        <w:tc>
          <w:tcPr>
            <w:tcW w:w="1652" w:type="dxa"/>
            <w:tcBorders>
              <w:top w:val="nil" w:sz="6" w:space="0" w:color="auto"/>
              <w:left w:val="nil" w:sz="6" w:space="0" w:color="auto"/>
              <w:bottom w:val="nil" w:sz="6" w:space="0" w:color="auto"/>
              <w:right w:val="nil" w:sz="6" w:space="0" w:color="auto"/>
            </w:tcBorders>
          </w:tcPr>
          <w:p>
            <w:pPr>
              <w:pStyle w:val="TableParagraph"/>
              <w:tabs>
                <w:tab w:pos="1043" w:val="left" w:leader="none"/>
                <w:tab w:pos="1652" w:val="left" w:leader="none"/>
              </w:tabs>
              <w:spacing w:line="240" w:lineRule="auto" w:before="36"/>
              <w:ind w:left="-2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14,510</w:t>
              <w:tab/>
            </w:r>
            <w:r>
              <w:rPr>
                <w:rFonts w:ascii="Arial"/>
                <w:sz w:val="18"/>
              </w:rPr>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1449" w:val="left" w:leader="none"/>
              </w:tabs>
              <w:spacing w:line="240" w:lineRule="auto" w:before="36"/>
              <w:ind w:right="-5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tabs>
                <w:tab w:pos="989" w:val="left" w:leader="none"/>
                <w:tab w:pos="1496"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9,366</w:t>
              <w:tab/>
            </w:r>
            <w:r>
              <w:rPr>
                <w:rFonts w:ascii="Arial"/>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tabs>
                <w:tab w:pos="1347" w:val="left" w:leader="none"/>
                <w:tab w:pos="1498" w:val="left" w:leader="none"/>
              </w:tabs>
              <w:spacing w:line="240" w:lineRule="auto" w:before="36"/>
              <w:ind w:left="12"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54" w:hRule="exact"/>
        </w:trPr>
        <w:tc>
          <w:tcPr>
            <w:tcW w:w="800" w:type="dxa"/>
            <w:tcBorders>
              <w:top w:val="nil" w:sz="6" w:space="0" w:color="auto"/>
              <w:left w:val="nil" w:sz="6" w:space="0" w:color="auto"/>
              <w:bottom w:val="nil" w:sz="6" w:space="0" w:color="auto"/>
              <w:right w:val="nil" w:sz="6" w:space="0" w:color="auto"/>
            </w:tcBorders>
          </w:tcPr>
          <w:p>
            <w:pP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268,775</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
              <w:jc w:val="right"/>
              <w:rPr>
                <w:rFonts w:ascii="Arial" w:hAnsi="Arial" w:cs="Arial" w:eastAsia="Arial" w:hint="default"/>
                <w:sz w:val="18"/>
                <w:szCs w:val="18"/>
              </w:rPr>
            </w:pPr>
            <w:r>
              <w:rPr>
                <w:rFonts w:ascii="Arial"/>
                <w:spacing w:val="-1"/>
                <w:sz w:val="18"/>
              </w:rPr>
              <w:t>70,169</w:t>
            </w:r>
          </w:p>
        </w:tc>
        <w:tc>
          <w:tcPr>
            <w:tcW w:w="68" w:type="dxa"/>
            <w:tcBorders>
              <w:top w:val="nil" w:sz="6" w:space="0" w:color="auto"/>
              <w:left w:val="nil" w:sz="6" w:space="0" w:color="auto"/>
              <w:bottom w:val="single" w:sz="12" w:space="0" w:color="000000"/>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4"/>
              <w:jc w:val="right"/>
              <w:rPr>
                <w:rFonts w:ascii="Arial" w:hAnsi="Arial" w:cs="Arial" w:eastAsia="Arial" w:hint="default"/>
                <w:sz w:val="18"/>
                <w:szCs w:val="18"/>
              </w:rPr>
            </w:pPr>
            <w:r>
              <w:rPr>
                <w:rFonts w:ascii="Arial"/>
                <w:spacing w:val="-1"/>
                <w:sz w:val="18"/>
              </w:rPr>
              <w:t>237,604</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891" w:right="0"/>
              <w:jc w:val="left"/>
              <w:rPr>
                <w:rFonts w:ascii="Arial" w:hAnsi="Arial" w:cs="Arial" w:eastAsia="Arial" w:hint="default"/>
                <w:sz w:val="18"/>
                <w:szCs w:val="18"/>
              </w:rPr>
            </w:pPr>
            <w:r>
              <w:rPr>
                <w:rFonts w:ascii="Arial"/>
                <w:sz w:val="18"/>
              </w:rPr>
              <w:t>53,106</w:t>
            </w:r>
          </w:p>
        </w:tc>
      </w:tr>
      <w:tr>
        <w:trPr>
          <w:trHeight w:val="56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13" w:right="0"/>
              <w:jc w:val="left"/>
              <w:rPr>
                <w:rFonts w:ascii="Arial" w:hAnsi="Arial" w:cs="Arial" w:eastAsia="Arial" w:hint="default"/>
                <w:sz w:val="24"/>
                <w:szCs w:val="24"/>
              </w:rPr>
            </w:pPr>
            <w:r>
              <w:rPr>
                <w:rFonts w:ascii="Arial"/>
                <w:sz w:val="24"/>
              </w:rPr>
              <w:t>(i)</w:t>
            </w:r>
          </w:p>
        </w:tc>
        <w:tc>
          <w:tcPr>
            <w:tcW w:w="854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8" w:right="0"/>
              <w:jc w:val="left"/>
              <w:rPr>
                <w:rFonts w:ascii="宋体" w:hAnsi="宋体" w:cs="宋体" w:eastAsia="宋体" w:hint="default"/>
                <w:sz w:val="24"/>
                <w:szCs w:val="24"/>
              </w:rPr>
            </w:pPr>
            <w:r>
              <w:rPr>
                <w:rFonts w:ascii="宋体" w:hAnsi="宋体" w:cs="宋体" w:eastAsia="宋体" w:hint="default"/>
                <w:sz w:val="24"/>
                <w:szCs w:val="24"/>
              </w:rPr>
              <w:t>连锁店服务收入主要包括供应商支付的促销服务收入及广告服务收入等。</w:t>
            </w:r>
          </w:p>
        </w:tc>
      </w:tr>
    </w:tbl>
    <w:p>
      <w:pPr>
        <w:spacing w:after="0" w:line="240" w:lineRule="auto"/>
        <w:jc w:val="left"/>
        <w:rPr>
          <w:rFonts w:ascii="宋体" w:hAnsi="宋体" w:cs="宋体" w:eastAsia="宋体" w:hint="default"/>
          <w:sz w:val="24"/>
          <w:szCs w:val="24"/>
        </w:rPr>
        <w:sectPr>
          <w:pgSz w:w="11910" w:h="16840"/>
          <w:pgMar w:header="755" w:footer="914" w:top="186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645"/>
        <w:gridCol w:w="5131"/>
        <w:gridCol w:w="1486"/>
        <w:gridCol w:w="236"/>
        <w:gridCol w:w="1361"/>
      </w:tblGrid>
      <w:tr>
        <w:trPr>
          <w:trHeight w:val="1341" w:hRule="exact"/>
        </w:trPr>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十七</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48" w:right="0"/>
              <w:jc w:val="left"/>
              <w:rPr>
                <w:rFonts w:ascii="Arial" w:hAnsi="Arial" w:cs="Arial" w:eastAsia="Arial" w:hint="default"/>
                <w:sz w:val="24"/>
                <w:szCs w:val="24"/>
              </w:rPr>
            </w:pPr>
            <w:r>
              <w:rPr>
                <w:rFonts w:ascii="Arial"/>
                <w:sz w:val="24"/>
              </w:rPr>
              <w:t>(5)</w:t>
            </w:r>
          </w:p>
        </w:tc>
        <w:tc>
          <w:tcPr>
            <w:tcW w:w="51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9"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0"/>
              <w:ind w:left="129" w:right="0"/>
              <w:jc w:val="left"/>
              <w:rPr>
                <w:rFonts w:ascii="黑体" w:hAnsi="黑体" w:cs="黑体" w:eastAsia="黑体" w:hint="default"/>
                <w:sz w:val="24"/>
                <w:szCs w:val="24"/>
              </w:rPr>
            </w:pPr>
            <w:r>
              <w:rPr>
                <w:rFonts w:ascii="黑体" w:hAnsi="黑体" w:cs="黑体" w:eastAsia="黑体" w:hint="default"/>
                <w:sz w:val="24"/>
                <w:szCs w:val="24"/>
              </w:rPr>
              <w:t>投资收益</w:t>
            </w:r>
          </w:p>
        </w:tc>
        <w:tc>
          <w:tcPr>
            <w:tcW w:w="3083" w:type="dxa"/>
            <w:gridSpan w:val="3"/>
            <w:tcBorders>
              <w:top w:val="nil" w:sz="6" w:space="0" w:color="auto"/>
              <w:left w:val="nil" w:sz="6" w:space="0" w:color="auto"/>
              <w:bottom w:val="nil" w:sz="6" w:space="0" w:color="auto"/>
              <w:right w:val="nil" w:sz="6" w:space="0" w:color="auto"/>
            </w:tcBorders>
          </w:tcPr>
          <w:p>
            <w:pPr/>
          </w:p>
        </w:tc>
      </w:tr>
      <w:tr>
        <w:trPr>
          <w:trHeight w:val="753"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02"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8"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29" w:right="0"/>
              <w:jc w:val="left"/>
              <w:rPr>
                <w:rFonts w:ascii="宋体" w:hAnsi="宋体" w:cs="宋体" w:eastAsia="宋体" w:hint="default"/>
                <w:sz w:val="24"/>
                <w:szCs w:val="24"/>
              </w:rPr>
            </w:pPr>
            <w:r>
              <w:rPr>
                <w:rFonts w:ascii="宋体" w:hAnsi="宋体" w:cs="宋体" w:eastAsia="宋体" w:hint="default"/>
                <w:sz w:val="24"/>
                <w:szCs w:val="24"/>
              </w:rPr>
              <w:t>子公司股利</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24"/>
                <w:szCs w:val="24"/>
              </w:rPr>
            </w:pPr>
            <w:r>
              <w:rPr>
                <w:rFonts w:ascii="Arial"/>
                <w:spacing w:val="-1"/>
                <w:sz w:val="24"/>
              </w:rPr>
              <w:t>860,986</w:t>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42"/>
              <w:jc w:val="right"/>
              <w:rPr>
                <w:rFonts w:ascii="Arial" w:hAnsi="Arial" w:cs="Arial" w:eastAsia="Arial" w:hint="default"/>
                <w:sz w:val="24"/>
                <w:szCs w:val="24"/>
              </w:rPr>
            </w:pPr>
            <w:r>
              <w:rPr>
                <w:rFonts w:ascii="Arial"/>
                <w:w w:val="99"/>
                <w:sz w:val="24"/>
              </w:rPr>
              <w:t>-</w:t>
            </w:r>
            <w:r>
              <w:rPr>
                <w:rFonts w:ascii="Arial"/>
                <w:sz w:val="24"/>
              </w:rPr>
            </w:r>
          </w:p>
        </w:tc>
      </w:tr>
      <w:tr>
        <w:trPr>
          <w:trHeight w:val="357"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Style w:val="TableParagraph"/>
              <w:spacing w:line="301" w:lineRule="exact"/>
              <w:ind w:left="129"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处置以公允价值计量且其变动计入当期损益的</w:t>
            </w:r>
          </w:p>
        </w:tc>
        <w:tc>
          <w:tcPr>
            <w:tcW w:w="148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86"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Style w:val="TableParagraph"/>
              <w:spacing w:line="295" w:lineRule="exact"/>
              <w:ind w:left="369" w:right="0"/>
              <w:jc w:val="left"/>
              <w:rPr>
                <w:rFonts w:ascii="宋体" w:hAnsi="宋体" w:cs="宋体" w:eastAsia="宋体" w:hint="default"/>
                <w:sz w:val="24"/>
                <w:szCs w:val="24"/>
              </w:rPr>
            </w:pPr>
            <w:r>
              <w:rPr>
                <w:rFonts w:ascii="宋体" w:hAnsi="宋体" w:cs="宋体" w:eastAsia="宋体" w:hint="default"/>
                <w:sz w:val="24"/>
                <w:szCs w:val="24"/>
              </w:rPr>
              <w:t>金融资产取得的投资收益</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Arial" w:hAnsi="Arial" w:cs="Arial" w:eastAsia="Arial" w:hint="default"/>
                <w:sz w:val="24"/>
                <w:szCs w:val="24"/>
              </w:rPr>
            </w:pPr>
            <w:r>
              <w:rPr>
                <w:rFonts w:ascii="Arial"/>
                <w:spacing w:val="-1"/>
                <w:sz w:val="24"/>
              </w:rPr>
              <w:t>154,475</w:t>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7"/>
              <w:jc w:val="right"/>
              <w:rPr>
                <w:rFonts w:ascii="Arial" w:hAnsi="Arial" w:cs="Arial" w:eastAsia="Arial" w:hint="default"/>
                <w:sz w:val="24"/>
                <w:szCs w:val="24"/>
              </w:rPr>
            </w:pPr>
            <w:r>
              <w:rPr>
                <w:rFonts w:ascii="Arial"/>
                <w:spacing w:val="-1"/>
                <w:sz w:val="24"/>
              </w:rPr>
              <w:t>154,725</w:t>
            </w:r>
          </w:p>
        </w:tc>
      </w:tr>
      <w:tr>
        <w:trPr>
          <w:trHeight w:val="387"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Style w:val="TableParagraph"/>
              <w:spacing w:line="302" w:lineRule="exact"/>
              <w:ind w:left="129"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spacing w:val="-3"/>
                <w:sz w:val="24"/>
              </w:rPr>
              <w:t>114,669</w:t>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sz w:val="24"/>
              </w:rPr>
              <w:t>165,825</w:t>
            </w:r>
          </w:p>
        </w:tc>
      </w:tr>
      <w:tr>
        <w:trPr>
          <w:trHeight w:val="381"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Style w:val="TableParagraph"/>
              <w:spacing w:line="306" w:lineRule="exact"/>
              <w:ind w:left="129"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2"/>
              <w:jc w:val="right"/>
              <w:rPr>
                <w:rFonts w:ascii="Arial" w:hAnsi="Arial" w:cs="Arial" w:eastAsia="Arial" w:hint="default"/>
                <w:sz w:val="24"/>
                <w:szCs w:val="24"/>
              </w:rPr>
            </w:pPr>
            <w:r>
              <w:rPr>
                <w:rFonts w:ascii="Arial"/>
                <w:w w:val="95"/>
                <w:sz w:val="24"/>
              </w:rPr>
              <w:t>50,350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1"/>
              <w:jc w:val="right"/>
              <w:rPr>
                <w:rFonts w:ascii="Arial" w:hAnsi="Arial" w:cs="Arial" w:eastAsia="Arial" w:hint="default"/>
                <w:sz w:val="24"/>
                <w:szCs w:val="24"/>
              </w:rPr>
            </w:pPr>
            <w:r>
              <w:rPr>
                <w:rFonts w:ascii="Arial"/>
                <w:w w:val="95"/>
                <w:sz w:val="24"/>
              </w:rPr>
              <w:t>29,973</w:t>
            </w:r>
            <w:r>
              <w:rPr>
                <w:rFonts w:ascii="Arial"/>
                <w:sz w:val="24"/>
              </w:rPr>
            </w:r>
          </w:p>
        </w:tc>
      </w:tr>
      <w:tr>
        <w:trPr>
          <w:trHeight w:val="717"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367" w:right="102" w:hanging="238"/>
              <w:jc w:val="left"/>
              <w:rPr>
                <w:rFonts w:ascii="宋体" w:hAnsi="宋体" w:cs="宋体" w:eastAsia="宋体" w:hint="default"/>
                <w:sz w:val="24"/>
                <w:szCs w:val="24"/>
              </w:rPr>
            </w:pPr>
            <w:r>
              <w:rPr>
                <w:rFonts w:ascii="宋体" w:hAnsi="宋体" w:cs="宋体" w:eastAsia="宋体" w:hint="default"/>
                <w:spacing w:val="4"/>
                <w:sz w:val="24"/>
                <w:szCs w:val="24"/>
              </w:rPr>
              <w:t>可供出售金融资产等在持有期间取得的投资收 </w:t>
            </w:r>
            <w:r>
              <w:rPr>
                <w:rFonts w:ascii="宋体" w:hAnsi="宋体" w:cs="宋体" w:eastAsia="宋体" w:hint="default"/>
                <w:sz w:val="24"/>
                <w:szCs w:val="24"/>
              </w:rPr>
              <w:t>益</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3"/>
                <w:szCs w:val="33"/>
              </w:rPr>
            </w:pPr>
          </w:p>
          <w:p>
            <w:pPr>
              <w:pStyle w:val="TableParagraph"/>
              <w:spacing w:line="240" w:lineRule="auto"/>
              <w:ind w:right="100"/>
              <w:jc w:val="right"/>
              <w:rPr>
                <w:rFonts w:ascii="Arial" w:hAnsi="Arial" w:cs="Arial" w:eastAsia="Arial" w:hint="default"/>
                <w:sz w:val="24"/>
                <w:szCs w:val="24"/>
              </w:rPr>
            </w:pPr>
            <w:r>
              <w:rPr>
                <w:rFonts w:ascii="Arial"/>
                <w:w w:val="95"/>
                <w:sz w:val="24"/>
              </w:rPr>
              <w:t>12,000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3"/>
                <w:szCs w:val="33"/>
              </w:rPr>
            </w:pPr>
          </w:p>
          <w:p>
            <w:pPr>
              <w:pStyle w:val="TableParagraph"/>
              <w:spacing w:line="240" w:lineRule="auto"/>
              <w:ind w:right="106"/>
              <w:jc w:val="right"/>
              <w:rPr>
                <w:rFonts w:ascii="Arial" w:hAnsi="Arial" w:cs="Arial" w:eastAsia="Arial" w:hint="default"/>
                <w:sz w:val="24"/>
                <w:szCs w:val="24"/>
              </w:rPr>
            </w:pPr>
            <w:r>
              <w:rPr>
                <w:rFonts w:ascii="Arial"/>
                <w:w w:val="95"/>
                <w:sz w:val="24"/>
              </w:rPr>
              <w:t>12,420</w:t>
            </w:r>
            <w:r>
              <w:rPr>
                <w:rFonts w:ascii="Arial"/>
                <w:sz w:val="24"/>
              </w:rPr>
            </w:r>
          </w:p>
        </w:tc>
      </w:tr>
      <w:tr>
        <w:trPr>
          <w:trHeight w:val="383"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Style w:val="TableParagraph"/>
              <w:spacing w:line="301" w:lineRule="exact"/>
              <w:ind w:left="129"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权益法核算的长期股权投资损失</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4"/>
              <w:jc w:val="right"/>
              <w:rPr>
                <w:rFonts w:ascii="Arial" w:hAnsi="Arial" w:cs="Arial" w:eastAsia="Arial" w:hint="default"/>
                <w:sz w:val="24"/>
                <w:szCs w:val="24"/>
              </w:rPr>
            </w:pPr>
            <w:r>
              <w:rPr>
                <w:rFonts w:ascii="Arial"/>
                <w:w w:val="95"/>
                <w:sz w:val="24"/>
              </w:rPr>
              <w:t>(35,070)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56"/>
              <w:jc w:val="right"/>
              <w:rPr>
                <w:rFonts w:ascii="Arial" w:hAnsi="Arial" w:cs="Arial" w:eastAsia="Arial" w:hint="default"/>
                <w:sz w:val="24"/>
                <w:szCs w:val="24"/>
              </w:rPr>
            </w:pPr>
            <w:r>
              <w:rPr>
                <w:rFonts w:ascii="Arial"/>
                <w:w w:val="99"/>
                <w:sz w:val="24"/>
              </w:rPr>
              <w:t>-</w:t>
            </w:r>
            <w:r>
              <w:rPr>
                <w:rFonts w:ascii="Arial"/>
                <w:sz w:val="24"/>
              </w:rPr>
            </w:r>
          </w:p>
        </w:tc>
      </w:tr>
      <w:tr>
        <w:trPr>
          <w:trHeight w:val="375"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331" w:right="0"/>
              <w:jc w:val="left"/>
              <w:rPr>
                <w:rFonts w:ascii="Arial" w:hAnsi="Arial" w:cs="Arial" w:eastAsia="Arial" w:hint="default"/>
                <w:sz w:val="24"/>
                <w:szCs w:val="24"/>
              </w:rPr>
            </w:pPr>
            <w:r>
              <w:rPr>
                <w:rFonts w:ascii="Arial"/>
                <w:sz w:val="24"/>
              </w:rPr>
              <w:t>1,157,410</w:t>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Arial" w:hAnsi="Arial" w:cs="Arial" w:eastAsia="Arial" w:hint="default"/>
                <w:sz w:val="24"/>
                <w:szCs w:val="24"/>
              </w:rPr>
            </w:pPr>
            <w:r>
              <w:rPr>
                <w:rFonts w:ascii="Arial"/>
                <w:spacing w:val="-1"/>
                <w:sz w:val="24"/>
              </w:rPr>
              <w:t>362,943</w:t>
            </w:r>
          </w:p>
        </w:tc>
      </w:tr>
      <w:tr>
        <w:trPr>
          <w:trHeight w:val="787" w:hRule="exact"/>
        </w:trPr>
        <w:tc>
          <w:tcPr>
            <w:tcW w:w="645" w:type="dxa"/>
            <w:tcBorders>
              <w:top w:val="nil" w:sz="6" w:space="0" w:color="auto"/>
              <w:left w:val="nil" w:sz="6" w:space="0" w:color="auto"/>
              <w:bottom w:val="nil" w:sz="6" w:space="0" w:color="auto"/>
              <w:right w:val="nil" w:sz="6" w:space="0" w:color="auto"/>
            </w:tcBorders>
          </w:tcPr>
          <w:p>
            <w:pPr/>
          </w:p>
        </w:tc>
        <w:tc>
          <w:tcPr>
            <w:tcW w:w="51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29" w:right="0"/>
              <w:jc w:val="left"/>
              <w:rPr>
                <w:rFonts w:ascii="宋体" w:hAnsi="宋体" w:cs="宋体" w:eastAsia="宋体" w:hint="default"/>
                <w:sz w:val="24"/>
                <w:szCs w:val="24"/>
              </w:rPr>
            </w:pPr>
            <w:r>
              <w:rPr>
                <w:rFonts w:ascii="宋体" w:hAnsi="宋体" w:cs="宋体" w:eastAsia="宋体" w:hint="default"/>
                <w:sz w:val="24"/>
                <w:szCs w:val="24"/>
              </w:rPr>
              <w:t>本公司不存在投资收益汇回的重大限制。</w:t>
            </w:r>
          </w:p>
        </w:tc>
        <w:tc>
          <w:tcPr>
            <w:tcW w:w="1486" w:type="dxa"/>
            <w:tcBorders>
              <w:top w:val="single" w:sz="1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755" w:footer="914" w:top="1860" w:bottom="1100" w:left="1580" w:right="0"/>
        </w:sectPr>
      </w:pPr>
    </w:p>
    <w:p>
      <w:pPr>
        <w:pStyle w:val="Heading3"/>
        <w:spacing w:line="312" w:lineRule="exact" w:before="44"/>
        <w:ind w:left="314" w:right="7872"/>
        <w:jc w:val="left"/>
        <w:rPr>
          <w:rFonts w:ascii="黑体" w:hAnsi="黑体" w:cs="黑体" w:eastAsia="黑体" w:hint="default"/>
        </w:rPr>
      </w:pPr>
      <w:r>
        <w:rPr>
          <w:rFonts w:ascii="黑体" w:hAnsi="黑体" w:cs="黑体" w:eastAsia="黑体" w:hint="default"/>
        </w:rPr>
        <w:t>苏宁云商集团股份有限公司 财务报表附注</w:t>
      </w:r>
    </w:p>
    <w:p>
      <w:pPr>
        <w:pStyle w:val="Heading3"/>
        <w:spacing w:line="294" w:lineRule="exact"/>
        <w:ind w:left="314" w:right="7872"/>
        <w:jc w:val="left"/>
        <w:rPr>
          <w:rFonts w:ascii="黑体" w:hAnsi="黑体" w:cs="黑体" w:eastAsia="黑体" w:hint="default"/>
        </w:rPr>
      </w:pPr>
      <w:r>
        <w:rPr>
          <w:rFonts w:ascii="Arial" w:hAnsi="Arial" w:cs="Arial" w:eastAsia="Arial" w:hint="default"/>
        </w:rPr>
        <w:t>2015</w:t>
      </w:r>
      <w:r>
        <w:rPr>
          <w:rFonts w:ascii="Arial" w:hAnsi="Arial" w:cs="Arial" w:eastAsia="Arial" w:hint="default"/>
          <w:spacing w:val="-11"/>
        </w:rPr>
        <w:t> </w:t>
      </w:r>
      <w:r>
        <w:rPr>
          <w:rFonts w:ascii="黑体" w:hAnsi="黑体" w:cs="黑体" w:eastAsia="黑体" w:hint="default"/>
        </w:rPr>
        <w:t>年度</w:t>
      </w:r>
    </w:p>
    <w:p>
      <w:pPr>
        <w:spacing w:line="243" w:lineRule="exact" w:before="0"/>
        <w:ind w:left="314"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680"/>
        <w:gridCol w:w="2407"/>
        <w:gridCol w:w="882"/>
        <w:gridCol w:w="513"/>
        <w:gridCol w:w="1180"/>
        <w:gridCol w:w="1147"/>
        <w:gridCol w:w="1118"/>
        <w:gridCol w:w="1151"/>
      </w:tblGrid>
      <w:tr>
        <w:trPr>
          <w:trHeight w:val="448"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黑体" w:hAnsi="黑体" w:cs="黑体" w:eastAsia="黑体" w:hint="default"/>
                <w:sz w:val="24"/>
                <w:szCs w:val="24"/>
              </w:rPr>
            </w:pPr>
            <w:r>
              <w:rPr>
                <w:rFonts w:ascii="黑体" w:hAnsi="黑体" w:cs="黑体" w:eastAsia="黑体" w:hint="default"/>
                <w:sz w:val="24"/>
                <w:szCs w:val="24"/>
              </w:rPr>
              <w:t>非经常性损益明细表</w:t>
            </w: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r>
      <w:tr>
        <w:trPr>
          <w:trHeight w:val="614"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2"/>
              <w:ind w:left="62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07"/>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467"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7"/>
                <w:szCs w:val="17"/>
              </w:rPr>
            </w:pPr>
          </w:p>
          <w:p>
            <w:pPr>
              <w:pStyle w:val="TableParagraph"/>
              <w:spacing w:line="240" w:lineRule="auto"/>
              <w:ind w:left="694" w:right="0"/>
              <w:jc w:val="left"/>
              <w:rPr>
                <w:rFonts w:ascii="Arial" w:hAnsi="Arial" w:cs="Arial" w:eastAsia="Arial" w:hint="default"/>
                <w:sz w:val="18"/>
                <w:szCs w:val="18"/>
              </w:rPr>
            </w:pPr>
            <w:r>
              <w:rPr>
                <w:rFonts w:ascii="Arial"/>
                <w:sz w:val="18"/>
              </w:rPr>
              <w:t>1,397,346</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2,420,528</w:t>
            </w:r>
          </w:p>
        </w:tc>
      </w:tr>
      <w:tr>
        <w:trPr>
          <w:trHeight w:val="312"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39"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74" w:right="0"/>
              <w:jc w:val="center"/>
              <w:rPr>
                <w:rFonts w:ascii="Arial" w:hAnsi="Arial" w:cs="Arial" w:eastAsia="Arial" w:hint="default"/>
                <w:sz w:val="18"/>
                <w:szCs w:val="18"/>
              </w:rPr>
            </w:pPr>
            <w:r>
              <w:rPr>
                <w:rFonts w:ascii="Arial"/>
                <w:sz w:val="18"/>
              </w:rPr>
              <w:t>158,850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3"/>
                <w:sz w:val="18"/>
              </w:rPr>
              <w:t>117,172</w:t>
            </w:r>
          </w:p>
        </w:tc>
      </w:tr>
      <w:tr>
        <w:trPr>
          <w:trHeight w:val="312"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39"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952" w:right="0"/>
              <w:jc w:val="left"/>
              <w:rPr>
                <w:rFonts w:ascii="Arial" w:hAnsi="Arial" w:cs="Arial" w:eastAsia="Arial" w:hint="default"/>
                <w:sz w:val="18"/>
                <w:szCs w:val="18"/>
              </w:rPr>
            </w:pPr>
            <w:r>
              <w:rPr>
                <w:rFonts w:ascii="Arial"/>
                <w:sz w:val="18"/>
              </w:rPr>
              <w:t>(6,920)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4"/>
              <w:jc w:val="right"/>
              <w:rPr>
                <w:rFonts w:ascii="Arial" w:hAnsi="Arial" w:cs="Arial" w:eastAsia="Arial" w:hint="default"/>
                <w:sz w:val="18"/>
                <w:szCs w:val="18"/>
              </w:rPr>
            </w:pPr>
            <w:r>
              <w:rPr>
                <w:rFonts w:ascii="Arial"/>
                <w:spacing w:val="-1"/>
                <w:sz w:val="18"/>
              </w:rPr>
              <w:t>(9,330)</w:t>
            </w:r>
          </w:p>
        </w:tc>
      </w:tr>
      <w:tr>
        <w:trPr>
          <w:trHeight w:val="624" w:hRule="exact"/>
        </w:trPr>
        <w:tc>
          <w:tcPr>
            <w:tcW w:w="680" w:type="dxa"/>
            <w:tcBorders>
              <w:top w:val="nil" w:sz="6" w:space="0" w:color="auto"/>
              <w:left w:val="nil" w:sz="6" w:space="0" w:color="auto"/>
              <w:bottom w:val="nil" w:sz="6" w:space="0" w:color="auto"/>
              <w:right w:val="nil" w:sz="6" w:space="0" w:color="auto"/>
            </w:tcBorders>
          </w:tcPr>
          <w:p>
            <w:pPr/>
          </w:p>
        </w:tc>
        <w:tc>
          <w:tcPr>
            <w:tcW w:w="4981" w:type="dxa"/>
            <w:gridSpan w:val="4"/>
            <w:tcBorders>
              <w:top w:val="nil" w:sz="6" w:space="0" w:color="auto"/>
              <w:left w:val="nil" w:sz="6" w:space="0" w:color="auto"/>
              <w:bottom w:val="nil" w:sz="6" w:space="0" w:color="auto"/>
              <w:right w:val="nil" w:sz="6" w:space="0" w:color="auto"/>
            </w:tcBorders>
          </w:tcPr>
          <w:p>
            <w:pPr>
              <w:pStyle w:val="TableParagraph"/>
              <w:spacing w:line="316" w:lineRule="auto" w:before="6"/>
              <w:ind w:left="437" w:right="104" w:hanging="198"/>
              <w:jc w:val="left"/>
              <w:rPr>
                <w:rFonts w:ascii="宋体" w:hAnsi="宋体" w:cs="宋体" w:eastAsia="宋体" w:hint="default"/>
                <w:sz w:val="18"/>
                <w:szCs w:val="18"/>
              </w:rPr>
            </w:pPr>
            <w:r>
              <w:rPr>
                <w:rFonts w:ascii="宋体" w:hAnsi="宋体" w:cs="宋体" w:eastAsia="宋体" w:hint="default"/>
                <w:spacing w:val="4"/>
                <w:sz w:val="18"/>
                <w:szCs w:val="18"/>
              </w:rPr>
              <w:t>处置以公允价值计量且其变动计入当期损益的金融资产取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得的投资收益</w:t>
            </w: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2"/>
              <w:ind w:left="31" w:right="0"/>
              <w:jc w:val="center"/>
              <w:rPr>
                <w:rFonts w:ascii="Arial" w:hAnsi="Arial" w:cs="Arial" w:eastAsia="Arial" w:hint="default"/>
                <w:sz w:val="18"/>
                <w:szCs w:val="18"/>
              </w:rPr>
            </w:pPr>
            <w:r>
              <w:rPr>
                <w:rFonts w:ascii="Arial"/>
                <w:sz w:val="18"/>
              </w:rPr>
              <w:t>174,246</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2"/>
              <w:ind w:right="105"/>
              <w:jc w:val="right"/>
              <w:rPr>
                <w:rFonts w:ascii="Arial" w:hAnsi="Arial" w:cs="Arial" w:eastAsia="Arial" w:hint="default"/>
                <w:sz w:val="18"/>
                <w:szCs w:val="18"/>
              </w:rPr>
            </w:pPr>
            <w:r>
              <w:rPr>
                <w:rFonts w:ascii="Arial"/>
                <w:spacing w:val="-1"/>
                <w:sz w:val="18"/>
              </w:rPr>
              <w:t>156,476</w:t>
            </w:r>
          </w:p>
        </w:tc>
      </w:tr>
      <w:tr>
        <w:trPr>
          <w:trHeight w:val="312" w:hRule="exact"/>
        </w:trPr>
        <w:tc>
          <w:tcPr>
            <w:tcW w:w="680" w:type="dxa"/>
            <w:tcBorders>
              <w:top w:val="nil" w:sz="6" w:space="0" w:color="auto"/>
              <w:left w:val="nil" w:sz="6" w:space="0" w:color="auto"/>
              <w:bottom w:val="nil" w:sz="6" w:space="0" w:color="auto"/>
              <w:right w:val="nil" w:sz="6" w:space="0" w:color="auto"/>
            </w:tcBorders>
          </w:tcPr>
          <w:p>
            <w:pPr/>
          </w:p>
        </w:tc>
        <w:tc>
          <w:tcPr>
            <w:tcW w:w="32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39" w:right="-11"/>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130" w:right="0"/>
              <w:jc w:val="center"/>
              <w:rPr>
                <w:rFonts w:ascii="Arial" w:hAnsi="Arial" w:cs="Arial" w:eastAsia="Arial" w:hint="default"/>
                <w:sz w:val="18"/>
                <w:szCs w:val="18"/>
              </w:rPr>
            </w:pPr>
            <w:r>
              <w:rPr>
                <w:rFonts w:ascii="Arial"/>
                <w:sz w:val="18"/>
              </w:rPr>
              <w:t>62,398</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36,489</w:t>
            </w:r>
          </w:p>
        </w:tc>
      </w:tr>
      <w:tr>
        <w:trPr>
          <w:trHeight w:val="312"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39" w:right="0"/>
              <w:jc w:val="left"/>
              <w:rPr>
                <w:rFonts w:ascii="宋体" w:hAnsi="宋体" w:cs="宋体" w:eastAsia="宋体" w:hint="default"/>
                <w:sz w:val="18"/>
                <w:szCs w:val="18"/>
              </w:rPr>
            </w:pPr>
            <w:r>
              <w:rPr>
                <w:rFonts w:ascii="宋体" w:hAnsi="宋体" w:cs="宋体" w:eastAsia="宋体" w:hint="default"/>
                <w:sz w:val="18"/>
                <w:szCs w:val="18"/>
              </w:rPr>
              <w:t>处置子公司产生的投资收益</w:t>
            </w: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666" w:right="0"/>
              <w:jc w:val="left"/>
              <w:rPr>
                <w:rFonts w:ascii="Arial" w:hAnsi="Arial" w:cs="Arial" w:eastAsia="Arial" w:hint="default"/>
                <w:sz w:val="18"/>
                <w:szCs w:val="18"/>
              </w:rPr>
            </w:pPr>
            <w:r>
              <w:rPr>
                <w:rFonts w:ascii="Arial"/>
                <w:sz w:val="18"/>
              </w:rPr>
              <w:t>1,447,503</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680" w:type="dxa"/>
            <w:tcBorders>
              <w:top w:val="nil" w:sz="6" w:space="0" w:color="auto"/>
              <w:left w:val="nil" w:sz="6" w:space="0" w:color="auto"/>
              <w:bottom w:val="nil" w:sz="6" w:space="0" w:color="auto"/>
              <w:right w:val="nil" w:sz="6" w:space="0" w:color="auto"/>
            </w:tcBorders>
          </w:tcPr>
          <w:p>
            <w:pPr/>
          </w:p>
        </w:tc>
        <w:tc>
          <w:tcPr>
            <w:tcW w:w="38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239"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855" w:right="0"/>
              <w:jc w:val="left"/>
              <w:rPr>
                <w:rFonts w:ascii="Arial" w:hAnsi="Arial" w:cs="Arial" w:eastAsia="Arial" w:hint="default"/>
                <w:sz w:val="18"/>
                <w:szCs w:val="18"/>
              </w:rPr>
            </w:pPr>
            <w:r>
              <w:rPr>
                <w:rFonts w:ascii="Arial"/>
                <w:sz w:val="18"/>
              </w:rPr>
              <w:t>(57,218)</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54"/>
              <w:jc w:val="right"/>
              <w:rPr>
                <w:rFonts w:ascii="Arial" w:hAnsi="Arial" w:cs="Arial" w:eastAsia="Arial" w:hint="default"/>
                <w:sz w:val="18"/>
                <w:szCs w:val="18"/>
              </w:rPr>
            </w:pPr>
            <w:r>
              <w:rPr>
                <w:rFonts w:ascii="Arial"/>
                <w:spacing w:val="-1"/>
                <w:sz w:val="18"/>
              </w:rPr>
              <w:t>(106,154)</w:t>
            </w:r>
          </w:p>
        </w:tc>
      </w:tr>
      <w:tr>
        <w:trPr>
          <w:trHeight w:val="322"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Arial" w:hAnsi="Arial" w:cs="Arial" w:eastAsia="Arial" w:hint="default"/>
                <w:sz w:val="2"/>
                <w:szCs w:val="2"/>
              </w:rPr>
            </w:pPr>
            <w:r>
              <w:rPr>
                <w:rFonts w:ascii="Arial" w:hAnsi="Arial" w:cs="Arial" w:eastAsia="Arial" w:hint="default"/>
                <w:sz w:val="2"/>
                <w:szCs w:val="2"/>
              </w:rPr>
              <w:pict>
                <v:group style="width:77.850pt;height:.5pt;mso-position-horizontal-relative:char;mso-position-vertical-relative:line" coordorigin="0,0" coordsize="1557,10">
                  <v:group style="position:absolute;left:5;top:5;width:1548;height:2" coordorigin="5,5" coordsize="1548,2">
                    <v:shape style="position:absolute;left:5;top:5;width:1548;height:2" coordorigin="5,5" coordsize="1548,0" path="m5,5l1552,5e" filled="false" stroked="true" strokeweight=".48pt" strokecolor="#000000">
                      <v:path arrowok="t"/>
                    </v:shape>
                  </v:group>
                </v:group>
              </w:pict>
            </w:r>
            <w:r>
              <w:rPr>
                <w:rFonts w:ascii="Arial" w:hAnsi="Arial" w:cs="Arial" w:eastAsia="Arial" w:hint="default"/>
                <w:sz w:val="2"/>
                <w:szCs w:val="2"/>
              </w:rPr>
            </w:r>
          </w:p>
          <w:p>
            <w:pPr>
              <w:pStyle w:val="TableParagraph"/>
              <w:spacing w:line="240" w:lineRule="auto" w:before="40"/>
              <w:ind w:left="683" w:right="0"/>
              <w:jc w:val="left"/>
              <w:rPr>
                <w:rFonts w:ascii="Arial" w:hAnsi="Arial" w:cs="Arial" w:eastAsia="Arial" w:hint="default"/>
                <w:sz w:val="18"/>
                <w:szCs w:val="18"/>
              </w:rPr>
            </w:pPr>
            <w:r>
              <w:rPr>
                <w:rFonts w:ascii="Arial"/>
                <w:sz w:val="18"/>
              </w:rPr>
              <w:t>3,176,205</w:t>
            </w:r>
          </w:p>
        </w:tc>
        <w:tc>
          <w:tcPr>
            <w:tcW w:w="115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6"/>
              <w:jc w:val="right"/>
              <w:rPr>
                <w:rFonts w:ascii="Arial" w:hAnsi="Arial" w:cs="Arial" w:eastAsia="Arial" w:hint="default"/>
                <w:sz w:val="18"/>
                <w:szCs w:val="18"/>
              </w:rPr>
            </w:pPr>
            <w:r>
              <w:rPr>
                <w:rFonts w:ascii="Arial"/>
                <w:spacing w:val="-1"/>
                <w:sz w:val="18"/>
              </w:rPr>
              <w:t>2,615,181</w:t>
            </w:r>
          </w:p>
        </w:tc>
      </w:tr>
      <w:tr>
        <w:trPr>
          <w:trHeight w:val="322"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39"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Arial" w:hAnsi="Arial" w:cs="Arial" w:eastAsia="Arial" w:hint="default"/>
                <w:sz w:val="2"/>
                <w:szCs w:val="2"/>
              </w:rPr>
            </w:pPr>
            <w:r>
              <w:rPr>
                <w:rFonts w:ascii="Arial" w:hAnsi="Arial" w:cs="Arial" w:eastAsia="Arial" w:hint="default"/>
                <w:sz w:val="2"/>
                <w:szCs w:val="2"/>
              </w:rPr>
              <w:pict>
                <v:group style="width:77.850pt;height:.5pt;mso-position-horizontal-relative:char;mso-position-vertical-relative:line" coordorigin="0,0" coordsize="1557,10">
                  <v:group style="position:absolute;left:5;top:5;width:1548;height:2" coordorigin="5,5" coordsize="1548,2">
                    <v:shape style="position:absolute;left:5;top:5;width:1548;height:2" coordorigin="5,5" coordsize="1548,0" path="m5,5l1552,5e" filled="false" stroked="true" strokeweight=".48pt" strokecolor="#000000">
                      <v:path arrowok="t"/>
                    </v:shape>
                  </v:group>
                </v:group>
              </w:pict>
            </w:r>
            <w:r>
              <w:rPr>
                <w:rFonts w:ascii="Arial" w:hAnsi="Arial" w:cs="Arial" w:eastAsia="Arial" w:hint="default"/>
                <w:sz w:val="2"/>
                <w:szCs w:val="2"/>
              </w:rPr>
            </w:r>
          </w:p>
          <w:p>
            <w:pPr>
              <w:pStyle w:val="TableParagraph"/>
              <w:spacing w:line="240" w:lineRule="auto" w:before="41"/>
              <w:ind w:left="756" w:right="0"/>
              <w:jc w:val="left"/>
              <w:rPr>
                <w:rFonts w:ascii="Arial" w:hAnsi="Arial" w:cs="Arial" w:eastAsia="Arial" w:hint="default"/>
                <w:sz w:val="18"/>
                <w:szCs w:val="18"/>
              </w:rPr>
            </w:pPr>
            <w:r>
              <w:rPr>
                <w:rFonts w:ascii="Arial"/>
                <w:sz w:val="18"/>
              </w:rPr>
              <w:t>(789,672)</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54"/>
              <w:jc w:val="right"/>
              <w:rPr>
                <w:rFonts w:ascii="Arial" w:hAnsi="Arial" w:cs="Arial" w:eastAsia="Arial" w:hint="default"/>
                <w:sz w:val="18"/>
                <w:szCs w:val="18"/>
              </w:rPr>
            </w:pPr>
            <w:r>
              <w:rPr>
                <w:rFonts w:ascii="Arial"/>
                <w:spacing w:val="-1"/>
                <w:sz w:val="18"/>
              </w:rPr>
              <w:t>(492,062)</w:t>
            </w:r>
          </w:p>
        </w:tc>
      </w:tr>
      <w:tr>
        <w:trPr>
          <w:trHeight w:val="313"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39" w:right="0"/>
              <w:jc w:val="left"/>
              <w:rPr>
                <w:rFonts w:ascii="Arial" w:hAnsi="Arial" w:cs="Arial" w:eastAsia="Arial" w:hint="default"/>
                <w:sz w:val="18"/>
                <w:szCs w:val="18"/>
              </w:rPr>
            </w:pPr>
            <w:r>
              <w:rPr>
                <w:rFonts w:ascii="宋体" w:hAnsi="宋体" w:cs="宋体" w:eastAsia="宋体" w:hint="default"/>
                <w:sz w:val="18"/>
                <w:szCs w:val="18"/>
              </w:rPr>
              <w:t>少数股东权益影响额</w:t>
            </w:r>
            <w:r>
              <w:rPr>
                <w:rFonts w:ascii="Arial" w:hAnsi="Arial" w:cs="Arial" w:eastAsia="Arial" w:hint="default"/>
                <w:sz w:val="18"/>
                <w:szCs w:val="18"/>
              </w:rPr>
              <w:t>(</w:t>
            </w:r>
            <w:r>
              <w:rPr>
                <w:rFonts w:ascii="宋体" w:hAnsi="宋体" w:cs="宋体" w:eastAsia="宋体" w:hint="default"/>
                <w:sz w:val="18"/>
                <w:szCs w:val="18"/>
              </w:rPr>
              <w:t>税后</w:t>
            </w:r>
            <w:r>
              <w:rPr>
                <w:rFonts w:ascii="Arial" w:hAnsi="Arial" w:cs="Arial" w:eastAsia="Arial" w:hint="default"/>
                <w:sz w:val="18"/>
                <w:szCs w:val="18"/>
              </w:rPr>
              <w:t>)</w:t>
            </w: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855" w:right="0"/>
              <w:jc w:val="left"/>
              <w:rPr>
                <w:rFonts w:ascii="Arial" w:hAnsi="Arial" w:cs="Arial" w:eastAsia="Arial" w:hint="default"/>
                <w:sz w:val="18"/>
                <w:szCs w:val="18"/>
              </w:rPr>
            </w:pPr>
            <w:r>
              <w:rPr>
                <w:rFonts w:ascii="Arial"/>
                <w:sz w:val="18"/>
              </w:rPr>
              <w:t>(49,165)</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53"/>
              <w:jc w:val="right"/>
              <w:rPr>
                <w:rFonts w:ascii="Arial" w:hAnsi="Arial" w:cs="Arial" w:eastAsia="Arial" w:hint="default"/>
                <w:sz w:val="18"/>
                <w:szCs w:val="18"/>
              </w:rPr>
            </w:pPr>
            <w:r>
              <w:rPr>
                <w:rFonts w:ascii="Arial"/>
                <w:spacing w:val="-1"/>
                <w:sz w:val="18"/>
              </w:rPr>
              <w:t>(3,993)</w:t>
            </w:r>
          </w:p>
        </w:tc>
      </w:tr>
      <w:tr>
        <w:trPr>
          <w:trHeight w:val="332"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265"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Arial" w:hAnsi="Arial" w:cs="Arial" w:eastAsia="Arial" w:hint="default"/>
                <w:sz w:val="2"/>
                <w:szCs w:val="2"/>
              </w:rPr>
            </w:pPr>
            <w:r>
              <w:rPr>
                <w:rFonts w:ascii="Arial" w:hAnsi="Arial" w:cs="Arial" w:eastAsia="Arial" w:hint="default"/>
                <w:sz w:val="2"/>
                <w:szCs w:val="2"/>
              </w:rPr>
              <w:pict>
                <v:group style="width:77.850pt;height:.5pt;mso-position-horizontal-relative:char;mso-position-vertical-relative:line" coordorigin="0,0" coordsize="1557,10">
                  <v:group style="position:absolute;left:5;top:5;width:1548;height:2" coordorigin="5,5" coordsize="1548,2">
                    <v:shape style="position:absolute;left:5;top:5;width:1548;height:2" coordorigin="5,5" coordsize="1548,0" path="m5,5l1552,5e" filled="false" stroked="true" strokeweight=".48pt" strokecolor="#000000">
                      <v:path arrowok="t"/>
                    </v:shape>
                  </v:group>
                </v:group>
              </w:pict>
            </w:r>
            <w:r>
              <w:rPr>
                <w:rFonts w:ascii="Arial" w:hAnsi="Arial" w:cs="Arial" w:eastAsia="Arial" w:hint="default"/>
                <w:sz w:val="2"/>
                <w:szCs w:val="2"/>
              </w:rPr>
            </w:r>
          </w:p>
          <w:p>
            <w:pPr>
              <w:pStyle w:val="TableParagraph"/>
              <w:spacing w:line="240" w:lineRule="auto" w:before="40"/>
              <w:ind w:left="652" w:right="0"/>
              <w:jc w:val="left"/>
              <w:rPr>
                <w:rFonts w:ascii="Arial" w:hAnsi="Arial" w:cs="Arial" w:eastAsia="Arial" w:hint="default"/>
                <w:sz w:val="18"/>
                <w:szCs w:val="18"/>
              </w:rPr>
            </w:pPr>
            <w:r>
              <w:rPr>
                <w:rFonts w:ascii="Arial"/>
                <w:sz w:val="18"/>
              </w:rPr>
              <w:t>2,337,368</w:t>
            </w:r>
          </w:p>
        </w:tc>
        <w:tc>
          <w:tcPr>
            <w:tcW w:w="11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18"/>
                <w:szCs w:val="18"/>
              </w:rPr>
            </w:pPr>
            <w:r>
              <w:rPr>
                <w:rFonts w:ascii="Arial"/>
                <w:spacing w:val="-2"/>
                <w:sz w:val="18"/>
              </w:rPr>
              <w:t>2,119,126</w:t>
            </w:r>
          </w:p>
        </w:tc>
      </w:tr>
      <w:tr>
        <w:trPr>
          <w:trHeight w:val="794" w:hRule="exact"/>
        </w:trPr>
        <w:tc>
          <w:tcPr>
            <w:tcW w:w="9076" w:type="dxa"/>
            <w:gridSpan w:val="8"/>
            <w:tcBorders>
              <w:top w:val="nil" w:sz="6" w:space="0" w:color="auto"/>
              <w:left w:val="nil" w:sz="6" w:space="0" w:color="auto"/>
              <w:bottom w:val="nil" w:sz="6" w:space="0" w:color="auto"/>
              <w:right w:val="nil" w:sz="6" w:space="0" w:color="auto"/>
            </w:tcBorders>
          </w:tcPr>
          <w:p>
            <w:pPr>
              <w:pStyle w:val="TableParagraph"/>
              <w:spacing w:line="30" w:lineRule="exact"/>
              <w:ind w:left="5645" w:right="0"/>
              <w:jc w:val="left"/>
              <w:rPr>
                <w:rFonts w:ascii="Arial" w:hAnsi="Arial" w:cs="Arial" w:eastAsia="Arial" w:hint="default"/>
                <w:sz w:val="3"/>
                <w:szCs w:val="3"/>
              </w:rPr>
            </w:pPr>
            <w:r>
              <w:rPr>
                <w:rFonts w:ascii="Arial" w:hAnsi="Arial" w:cs="Arial" w:eastAsia="Arial" w:hint="default"/>
                <w:position w:val="0"/>
                <w:sz w:val="3"/>
                <w:szCs w:val="3"/>
              </w:rPr>
              <w:pict>
                <v:group style="width:80.1pt;height:1.5pt;mso-position-horizontal-relative:char;mso-position-vertical-relative:line" coordorigin="0,0" coordsize="1602,30">
                  <v:group style="position:absolute;left:15;top:15;width:1542;height:2" coordorigin="15,15" coordsize="1542,2">
                    <v:shape style="position:absolute;left:15;top:15;width:1542;height:2" coordorigin="15,15" coordsize="1542,0" path="m15,15l1556,15e" filled="false" stroked="true" strokeweight="1.5pt" strokecolor="#000000">
                      <v:path arrowok="t"/>
                    </v:shape>
                  </v:group>
                  <v:group style="position:absolute;left:1556;top:15;width:30;height:2" coordorigin="1556,15" coordsize="30,2">
                    <v:shape style="position:absolute;left:1556;top:15;width:30;height:2" coordorigin="1556,15" coordsize="30,0" path="m1556,15l1586,15e" filled="false" stroked="true" strokeweight="1.5pt" strokecolor="#000000">
                      <v:path arrowok="t"/>
                    </v:shape>
                  </v:group>
                </v:group>
              </w:pict>
            </w:r>
            <w:r>
              <w:rPr>
                <w:rFonts w:ascii="Arial" w:hAnsi="Arial" w:cs="Arial" w:eastAsia="Arial" w:hint="default"/>
                <w:position w:val="0"/>
                <w:sz w:val="3"/>
                <w:szCs w:val="3"/>
              </w:rPr>
            </w:r>
          </w:p>
          <w:p>
            <w:pPr>
              <w:pStyle w:val="TableParagraph"/>
              <w:spacing w:line="240" w:lineRule="auto" w:before="8"/>
              <w:ind w:right="0"/>
              <w:jc w:val="left"/>
              <w:rPr>
                <w:rFonts w:ascii="Arial" w:hAnsi="Arial" w:cs="Arial" w:eastAsia="Arial" w:hint="default"/>
                <w:sz w:val="23"/>
                <w:szCs w:val="23"/>
              </w:rPr>
            </w:pPr>
          </w:p>
          <w:p>
            <w:pPr>
              <w:pStyle w:val="TableParagraph"/>
              <w:spacing w:line="240" w:lineRule="auto"/>
              <w:ind w:left="919" w:right="0"/>
              <w:jc w:val="left"/>
              <w:rPr>
                <w:rFonts w:ascii="宋体" w:hAnsi="宋体" w:cs="宋体" w:eastAsia="宋体" w:hint="default"/>
                <w:sz w:val="24"/>
                <w:szCs w:val="24"/>
              </w:rPr>
            </w:pPr>
            <w:r>
              <w:rPr>
                <w:rFonts w:ascii="宋体" w:hAnsi="宋体" w:cs="宋体" w:eastAsia="宋体" w:hint="default"/>
                <w:sz w:val="24"/>
                <w:szCs w:val="24"/>
              </w:rPr>
              <w:t>非经常性损益明细表编制基础</w:t>
            </w:r>
          </w:p>
        </w:tc>
      </w:tr>
      <w:tr>
        <w:trPr>
          <w:trHeight w:val="1872" w:hRule="exact"/>
        </w:trPr>
        <w:tc>
          <w:tcPr>
            <w:tcW w:w="9076" w:type="dxa"/>
            <w:gridSpan w:val="8"/>
            <w:tcBorders>
              <w:top w:val="nil" w:sz="6" w:space="0" w:color="auto"/>
              <w:left w:val="nil" w:sz="6" w:space="0" w:color="auto"/>
              <w:bottom w:val="nil" w:sz="6" w:space="0" w:color="auto"/>
              <w:right w:val="nil" w:sz="6" w:space="0" w:color="auto"/>
            </w:tcBorders>
          </w:tcPr>
          <w:p>
            <w:pPr>
              <w:pStyle w:val="TableParagraph"/>
              <w:spacing w:line="312" w:lineRule="exact" w:before="149"/>
              <w:ind w:left="919" w:right="107"/>
              <w:jc w:val="both"/>
              <w:rPr>
                <w:rFonts w:ascii="宋体" w:hAnsi="宋体" w:cs="宋体" w:eastAsia="宋体" w:hint="default"/>
                <w:sz w:val="24"/>
                <w:szCs w:val="24"/>
              </w:rPr>
            </w:pPr>
            <w:r>
              <w:rPr>
                <w:rFonts w:ascii="宋体" w:hAnsi="宋体" w:cs="宋体" w:eastAsia="宋体" w:hint="default"/>
                <w:spacing w:val="-2"/>
                <w:sz w:val="24"/>
                <w:szCs w:val="24"/>
              </w:rPr>
              <w:t>根据中国证券监督管理委员会《公开发行证券的公司信息披露解释性公告第</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w w:val="99"/>
                <w:sz w:val="24"/>
                <w:szCs w:val="24"/>
              </w:rPr>
              <w:t> </w:t>
            </w:r>
            <w:r>
              <w:rPr>
                <w:rFonts w:ascii="宋体" w:hAnsi="宋体" w:cs="宋体" w:eastAsia="宋体" w:hint="default"/>
                <w:spacing w:val="-2"/>
                <w:sz w:val="24"/>
                <w:szCs w:val="24"/>
              </w:rPr>
              <w:t>号——非经常性损益</w:t>
            </w:r>
            <w:r>
              <w:rPr>
                <w:rFonts w:ascii="Arial" w:hAnsi="Arial" w:cs="Arial" w:eastAsia="Arial" w:hint="default"/>
                <w:spacing w:val="-2"/>
                <w:sz w:val="24"/>
                <w:szCs w:val="24"/>
              </w:rPr>
              <w:t>[2008]</w:t>
            </w:r>
            <w:r>
              <w:rPr>
                <w:rFonts w:ascii="宋体" w:hAnsi="宋体" w:cs="宋体" w:eastAsia="宋体" w:hint="default"/>
                <w:spacing w:val="-2"/>
                <w:sz w:val="24"/>
                <w:szCs w:val="24"/>
              </w:rPr>
              <w:t>》的规定，非经常性损益是指与公司正常经营业务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4"/>
                <w:sz w:val="24"/>
                <w:szCs w:val="24"/>
              </w:rPr>
              <w:t>无直接关系，以及虽与正常经营业务相关，但由于其性质特殊和偶发性，影响</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报表使用人对公司经营业绩和盈利能力作出正确判断的各项交易和事项产生</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的损益。</w:t>
            </w:r>
          </w:p>
        </w:tc>
      </w:tr>
      <w:tr>
        <w:trPr>
          <w:trHeight w:val="640"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2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239" w:right="0"/>
              <w:jc w:val="left"/>
              <w:rPr>
                <w:rFonts w:ascii="黑体" w:hAnsi="黑体" w:cs="黑体" w:eastAsia="黑体" w:hint="default"/>
                <w:sz w:val="24"/>
                <w:szCs w:val="24"/>
              </w:rPr>
            </w:pPr>
            <w:r>
              <w:rPr>
                <w:rFonts w:ascii="黑体" w:hAnsi="黑体" w:cs="黑体" w:eastAsia="黑体" w:hint="default"/>
                <w:sz w:val="24"/>
                <w:szCs w:val="24"/>
              </w:rPr>
              <w:t>净资产收益率及每股收益</w:t>
            </w:r>
          </w:p>
        </w:tc>
        <w:tc>
          <w:tcPr>
            <w:tcW w:w="51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r>
      <w:tr>
        <w:trPr>
          <w:trHeight w:val="458" w:hRule="exact"/>
        </w:trPr>
        <w:tc>
          <w:tcPr>
            <w:tcW w:w="680" w:type="dxa"/>
            <w:tcBorders>
              <w:top w:val="nil" w:sz="6" w:space="0" w:color="auto"/>
              <w:left w:val="nil" w:sz="6" w:space="0" w:color="auto"/>
              <w:bottom w:val="nil" w:sz="6" w:space="0" w:color="auto"/>
              <w:right w:val="nil" w:sz="6" w:space="0" w:color="auto"/>
            </w:tcBorders>
          </w:tcPr>
          <w:p>
            <w:pPr/>
          </w:p>
        </w:tc>
        <w:tc>
          <w:tcPr>
            <w:tcW w:w="3802" w:type="dxa"/>
            <w:gridSpan w:val="3"/>
            <w:vMerge w:val="restart"/>
            <w:tcBorders>
              <w:top w:val="nil" w:sz="6" w:space="0" w:color="auto"/>
              <w:left w:val="nil" w:sz="6" w:space="0" w:color="auto"/>
              <w:right w:val="nil" w:sz="6" w:space="0" w:color="auto"/>
            </w:tcBorders>
          </w:tcPr>
          <w:p>
            <w:pPr>
              <w:pStyle w:val="TableParagraph"/>
              <w:spacing w:line="240" w:lineRule="auto" w:before="7"/>
              <w:ind w:right="0"/>
              <w:jc w:val="left"/>
              <w:rPr>
                <w:rFonts w:ascii="Arial" w:hAnsi="Arial" w:cs="Arial" w:eastAsia="Arial" w:hint="default"/>
                <w:sz w:val="14"/>
                <w:szCs w:val="14"/>
              </w:rPr>
            </w:pPr>
          </w:p>
          <w:p>
            <w:pPr>
              <w:pStyle w:val="TableParagraph"/>
              <w:spacing w:line="316" w:lineRule="auto"/>
              <w:ind w:left="2253" w:right="186" w:firstLine="319"/>
              <w:jc w:val="left"/>
              <w:rPr>
                <w:rFonts w:ascii="Arial" w:hAnsi="Arial" w:cs="Arial" w:eastAsia="Arial" w:hint="default"/>
                <w:sz w:val="18"/>
                <w:szCs w:val="18"/>
              </w:rPr>
            </w:pPr>
            <w:r>
              <w:rPr>
                <w:rFonts w:ascii="宋体" w:hAnsi="宋体" w:cs="宋体" w:eastAsia="宋体" w:hint="default"/>
                <w:sz w:val="18"/>
                <w:szCs w:val="18"/>
              </w:rPr>
              <w:t>加权平均 净资产收益率</w:t>
            </w:r>
            <w:r>
              <w:rPr>
                <w:rFonts w:ascii="Arial" w:hAnsi="Arial" w:cs="Arial" w:eastAsia="Arial" w:hint="default"/>
                <w:sz w:val="18"/>
                <w:szCs w:val="18"/>
              </w:rPr>
              <w:t>(%)</w:t>
            </w:r>
          </w:p>
        </w:tc>
        <w:tc>
          <w:tcPr>
            <w:tcW w:w="1180" w:type="dxa"/>
            <w:tcBorders>
              <w:top w:val="nil" w:sz="6" w:space="0" w:color="auto"/>
              <w:left w:val="nil" w:sz="6" w:space="0" w:color="auto"/>
              <w:bottom w:val="single" w:sz="4" w:space="0" w:color="000000"/>
              <w:right w:val="nil" w:sz="6" w:space="0" w:color="auto"/>
            </w:tcBorders>
          </w:tcPr>
          <w:p>
            <w:pPr/>
          </w:p>
        </w:tc>
        <w:tc>
          <w:tcPr>
            <w:tcW w:w="226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2"/>
              <w:ind w:right="28"/>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151" w:type="dxa"/>
            <w:tcBorders>
              <w:top w:val="nil" w:sz="6" w:space="0" w:color="auto"/>
              <w:left w:val="nil" w:sz="6" w:space="0" w:color="auto"/>
              <w:bottom w:val="single" w:sz="4" w:space="0" w:color="000000"/>
              <w:right w:val="nil" w:sz="6" w:space="0" w:color="auto"/>
            </w:tcBorders>
          </w:tcPr>
          <w:p>
            <w:pPr/>
          </w:p>
        </w:tc>
      </w:tr>
      <w:tr>
        <w:trPr>
          <w:trHeight w:val="342" w:hRule="exact"/>
        </w:trPr>
        <w:tc>
          <w:tcPr>
            <w:tcW w:w="680" w:type="dxa"/>
            <w:tcBorders>
              <w:top w:val="nil" w:sz="6" w:space="0" w:color="auto"/>
              <w:left w:val="nil" w:sz="6" w:space="0" w:color="auto"/>
              <w:bottom w:val="nil" w:sz="6" w:space="0" w:color="auto"/>
              <w:right w:val="nil" w:sz="6" w:space="0" w:color="auto"/>
            </w:tcBorders>
          </w:tcPr>
          <w:p>
            <w:pPr/>
          </w:p>
        </w:tc>
        <w:tc>
          <w:tcPr>
            <w:tcW w:w="3802" w:type="dxa"/>
            <w:gridSpan w:val="3"/>
            <w:vMerge/>
            <w:tcBorders>
              <w:left w:val="nil" w:sz="6" w:space="0" w:color="auto"/>
              <w:bottom w:val="nil" w:sz="6" w:space="0" w:color="auto"/>
              <w:right w:val="nil" w:sz="6" w:space="0" w:color="auto"/>
            </w:tcBorders>
          </w:tcPr>
          <w:p>
            <w:pPr/>
          </w:p>
        </w:tc>
        <w:tc>
          <w:tcPr>
            <w:tcW w:w="232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1"/>
              <w:ind w:left="609"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6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1"/>
              <w:ind w:left="58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785"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single" w:sz="4" w:space="0" w:color="000000"/>
              <w:left w:val="nil" w:sz="6" w:space="0" w:color="auto"/>
              <w:bottom w:val="nil" w:sz="6" w:space="0" w:color="auto"/>
              <w:right w:val="nil" w:sz="6" w:space="0" w:color="auto"/>
            </w:tcBorders>
          </w:tcPr>
          <w:p>
            <w:pPr/>
          </w:p>
        </w:tc>
        <w:tc>
          <w:tcPr>
            <w:tcW w:w="88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6" w:right="0"/>
              <w:jc w:val="left"/>
              <w:rPr>
                <w:rFonts w:ascii="Arial" w:hAnsi="Arial" w:cs="Arial" w:eastAsia="Arial" w:hint="default"/>
                <w:sz w:val="18"/>
                <w:szCs w:val="18"/>
              </w:rPr>
            </w:pPr>
            <w:r>
              <w:rPr>
                <w:rFonts w:ascii="Arial"/>
                <w:sz w:val="18"/>
              </w:rPr>
              <w:t>2015</w:t>
            </w:r>
          </w:p>
          <w:p>
            <w:pPr>
              <w:pStyle w:val="TableParagraph"/>
              <w:spacing w:line="240" w:lineRule="auto" w:before="65"/>
              <w:ind w:left="57"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51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 w:right="0"/>
              <w:jc w:val="left"/>
              <w:rPr>
                <w:rFonts w:ascii="Arial" w:hAnsi="Arial" w:cs="Arial" w:eastAsia="Arial" w:hint="default"/>
                <w:sz w:val="18"/>
                <w:szCs w:val="18"/>
              </w:rPr>
            </w:pPr>
            <w:r>
              <w:rPr>
                <w:rFonts w:ascii="Arial"/>
                <w:sz w:val="18"/>
              </w:rPr>
              <w:t>2014</w:t>
            </w:r>
          </w:p>
          <w:p>
            <w:pPr>
              <w:pStyle w:val="TableParagraph"/>
              <w:spacing w:line="240" w:lineRule="auto" w:before="65"/>
              <w:ind w:left="4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670" w:right="0"/>
              <w:jc w:val="left"/>
              <w:rPr>
                <w:rFonts w:ascii="Arial" w:hAnsi="Arial" w:cs="Arial" w:eastAsia="Arial" w:hint="default"/>
                <w:sz w:val="18"/>
                <w:szCs w:val="18"/>
              </w:rPr>
            </w:pPr>
            <w:r>
              <w:rPr>
                <w:rFonts w:ascii="Arial"/>
                <w:sz w:val="18"/>
              </w:rPr>
              <w:t>2015</w:t>
            </w:r>
          </w:p>
          <w:p>
            <w:pPr>
              <w:pStyle w:val="TableParagraph"/>
              <w:spacing w:line="240" w:lineRule="auto" w:before="65"/>
              <w:ind w:left="711"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610" w:right="0"/>
              <w:jc w:val="left"/>
              <w:rPr>
                <w:rFonts w:ascii="Arial" w:hAnsi="Arial" w:cs="Arial" w:eastAsia="Arial" w:hint="default"/>
                <w:sz w:val="18"/>
                <w:szCs w:val="18"/>
              </w:rPr>
            </w:pPr>
            <w:r>
              <w:rPr>
                <w:rFonts w:ascii="Arial"/>
                <w:sz w:val="18"/>
              </w:rPr>
              <w:t>2014</w:t>
            </w:r>
          </w:p>
          <w:p>
            <w:pPr>
              <w:pStyle w:val="TableParagraph"/>
              <w:spacing w:line="240" w:lineRule="auto" w:before="65"/>
              <w:ind w:left="651"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1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539" w:right="0"/>
              <w:jc w:val="left"/>
              <w:rPr>
                <w:rFonts w:ascii="Arial" w:hAnsi="Arial" w:cs="Arial" w:eastAsia="Arial" w:hint="default"/>
                <w:sz w:val="18"/>
                <w:szCs w:val="18"/>
              </w:rPr>
            </w:pPr>
            <w:r>
              <w:rPr>
                <w:rFonts w:ascii="Arial"/>
                <w:sz w:val="18"/>
              </w:rPr>
              <w:t>2015</w:t>
            </w:r>
          </w:p>
          <w:p>
            <w:pPr>
              <w:pStyle w:val="TableParagraph"/>
              <w:spacing w:line="240" w:lineRule="auto" w:before="65"/>
              <w:ind w:left="580"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641" w:right="0"/>
              <w:jc w:val="left"/>
              <w:rPr>
                <w:rFonts w:ascii="Arial" w:hAnsi="Arial" w:cs="Arial" w:eastAsia="Arial" w:hint="default"/>
                <w:sz w:val="18"/>
                <w:szCs w:val="18"/>
              </w:rPr>
            </w:pPr>
            <w:r>
              <w:rPr>
                <w:rFonts w:ascii="Arial"/>
                <w:sz w:val="18"/>
              </w:rPr>
              <w:t>2014</w:t>
            </w:r>
          </w:p>
          <w:p>
            <w:pPr>
              <w:pStyle w:val="TableParagraph"/>
              <w:spacing w:line="240" w:lineRule="auto" w:before="65"/>
              <w:ind w:left="682" w:right="0"/>
              <w:jc w:val="left"/>
              <w:rPr>
                <w:rFonts w:ascii="宋体" w:hAnsi="宋体" w:cs="宋体" w:eastAsia="宋体" w:hint="default"/>
                <w:sz w:val="18"/>
                <w:szCs w:val="18"/>
              </w:rPr>
            </w:pPr>
            <w:r>
              <w:rPr>
                <w:rFonts w:ascii="宋体" w:hAnsi="宋体" w:cs="宋体" w:eastAsia="宋体" w:hint="default"/>
                <w:sz w:val="18"/>
                <w:szCs w:val="18"/>
              </w:rPr>
              <w:t>年度</w:t>
            </w:r>
          </w:p>
        </w:tc>
      </w:tr>
      <w:tr>
        <w:trPr>
          <w:trHeight w:val="784"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p>
          <w:p>
            <w:pPr>
              <w:pStyle w:val="TableParagraph"/>
              <w:spacing w:line="316" w:lineRule="auto"/>
              <w:ind w:left="437" w:right="448" w:hanging="198"/>
              <w:jc w:val="left"/>
              <w:rPr>
                <w:rFonts w:ascii="宋体" w:hAnsi="宋体" w:cs="宋体" w:eastAsia="宋体" w:hint="default"/>
                <w:sz w:val="18"/>
                <w:szCs w:val="18"/>
              </w:rPr>
            </w:pPr>
            <w:r>
              <w:rPr>
                <w:rFonts w:ascii="宋体" w:hAnsi="宋体" w:cs="宋体" w:eastAsia="宋体" w:hint="default"/>
                <w:spacing w:val="10"/>
                <w:sz w:val="18"/>
                <w:szCs w:val="18"/>
              </w:rPr>
              <w:t>归属于本公司普通股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股东的净利润</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4"/>
              <w:ind w:left="67" w:right="0"/>
              <w:jc w:val="left"/>
              <w:rPr>
                <w:rFonts w:ascii="Arial" w:hAnsi="Arial" w:cs="Arial" w:eastAsia="Arial" w:hint="default"/>
                <w:sz w:val="18"/>
                <w:szCs w:val="18"/>
              </w:rPr>
            </w:pPr>
            <w:r>
              <w:rPr>
                <w:rFonts w:ascii="Arial"/>
                <w:sz w:val="18"/>
              </w:rPr>
              <w:t>2.87</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4"/>
              <w:ind w:left="53" w:right="0"/>
              <w:jc w:val="left"/>
              <w:rPr>
                <w:rFonts w:ascii="Arial" w:hAnsi="Arial" w:cs="Arial" w:eastAsia="Arial" w:hint="default"/>
                <w:sz w:val="18"/>
                <w:szCs w:val="18"/>
              </w:rPr>
            </w:pPr>
            <w:r>
              <w:rPr>
                <w:rFonts w:ascii="Arial"/>
                <w:sz w:val="18"/>
              </w:rPr>
              <w:t>3.01</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0.12</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left="70" w:right="0"/>
              <w:jc w:val="center"/>
              <w:rPr>
                <w:rFonts w:ascii="宋体" w:hAnsi="宋体" w:cs="宋体" w:eastAsia="宋体" w:hint="default"/>
                <w:sz w:val="18"/>
                <w:szCs w:val="18"/>
              </w:rPr>
            </w:pPr>
            <w:r>
              <w:rPr>
                <w:rFonts w:ascii="Arial" w:hAnsi="Arial" w:cs="Arial" w:eastAsia="Arial" w:hint="default"/>
                <w:sz w:val="18"/>
                <w:szCs w:val="18"/>
              </w:rPr>
              <w:t>0.12</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left="134" w:right="0"/>
              <w:jc w:val="left"/>
              <w:rPr>
                <w:rFonts w:ascii="宋体" w:hAnsi="宋体" w:cs="宋体" w:eastAsia="宋体" w:hint="default"/>
                <w:sz w:val="18"/>
                <w:szCs w:val="18"/>
              </w:rPr>
            </w:pPr>
            <w:r>
              <w:rPr>
                <w:rFonts w:ascii="Arial" w:hAnsi="Arial" w:cs="Arial" w:eastAsia="Arial" w:hint="default"/>
                <w:sz w:val="18"/>
                <w:szCs w:val="18"/>
              </w:rPr>
              <w:t>0.12</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0.12</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r>
      <w:tr>
        <w:trPr>
          <w:trHeight w:val="875"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319" w:lineRule="auto" w:before="6"/>
              <w:ind w:left="437" w:right="449" w:hanging="198"/>
              <w:jc w:val="both"/>
              <w:rPr>
                <w:rFonts w:ascii="宋体" w:hAnsi="宋体" w:cs="宋体" w:eastAsia="宋体" w:hint="default"/>
                <w:sz w:val="18"/>
                <w:szCs w:val="18"/>
              </w:rPr>
            </w:pPr>
            <w:r>
              <w:rPr>
                <w:rFonts w:ascii="宋体" w:hAnsi="宋体" w:cs="宋体" w:eastAsia="宋体" w:hint="default"/>
                <w:spacing w:val="9"/>
                <w:sz w:val="18"/>
                <w:szCs w:val="18"/>
              </w:rPr>
              <w:t>扣除非经常性损益后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归属于本公司普通</w:t>
            </w:r>
            <w:r>
              <w:rPr>
                <w:rFonts w:ascii="宋体" w:hAnsi="宋体" w:cs="宋体" w:eastAsia="宋体" w:hint="default"/>
                <w:sz w:val="18"/>
                <w:szCs w:val="18"/>
              </w:rPr>
              <w:t> 股股东的净亏损</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left="7" w:right="0"/>
              <w:jc w:val="left"/>
              <w:rPr>
                <w:rFonts w:ascii="Arial" w:hAnsi="Arial" w:cs="Arial" w:eastAsia="Arial" w:hint="default"/>
                <w:sz w:val="18"/>
                <w:szCs w:val="18"/>
              </w:rPr>
            </w:pPr>
            <w:r>
              <w:rPr>
                <w:rFonts w:ascii="Arial"/>
                <w:sz w:val="18"/>
              </w:rPr>
              <w:t>-4.82</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left="-7" w:right="0"/>
              <w:jc w:val="left"/>
              <w:rPr>
                <w:rFonts w:ascii="Arial" w:hAnsi="Arial" w:cs="Arial" w:eastAsia="Arial" w:hint="default"/>
                <w:sz w:val="18"/>
                <w:szCs w:val="18"/>
              </w:rPr>
            </w:pPr>
            <w:r>
              <w:rPr>
                <w:rFonts w:ascii="Arial"/>
                <w:sz w:val="18"/>
              </w:rPr>
              <w:t>-4.35</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-0.2</w:t>
            </w:r>
            <w:r>
              <w:rPr>
                <w:rFonts w:ascii="Arial" w:hAnsi="Arial" w:cs="Arial" w:eastAsia="Arial" w:hint="default"/>
                <w:spacing w:val="-7"/>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Arial" w:hAnsi="Arial" w:cs="Arial" w:eastAsia="Arial" w:hint="default"/>
                <w:sz w:val="18"/>
                <w:szCs w:val="18"/>
              </w:rPr>
              <w:t>-0.17</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left="174" w:right="0"/>
              <w:jc w:val="left"/>
              <w:rPr>
                <w:rFonts w:ascii="宋体" w:hAnsi="宋体" w:cs="宋体" w:eastAsia="宋体" w:hint="default"/>
                <w:sz w:val="18"/>
                <w:szCs w:val="18"/>
              </w:rPr>
            </w:pPr>
            <w:r>
              <w:rPr>
                <w:rFonts w:ascii="Arial" w:hAnsi="Arial" w:cs="Arial" w:eastAsia="Arial" w:hint="default"/>
                <w:sz w:val="18"/>
                <w:szCs w:val="18"/>
              </w:rPr>
              <w:t>-0.2</w:t>
            </w:r>
            <w:r>
              <w:rPr>
                <w:rFonts w:ascii="Arial" w:hAnsi="Arial" w:cs="Arial" w:eastAsia="Arial" w:hint="default"/>
                <w:spacing w:val="-6"/>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-0.17</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r>
    </w:tbl>
    <w:p>
      <w:pPr>
        <w:spacing w:after="0" w:line="240" w:lineRule="auto"/>
        <w:jc w:val="right"/>
        <w:rPr>
          <w:rFonts w:ascii="宋体" w:hAnsi="宋体" w:cs="宋体" w:eastAsia="宋体" w:hint="default"/>
          <w:sz w:val="18"/>
          <w:szCs w:val="18"/>
        </w:rPr>
        <w:sectPr>
          <w:headerReference w:type="default" r:id="rId83"/>
          <w:footerReference w:type="default" r:id="rId84"/>
          <w:pgSz w:w="11910" w:h="16840"/>
          <w:pgMar w:header="0" w:footer="1187" w:top="780" w:bottom="1380" w:left="820" w:right="0"/>
          <w:pgNumType w:start="279"/>
        </w:sectPr>
      </w:pPr>
    </w:p>
    <w:p>
      <w:pPr>
        <w:spacing w:before="23"/>
        <w:ind w:left="5924" w:right="1082"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286" w:right="1082"/>
        <w:jc w:val="left"/>
        <w:rPr>
          <w:b w:val="0"/>
          <w:bCs w:val="0"/>
        </w:rPr>
      </w:pPr>
      <w:bookmarkStart w:name="第十一节 备查文件目录" w:id="168"/>
      <w:bookmarkEnd w:id="168"/>
      <w:r>
        <w:rPr>
          <w:b w:val="0"/>
          <w:bCs w:val="0"/>
        </w:rPr>
      </w:r>
      <w:bookmarkStart w:name="_bookmark10" w:id="169"/>
      <w:bookmarkEnd w:id="169"/>
      <w:r>
        <w:rPr>
          <w:b w:val="0"/>
          <w:bCs w:val="0"/>
        </w:rPr>
      </w:r>
      <w:r>
        <w:rPr/>
        <w:t>第十一节</w:t>
      </w:r>
      <w:r>
        <w:rPr>
          <w:spacing w:val="-8"/>
        </w:rPr>
        <w:t> </w:t>
      </w:r>
      <w:r>
        <w:rPr/>
        <w:t>备查文件目录</w:t>
      </w:r>
      <w:r>
        <w:rPr>
          <w:b w:val="0"/>
          <w:bCs w:val="0"/>
        </w:rPr>
      </w:r>
    </w:p>
    <w:p>
      <w:pPr>
        <w:spacing w:line="240" w:lineRule="auto" w:before="12"/>
        <w:rPr>
          <w:rFonts w:ascii="宋体" w:hAnsi="宋体" w:cs="宋体" w:eastAsia="宋体" w:hint="default"/>
          <w:b/>
          <w:bCs/>
          <w:sz w:val="45"/>
          <w:szCs w:val="45"/>
        </w:rPr>
      </w:pPr>
    </w:p>
    <w:p>
      <w:pPr>
        <w:pStyle w:val="BodyText"/>
        <w:spacing w:line="391" w:lineRule="auto"/>
        <w:ind w:right="1082"/>
        <w:jc w:val="left"/>
      </w:pPr>
      <w:r>
        <w:rPr>
          <w:spacing w:val="-2"/>
        </w:rPr>
        <w:t>（一）载有公司负责人、主管会计工作负责人、会计机构负责人（会计主管人员）签名并盖章的财务</w:t>
      </w:r>
      <w:r>
        <w:rPr>
          <w:spacing w:val="-87"/>
        </w:rPr>
        <w:t> </w:t>
      </w:r>
      <w:r>
        <w:rPr>
          <w:spacing w:val="-87"/>
        </w:rPr>
      </w:r>
      <w:r>
        <w:rPr/>
        <w:t>报表。</w:t>
      </w:r>
    </w:p>
    <w:p>
      <w:pPr>
        <w:pStyle w:val="BodyText"/>
        <w:spacing w:line="240" w:lineRule="auto" w:before="41"/>
        <w:ind w:right="1082"/>
        <w:jc w:val="left"/>
      </w:pPr>
      <w:r>
        <w:rPr/>
        <w:t>（二）载有会计师事务所盖章、注册会计师签名并盖章的审计报告原件。</w:t>
      </w:r>
    </w:p>
    <w:p>
      <w:pPr>
        <w:pStyle w:val="BodyText"/>
        <w:spacing w:line="240" w:lineRule="auto" w:before="180"/>
        <w:ind w:right="1082"/>
        <w:jc w:val="left"/>
      </w:pPr>
      <w:r>
        <w:rPr/>
        <w:t>（三）报告期内在中国证监会指定网站上公开披露过的所有公司文件的正本及公告的原稿。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2"/>
          <w:szCs w:val="22"/>
        </w:rPr>
      </w:pPr>
    </w:p>
    <w:p>
      <w:pPr>
        <w:pStyle w:val="BodyText"/>
        <w:spacing w:line="240" w:lineRule="auto"/>
        <w:ind w:left="0" w:right="1133"/>
        <w:jc w:val="right"/>
      </w:pPr>
      <w:r>
        <w:rPr>
          <w:w w:val="95"/>
        </w:rPr>
        <w:t>苏宁云商集团股份有限公司</w:t>
      </w:r>
      <w:r>
        <w:rPr/>
      </w:r>
    </w:p>
    <w:p>
      <w:pPr>
        <w:pStyle w:val="BodyText"/>
        <w:spacing w:line="240" w:lineRule="auto" w:before="180"/>
        <w:ind w:left="0" w:right="1132"/>
        <w:jc w:val="right"/>
      </w:pPr>
      <w:r>
        <w:rPr>
          <w:w w:val="95"/>
        </w:rPr>
        <w:t>董事长：张近东</w:t>
      </w:r>
      <w:r>
        <w:rPr/>
      </w:r>
    </w:p>
    <w:p>
      <w:pPr>
        <w:pStyle w:val="BodyText"/>
        <w:spacing w:line="240" w:lineRule="auto" w:before="180"/>
        <w:ind w:left="0" w:right="1129"/>
        <w:jc w:val="righ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sectPr>
      <w:headerReference w:type="default" r:id="rId85"/>
      <w:footerReference w:type="default" r:id="rId86"/>
      <w:pgSz w:w="11910" w:h="16840"/>
      <w:pgMar w:header="0" w:footer="1187" w:top="780" w:bottom="1380" w:left="980" w:right="0"/>
      <w:pgNumType w:star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32416" type="#_x0000_t75" stroked="false">
          <v:imagedata r:id="rId1" o:title=""/>
        </v:shape>
      </w:pict>
    </w:r>
    <w:r>
      <w:rPr/>
      <w:pict>
        <v:shape style="position:absolute;margin-left:533.179993pt;margin-top:795.517944pt;width:6.5pt;height:11pt;mso-position-horizontal-relative:page;mso-position-vertical-relative:page;z-index:-18323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31864" type="#_x0000_t75" stroked="false">
          <v:imagedata r:id="rId1" o:title=""/>
        </v:shape>
      </w:pict>
    </w:r>
    <w:r>
      <w:rPr/>
      <w:pict>
        <v:shape style="position:absolute;margin-left:524.179993pt;margin-top:781.957947pt;width:15.5pt;height:11pt;mso-position-horizontal-relative:page;mso-position-vertical-relative:page;z-index:-1831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31816" type="#_x0000_t75" stroked="false">
          <v:imagedata r:id="rId1" o:title=""/>
        </v:shape>
      </w:pict>
    </w:r>
    <w:r>
      <w:rPr/>
      <w:pict>
        <v:shape style="position:absolute;margin-left:523.179993pt;margin-top:781.957947pt;width:17.5pt;height:11pt;mso-position-horizontal-relative:page;mso-position-vertical-relative:page;z-index:-1831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31744" type="#_x0000_t75" stroked="false">
          <v:imagedata r:id="rId1" o:title=""/>
        </v:shape>
      </w:pict>
    </w:r>
    <w:r>
      <w:rPr/>
      <w:pict>
        <v:shape style="position:absolute;margin-left:506.040009pt;margin-top:792.867188pt;width:16.95pt;height:11pt;mso-position-horizontal-relative:page;mso-position-vertical-relative:page;z-index:-183172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103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31696" type="#_x0000_t75" stroked="false">
          <v:imagedata r:id="rId1" o:title=""/>
        </v:shape>
      </w:pict>
    </w:r>
    <w:r>
      <w:rPr/>
      <w:pict>
        <v:shape style="position:absolute;margin-left:505.040009pt;margin-top:803.067139pt;width:18.95pt;height:11pt;mso-position-horizontal-relative:page;mso-position-vertical-relative:page;z-index:-18316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104</w:t>
                </w:r>
                <w:r>
                  <w:rPr/>
                  <w:fldChar w:fldCharType="end"/>
                </w:r>
                <w:r>
                  <w:rPr>
                    <w:rFonts w:ascii="Arial"/>
                    <w:spacing w:val="-1"/>
                    <w:sz w:val="18"/>
                  </w:rPr>
                </w:r>
                <w:r>
                  <w:rPr>
                    <w:rFonts w:ascii="Arial"/>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31648" type="#_x0000_t75" stroked="false">
          <v:imagedata r:id="rId1" o:title=""/>
        </v:shape>
      </w:pict>
    </w:r>
    <w:r>
      <w:rPr/>
      <w:pict>
        <v:shape style="position:absolute;margin-left:506.540009pt;margin-top:792.61792pt;width:17.5pt;height:11.15pt;mso-position-horizontal-relative:page;mso-position-vertical-relative:page;z-index:-183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1831576" type="#_x0000_t75" stroked="false">
          <v:imagedata r:id="rId1" o:title=""/>
        </v:shape>
      </w:pict>
    </w:r>
    <w:r>
      <w:rPr/>
      <w:pict>
        <v:shape style="position:absolute;margin-left:753.859985pt;margin-top:546.507141pt;width:19pt;height:11.15pt;mso-position-horizontal-relative:page;mso-position-vertical-relative:page;z-index:-1831552" type="#_x0000_t202" filled="false" stroked="false">
          <v:textbox inset="0,0,0,0">
            <w:txbxContent>
              <w:p>
                <w:pPr>
                  <w:spacing w:line="206"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109</w:t>
                </w:r>
                <w:r>
                  <w:rPr/>
                  <w:fldChar w:fldCharType="end"/>
                </w:r>
                <w:r>
                  <w:rPr>
                    <w:rFonts w:ascii="Arial"/>
                    <w:spacing w:val="-1"/>
                    <w:sz w:val="18"/>
                  </w:rPr>
                </w:r>
                <w:r>
                  <w:rPr>
                    <w:rFonts w:ascii="Arial"/>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31528" type="#_x0000_t75" stroked="false">
          <v:imagedata r:id="rId1" o:title=""/>
        </v:shape>
      </w:pict>
    </w:r>
    <w:r>
      <w:rPr/>
      <w:pict>
        <v:shape style="position:absolute;margin-left:506.359985pt;margin-top:784.957947pt;width:19.1pt;height:18.95pt;mso-position-horizontal-relative:page;mso-position-vertical-relative:page;z-index:-1831504" type="#_x0000_t202" filled="false" stroked="false">
          <v:textbox inset="0,0,0,0">
            <w:txbxContent>
              <w:p>
                <w:pPr>
                  <w:spacing w:line="207" w:lineRule="exact" w:before="0"/>
                  <w:ind w:left="54"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31432" type="#_x0000_t75" stroked="false">
          <v:imagedata r:id="rId1" o:title=""/>
        </v:shape>
      </w:pict>
    </w:r>
    <w:r>
      <w:rPr/>
      <w:pict>
        <v:shape style="position:absolute;margin-left:754.539978pt;margin-top:538.637939pt;width:17.5pt;height:11pt;mso-position-horizontal-relative:page;mso-position-vertical-relative:page;z-index:-1831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1360" type="#_x0000_t75" stroked="false">
          <v:imagedata r:id="rId1" o:title=""/>
        </v:shape>
      </w:pict>
    </w:r>
    <w:r>
      <w:rPr/>
      <w:pict>
        <v:shape style="position:absolute;margin-left:507.920013pt;margin-top:785.257935pt;width:17.5pt;height:11pt;mso-position-horizontal-relative:page;mso-position-vertical-relative:page;z-index:-1831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31288" type="#_x0000_t75" stroked="false">
          <v:imagedata r:id="rId1" o:title=""/>
        </v:shape>
      </w:pict>
    </w:r>
    <w:r>
      <w:rPr/>
      <w:pict>
        <v:shape style="position:absolute;margin-left:754.539978pt;margin-top:538.637939pt;width:17.5pt;height:11pt;mso-position-horizontal-relative:page;mso-position-vertical-relative:page;z-index:-1831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32368" type="#_x0000_t75" stroked="false">
          <v:imagedata r:id="rId1" o:title=""/>
        </v:shape>
      </w:pict>
    </w:r>
    <w:r>
      <w:rPr/>
      <w:pict>
        <v:shape style="position:absolute;margin-left:527.679993pt;margin-top:781.957947pt;width:13pt;height:11pt;mso-position-horizontal-relative:page;mso-position-vertical-relative:page;z-index:-1832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1240" type="#_x0000_t75" stroked="false">
          <v:imagedata r:id="rId1" o:titl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1216" type="#_x0000_t75" stroked="false">
          <v:imagedata r:id="rId1" o:titl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31168" type="#_x0000_t75" stroked="false">
          <v:imagedata r:id="rId1" o:title=""/>
        </v:shape>
      </w:pict>
    </w:r>
    <w:r>
      <w:rPr/>
      <w:pict>
        <v:shape style="position:absolute;margin-left:790.539978pt;margin-top:538.637939pt;width:17.5pt;height:11pt;mso-position-horizontal-relative:page;mso-position-vertical-relative:page;z-index:-183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1096" type="#_x0000_t75" stroked="false">
          <v:imagedata r:id="rId1" o:title=""/>
        </v:shape>
      </w:pict>
    </w:r>
    <w:r>
      <w:rPr/>
      <w:pict>
        <v:shape style="position:absolute;margin-left:507.920013pt;margin-top:785.257935pt;width:17.5pt;height:11pt;mso-position-horizontal-relative:page;mso-position-vertical-relative:page;z-index:-1831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31024" type="#_x0000_t75" stroked="false">
          <v:imagedata r:id="rId1" o:title=""/>
        </v:shape>
      </w:pict>
    </w:r>
    <w:r>
      <w:rPr/>
      <w:pict>
        <v:shape style="position:absolute;margin-left:790.539978pt;margin-top:538.637939pt;width:17.5pt;height:11pt;mso-position-horizontal-relative:page;mso-position-vertical-relative:page;z-index:-1831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0952" type="#_x0000_t75" stroked="false">
          <v:imagedata r:id="rId1" o:title=""/>
        </v:shape>
      </w:pict>
    </w:r>
    <w:r>
      <w:rPr/>
      <w:pict>
        <v:shape style="position:absolute;margin-left:507.920013pt;margin-top:785.257935pt;width:17.5pt;height:11pt;mso-position-horizontal-relative:page;mso-position-vertical-relative:page;z-index:-1830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178</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0904" type="#_x0000_t75" stroked="false">
          <v:imagedata r:id="rId1" o:title=""/>
        </v:shape>
      </w:pict>
    </w:r>
    <w:r>
      <w:rPr/>
      <w:pict>
        <v:shape style="position:absolute;margin-left:507.920013pt;margin-top:785.257935pt;width:17.5pt;height:11pt;mso-position-horizontal-relative:page;mso-position-vertical-relative:page;z-index:-1830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196</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0856" type="#_x0000_t75" stroked="false">
          <v:imagedata r:id="rId1" o:title=""/>
        </v:shape>
      </w:pict>
    </w:r>
    <w:r>
      <w:rPr/>
      <w:pict>
        <v:shape style="position:absolute;margin-left:507.920013pt;margin-top:796.057922pt;width:16.5pt;height:11pt;mso-position-horizontal-relative:page;mso-position-vertical-relative:page;z-index:-1830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z w:val="18"/>
                  </w:rPr>
                  <w:t>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832296" type="#_x0000_t75" stroked="false">
          <v:imagedata r:id="rId1" o:title=""/>
        </v:shape>
      </w:pict>
    </w:r>
    <w:r>
      <w:rPr/>
      <w:pict>
        <v:shape style="position:absolute;margin-left:758.97998pt;margin-top:535.357971pt;width:13pt;height:11pt;mso-position-horizontal-relative:page;mso-position-vertical-relative:page;z-index:-1832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0808" type="#_x0000_t75" stroked="false">
          <v:imagedata r:id="rId1" o:title=""/>
        </v:shape>
      </w:pict>
    </w:r>
    <w:r>
      <w:rPr/>
      <w:pict>
        <v:shape style="position:absolute;margin-left:507.920013pt;margin-top:796.057922pt;width:17.5pt;height:11pt;mso-position-horizontal-relative:page;mso-position-vertical-relative:page;z-index:-1830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0760" type="#_x0000_t75" stroked="false">
          <v:imagedata r:id="rId1" o:title=""/>
        </v:shape>
      </w:pict>
    </w:r>
    <w:r>
      <w:rPr/>
      <w:pict>
        <v:shape style="position:absolute;margin-left:507.920013pt;margin-top:789.037903pt;width:17.5pt;height:18.05pt;mso-position-horizontal-relative:page;mso-position-vertical-relative:page;z-index:-1830736" type="#_x0000_t202" filled="false" stroked="false">
          <v:textbox inset="0,0,0,0">
            <w:txbxContent>
              <w:p>
                <w:pPr>
                  <w:spacing w:before="137"/>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0712" type="#_x0000_t75" stroked="false">
          <v:imagedata r:id="rId1" o:title=""/>
        </v:shape>
      </w:pict>
    </w:r>
    <w:r>
      <w:rPr/>
      <w:pict>
        <v:shape style="position:absolute;margin-left:507.920013pt;margin-top:785.257935pt;width:17.5pt;height:11pt;mso-position-horizontal-relative:page;mso-position-vertical-relative:page;z-index:-1830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218</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30616" type="#_x0000_t75" stroked="false">
          <v:imagedata r:id="rId1" o:title=""/>
        </v:shape>
      </w:pict>
    </w:r>
    <w:r>
      <w:rPr/>
      <w:pict>
        <v:shape style="position:absolute;margin-left:790.539978pt;margin-top:538.637939pt;width:17.5pt;height:11pt;mso-position-horizontal-relative:page;mso-position-vertical-relative:page;z-index:-1830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224</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0544" type="#_x0000_t75" stroked="false">
          <v:imagedata r:id="rId1" o:title=""/>
        </v:shape>
      </w:pict>
    </w:r>
    <w:r>
      <w:rPr/>
      <w:pict>
        <v:shape style="position:absolute;margin-left:507.859985pt;margin-top:798.577942pt;width:17.5pt;height:11pt;mso-position-horizontal-relative:page;mso-position-vertical-relative:page;z-index:-1830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228</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0496" type="#_x0000_t75" stroked="false">
          <v:imagedata r:id="rId1" o:title=""/>
        </v:shape>
      </w:pict>
    </w:r>
    <w:r>
      <w:rPr/>
      <w:pict>
        <v:shape style="position:absolute;margin-left:507.920013pt;margin-top:781.297913pt;width:17.5pt;height:15pt;mso-position-horizontal-relative:page;mso-position-vertical-relative:page;z-index:-1830472" type="#_x0000_t202" filled="false" stroked="false">
          <v:textbox inset="0,0,0,0">
            <w:txbxContent>
              <w:p>
                <w:pPr>
                  <w:spacing w:before="76"/>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267</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30424" type="#_x0000_t75" stroked="false">
          <v:imagedata r:id="rId1" o:title=""/>
        </v:shape>
      </w:pict>
    </w:r>
    <w:r>
      <w:rPr/>
      <w:pict>
        <v:shape style="position:absolute;margin-left:754.599976pt;margin-top:538.637939pt;width:17.5pt;height:11pt;mso-position-horizontal-relative:page;mso-position-vertical-relative:page;z-index:-1830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32200" type="#_x0000_t75" stroked="false">
          <v:imagedata r:id="rId1" o:title=""/>
        </v:shape>
      </w:pict>
    </w:r>
    <w:r>
      <w:rPr/>
      <w:pict>
        <v:shape style="position:absolute;margin-left:527.679993pt;margin-top:781.957947pt;width:13pt;height:11pt;mso-position-horizontal-relative:page;mso-position-vertical-relative:page;z-index:-1832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30352" type="#_x0000_t75" stroked="false">
          <v:imagedata r:id="rId1" o:title=""/>
        </v:shape>
      </w:pict>
    </w:r>
    <w:r>
      <w:rPr/>
      <w:pict>
        <v:shape style="position:absolute;margin-left:507.920013pt;margin-top:785.257935pt;width:17.5pt;height:11pt;mso-position-horizontal-relative:page;mso-position-vertical-relative:page;z-index:-1830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276</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30304" type="#_x0000_t75" stroked="false">
          <v:imagedata r:id="rId1" o:title=""/>
        </v:shape>
      </w:pict>
    </w:r>
    <w:r>
      <w:rPr/>
      <w:pict>
        <v:shape style="position:absolute;margin-left:523.179993pt;margin-top:771.577942pt;width:17.5pt;height:11pt;mso-position-horizontal-relative:page;mso-position-vertical-relative:page;z-index:-1830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279</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30256" type="#_x0000_t75" stroked="false">
          <v:imagedata r:id="rId1" o:title=""/>
        </v:shape>
      </w:pict>
    </w:r>
    <w:r>
      <w:rPr/>
      <w:pict>
        <v:shape style="position:absolute;margin-left:523.179993pt;margin-top:771.577942pt;width:17.5pt;height:11pt;mso-position-horizontal-relative:page;mso-position-vertical-relative:page;z-index:-1830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832128" type="#_x0000_t75" stroked="false">
          <v:imagedata r:id="rId1" o:title=""/>
        </v:shape>
      </w:pict>
    </w:r>
    <w:r>
      <w:rPr/>
      <w:pict>
        <v:shape style="position:absolute;margin-left:758.97998pt;margin-top:535.357971pt;width:13pt;height:11pt;mso-position-horizontal-relative:page;mso-position-vertical-relative:page;z-index:-1832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832080" type="#_x0000_t75" stroked="false">
          <v:imagedata r:id="rId1" o:title=""/>
        </v:shape>
      </w:pict>
    </w:r>
    <w:r>
      <w:rPr/>
      <w:pict>
        <v:shape style="position:absolute;margin-left:71pt;margin-top:516.865662pt;width:655.45pt;height:11.5pt;mso-position-horizontal-relative:page;mso-position-vertical-relative:page;z-index:-1832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：报告期内，出租方宿迁苏宁置业有限公司为支持公司店面经营，经双方协商，同意减免公司在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2014/12/28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期间宿迁苏宁广场店面租金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xbxContent>
          </v:textbox>
          <w10:wrap type="none"/>
        </v:shape>
      </w:pict>
    </w:r>
    <w:r>
      <w:rPr/>
      <w:pict>
        <v:shape style="position:absolute;margin-left:758.97998pt;margin-top:535.357971pt;width:13pt;height:11pt;mso-position-horizontal-relative:page;mso-position-vertical-relative:page;z-index:-1832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31960" type="#_x0000_t75" stroked="false">
          <v:imagedata r:id="rId1" o:title=""/>
        </v:shape>
      </w:pict>
    </w:r>
    <w:r>
      <w:rPr/>
      <w:pict>
        <v:shape style="position:absolute;margin-left:527.679993pt;margin-top:781.957947pt;width:13pt;height:11pt;mso-position-horizontal-relative:page;mso-position-vertical-relative:page;z-index:-183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31912" type="#_x0000_t75" stroked="false">
          <v:imagedata r:id="rId1" o:title=""/>
        </v:shape>
      </w:pict>
    </w:r>
    <w:r>
      <w:rPr/>
      <w:pict>
        <v:shape style="position:absolute;margin-left:527.679993pt;margin-top:781.957947pt;width:13pt;height:11pt;mso-position-horizontal-relative:page;mso-position-vertical-relative:page;z-index:-1831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832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59999pt;margin-top:36.747482pt;width:161.050pt;height:57.65pt;mso-position-horizontal-relative:page;mso-position-vertical-relative:page;z-index:-1831480"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pt;margin-top:36.747505pt;width:161.050pt;height:57.65pt;mso-position-horizontal-relative:page;mso-position-vertical-relative:page;z-index:-1831456"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59999pt;margin-top:36.747482pt;width:161.050pt;height:57.65pt;mso-position-horizontal-relative:page;mso-position-vertical-relative:page;z-index:-1831384"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800003pt;margin-top:58.347504pt;width:161.050pt;height:57.65pt;mso-position-horizontal-relative:page;mso-position-vertical-relative:page;z-index:-1831312"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6.747505pt;width:161.050pt;height:57.65pt;mso-position-horizontal-relative:page;mso-position-vertical-relative:page;z-index:-1831192"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59999pt;margin-top:36.747482pt;width:161.050pt;height:57.65pt;mso-position-horizontal-relative:page;mso-position-vertical-relative:page;z-index:-1831120"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6.747505pt;width:161.050pt;height:57.65pt;mso-position-horizontal-relative:page;mso-position-vertical-relative:page;z-index:-1831048"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59999pt;margin-top:36.747482pt;width:161.050pt;height:57.65pt;mso-position-horizontal-relative:page;mso-position-vertical-relative:page;z-index:-1830976"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832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6.747482pt;width:161.050pt;height:57.65pt;mso-position-horizontal-relative:page;mso-position-vertical-relative:page;z-index:-1830664"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6.747505pt;width:161.050pt;height:57.65pt;mso-position-horizontal-relative:page;mso-position-vertical-relative:page;z-index:-1830640"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00002pt;margin-top:36.747482pt;width:161.050pt;height:57.65pt;mso-position-horizontal-relative:page;mso-position-vertical-relative:page;z-index:-1830568"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59999pt;margin-top:36.747505pt;width:161.050pt;height:57.65pt;mso-position-horizontal-relative:page;mso-position-vertical-relative:page;z-index:-1830448"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59999pt;margin-top:36.747482pt;width:161.050pt;height:57.65pt;mso-position-horizontal-relative:page;mso-position-vertical-relative:page;z-index:-1830376"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24"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83224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832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832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83200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831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400002pt;margin-top:29.127493pt;width:146pt;height:14pt;mso-position-horizontal-relative:page;mso-position-vertical-relative:page;z-index:-183176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5pt;margin-top:29.127502pt;width:146pt;height:14pt;mso-position-horizontal-relative:page;mso-position-vertical-relative:page;z-index:-183160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2"/>
      <w:szCs w:val="22"/>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20"/>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uning.cn/" TargetMode="External"/><Relationship Id="rId10" Type="http://schemas.openxmlformats.org/officeDocument/2006/relationships/hyperlink" Target="mailto:stock@cnsuning.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5.xml"/><Relationship Id="rId20" Type="http://schemas.openxmlformats.org/officeDocument/2006/relationships/footer" Target="footer7.xm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image" Target="media/image1.png"/><Relationship Id="rId24" Type="http://schemas.openxmlformats.org/officeDocument/2006/relationships/footer" Target="footer9.xm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7.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8.xml"/><Relationship Id="rId37" Type="http://schemas.openxmlformats.org/officeDocument/2006/relationships/footer" Target="footer15.xml"/><Relationship Id="rId38" Type="http://schemas.openxmlformats.org/officeDocument/2006/relationships/header" Target="header9.xml"/><Relationship Id="rId39" Type="http://schemas.openxmlformats.org/officeDocument/2006/relationships/footer" Target="footer16.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footer" Target="footer17.xml"/><Relationship Id="rId43" Type="http://schemas.openxmlformats.org/officeDocument/2006/relationships/header" Target="header12.xml"/><Relationship Id="rId44" Type="http://schemas.openxmlformats.org/officeDocument/2006/relationships/footer" Target="footer18.xml"/><Relationship Id="rId45" Type="http://schemas.openxmlformats.org/officeDocument/2006/relationships/header" Target="header13.xml"/><Relationship Id="rId46" Type="http://schemas.openxmlformats.org/officeDocument/2006/relationships/footer" Target="footer19.xml"/><Relationship Id="rId47" Type="http://schemas.openxmlformats.org/officeDocument/2006/relationships/header" Target="header14.xml"/><Relationship Id="rId48" Type="http://schemas.openxmlformats.org/officeDocument/2006/relationships/footer" Target="footer20.xml"/><Relationship Id="rId49" Type="http://schemas.openxmlformats.org/officeDocument/2006/relationships/header" Target="header15.xml"/><Relationship Id="rId50" Type="http://schemas.openxmlformats.org/officeDocument/2006/relationships/footer" Target="footer21.xml"/><Relationship Id="rId51" Type="http://schemas.openxmlformats.org/officeDocument/2006/relationships/header" Target="header16.xml"/><Relationship Id="rId52" Type="http://schemas.openxmlformats.org/officeDocument/2006/relationships/footer" Target="footer22.xml"/><Relationship Id="rId53" Type="http://schemas.openxmlformats.org/officeDocument/2006/relationships/header" Target="header17.xml"/><Relationship Id="rId54" Type="http://schemas.openxmlformats.org/officeDocument/2006/relationships/footer" Target="footer23.xml"/><Relationship Id="rId55" Type="http://schemas.openxmlformats.org/officeDocument/2006/relationships/header" Target="header18.xml"/><Relationship Id="rId56" Type="http://schemas.openxmlformats.org/officeDocument/2006/relationships/footer" Target="footer24.xml"/><Relationship Id="rId57" Type="http://schemas.openxmlformats.org/officeDocument/2006/relationships/header" Target="header19.xml"/><Relationship Id="rId58" Type="http://schemas.openxmlformats.org/officeDocument/2006/relationships/footer" Target="footer25.xml"/><Relationship Id="rId59" Type="http://schemas.openxmlformats.org/officeDocument/2006/relationships/header" Target="header20.xml"/><Relationship Id="rId60" Type="http://schemas.openxmlformats.org/officeDocument/2006/relationships/footer" Target="footer26.xml"/><Relationship Id="rId61" Type="http://schemas.openxmlformats.org/officeDocument/2006/relationships/footer" Target="footer27.xml"/><Relationship Id="rId62" Type="http://schemas.openxmlformats.org/officeDocument/2006/relationships/header" Target="header21.xml"/><Relationship Id="rId63" Type="http://schemas.openxmlformats.org/officeDocument/2006/relationships/footer" Target="footer28.xml"/><Relationship Id="rId64" Type="http://schemas.openxmlformats.org/officeDocument/2006/relationships/footer" Target="footer29.xml"/><Relationship Id="rId65" Type="http://schemas.openxmlformats.org/officeDocument/2006/relationships/footer" Target="footer30.xml"/><Relationship Id="rId66" Type="http://schemas.openxmlformats.org/officeDocument/2006/relationships/footer" Target="footer31.xml"/><Relationship Id="rId67" Type="http://schemas.openxmlformats.org/officeDocument/2006/relationships/header" Target="header22.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23.xml"/><Relationship Id="rId71" Type="http://schemas.openxmlformats.org/officeDocument/2006/relationships/footer" Target="footer34.xml"/><Relationship Id="rId72" Type="http://schemas.openxmlformats.org/officeDocument/2006/relationships/header" Target="header24.xml"/><Relationship Id="rId73" Type="http://schemas.openxmlformats.org/officeDocument/2006/relationships/footer" Target="footer35.xml"/><Relationship Id="rId74" Type="http://schemas.openxmlformats.org/officeDocument/2006/relationships/header" Target="header25.xml"/><Relationship Id="rId75" Type="http://schemas.openxmlformats.org/officeDocument/2006/relationships/footer" Target="footer36.xml"/><Relationship Id="rId76" Type="http://schemas.openxmlformats.org/officeDocument/2006/relationships/header" Target="header26.xml"/><Relationship Id="rId77" Type="http://schemas.openxmlformats.org/officeDocument/2006/relationships/footer" Target="footer37.xml"/><Relationship Id="rId78" Type="http://schemas.openxmlformats.org/officeDocument/2006/relationships/footer" Target="footer38.xml"/><Relationship Id="rId79" Type="http://schemas.openxmlformats.org/officeDocument/2006/relationships/header" Target="header27.xml"/><Relationship Id="rId80" Type="http://schemas.openxmlformats.org/officeDocument/2006/relationships/footer" Target="footer39.xml"/><Relationship Id="rId81" Type="http://schemas.openxmlformats.org/officeDocument/2006/relationships/header" Target="header28.xml"/><Relationship Id="rId82" Type="http://schemas.openxmlformats.org/officeDocument/2006/relationships/footer" Target="footer40.xml"/><Relationship Id="rId83" Type="http://schemas.openxmlformats.org/officeDocument/2006/relationships/header" Target="header29.xml"/><Relationship Id="rId84" Type="http://schemas.openxmlformats.org/officeDocument/2006/relationships/footer" Target="footer41.xml"/><Relationship Id="rId85" Type="http://schemas.openxmlformats.org/officeDocument/2006/relationships/header" Target="header30.xml"/><Relationship Id="rId86" Type="http://schemas.openxmlformats.org/officeDocument/2006/relationships/footer" Target="footer4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苏宁云商集团股份有限公司</dc:creator>
  <dc:title>苏宁云商集团股份有限公司2015年年度报告全文</dc:title>
  <dcterms:created xsi:type="dcterms:W3CDTF">2020-05-04T12:02:31Z</dcterms:created>
  <dcterms:modified xsi:type="dcterms:W3CDTF">2020-05-04T12:02:31Z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Office Word 2007</vt:lpwstr>
  </property>
  <property fmtid="{D5CDD505-2E9C-101B-9397-08002B2CF9AE}" pid="4" name="LastSaved">
    <vt:filetime>2020-05-04T00:00:00Z</vt:filetime>
  </property>
</Properties>
</file>